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5EB2DB" w14:textId="7A33CBFD" w:rsidR="007A1880" w:rsidRPr="00497441" w:rsidRDefault="002D1AD4" w:rsidP="00612E7C">
      <w:pPr>
        <w:tabs>
          <w:tab w:val="left" w:pos="3135"/>
          <w:tab w:val="right" w:pos="8838"/>
        </w:tabs>
        <w:spacing w:after="0" w:line="240" w:lineRule="auto"/>
        <w:jc w:val="right"/>
        <w:rPr>
          <w:rFonts w:ascii="Book Antiqua" w:hAnsi="Book Antiqua" w:cs="Book Antiqua"/>
          <w:sz w:val="24"/>
          <w:szCs w:val="24"/>
          <w:lang w:val="pt-BR"/>
        </w:rPr>
      </w:pPr>
      <w:r>
        <w:rPr>
          <w:rFonts w:ascii="Book Antiqua" w:hAnsi="Book Antiqua" w:cs="Book Antiqua"/>
          <w:sz w:val="24"/>
          <w:szCs w:val="24"/>
          <w:lang w:val="pt-BR"/>
        </w:rPr>
        <w:tab/>
      </w:r>
      <w:r w:rsidR="00EB3C62">
        <w:rPr>
          <w:rFonts w:ascii="Book Antiqua" w:hAnsi="Book Antiqua" w:cs="Book Antiqua"/>
          <w:sz w:val="24"/>
          <w:szCs w:val="24"/>
          <w:lang w:val="pt-BR"/>
        </w:rPr>
        <w:t>283</w:t>
      </w:r>
      <w:r w:rsidR="007A1880" w:rsidRPr="00497441">
        <w:rPr>
          <w:rFonts w:ascii="Book Antiqua" w:hAnsi="Book Antiqua" w:cs="Book Antiqua"/>
          <w:sz w:val="24"/>
          <w:szCs w:val="24"/>
          <w:lang w:val="pt-BR"/>
        </w:rPr>
        <w:t>-PLA-</w:t>
      </w:r>
      <w:r w:rsidR="00EB3C62" w:rsidRPr="00EB3C62">
        <w:rPr>
          <w:rFonts w:ascii="Book Antiqua" w:hAnsi="Book Antiqua" w:cs="Book Antiqua"/>
          <w:sz w:val="24"/>
          <w:szCs w:val="24"/>
          <w:lang w:val="pt-BR"/>
        </w:rPr>
        <w:t xml:space="preserve"> </w:t>
      </w:r>
      <w:r w:rsidR="00EB3C62">
        <w:rPr>
          <w:rFonts w:ascii="Book Antiqua" w:hAnsi="Book Antiqua" w:cs="Book Antiqua"/>
          <w:sz w:val="24"/>
          <w:szCs w:val="24"/>
          <w:lang w:val="pt-BR"/>
        </w:rPr>
        <w:t xml:space="preserve">RH- </w:t>
      </w:r>
      <w:r w:rsidR="007A1880">
        <w:rPr>
          <w:rFonts w:ascii="Book Antiqua" w:hAnsi="Book Antiqua" w:cs="Book Antiqua"/>
          <w:sz w:val="24"/>
          <w:szCs w:val="24"/>
          <w:lang w:val="pt-BR"/>
        </w:rPr>
        <w:t>MI</w:t>
      </w:r>
      <w:r w:rsidR="00822795">
        <w:rPr>
          <w:rFonts w:ascii="Book Antiqua" w:hAnsi="Book Antiqua" w:cs="Book Antiqua"/>
          <w:sz w:val="24"/>
          <w:szCs w:val="24"/>
          <w:lang w:val="pt-BR"/>
        </w:rPr>
        <w:t xml:space="preserve"> (NPL)</w:t>
      </w:r>
      <w:r w:rsidR="007A1880" w:rsidRPr="00497441">
        <w:rPr>
          <w:rFonts w:ascii="Book Antiqua" w:hAnsi="Book Antiqua" w:cs="Book Antiqua"/>
          <w:sz w:val="24"/>
          <w:szCs w:val="24"/>
          <w:lang w:val="pt-BR"/>
        </w:rPr>
        <w:t>-20</w:t>
      </w:r>
      <w:r w:rsidR="007A1880">
        <w:rPr>
          <w:rFonts w:ascii="Book Antiqua" w:hAnsi="Book Antiqua" w:cs="Book Antiqua"/>
          <w:sz w:val="24"/>
          <w:szCs w:val="24"/>
          <w:lang w:val="pt-BR"/>
        </w:rPr>
        <w:t>2</w:t>
      </w:r>
      <w:r w:rsidR="00822795">
        <w:rPr>
          <w:rFonts w:ascii="Book Antiqua" w:hAnsi="Book Antiqua" w:cs="Book Antiqua"/>
          <w:sz w:val="24"/>
          <w:szCs w:val="24"/>
          <w:lang w:val="pt-BR"/>
        </w:rPr>
        <w:t>3</w:t>
      </w:r>
    </w:p>
    <w:p w14:paraId="2592D535" w14:textId="49B13EF5" w:rsidR="00E01CE3" w:rsidRDefault="007A1880" w:rsidP="00E01CE3">
      <w:pPr>
        <w:tabs>
          <w:tab w:val="left" w:pos="1740"/>
        </w:tabs>
        <w:spacing w:after="0" w:line="240" w:lineRule="auto"/>
        <w:jc w:val="right"/>
        <w:rPr>
          <w:rFonts w:ascii="Book Antiqua" w:hAnsi="Book Antiqua" w:cs="Book Antiqua"/>
          <w:sz w:val="24"/>
          <w:szCs w:val="24"/>
        </w:rPr>
      </w:pPr>
      <w:r w:rsidRPr="00497441">
        <w:rPr>
          <w:rFonts w:ascii="Book Antiqua" w:hAnsi="Book Antiqua" w:cs="Book Antiqua"/>
          <w:sz w:val="24"/>
          <w:szCs w:val="24"/>
        </w:rPr>
        <w:t>Ref. SICE:</w:t>
      </w:r>
      <w:r w:rsidRPr="00DF6E33">
        <w:rPr>
          <w:rFonts w:ascii="Book Antiqua" w:hAnsi="Book Antiqua" w:cs="Book Antiqua"/>
          <w:sz w:val="24"/>
          <w:szCs w:val="24"/>
        </w:rPr>
        <w:t xml:space="preserve"> </w:t>
      </w:r>
      <w:r w:rsidR="00856FDD" w:rsidRPr="000E23D4">
        <w:rPr>
          <w:rFonts w:ascii="Book Antiqua" w:hAnsi="Book Antiqua"/>
          <w:sz w:val="24"/>
          <w:szCs w:val="24"/>
          <w:lang w:eastAsia="es-CR"/>
        </w:rPr>
        <w:t>Ref</w:t>
      </w:r>
      <w:r w:rsidR="00856FDD" w:rsidRPr="000E23D4">
        <w:rPr>
          <w:rFonts w:ascii="Book Antiqua" w:hAnsi="Book Antiqua"/>
          <w:b/>
          <w:bCs/>
          <w:sz w:val="24"/>
          <w:szCs w:val="24"/>
          <w:lang w:eastAsia="es-CR"/>
        </w:rPr>
        <w:t xml:space="preserve">. </w:t>
      </w:r>
      <w:r w:rsidR="002B6BE5">
        <w:rPr>
          <w:rFonts w:ascii="Book Antiqua" w:hAnsi="Book Antiqua"/>
          <w:b/>
          <w:bCs/>
          <w:sz w:val="24"/>
          <w:szCs w:val="24"/>
          <w:lang w:eastAsia="es-CR"/>
        </w:rPr>
        <w:t>106</w:t>
      </w:r>
      <w:r w:rsidR="00856FDD" w:rsidRPr="000E23D4">
        <w:rPr>
          <w:rFonts w:ascii="Book Antiqua" w:hAnsi="Book Antiqua"/>
          <w:b/>
          <w:bCs/>
          <w:sz w:val="24"/>
          <w:szCs w:val="24"/>
          <w:lang w:eastAsia="es-CR"/>
        </w:rPr>
        <w:t>-202</w:t>
      </w:r>
      <w:r w:rsidR="00AF1D7C">
        <w:rPr>
          <w:rFonts w:ascii="Book Antiqua" w:hAnsi="Book Antiqua"/>
          <w:b/>
          <w:bCs/>
          <w:sz w:val="24"/>
          <w:szCs w:val="24"/>
          <w:lang w:eastAsia="es-CR"/>
        </w:rPr>
        <w:t>3</w:t>
      </w:r>
    </w:p>
    <w:p w14:paraId="1AD4E3A7" w14:textId="77777777" w:rsidR="00CF1091" w:rsidRPr="003E0D53" w:rsidRDefault="00CF1091" w:rsidP="009E73B0">
      <w:pPr>
        <w:spacing w:before="120" w:after="120" w:line="276" w:lineRule="auto"/>
        <w:rPr>
          <w:rFonts w:ascii="Book Antiqua" w:hAnsi="Book Antiqua" w:cs="Book Antiqua"/>
          <w:sz w:val="24"/>
          <w:szCs w:val="24"/>
        </w:rPr>
      </w:pPr>
    </w:p>
    <w:p w14:paraId="1AD4E3A8" w14:textId="1A80330C" w:rsidR="00CF1091" w:rsidRPr="003E0D53" w:rsidRDefault="006A10DE" w:rsidP="009E73B0">
      <w:pPr>
        <w:spacing w:before="120" w:after="120" w:line="276" w:lineRule="auto"/>
        <w:rPr>
          <w:rFonts w:ascii="Book Antiqua" w:hAnsi="Book Antiqua" w:cs="Book Antiqua"/>
          <w:sz w:val="24"/>
          <w:szCs w:val="24"/>
        </w:rPr>
      </w:pPr>
      <w:r>
        <w:rPr>
          <w:rFonts w:ascii="Book Antiqua" w:hAnsi="Book Antiqua" w:cs="Book Antiqua"/>
          <w:sz w:val="24"/>
          <w:szCs w:val="24"/>
        </w:rPr>
        <w:t>1</w:t>
      </w:r>
      <w:r w:rsidR="000712B7">
        <w:rPr>
          <w:rFonts w:ascii="Book Antiqua" w:hAnsi="Book Antiqua" w:cs="Book Antiqua"/>
          <w:sz w:val="24"/>
          <w:szCs w:val="24"/>
        </w:rPr>
        <w:t>8</w:t>
      </w:r>
      <w:r w:rsidR="006D5885">
        <w:rPr>
          <w:rFonts w:ascii="Book Antiqua" w:hAnsi="Book Antiqua" w:cs="Book Antiqua"/>
          <w:sz w:val="24"/>
          <w:szCs w:val="24"/>
        </w:rPr>
        <w:t xml:space="preserve"> </w:t>
      </w:r>
      <w:r w:rsidR="00EF3861">
        <w:rPr>
          <w:rFonts w:ascii="Book Antiqua" w:hAnsi="Book Antiqua" w:cs="Book Antiqua"/>
          <w:sz w:val="24"/>
          <w:szCs w:val="24"/>
        </w:rPr>
        <w:t xml:space="preserve">de </w:t>
      </w:r>
      <w:r>
        <w:rPr>
          <w:rFonts w:ascii="Book Antiqua" w:hAnsi="Book Antiqua" w:cs="Book Antiqua"/>
          <w:sz w:val="24"/>
          <w:szCs w:val="24"/>
        </w:rPr>
        <w:t xml:space="preserve">Abril </w:t>
      </w:r>
      <w:r w:rsidR="00EF3861">
        <w:rPr>
          <w:rFonts w:ascii="Book Antiqua" w:hAnsi="Book Antiqua" w:cs="Book Antiqua"/>
          <w:sz w:val="24"/>
          <w:szCs w:val="24"/>
        </w:rPr>
        <w:t>de 2023</w:t>
      </w:r>
    </w:p>
    <w:p w14:paraId="1AD4E3A9" w14:textId="77777777" w:rsidR="00CF1091" w:rsidRPr="003E0D53" w:rsidRDefault="00CF1091" w:rsidP="00CF71DD">
      <w:pPr>
        <w:spacing w:after="0" w:line="240" w:lineRule="auto"/>
        <w:rPr>
          <w:rFonts w:ascii="Book Antiqua" w:hAnsi="Book Antiqua" w:cs="Book Antiqua"/>
          <w:sz w:val="24"/>
          <w:szCs w:val="24"/>
        </w:rPr>
      </w:pPr>
    </w:p>
    <w:p w14:paraId="49628FBB" w14:textId="77777777" w:rsidR="00CF71DD" w:rsidRDefault="00CF71DD" w:rsidP="00CF71DD">
      <w:pPr>
        <w:spacing w:after="0" w:line="240" w:lineRule="auto"/>
        <w:rPr>
          <w:rFonts w:ascii="Book Antiqua" w:hAnsi="Book Antiqua" w:cs="Arial"/>
          <w:sz w:val="24"/>
          <w:szCs w:val="24"/>
        </w:rPr>
      </w:pPr>
    </w:p>
    <w:p w14:paraId="5AA83E3F" w14:textId="518C2C8F" w:rsidR="00F15E29" w:rsidRDefault="00D972BC" w:rsidP="00CF71DD">
      <w:pPr>
        <w:spacing w:after="0" w:line="240" w:lineRule="auto"/>
        <w:rPr>
          <w:rFonts w:ascii="Book Antiqua" w:hAnsi="Book Antiqua" w:cs="Arial"/>
          <w:sz w:val="24"/>
          <w:szCs w:val="24"/>
        </w:rPr>
      </w:pPr>
      <w:r>
        <w:rPr>
          <w:rFonts w:ascii="Book Antiqua" w:hAnsi="Book Antiqua" w:cs="Arial"/>
          <w:sz w:val="24"/>
          <w:szCs w:val="24"/>
        </w:rPr>
        <w:t xml:space="preserve">Señores </w:t>
      </w:r>
    </w:p>
    <w:p w14:paraId="09965819" w14:textId="77DF4EEB" w:rsidR="00D972BC" w:rsidRDefault="00D972BC" w:rsidP="00CF71DD">
      <w:pPr>
        <w:spacing w:after="0" w:line="240" w:lineRule="auto"/>
        <w:rPr>
          <w:rFonts w:ascii="Book Antiqua" w:hAnsi="Book Antiqua" w:cs="Arial"/>
          <w:sz w:val="24"/>
          <w:szCs w:val="24"/>
        </w:rPr>
      </w:pPr>
      <w:r>
        <w:rPr>
          <w:rFonts w:ascii="Book Antiqua" w:hAnsi="Book Antiqua" w:cs="Arial"/>
          <w:sz w:val="24"/>
          <w:szCs w:val="24"/>
        </w:rPr>
        <w:t>Integrantes</w:t>
      </w:r>
    </w:p>
    <w:p w14:paraId="4CE39152" w14:textId="2D8E8059" w:rsidR="00D972BC" w:rsidRPr="003E0D53" w:rsidRDefault="00D972BC" w:rsidP="00CF71DD">
      <w:pPr>
        <w:spacing w:after="0" w:line="240" w:lineRule="auto"/>
        <w:rPr>
          <w:rFonts w:ascii="Book Antiqua" w:hAnsi="Book Antiqua" w:cs="Arial"/>
          <w:snapToGrid w:val="0"/>
          <w:sz w:val="24"/>
          <w:szCs w:val="24"/>
        </w:rPr>
      </w:pPr>
      <w:r>
        <w:rPr>
          <w:rFonts w:ascii="Book Antiqua" w:hAnsi="Book Antiqua" w:cs="Arial"/>
          <w:sz w:val="24"/>
          <w:szCs w:val="24"/>
        </w:rPr>
        <w:t>Consejo Superior</w:t>
      </w:r>
    </w:p>
    <w:p w14:paraId="1AD4E3AD" w14:textId="77777777" w:rsidR="00CF1091" w:rsidRPr="003E0D53" w:rsidRDefault="00CF1091" w:rsidP="00CF71DD">
      <w:pPr>
        <w:spacing w:after="0" w:line="240" w:lineRule="auto"/>
        <w:rPr>
          <w:rFonts w:ascii="Book Antiqua" w:hAnsi="Book Antiqua" w:cs="Arial"/>
          <w:snapToGrid w:val="0"/>
          <w:sz w:val="24"/>
          <w:szCs w:val="24"/>
        </w:rPr>
      </w:pPr>
    </w:p>
    <w:p w14:paraId="1AD4E3AE" w14:textId="30DA0C3C" w:rsidR="00CF1091" w:rsidRPr="003E0D53" w:rsidRDefault="00CF1091" w:rsidP="009E73B0">
      <w:pPr>
        <w:spacing w:before="120" w:after="120" w:line="276" w:lineRule="auto"/>
        <w:rPr>
          <w:rFonts w:ascii="Book Antiqua" w:hAnsi="Book Antiqua" w:cs="Arial"/>
          <w:snapToGrid w:val="0"/>
          <w:sz w:val="24"/>
          <w:szCs w:val="24"/>
        </w:rPr>
      </w:pPr>
      <w:r w:rsidRPr="003E0D53">
        <w:rPr>
          <w:rFonts w:ascii="Book Antiqua" w:hAnsi="Book Antiqua" w:cs="Arial"/>
          <w:snapToGrid w:val="0"/>
          <w:sz w:val="24"/>
          <w:szCs w:val="24"/>
        </w:rPr>
        <w:t>Estimad</w:t>
      </w:r>
      <w:r w:rsidR="00D972BC">
        <w:rPr>
          <w:rFonts w:ascii="Book Antiqua" w:hAnsi="Book Antiqua" w:cs="Arial"/>
          <w:snapToGrid w:val="0"/>
          <w:sz w:val="24"/>
          <w:szCs w:val="24"/>
        </w:rPr>
        <w:t>os</w:t>
      </w:r>
      <w:r w:rsidR="00F15E29">
        <w:rPr>
          <w:rFonts w:ascii="Book Antiqua" w:hAnsi="Book Antiqua" w:cs="Arial"/>
          <w:snapToGrid w:val="0"/>
          <w:sz w:val="24"/>
          <w:szCs w:val="24"/>
        </w:rPr>
        <w:t xml:space="preserve"> </w:t>
      </w:r>
      <w:r w:rsidRPr="003E0D53">
        <w:rPr>
          <w:rFonts w:ascii="Book Antiqua" w:hAnsi="Book Antiqua" w:cs="Arial"/>
          <w:snapToGrid w:val="0"/>
          <w:sz w:val="24"/>
          <w:szCs w:val="24"/>
        </w:rPr>
        <w:t>señor</w:t>
      </w:r>
      <w:r w:rsidR="00D972BC">
        <w:rPr>
          <w:rFonts w:ascii="Book Antiqua" w:hAnsi="Book Antiqua" w:cs="Arial"/>
          <w:snapToGrid w:val="0"/>
          <w:sz w:val="24"/>
          <w:szCs w:val="24"/>
        </w:rPr>
        <w:t>es</w:t>
      </w:r>
      <w:r w:rsidRPr="003E0D53">
        <w:rPr>
          <w:rFonts w:ascii="Book Antiqua" w:hAnsi="Book Antiqua" w:cs="Arial"/>
          <w:snapToGrid w:val="0"/>
          <w:sz w:val="24"/>
          <w:szCs w:val="24"/>
        </w:rPr>
        <w:t>:</w:t>
      </w:r>
    </w:p>
    <w:p w14:paraId="2B1DD1DF" w14:textId="77777777" w:rsidR="008F1514" w:rsidRPr="003E0D53" w:rsidRDefault="008F1514" w:rsidP="009E73B0">
      <w:pPr>
        <w:spacing w:before="120" w:after="120" w:line="276" w:lineRule="auto"/>
        <w:ind w:right="49"/>
        <w:jc w:val="both"/>
        <w:rPr>
          <w:rFonts w:ascii="Book Antiqua" w:hAnsi="Book Antiqua"/>
          <w:sz w:val="24"/>
          <w:szCs w:val="24"/>
        </w:rPr>
      </w:pPr>
    </w:p>
    <w:p w14:paraId="1B5D3A8B" w14:textId="38142879" w:rsidR="00E863D3" w:rsidRDefault="00E863D3" w:rsidP="00E863D3">
      <w:pPr>
        <w:shd w:val="clear" w:color="auto" w:fill="FFFFFF"/>
        <w:spacing w:line="276" w:lineRule="auto"/>
        <w:jc w:val="both"/>
        <w:rPr>
          <w:rFonts w:ascii="Book Antiqua" w:hAnsi="Book Antiqua" w:cs="Book Antiqua"/>
          <w:color w:val="FF0000"/>
          <w:sz w:val="24"/>
          <w:szCs w:val="24"/>
          <w:u w:val="single"/>
        </w:rPr>
      </w:pPr>
      <w:r w:rsidRPr="00856FDD">
        <w:rPr>
          <w:rFonts w:ascii="Book Antiqua" w:hAnsi="Book Antiqua" w:cs="Book Antiqua"/>
          <w:sz w:val="24"/>
          <w:szCs w:val="24"/>
        </w:rPr>
        <w:t>Le</w:t>
      </w:r>
      <w:r w:rsidR="00D972BC">
        <w:rPr>
          <w:rFonts w:ascii="Book Antiqua" w:hAnsi="Book Antiqua" w:cs="Book Antiqua"/>
          <w:sz w:val="24"/>
          <w:szCs w:val="24"/>
        </w:rPr>
        <w:t>s</w:t>
      </w:r>
      <w:r w:rsidRPr="00856FDD">
        <w:rPr>
          <w:rFonts w:ascii="Book Antiqua" w:hAnsi="Book Antiqua" w:cs="Book Antiqua"/>
          <w:sz w:val="24"/>
          <w:szCs w:val="24"/>
        </w:rPr>
        <w:t xml:space="preserve"> remito el informe suscrito por l</w:t>
      </w:r>
      <w:r w:rsidR="00BF4045">
        <w:rPr>
          <w:rFonts w:ascii="Book Antiqua" w:hAnsi="Book Antiqua" w:cs="Book Antiqua"/>
          <w:sz w:val="24"/>
          <w:szCs w:val="24"/>
        </w:rPr>
        <w:t>a</w:t>
      </w:r>
      <w:r w:rsidRPr="00856FDD">
        <w:rPr>
          <w:rFonts w:ascii="Book Antiqua" w:hAnsi="Book Antiqua" w:cs="Book Antiqua"/>
          <w:sz w:val="24"/>
          <w:szCs w:val="24"/>
        </w:rPr>
        <w:t xml:space="preserve"> Ing</w:t>
      </w:r>
      <w:r w:rsidR="00BF4045">
        <w:rPr>
          <w:rFonts w:ascii="Book Antiqua" w:hAnsi="Book Antiqua" w:cs="Book Antiqua"/>
          <w:sz w:val="24"/>
          <w:szCs w:val="24"/>
        </w:rPr>
        <w:t>a</w:t>
      </w:r>
      <w:r w:rsidRPr="00856FDD">
        <w:rPr>
          <w:rFonts w:ascii="Book Antiqua" w:hAnsi="Book Antiqua" w:cs="Book Antiqua"/>
          <w:sz w:val="24"/>
          <w:szCs w:val="24"/>
        </w:rPr>
        <w:t>.</w:t>
      </w:r>
      <w:r w:rsidR="00BF4045">
        <w:rPr>
          <w:rFonts w:ascii="Book Antiqua" w:hAnsi="Book Antiqua" w:cs="Book Antiqua"/>
          <w:sz w:val="24"/>
          <w:szCs w:val="24"/>
        </w:rPr>
        <w:t xml:space="preserve"> Yesenia Salazar Guzmán</w:t>
      </w:r>
      <w:r w:rsidRPr="00856FDD">
        <w:rPr>
          <w:rFonts w:ascii="Book Antiqua" w:hAnsi="Book Antiqua" w:cs="Book Antiqua"/>
          <w:sz w:val="24"/>
          <w:szCs w:val="24"/>
        </w:rPr>
        <w:t xml:space="preserve">, Jefe </w:t>
      </w:r>
      <w:r w:rsidR="00380ACA" w:rsidRPr="00856FDD">
        <w:rPr>
          <w:rFonts w:ascii="Book Antiqua" w:hAnsi="Book Antiqua" w:cs="Book Antiqua"/>
          <w:sz w:val="24"/>
          <w:szCs w:val="24"/>
        </w:rPr>
        <w:t>a.í</w:t>
      </w:r>
      <w:r w:rsidRPr="00856FDD">
        <w:rPr>
          <w:rFonts w:ascii="Book Antiqua" w:hAnsi="Book Antiqua" w:cs="Book Antiqua"/>
          <w:sz w:val="24"/>
          <w:szCs w:val="24"/>
        </w:rPr>
        <w:t xml:space="preserve"> del Subproceso de Modernización Institucional</w:t>
      </w:r>
      <w:r w:rsidR="00BF4045">
        <w:rPr>
          <w:rFonts w:ascii="Book Antiqua" w:hAnsi="Book Antiqua" w:cs="Book Antiqua"/>
          <w:sz w:val="24"/>
          <w:szCs w:val="24"/>
        </w:rPr>
        <w:t>-</w:t>
      </w:r>
      <w:r w:rsidR="00EB3C62">
        <w:rPr>
          <w:rFonts w:ascii="Book Antiqua" w:hAnsi="Book Antiqua" w:cs="Book Antiqua"/>
          <w:sz w:val="24"/>
          <w:szCs w:val="24"/>
        </w:rPr>
        <w:t>N</w:t>
      </w:r>
      <w:r w:rsidR="00BF4045">
        <w:rPr>
          <w:rFonts w:ascii="Book Antiqua" w:hAnsi="Book Antiqua" w:cs="Book Antiqua"/>
          <w:sz w:val="24"/>
          <w:szCs w:val="24"/>
        </w:rPr>
        <w:t xml:space="preserve">o </w:t>
      </w:r>
      <w:r w:rsidR="00EB3C62">
        <w:rPr>
          <w:rFonts w:ascii="Book Antiqua" w:hAnsi="Book Antiqua" w:cs="Book Antiqua"/>
          <w:sz w:val="24"/>
          <w:szCs w:val="24"/>
        </w:rPr>
        <w:t>P</w:t>
      </w:r>
      <w:r w:rsidR="00BF4045">
        <w:rPr>
          <w:rFonts w:ascii="Book Antiqua" w:hAnsi="Book Antiqua" w:cs="Book Antiqua"/>
          <w:sz w:val="24"/>
          <w:szCs w:val="24"/>
        </w:rPr>
        <w:t>enal</w:t>
      </w:r>
      <w:r w:rsidRPr="00856FDD">
        <w:rPr>
          <w:rFonts w:ascii="Book Antiqua" w:hAnsi="Book Antiqua" w:cs="Book Antiqua"/>
          <w:sz w:val="24"/>
          <w:szCs w:val="24"/>
        </w:rPr>
        <w:t xml:space="preserve">, relacionado </w:t>
      </w:r>
      <w:r>
        <w:rPr>
          <w:rFonts w:ascii="Book Antiqua" w:hAnsi="Book Antiqua" w:cs="Book Antiqua"/>
          <w:sz w:val="24"/>
          <w:szCs w:val="24"/>
        </w:rPr>
        <w:t xml:space="preserve">con el </w:t>
      </w:r>
      <w:r w:rsidR="009F68DB">
        <w:rPr>
          <w:rFonts w:ascii="Book Antiqua" w:hAnsi="Book Antiqua" w:cs="Book Antiqua"/>
          <w:sz w:val="24"/>
          <w:szCs w:val="24"/>
        </w:rPr>
        <w:t>i</w:t>
      </w:r>
      <w:r w:rsidRPr="00AF3D2D">
        <w:rPr>
          <w:rFonts w:ascii="Book Antiqua" w:hAnsi="Book Antiqua" w:cs="Book Antiqua"/>
          <w:sz w:val="24"/>
          <w:szCs w:val="24"/>
        </w:rPr>
        <w:t>mpacto organizacional y presupuestario en el Poder Judicial a partir de la promulgación del Código Procesal de Familia para el 202</w:t>
      </w:r>
      <w:r w:rsidR="00BF4045">
        <w:rPr>
          <w:rFonts w:ascii="Book Antiqua" w:hAnsi="Book Antiqua" w:cs="Book Antiqua"/>
          <w:sz w:val="24"/>
          <w:szCs w:val="24"/>
        </w:rPr>
        <w:t>4</w:t>
      </w:r>
      <w:r>
        <w:rPr>
          <w:rFonts w:ascii="Book Antiqua" w:hAnsi="Book Antiqua" w:cs="Book Antiqua"/>
          <w:sz w:val="24"/>
          <w:szCs w:val="24"/>
        </w:rPr>
        <w:t>.</w:t>
      </w:r>
    </w:p>
    <w:p w14:paraId="69FA418D" w14:textId="77777777" w:rsidR="003765D6" w:rsidRPr="00732A4F" w:rsidRDefault="003765D6" w:rsidP="003765D6">
      <w:pPr>
        <w:spacing w:line="276" w:lineRule="auto"/>
        <w:jc w:val="both"/>
        <w:rPr>
          <w:rFonts w:ascii="Book Antiqua" w:hAnsi="Book Antiqua" w:cs="Book Antiqua"/>
          <w:sz w:val="24"/>
          <w:szCs w:val="24"/>
        </w:rPr>
      </w:pPr>
      <w:r>
        <w:rPr>
          <w:rFonts w:ascii="Book Antiqua" w:hAnsi="Book Antiqua" w:cs="Book Antiqua"/>
          <w:sz w:val="24"/>
          <w:szCs w:val="24"/>
        </w:rPr>
        <w:t xml:space="preserve">Este informe además </w:t>
      </w:r>
      <w:r w:rsidRPr="00732A4F">
        <w:rPr>
          <w:rFonts w:ascii="Book Antiqua" w:hAnsi="Book Antiqua" w:cs="Book Antiqua"/>
          <w:sz w:val="24"/>
          <w:szCs w:val="24"/>
        </w:rPr>
        <w:t>brinda respuesta a</w:t>
      </w:r>
      <w:r>
        <w:rPr>
          <w:rFonts w:ascii="Book Antiqua" w:hAnsi="Book Antiqua" w:cs="Book Antiqua"/>
          <w:sz w:val="24"/>
          <w:szCs w:val="24"/>
        </w:rPr>
        <w:t xml:space="preserve"> los oficios y referencias que se citan</w:t>
      </w:r>
      <w:r w:rsidRPr="00732A4F">
        <w:rPr>
          <w:rFonts w:ascii="Book Antiqua" w:hAnsi="Book Antiqua" w:cs="Book Antiqua"/>
          <w:sz w:val="24"/>
          <w:szCs w:val="24"/>
        </w:rPr>
        <w:t xml:space="preserve"> en el siguiente recuadro:</w:t>
      </w:r>
    </w:p>
    <w:p w14:paraId="4E88FC7A" w14:textId="77777777" w:rsidR="003765D6" w:rsidRDefault="003765D6">
      <w:pPr>
        <w:rPr>
          <w:rFonts w:ascii="Book Antiqua" w:hAnsi="Book Antiqua"/>
        </w:rPr>
      </w:pPr>
    </w:p>
    <w:tbl>
      <w:tblPr>
        <w:tblW w:w="10768" w:type="dxa"/>
        <w:jc w:val="center"/>
        <w:tblLayout w:type="fixed"/>
        <w:tblCellMar>
          <w:left w:w="0" w:type="dxa"/>
          <w:right w:w="0" w:type="dxa"/>
        </w:tblCellMar>
        <w:tblLook w:val="04A0" w:firstRow="1" w:lastRow="0" w:firstColumn="1" w:lastColumn="0" w:noHBand="0" w:noVBand="1"/>
      </w:tblPr>
      <w:tblGrid>
        <w:gridCol w:w="1129"/>
        <w:gridCol w:w="1134"/>
        <w:gridCol w:w="1843"/>
        <w:gridCol w:w="4394"/>
        <w:gridCol w:w="2268"/>
      </w:tblGrid>
      <w:tr w:rsidR="003765D6" w:rsidRPr="00EB63C8" w14:paraId="3CFBD79F" w14:textId="77777777" w:rsidTr="00B70069">
        <w:trPr>
          <w:trHeight w:val="641"/>
          <w:jc w:val="center"/>
        </w:trPr>
        <w:tc>
          <w:tcPr>
            <w:tcW w:w="1129"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784AB9FF" w14:textId="77777777" w:rsidR="003765D6" w:rsidRPr="001D0C10" w:rsidRDefault="003765D6" w:rsidP="005D2D79">
            <w:pPr>
              <w:spacing w:line="240" w:lineRule="auto"/>
              <w:jc w:val="center"/>
              <w:rPr>
                <w:rFonts w:ascii="Book Antiqua" w:hAnsi="Book Antiqua"/>
                <w:b/>
                <w:i/>
                <w:iCs/>
                <w:sz w:val="20"/>
                <w:szCs w:val="20"/>
                <w:lang w:eastAsia="es-CR"/>
              </w:rPr>
            </w:pPr>
            <w:r w:rsidRPr="001D0C10">
              <w:rPr>
                <w:rFonts w:ascii="Book Antiqua" w:hAnsi="Book Antiqua"/>
                <w:b/>
                <w:bCs/>
                <w:i/>
                <w:iCs/>
                <w:sz w:val="20"/>
                <w:szCs w:val="20"/>
              </w:rPr>
              <w:t>Oficio</w:t>
            </w:r>
          </w:p>
        </w:tc>
        <w:tc>
          <w:tcPr>
            <w:tcW w:w="1134"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65CE5822" w14:textId="77777777" w:rsidR="003765D6" w:rsidRPr="001D0C10" w:rsidRDefault="003765D6" w:rsidP="005D2D79">
            <w:pPr>
              <w:spacing w:line="240" w:lineRule="auto"/>
              <w:jc w:val="center"/>
              <w:rPr>
                <w:rFonts w:ascii="Book Antiqua" w:hAnsi="Book Antiqua"/>
                <w:b/>
                <w:bCs/>
                <w:i/>
                <w:iCs/>
                <w:sz w:val="20"/>
                <w:szCs w:val="20"/>
              </w:rPr>
            </w:pPr>
            <w:r w:rsidRPr="001D0C10">
              <w:rPr>
                <w:rFonts w:ascii="Book Antiqua" w:hAnsi="Book Antiqua"/>
                <w:b/>
                <w:bCs/>
                <w:i/>
                <w:iCs/>
                <w:sz w:val="20"/>
                <w:szCs w:val="20"/>
              </w:rPr>
              <w:t>Fecha del</w:t>
            </w:r>
          </w:p>
          <w:p w14:paraId="3817EACA" w14:textId="77777777" w:rsidR="003765D6" w:rsidRPr="001D0C10" w:rsidRDefault="003765D6" w:rsidP="005D2D79">
            <w:pPr>
              <w:spacing w:line="240" w:lineRule="auto"/>
              <w:jc w:val="center"/>
              <w:rPr>
                <w:rFonts w:ascii="Book Antiqua" w:hAnsi="Book Antiqua"/>
                <w:b/>
                <w:i/>
                <w:iCs/>
                <w:sz w:val="20"/>
                <w:szCs w:val="20"/>
              </w:rPr>
            </w:pPr>
            <w:r w:rsidRPr="001D0C10">
              <w:rPr>
                <w:rFonts w:ascii="Book Antiqua" w:hAnsi="Book Antiqua"/>
                <w:b/>
                <w:bCs/>
                <w:i/>
                <w:iCs/>
                <w:sz w:val="20"/>
                <w:szCs w:val="20"/>
              </w:rPr>
              <w:t>Oficio</w:t>
            </w:r>
          </w:p>
        </w:tc>
        <w:tc>
          <w:tcPr>
            <w:tcW w:w="1843" w:type="dxa"/>
            <w:tcBorders>
              <w:top w:val="single" w:sz="4" w:space="0" w:color="auto"/>
              <w:left w:val="single" w:sz="4" w:space="0" w:color="auto"/>
              <w:bottom w:val="single" w:sz="4" w:space="0" w:color="auto"/>
              <w:right w:val="single" w:sz="4" w:space="0" w:color="auto"/>
            </w:tcBorders>
            <w:shd w:val="clear" w:color="auto" w:fill="B4C6E7"/>
            <w:vAlign w:val="center"/>
          </w:tcPr>
          <w:p w14:paraId="08972A71" w14:textId="77777777" w:rsidR="003765D6" w:rsidRPr="001D0C10" w:rsidRDefault="003765D6" w:rsidP="005D2D79">
            <w:pPr>
              <w:spacing w:line="240" w:lineRule="auto"/>
              <w:jc w:val="center"/>
              <w:rPr>
                <w:rFonts w:ascii="Book Antiqua" w:hAnsi="Book Antiqua"/>
                <w:b/>
                <w:bCs/>
                <w:i/>
                <w:iCs/>
                <w:sz w:val="20"/>
                <w:szCs w:val="20"/>
              </w:rPr>
            </w:pPr>
            <w:r w:rsidRPr="001D0C10">
              <w:rPr>
                <w:rFonts w:ascii="Book Antiqua" w:hAnsi="Book Antiqua"/>
                <w:b/>
                <w:bCs/>
                <w:i/>
                <w:iCs/>
                <w:sz w:val="20"/>
                <w:szCs w:val="20"/>
              </w:rPr>
              <w:t>Remitente</w:t>
            </w:r>
          </w:p>
        </w:tc>
        <w:tc>
          <w:tcPr>
            <w:tcW w:w="4394" w:type="dxa"/>
            <w:tcBorders>
              <w:top w:val="single" w:sz="4" w:space="0" w:color="auto"/>
              <w:left w:val="single" w:sz="4" w:space="0" w:color="auto"/>
              <w:bottom w:val="single" w:sz="4" w:space="0" w:color="auto"/>
              <w:right w:val="single" w:sz="4" w:space="0" w:color="auto"/>
            </w:tcBorders>
            <w:shd w:val="clear" w:color="auto" w:fill="B4C6E7"/>
            <w:vAlign w:val="center"/>
          </w:tcPr>
          <w:p w14:paraId="2A43E979" w14:textId="77777777" w:rsidR="003765D6" w:rsidRPr="001D0C10" w:rsidRDefault="003765D6" w:rsidP="005D2D79">
            <w:pPr>
              <w:spacing w:line="240" w:lineRule="auto"/>
              <w:jc w:val="center"/>
              <w:rPr>
                <w:rFonts w:ascii="Book Antiqua" w:hAnsi="Book Antiqua"/>
                <w:b/>
                <w:bCs/>
                <w:i/>
                <w:iCs/>
                <w:sz w:val="20"/>
                <w:szCs w:val="20"/>
              </w:rPr>
            </w:pPr>
            <w:r w:rsidRPr="001D0C10">
              <w:rPr>
                <w:rFonts w:ascii="Book Antiqua" w:hAnsi="Book Antiqua"/>
                <w:b/>
                <w:bCs/>
                <w:i/>
                <w:iCs/>
                <w:sz w:val="20"/>
                <w:szCs w:val="20"/>
              </w:rPr>
              <w:t>Tema</w:t>
            </w:r>
          </w:p>
        </w:tc>
        <w:tc>
          <w:tcPr>
            <w:tcW w:w="226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0A60982F" w14:textId="77777777" w:rsidR="003765D6" w:rsidRPr="001D0C10" w:rsidRDefault="003765D6" w:rsidP="005D2D79">
            <w:pPr>
              <w:spacing w:line="240" w:lineRule="auto"/>
              <w:jc w:val="center"/>
              <w:rPr>
                <w:rFonts w:ascii="Book Antiqua" w:hAnsi="Book Antiqua"/>
                <w:b/>
                <w:bCs/>
                <w:i/>
                <w:iCs/>
                <w:sz w:val="20"/>
                <w:szCs w:val="20"/>
              </w:rPr>
            </w:pPr>
            <w:r w:rsidRPr="001D0C10">
              <w:rPr>
                <w:rFonts w:ascii="Book Antiqua" w:hAnsi="Book Antiqua"/>
                <w:b/>
                <w:bCs/>
                <w:i/>
                <w:iCs/>
                <w:sz w:val="20"/>
                <w:szCs w:val="20"/>
              </w:rPr>
              <w:t>Referencia Interna</w:t>
            </w:r>
          </w:p>
          <w:p w14:paraId="36BAF2A8" w14:textId="77777777" w:rsidR="003765D6" w:rsidRPr="001D0C10" w:rsidRDefault="003765D6" w:rsidP="005D2D79">
            <w:pPr>
              <w:spacing w:line="240" w:lineRule="auto"/>
              <w:jc w:val="center"/>
              <w:rPr>
                <w:rFonts w:ascii="Book Antiqua" w:hAnsi="Book Antiqua"/>
                <w:b/>
                <w:i/>
                <w:iCs/>
                <w:sz w:val="20"/>
                <w:szCs w:val="20"/>
              </w:rPr>
            </w:pPr>
            <w:r w:rsidRPr="001D0C10">
              <w:rPr>
                <w:rFonts w:ascii="Book Antiqua" w:hAnsi="Book Antiqua"/>
                <w:b/>
                <w:i/>
                <w:iCs/>
                <w:sz w:val="20"/>
                <w:szCs w:val="20"/>
              </w:rPr>
              <w:t>Dir. Planificación</w:t>
            </w:r>
          </w:p>
        </w:tc>
      </w:tr>
      <w:tr w:rsidR="003765D6" w:rsidRPr="00EB63C8" w14:paraId="25B289B7" w14:textId="77777777" w:rsidTr="00B70069">
        <w:trPr>
          <w:trHeight w:val="641"/>
          <w:jc w:val="center"/>
        </w:trPr>
        <w:tc>
          <w:tcPr>
            <w:tcW w:w="112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48BB845" w14:textId="215F9E4B" w:rsidR="003765D6" w:rsidRPr="001D0C10" w:rsidRDefault="00B70069" w:rsidP="005D2D79">
            <w:pPr>
              <w:spacing w:line="240" w:lineRule="auto"/>
              <w:jc w:val="center"/>
              <w:rPr>
                <w:rFonts w:ascii="Book Antiqua" w:hAnsi="Book Antiqua"/>
                <w:sz w:val="20"/>
                <w:szCs w:val="20"/>
              </w:rPr>
            </w:pPr>
            <w:r>
              <w:rPr>
                <w:rFonts w:ascii="Book Antiqua" w:hAnsi="Book Antiqua"/>
                <w:sz w:val="20"/>
                <w:szCs w:val="20"/>
              </w:rPr>
              <w:t>694</w:t>
            </w:r>
            <w:r w:rsidR="003765D6" w:rsidRPr="001D0C10">
              <w:rPr>
                <w:rFonts w:ascii="Book Antiqua" w:hAnsi="Book Antiqua"/>
                <w:sz w:val="20"/>
                <w:szCs w:val="20"/>
              </w:rPr>
              <w:t>-202</w:t>
            </w:r>
            <w:r>
              <w:rPr>
                <w:rFonts w:ascii="Book Antiqua" w:hAnsi="Book Antiqua"/>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F28E9D0" w14:textId="483F69EC" w:rsidR="003765D6" w:rsidRPr="001D0C10" w:rsidRDefault="00B70069" w:rsidP="005D2D79">
            <w:pPr>
              <w:spacing w:line="240" w:lineRule="auto"/>
              <w:jc w:val="center"/>
              <w:rPr>
                <w:rFonts w:ascii="Book Antiqua" w:hAnsi="Book Antiqua"/>
                <w:sz w:val="20"/>
                <w:szCs w:val="20"/>
              </w:rPr>
            </w:pPr>
            <w:r>
              <w:rPr>
                <w:rFonts w:ascii="Book Antiqua" w:hAnsi="Book Antiqua"/>
                <w:sz w:val="20"/>
                <w:szCs w:val="20"/>
              </w:rPr>
              <w:t>2</w:t>
            </w:r>
            <w:r w:rsidR="003765D6" w:rsidRPr="001D0C10">
              <w:rPr>
                <w:rFonts w:ascii="Book Antiqua" w:hAnsi="Book Antiqua"/>
                <w:sz w:val="20"/>
                <w:szCs w:val="20"/>
              </w:rPr>
              <w:t>7-1-202</w:t>
            </w:r>
            <w:r>
              <w:rPr>
                <w:rFonts w:ascii="Book Antiqua" w:hAnsi="Book Antiqua"/>
                <w:sz w:val="2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F9E939F" w14:textId="5954C3E2" w:rsidR="003765D6" w:rsidRPr="001D0C10" w:rsidRDefault="00B70069" w:rsidP="005D2D79">
            <w:pPr>
              <w:spacing w:line="240" w:lineRule="auto"/>
              <w:jc w:val="both"/>
              <w:rPr>
                <w:rFonts w:ascii="Book Antiqua" w:hAnsi="Book Antiqua"/>
                <w:sz w:val="20"/>
                <w:szCs w:val="20"/>
              </w:rPr>
            </w:pPr>
            <w:r>
              <w:rPr>
                <w:rFonts w:ascii="Book Antiqua" w:hAnsi="Book Antiqua"/>
                <w:sz w:val="20"/>
                <w:szCs w:val="20"/>
              </w:rPr>
              <w:t>Secretaría General de la Corte</w:t>
            </w:r>
            <w:r w:rsidR="003765D6" w:rsidRPr="001D0C10">
              <w:rPr>
                <w:rFonts w:ascii="Book Antiqua" w:hAnsi="Book Antiqua"/>
                <w:sz w:val="20"/>
                <w:szCs w:val="20"/>
              </w:rPr>
              <w:t xml:space="preserve"> </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14:paraId="01922A69" w14:textId="563FEE0B" w:rsidR="003765D6" w:rsidRPr="001D0C10" w:rsidRDefault="003765D6" w:rsidP="005D2D79">
            <w:pPr>
              <w:spacing w:line="240" w:lineRule="auto"/>
              <w:jc w:val="both"/>
              <w:rPr>
                <w:rFonts w:ascii="Book Antiqua" w:hAnsi="Book Antiqua"/>
                <w:sz w:val="20"/>
                <w:szCs w:val="20"/>
              </w:rPr>
            </w:pPr>
            <w:r w:rsidRPr="001D0C10">
              <w:rPr>
                <w:rFonts w:ascii="Book Antiqua" w:hAnsi="Book Antiqua"/>
                <w:sz w:val="20"/>
                <w:szCs w:val="20"/>
              </w:rPr>
              <w:t xml:space="preserve">Relacionado con </w:t>
            </w:r>
            <w:r w:rsidR="00B70069">
              <w:rPr>
                <w:rFonts w:ascii="Book Antiqua" w:hAnsi="Book Antiqua"/>
                <w:sz w:val="20"/>
                <w:szCs w:val="20"/>
              </w:rPr>
              <w:t xml:space="preserve">el oficio </w:t>
            </w:r>
            <w:r w:rsidR="00B70069" w:rsidRPr="00B70069">
              <w:rPr>
                <w:rFonts w:ascii="Book Antiqua" w:hAnsi="Book Antiqua"/>
                <w:sz w:val="20"/>
                <w:szCs w:val="20"/>
              </w:rPr>
              <w:t xml:space="preserve">86-CJF-2022 de fecha 18 de noviembre del 2022, suscrito por la magistrada </w:t>
            </w:r>
            <w:r w:rsidR="00B70069">
              <w:rPr>
                <w:rFonts w:ascii="Book Antiqua" w:hAnsi="Book Antiqua"/>
                <w:sz w:val="20"/>
                <w:szCs w:val="20"/>
              </w:rPr>
              <w:t xml:space="preserve">Roxana </w:t>
            </w:r>
            <w:r w:rsidR="00B70069" w:rsidRPr="00B70069">
              <w:rPr>
                <w:rFonts w:ascii="Book Antiqua" w:hAnsi="Book Antiqua"/>
                <w:sz w:val="20"/>
                <w:szCs w:val="20"/>
              </w:rPr>
              <w:t>Chacón</w:t>
            </w:r>
            <w:r w:rsidR="00B70069">
              <w:rPr>
                <w:rFonts w:ascii="Book Antiqua" w:hAnsi="Book Antiqua"/>
                <w:sz w:val="20"/>
                <w:szCs w:val="20"/>
              </w:rPr>
              <w:t xml:space="preserve"> Artavia</w:t>
            </w:r>
            <w:r w:rsidR="00B70069" w:rsidRPr="00B70069">
              <w:rPr>
                <w:rFonts w:ascii="Book Antiqua" w:hAnsi="Book Antiqua"/>
                <w:sz w:val="20"/>
                <w:szCs w:val="20"/>
              </w:rPr>
              <w:t xml:space="preserve">, </w:t>
            </w:r>
            <w:r w:rsidR="00B70069">
              <w:rPr>
                <w:rFonts w:ascii="Book Antiqua" w:hAnsi="Book Antiqua"/>
                <w:sz w:val="20"/>
                <w:szCs w:val="20"/>
              </w:rPr>
              <w:t>C</w:t>
            </w:r>
            <w:r w:rsidR="00B70069" w:rsidRPr="00B70069">
              <w:rPr>
                <w:rFonts w:ascii="Book Antiqua" w:hAnsi="Book Antiqua"/>
                <w:sz w:val="20"/>
                <w:szCs w:val="20"/>
              </w:rPr>
              <w:t xml:space="preserve">oordinadora de la Comisión de la Jurisdicción de Familia, Niñez y Adolescencia, en el que remitió el acuerdo tomado en sesión 12-2022 </w:t>
            </w:r>
            <w:r w:rsidR="00B70069">
              <w:rPr>
                <w:rFonts w:ascii="Book Antiqua" w:hAnsi="Book Antiqua"/>
                <w:sz w:val="20"/>
                <w:szCs w:val="20"/>
              </w:rPr>
              <w:t>d</w:t>
            </w:r>
            <w:r w:rsidR="00B70069" w:rsidRPr="00B70069">
              <w:rPr>
                <w:rFonts w:ascii="Book Antiqua" w:hAnsi="Book Antiqua"/>
                <w:sz w:val="20"/>
                <w:szCs w:val="20"/>
              </w:rPr>
              <w:t>el 18 de octubre de 2022, artículo VII, en el que solicita se incorpore dentro del presupuesto institucional 2024, el requerimiento económico para la entrada en vigencia del Código Procesal de Familia</w:t>
            </w:r>
            <w:r w:rsidR="00B70069">
              <w:rPr>
                <w:rFonts w:ascii="Book Antiqua" w:hAnsi="Book Antiqua"/>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F71A422" w14:textId="37F1F4D9" w:rsidR="003765D6" w:rsidRPr="001D0C10" w:rsidRDefault="00B70069" w:rsidP="005D2D79">
            <w:pPr>
              <w:spacing w:line="240" w:lineRule="auto"/>
              <w:jc w:val="center"/>
              <w:rPr>
                <w:rFonts w:ascii="Book Antiqua" w:hAnsi="Book Antiqua"/>
                <w:sz w:val="20"/>
                <w:szCs w:val="20"/>
              </w:rPr>
            </w:pPr>
            <w:r>
              <w:rPr>
                <w:rFonts w:ascii="Book Antiqua" w:hAnsi="Book Antiqua"/>
                <w:sz w:val="20"/>
                <w:szCs w:val="20"/>
              </w:rPr>
              <w:t>2</w:t>
            </w:r>
            <w:r w:rsidR="003765D6" w:rsidRPr="001D0C10">
              <w:rPr>
                <w:rFonts w:ascii="Book Antiqua" w:hAnsi="Book Antiqua"/>
                <w:sz w:val="20"/>
                <w:szCs w:val="20"/>
              </w:rPr>
              <w:t>3</w:t>
            </w:r>
            <w:r>
              <w:rPr>
                <w:rFonts w:ascii="Book Antiqua" w:hAnsi="Book Antiqua"/>
                <w:sz w:val="20"/>
                <w:szCs w:val="20"/>
              </w:rPr>
              <w:t>6</w:t>
            </w:r>
            <w:r w:rsidR="003765D6" w:rsidRPr="001D0C10">
              <w:rPr>
                <w:rFonts w:ascii="Book Antiqua" w:hAnsi="Book Antiqua"/>
                <w:sz w:val="20"/>
                <w:szCs w:val="20"/>
              </w:rPr>
              <w:t>-202</w:t>
            </w:r>
            <w:r>
              <w:rPr>
                <w:rFonts w:ascii="Book Antiqua" w:hAnsi="Book Antiqua"/>
                <w:sz w:val="20"/>
                <w:szCs w:val="20"/>
              </w:rPr>
              <w:t>3</w:t>
            </w:r>
          </w:p>
        </w:tc>
      </w:tr>
      <w:tr w:rsidR="004E0F05" w:rsidRPr="00EB63C8" w14:paraId="77973D21" w14:textId="77777777" w:rsidTr="00B70069">
        <w:trPr>
          <w:trHeight w:val="641"/>
          <w:jc w:val="center"/>
        </w:trPr>
        <w:tc>
          <w:tcPr>
            <w:tcW w:w="112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DA33244" w14:textId="6AEEA87A" w:rsidR="004E0F05" w:rsidRDefault="004E0F05" w:rsidP="005D2D79">
            <w:pPr>
              <w:spacing w:line="240" w:lineRule="auto"/>
              <w:jc w:val="center"/>
              <w:rPr>
                <w:rFonts w:ascii="Book Antiqua" w:hAnsi="Book Antiqua"/>
                <w:sz w:val="20"/>
                <w:szCs w:val="20"/>
              </w:rPr>
            </w:pPr>
            <w:r>
              <w:rPr>
                <w:rFonts w:ascii="Book Antiqua" w:hAnsi="Book Antiqua"/>
                <w:sz w:val="20"/>
                <w:szCs w:val="20"/>
              </w:rPr>
              <w:lastRenderedPageBreak/>
              <w:t>059-CACMFJ-JEF-2023</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8CC23E8" w14:textId="469B24DE" w:rsidR="004E0F05" w:rsidRDefault="004E0F05" w:rsidP="005D2D79">
            <w:pPr>
              <w:spacing w:line="240" w:lineRule="auto"/>
              <w:jc w:val="center"/>
              <w:rPr>
                <w:rFonts w:ascii="Book Antiqua" w:hAnsi="Book Antiqua"/>
                <w:sz w:val="20"/>
                <w:szCs w:val="20"/>
              </w:rPr>
            </w:pPr>
            <w:r>
              <w:rPr>
                <w:rFonts w:ascii="Book Antiqua" w:hAnsi="Book Antiqua"/>
                <w:sz w:val="20"/>
                <w:szCs w:val="20"/>
              </w:rPr>
              <w:t>21-2-2023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A8A66E0" w14:textId="1C383092" w:rsidR="004E0F05" w:rsidRDefault="004E0F05" w:rsidP="005D2D79">
            <w:pPr>
              <w:spacing w:line="240" w:lineRule="auto"/>
              <w:jc w:val="both"/>
              <w:rPr>
                <w:rFonts w:ascii="Book Antiqua" w:hAnsi="Book Antiqua"/>
                <w:sz w:val="20"/>
                <w:szCs w:val="20"/>
              </w:rPr>
            </w:pPr>
            <w:r>
              <w:rPr>
                <w:rFonts w:ascii="Book Antiqua" w:hAnsi="Book Antiqua"/>
                <w:sz w:val="20"/>
                <w:szCs w:val="20"/>
              </w:rPr>
              <w:t>Centro de Apoyo, Coordinación y Mejoramiento de la Función Jurisdiccional</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14:paraId="2A999949" w14:textId="1CD71313" w:rsidR="004E0F05" w:rsidRPr="001D0C10" w:rsidRDefault="004E0F05" w:rsidP="005D2D79">
            <w:pPr>
              <w:spacing w:line="240" w:lineRule="auto"/>
              <w:jc w:val="both"/>
              <w:rPr>
                <w:rFonts w:ascii="Book Antiqua" w:hAnsi="Book Antiqua"/>
                <w:sz w:val="20"/>
                <w:szCs w:val="20"/>
              </w:rPr>
            </w:pPr>
            <w:r>
              <w:rPr>
                <w:rFonts w:ascii="Book Antiqua" w:hAnsi="Book Antiqua"/>
                <w:sz w:val="20"/>
                <w:szCs w:val="20"/>
              </w:rPr>
              <w:t>Relacionado con las necesidades presupuestarias con</w:t>
            </w:r>
            <w:r w:rsidRPr="004E0F05">
              <w:rPr>
                <w:rFonts w:ascii="Book Antiqua" w:hAnsi="Book Antiqua"/>
                <w:sz w:val="20"/>
                <w:szCs w:val="20"/>
              </w:rPr>
              <w:t xml:space="preserve"> la entrada en vigencia de la Ley 9747 “Código Procesal de Familia”</w:t>
            </w:r>
            <w:r>
              <w:rPr>
                <w:rFonts w:ascii="Book Antiqua" w:hAnsi="Book Antiqua"/>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19A4D60" w14:textId="28D7B2A5" w:rsidR="004E0F05" w:rsidRDefault="004E0F05" w:rsidP="005D2D79">
            <w:pPr>
              <w:spacing w:line="240" w:lineRule="auto"/>
              <w:jc w:val="center"/>
              <w:rPr>
                <w:rFonts w:ascii="Book Antiqua" w:hAnsi="Book Antiqua"/>
                <w:sz w:val="20"/>
                <w:szCs w:val="20"/>
              </w:rPr>
            </w:pPr>
            <w:r>
              <w:rPr>
                <w:rFonts w:ascii="Book Antiqua" w:hAnsi="Book Antiqua"/>
                <w:sz w:val="20"/>
                <w:szCs w:val="20"/>
              </w:rPr>
              <w:t>448-2023</w:t>
            </w:r>
          </w:p>
        </w:tc>
      </w:tr>
      <w:tr w:rsidR="00931EC1" w:rsidRPr="00EB63C8" w14:paraId="5F6BB4DF" w14:textId="77777777" w:rsidTr="00B70069">
        <w:trPr>
          <w:trHeight w:val="641"/>
          <w:jc w:val="center"/>
        </w:trPr>
        <w:tc>
          <w:tcPr>
            <w:tcW w:w="112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9E8D207" w14:textId="25A3834F" w:rsidR="00931EC1" w:rsidRDefault="005D34D7" w:rsidP="005D2D79">
            <w:pPr>
              <w:spacing w:line="240" w:lineRule="auto"/>
              <w:jc w:val="center"/>
              <w:rPr>
                <w:rFonts w:ascii="Book Antiqua" w:hAnsi="Book Antiqua"/>
                <w:sz w:val="20"/>
                <w:szCs w:val="20"/>
              </w:rPr>
            </w:pPr>
            <w:r w:rsidRPr="005D34D7">
              <w:rPr>
                <w:rFonts w:ascii="Book Antiqua" w:hAnsi="Book Antiqua"/>
                <w:sz w:val="20"/>
                <w:szCs w:val="20"/>
              </w:rPr>
              <w:t>22-CJF-2023</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3CE0F1D" w14:textId="705C23FA" w:rsidR="00931EC1" w:rsidRDefault="005439A2" w:rsidP="005D2D79">
            <w:pPr>
              <w:spacing w:line="240" w:lineRule="auto"/>
              <w:jc w:val="center"/>
              <w:rPr>
                <w:rFonts w:ascii="Book Antiqua" w:hAnsi="Book Antiqua"/>
                <w:sz w:val="20"/>
                <w:szCs w:val="20"/>
              </w:rPr>
            </w:pPr>
            <w:r>
              <w:rPr>
                <w:rFonts w:ascii="Book Antiqua" w:hAnsi="Book Antiqua"/>
                <w:sz w:val="20"/>
                <w:szCs w:val="20"/>
              </w:rPr>
              <w:t>28-3-2023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326AAB1" w14:textId="2670CDC8" w:rsidR="00931EC1" w:rsidRDefault="005439A2" w:rsidP="005D2D79">
            <w:pPr>
              <w:spacing w:line="240" w:lineRule="auto"/>
              <w:jc w:val="both"/>
              <w:rPr>
                <w:rFonts w:ascii="Book Antiqua" w:hAnsi="Book Antiqua"/>
                <w:sz w:val="20"/>
                <w:szCs w:val="20"/>
              </w:rPr>
            </w:pPr>
            <w:r w:rsidRPr="005439A2">
              <w:rPr>
                <w:rFonts w:ascii="Book Antiqua" w:hAnsi="Book Antiqua"/>
                <w:sz w:val="20"/>
                <w:szCs w:val="20"/>
              </w:rPr>
              <w:t>Centro de Apoyo, Coordinación y Mejoramiento de la Función Jurisdiccional</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14:paraId="0D6F3C5E" w14:textId="747EBA52" w:rsidR="00931EC1" w:rsidRDefault="00474ABD" w:rsidP="005D2D79">
            <w:pPr>
              <w:spacing w:line="240" w:lineRule="auto"/>
              <w:jc w:val="both"/>
              <w:rPr>
                <w:rFonts w:ascii="Book Antiqua" w:hAnsi="Book Antiqua"/>
                <w:sz w:val="20"/>
                <w:szCs w:val="20"/>
              </w:rPr>
            </w:pPr>
            <w:r>
              <w:rPr>
                <w:rFonts w:ascii="Book Antiqua" w:hAnsi="Book Antiqua"/>
                <w:sz w:val="20"/>
                <w:szCs w:val="20"/>
              </w:rPr>
              <w:t>A</w:t>
            </w:r>
            <w:r w:rsidRPr="00474ABD">
              <w:rPr>
                <w:rFonts w:ascii="Book Antiqua" w:hAnsi="Book Antiqua"/>
                <w:sz w:val="20"/>
                <w:szCs w:val="20"/>
              </w:rPr>
              <w:t>ctualiza</w:t>
            </w:r>
            <w:r>
              <w:rPr>
                <w:rFonts w:ascii="Book Antiqua" w:hAnsi="Book Antiqua"/>
                <w:sz w:val="20"/>
                <w:szCs w:val="20"/>
              </w:rPr>
              <w:t>ción</w:t>
            </w:r>
            <w:r w:rsidRPr="00474ABD">
              <w:rPr>
                <w:rFonts w:ascii="Book Antiqua" w:hAnsi="Book Antiqua"/>
                <w:sz w:val="20"/>
                <w:szCs w:val="20"/>
              </w:rPr>
              <w:t xml:space="preserve"> de los recursos necesarios para la implementación del Código Procesal de Familia donde se exponen algunas consideraciones para que sean tomadas en cuenta en la formulación del presupuesto institucional 2024</w:t>
            </w:r>
            <w:r w:rsidR="00DB1ED5">
              <w:rPr>
                <w:rFonts w:ascii="Book Antiqua" w:hAnsi="Book Antiqua"/>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F6BA37B" w14:textId="4E3DC6BC" w:rsidR="00931EC1" w:rsidRDefault="008C6650" w:rsidP="005D2D79">
            <w:pPr>
              <w:spacing w:line="240" w:lineRule="auto"/>
              <w:jc w:val="center"/>
              <w:rPr>
                <w:rFonts w:ascii="Book Antiqua" w:hAnsi="Book Antiqua"/>
                <w:sz w:val="20"/>
                <w:szCs w:val="20"/>
              </w:rPr>
            </w:pPr>
            <w:r>
              <w:rPr>
                <w:rFonts w:ascii="Book Antiqua" w:hAnsi="Book Antiqua"/>
                <w:sz w:val="20"/>
                <w:szCs w:val="20"/>
              </w:rPr>
              <w:t>788-2023</w:t>
            </w:r>
          </w:p>
        </w:tc>
      </w:tr>
    </w:tbl>
    <w:p w14:paraId="2DD1D25A" w14:textId="77777777" w:rsidR="003765D6" w:rsidRDefault="003765D6">
      <w:pPr>
        <w:rPr>
          <w:rFonts w:ascii="Book Antiqua" w:hAnsi="Book Antiqua"/>
        </w:rPr>
      </w:pPr>
    </w:p>
    <w:p w14:paraId="2F7C6AB7" w14:textId="0254D692" w:rsidR="004D298F" w:rsidRPr="00D972BC" w:rsidRDefault="00D972BC">
      <w:pPr>
        <w:rPr>
          <w:rFonts w:ascii="Book Antiqua" w:hAnsi="Book Antiqua"/>
          <w:sz w:val="24"/>
          <w:szCs w:val="24"/>
        </w:rPr>
      </w:pPr>
      <w:r w:rsidRPr="00D972BC">
        <w:rPr>
          <w:rFonts w:ascii="Book Antiqua" w:hAnsi="Book Antiqua"/>
          <w:sz w:val="24"/>
          <w:szCs w:val="24"/>
        </w:rPr>
        <w:t xml:space="preserve">Atentamente, </w:t>
      </w:r>
    </w:p>
    <w:p w14:paraId="0BB8481A" w14:textId="37B2D59B" w:rsidR="00D972BC" w:rsidRPr="00D972BC" w:rsidRDefault="00D972BC">
      <w:pPr>
        <w:rPr>
          <w:rFonts w:ascii="Book Antiqua" w:hAnsi="Book Antiqua"/>
          <w:sz w:val="24"/>
          <w:szCs w:val="24"/>
        </w:rPr>
      </w:pPr>
    </w:p>
    <w:p w14:paraId="1F0A4213" w14:textId="77777777" w:rsidR="00D972BC" w:rsidRPr="00D972BC" w:rsidRDefault="00D972BC" w:rsidP="00D972BC">
      <w:pPr>
        <w:spacing w:after="0"/>
        <w:rPr>
          <w:rFonts w:ascii="Book Antiqua" w:hAnsi="Book Antiqua" w:cs="Book Antiqua"/>
          <w:snapToGrid w:val="0"/>
          <w:sz w:val="24"/>
          <w:szCs w:val="24"/>
          <w:lang w:val="pt-BR"/>
        </w:rPr>
      </w:pPr>
      <w:r w:rsidRPr="00D972BC">
        <w:rPr>
          <w:rFonts w:ascii="Book Antiqua" w:hAnsi="Book Antiqua" w:cs="Book Antiqua"/>
          <w:snapToGrid w:val="0"/>
          <w:sz w:val="24"/>
          <w:szCs w:val="24"/>
          <w:lang w:val="pt-BR"/>
        </w:rPr>
        <w:t>Nacira Valverde Bermúdez</w:t>
      </w:r>
    </w:p>
    <w:p w14:paraId="6795961C" w14:textId="0F5A3D10" w:rsidR="00D972BC" w:rsidRDefault="00D972BC" w:rsidP="00D972BC">
      <w:pPr>
        <w:spacing w:after="0"/>
        <w:rPr>
          <w:rFonts w:ascii="Book Antiqua" w:hAnsi="Book Antiqua" w:cs="Book Antiqua"/>
          <w:snapToGrid w:val="0"/>
          <w:sz w:val="24"/>
          <w:szCs w:val="24"/>
          <w:lang w:val="pt-BR"/>
        </w:rPr>
      </w:pPr>
      <w:r w:rsidRPr="00D972BC">
        <w:rPr>
          <w:rFonts w:ascii="Book Antiqua" w:hAnsi="Book Antiqua" w:cs="Book Antiqua"/>
          <w:snapToGrid w:val="0"/>
          <w:sz w:val="24"/>
          <w:szCs w:val="24"/>
          <w:lang w:val="pt-BR"/>
        </w:rPr>
        <w:t>Directora a.í. de Planificación</w:t>
      </w:r>
    </w:p>
    <w:p w14:paraId="13E5473D" w14:textId="77777777" w:rsidR="00D972BC" w:rsidRPr="00D972BC" w:rsidRDefault="00D972BC" w:rsidP="00D972BC">
      <w:pPr>
        <w:spacing w:after="0"/>
        <w:rPr>
          <w:rFonts w:ascii="Book Antiqua" w:hAnsi="Book Antiqua" w:cs="Book Antiqua"/>
          <w:snapToGrid w:val="0"/>
          <w:sz w:val="24"/>
          <w:szCs w:val="24"/>
          <w:lang w:val="pt-BR"/>
        </w:rPr>
      </w:pPr>
    </w:p>
    <w:p w14:paraId="192A42DA" w14:textId="77777777" w:rsidR="00D972BC" w:rsidRPr="00D972BC" w:rsidRDefault="00D972BC" w:rsidP="00D972BC">
      <w:pPr>
        <w:rPr>
          <w:rFonts w:ascii="Book Antiqua" w:hAnsi="Book Antiqua" w:cs="Book Antiqua"/>
          <w:snapToGrid w:val="0"/>
          <w:sz w:val="24"/>
          <w:szCs w:val="24"/>
          <w:lang w:val="pt-BR"/>
        </w:rPr>
      </w:pPr>
    </w:p>
    <w:p w14:paraId="2B928913" w14:textId="77777777" w:rsidR="00D972BC" w:rsidRPr="00D972BC" w:rsidRDefault="00D972BC" w:rsidP="00D972BC">
      <w:pPr>
        <w:rPr>
          <w:rFonts w:ascii="Book Antiqua" w:hAnsi="Book Antiqua" w:cs="Book Antiqua"/>
          <w:sz w:val="20"/>
          <w:szCs w:val="20"/>
        </w:rPr>
      </w:pPr>
      <w:r w:rsidRPr="00D972BC">
        <w:rPr>
          <w:rFonts w:ascii="Book Antiqua" w:hAnsi="Book Antiqua" w:cs="Book Antiqua"/>
          <w:sz w:val="20"/>
          <w:szCs w:val="20"/>
        </w:rPr>
        <w:t xml:space="preserve">Copias: </w:t>
      </w:r>
    </w:p>
    <w:p w14:paraId="2FA16E27" w14:textId="77777777" w:rsidR="00D972BC" w:rsidRPr="00D972BC" w:rsidRDefault="00D972BC" w:rsidP="00D972BC">
      <w:pPr>
        <w:pStyle w:val="Prrafodelista"/>
        <w:numPr>
          <w:ilvl w:val="0"/>
          <w:numId w:val="54"/>
        </w:numPr>
        <w:spacing w:before="120" w:after="240" w:line="276" w:lineRule="auto"/>
        <w:jc w:val="both"/>
        <w:rPr>
          <w:rFonts w:ascii="Book Antiqua" w:hAnsi="Book Antiqua" w:cs="Book Antiqua"/>
          <w:sz w:val="20"/>
          <w:szCs w:val="20"/>
        </w:rPr>
      </w:pPr>
      <w:r w:rsidRPr="00D972BC">
        <w:rPr>
          <w:rFonts w:ascii="Book Antiqua" w:hAnsi="Book Antiqua" w:cs="Book Antiqua"/>
          <w:sz w:val="20"/>
          <w:szCs w:val="20"/>
        </w:rPr>
        <w:t>Archivo</w:t>
      </w:r>
    </w:p>
    <w:p w14:paraId="5F0B963F" w14:textId="77777777" w:rsidR="00D972BC" w:rsidRPr="00D972BC" w:rsidRDefault="00D972BC" w:rsidP="00D972BC">
      <w:pPr>
        <w:rPr>
          <w:rFonts w:ascii="Book Antiqua" w:hAnsi="Book Antiqua" w:cs="Book Antiqua"/>
          <w:sz w:val="20"/>
          <w:szCs w:val="20"/>
          <w:lang w:val="es-ES"/>
        </w:rPr>
      </w:pPr>
      <w:r w:rsidRPr="00D972BC">
        <w:rPr>
          <w:rFonts w:ascii="Book Antiqua" w:hAnsi="Book Antiqua" w:cs="Book Antiqua"/>
          <w:sz w:val="20"/>
          <w:szCs w:val="20"/>
          <w:lang w:val="es-ES"/>
        </w:rPr>
        <w:t>hca</w:t>
      </w:r>
    </w:p>
    <w:p w14:paraId="62B962B4" w14:textId="77777777" w:rsidR="00D972BC" w:rsidRPr="00D972BC" w:rsidRDefault="00D972BC">
      <w:pPr>
        <w:rPr>
          <w:rFonts w:ascii="Book Antiqua" w:hAnsi="Book Antiqua"/>
          <w:sz w:val="24"/>
          <w:szCs w:val="24"/>
        </w:rPr>
      </w:pPr>
    </w:p>
    <w:p w14:paraId="29480235" w14:textId="77777777" w:rsidR="004D298F" w:rsidRPr="00D972BC" w:rsidRDefault="004D298F" w:rsidP="004D298F">
      <w:pPr>
        <w:tabs>
          <w:tab w:val="left" w:pos="1164"/>
        </w:tabs>
        <w:spacing w:after="0" w:line="240" w:lineRule="auto"/>
        <w:rPr>
          <w:rFonts w:ascii="Book Antiqua" w:hAnsi="Book Antiqua"/>
          <w:sz w:val="20"/>
          <w:szCs w:val="20"/>
          <w:lang w:eastAsia="es-CR"/>
        </w:rPr>
      </w:pPr>
      <w:r w:rsidRPr="00D972BC">
        <w:rPr>
          <w:rFonts w:ascii="Book Antiqua" w:hAnsi="Book Antiqua"/>
          <w:sz w:val="20"/>
          <w:szCs w:val="20"/>
          <w:lang w:eastAsia="es-CR"/>
        </w:rPr>
        <w:t xml:space="preserve">Ref. </w:t>
      </w:r>
      <w:r w:rsidRPr="00D972BC">
        <w:rPr>
          <w:rFonts w:ascii="Book Antiqua" w:hAnsi="Book Antiqua"/>
          <w:b/>
          <w:bCs/>
          <w:sz w:val="20"/>
          <w:szCs w:val="20"/>
          <w:lang w:eastAsia="es-CR"/>
        </w:rPr>
        <w:t>106-2023</w:t>
      </w:r>
      <w:r w:rsidRPr="00D972BC">
        <w:rPr>
          <w:rFonts w:ascii="Book Antiqua" w:hAnsi="Book Antiqua"/>
          <w:sz w:val="20"/>
          <w:szCs w:val="20"/>
          <w:lang w:eastAsia="es-CR"/>
        </w:rPr>
        <w:t>, 236-2023 y 448-2023</w:t>
      </w:r>
    </w:p>
    <w:p w14:paraId="46BFBCFE" w14:textId="77777777" w:rsidR="004D298F" w:rsidRPr="00D972BC" w:rsidRDefault="004D298F">
      <w:pPr>
        <w:rPr>
          <w:rFonts w:ascii="Book Antiqua" w:hAnsi="Book Antiqua"/>
          <w:sz w:val="20"/>
          <w:szCs w:val="20"/>
        </w:rPr>
      </w:pPr>
    </w:p>
    <w:p w14:paraId="0BF0FFD5" w14:textId="2F2F5AEB" w:rsidR="004D298F" w:rsidRDefault="004D298F">
      <w:pPr>
        <w:rPr>
          <w:rFonts w:ascii="Book Antiqua" w:hAnsi="Book Antiqua"/>
        </w:rPr>
        <w:sectPr w:rsidR="004D298F">
          <w:headerReference w:type="default" r:id="rId8"/>
          <w:footerReference w:type="default" r:id="rId9"/>
          <w:pgSz w:w="12240" w:h="15840"/>
          <w:pgMar w:top="1417" w:right="1701" w:bottom="1417" w:left="1701" w:header="708" w:footer="708" w:gutter="0"/>
          <w:cols w:space="708"/>
          <w:docGrid w:linePitch="360"/>
        </w:sectPr>
      </w:pPr>
    </w:p>
    <w:p w14:paraId="587E237F" w14:textId="34D975B6" w:rsidR="00CB0EF2" w:rsidRDefault="008A1DF6">
      <w:pPr>
        <w:rPr>
          <w:rFonts w:ascii="Book Antiqua" w:hAnsi="Book Antiqua"/>
        </w:rPr>
      </w:pPr>
      <w:r>
        <w:rPr>
          <w:noProof/>
        </w:rPr>
        <w:lastRenderedPageBreak/>
        <w:drawing>
          <wp:anchor distT="0" distB="0" distL="114300" distR="114300" simplePos="0" relativeHeight="251658240" behindDoc="0" locked="0" layoutInCell="1" allowOverlap="1" wp14:anchorId="1EA13365" wp14:editId="24B04467">
            <wp:simplePos x="0" y="0"/>
            <wp:positionH relativeFrom="page">
              <wp:align>left</wp:align>
            </wp:positionH>
            <wp:positionV relativeFrom="paragraph">
              <wp:posOffset>-1494259</wp:posOffset>
            </wp:positionV>
            <wp:extent cx="7753350" cy="1746653"/>
            <wp:effectExtent l="0" t="0" r="0" b="6350"/>
            <wp:wrapNone/>
            <wp:docPr id="6" name="Picture 6"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competencia de atletismo, jaula&#10;&#10;Descripción generada automá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53350" cy="17466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D5FF4" w14:textId="060E939D" w:rsidR="00CB0EF2" w:rsidRPr="00447F5D" w:rsidRDefault="00380ACA" w:rsidP="00CB0EF2">
      <w:pPr>
        <w:rPr>
          <w:rFonts w:ascii="Book Antiqua" w:hAnsi="Book Antiqua" w:cs="Book Antiqua"/>
          <w:bCs/>
          <w:snapToGrid w:val="0"/>
          <w:sz w:val="24"/>
          <w:szCs w:val="24"/>
        </w:rPr>
      </w:pPr>
      <w:r>
        <w:rPr>
          <w:noProof/>
        </w:rPr>
        <w:drawing>
          <wp:anchor distT="0" distB="0" distL="114300" distR="114300" simplePos="0" relativeHeight="251659266" behindDoc="0" locked="0" layoutInCell="1" allowOverlap="1" wp14:anchorId="5AF59188" wp14:editId="436D1251">
            <wp:simplePos x="0" y="0"/>
            <wp:positionH relativeFrom="column">
              <wp:posOffset>-431800</wp:posOffset>
            </wp:positionH>
            <wp:positionV relativeFrom="paragraph">
              <wp:posOffset>290195</wp:posOffset>
            </wp:positionV>
            <wp:extent cx="1924050" cy="742315"/>
            <wp:effectExtent l="0" t="0" r="0" b="635"/>
            <wp:wrapThrough wrapText="bothSides">
              <wp:wrapPolygon edited="0">
                <wp:start x="0" y="0"/>
                <wp:lineTo x="0" y="21064"/>
                <wp:lineTo x="21386" y="21064"/>
                <wp:lineTo x="21386"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24050" cy="742315"/>
                    </a:xfrm>
                    <a:prstGeom prst="rect">
                      <a:avLst/>
                    </a:prstGeom>
                    <a:noFill/>
                    <a:ln>
                      <a:noFill/>
                    </a:ln>
                  </pic:spPr>
                </pic:pic>
              </a:graphicData>
            </a:graphic>
            <wp14:sizeRelV relativeFrom="margin">
              <wp14:pctHeight>0</wp14:pctHeight>
            </wp14:sizeRelV>
          </wp:anchor>
        </w:drawing>
      </w:r>
    </w:p>
    <w:p w14:paraId="61FE3EAC" w14:textId="477E15CA" w:rsidR="00CB0EF2" w:rsidRDefault="00380ACA" w:rsidP="00CB0EF2">
      <w:pPr>
        <w:autoSpaceDE w:val="0"/>
        <w:autoSpaceDN w:val="0"/>
        <w:adjustRightInd w:val="0"/>
        <w:spacing w:line="276" w:lineRule="auto"/>
        <w:rPr>
          <w:rFonts w:ascii="Arial" w:hAnsi="Arial" w:cs="Arial"/>
          <w:sz w:val="23"/>
          <w:szCs w:val="23"/>
        </w:rPr>
      </w:pPr>
      <w:r>
        <w:rPr>
          <w:noProof/>
        </w:rPr>
        <w:drawing>
          <wp:anchor distT="0" distB="0" distL="114300" distR="114300" simplePos="0" relativeHeight="251658241" behindDoc="0" locked="0" layoutInCell="1" allowOverlap="1" wp14:anchorId="293D6F74" wp14:editId="3B0CE0E1">
            <wp:simplePos x="0" y="0"/>
            <wp:positionH relativeFrom="column">
              <wp:posOffset>3429000</wp:posOffset>
            </wp:positionH>
            <wp:positionV relativeFrom="paragraph">
              <wp:posOffset>6639</wp:posOffset>
            </wp:positionV>
            <wp:extent cx="1847850" cy="809625"/>
            <wp:effectExtent l="0" t="0" r="0" b="9525"/>
            <wp:wrapNone/>
            <wp:docPr id="5" name="Picture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7281E" w14:textId="11ECE0F0" w:rsidR="00CB0EF2" w:rsidRDefault="00CB0EF2" w:rsidP="00CB0EF2">
      <w:pPr>
        <w:autoSpaceDE w:val="0"/>
        <w:autoSpaceDN w:val="0"/>
        <w:adjustRightInd w:val="0"/>
        <w:spacing w:line="276" w:lineRule="auto"/>
        <w:rPr>
          <w:rFonts w:ascii="Arial" w:hAnsi="Arial" w:cs="Arial"/>
          <w:sz w:val="23"/>
          <w:szCs w:val="23"/>
        </w:rPr>
      </w:pPr>
    </w:p>
    <w:p w14:paraId="1A8B0CB9" w14:textId="41FB6020" w:rsidR="00CB0EF2" w:rsidRPr="00BD1432" w:rsidRDefault="00CB0EF2" w:rsidP="00CB0EF2">
      <w:pPr>
        <w:autoSpaceDE w:val="0"/>
        <w:autoSpaceDN w:val="0"/>
        <w:adjustRightInd w:val="0"/>
        <w:spacing w:line="276" w:lineRule="auto"/>
        <w:rPr>
          <w:rFonts w:ascii="Book Antiqua" w:hAnsi="Book Antiqua" w:cs="Arial"/>
          <w:sz w:val="23"/>
          <w:szCs w:val="23"/>
        </w:rPr>
      </w:pPr>
    </w:p>
    <w:p w14:paraId="6373D891" w14:textId="77777777" w:rsidR="00CB0EF2" w:rsidRPr="00BD1432" w:rsidRDefault="00CB0EF2" w:rsidP="00CB0EF2">
      <w:pPr>
        <w:autoSpaceDE w:val="0"/>
        <w:autoSpaceDN w:val="0"/>
        <w:adjustRightInd w:val="0"/>
        <w:spacing w:line="276" w:lineRule="auto"/>
        <w:rPr>
          <w:rFonts w:ascii="Book Antiqua" w:hAnsi="Book Antiqua" w:cs="Arial"/>
          <w:sz w:val="23"/>
          <w:szCs w:val="23"/>
        </w:rPr>
      </w:pPr>
    </w:p>
    <w:p w14:paraId="6E4817D4" w14:textId="77777777" w:rsidR="00CB0EF2" w:rsidRDefault="00CB0EF2" w:rsidP="00CB0EF2">
      <w:pPr>
        <w:spacing w:line="276" w:lineRule="auto"/>
        <w:jc w:val="center"/>
        <w:rPr>
          <w:rFonts w:ascii="Book Antiqua" w:hAnsi="Book Antiqua"/>
          <w:sz w:val="36"/>
          <w:szCs w:val="36"/>
        </w:rPr>
      </w:pPr>
    </w:p>
    <w:p w14:paraId="5EC70218" w14:textId="77777777" w:rsidR="00CB0EF2" w:rsidRDefault="00CB0EF2" w:rsidP="00CB0EF2">
      <w:pPr>
        <w:spacing w:line="276" w:lineRule="auto"/>
        <w:jc w:val="center"/>
        <w:rPr>
          <w:rFonts w:ascii="Book Antiqua" w:hAnsi="Book Antiqua"/>
          <w:sz w:val="36"/>
          <w:szCs w:val="36"/>
        </w:rPr>
      </w:pPr>
    </w:p>
    <w:p w14:paraId="3A2EC8AB" w14:textId="73398848"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Subproceso de Modernización Institucional</w:t>
      </w:r>
      <w:r w:rsidR="00BF4045">
        <w:rPr>
          <w:rFonts w:ascii="Book Antiqua" w:hAnsi="Book Antiqua"/>
          <w:b/>
          <w:bCs/>
          <w:sz w:val="36"/>
          <w:szCs w:val="36"/>
        </w:rPr>
        <w:t>- no penal</w:t>
      </w:r>
    </w:p>
    <w:p w14:paraId="2FD51513"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 xml:space="preserve">Proceso de Ejecuciones de la Operaciones </w:t>
      </w:r>
    </w:p>
    <w:p w14:paraId="1C964249"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Dirección de Planificación</w:t>
      </w:r>
    </w:p>
    <w:p w14:paraId="4B79AFD4" w14:textId="77777777" w:rsidR="00CB0EF2" w:rsidRPr="00584D49" w:rsidRDefault="00CB0EF2" w:rsidP="00CB0EF2">
      <w:pPr>
        <w:spacing w:line="276" w:lineRule="auto"/>
        <w:rPr>
          <w:rFonts w:ascii="Book Antiqua" w:hAnsi="Book Antiqua"/>
          <w:sz w:val="32"/>
          <w:szCs w:val="32"/>
        </w:rPr>
      </w:pPr>
    </w:p>
    <w:p w14:paraId="5DC7FDCB" w14:textId="627FFA10" w:rsidR="00101A76" w:rsidRDefault="00101A76" w:rsidP="00101A76">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sidR="00BF4045">
        <w:rPr>
          <w:b/>
          <w:i/>
          <w:sz w:val="36"/>
          <w:szCs w:val="36"/>
        </w:rPr>
        <w:t>4</w:t>
      </w:r>
    </w:p>
    <w:p w14:paraId="43AE4F11" w14:textId="4D401884" w:rsidR="00CB0EF2" w:rsidRDefault="005D189D" w:rsidP="00CB0EF2">
      <w:pPr>
        <w:spacing w:line="276" w:lineRule="auto"/>
        <w:jc w:val="center"/>
        <w:rPr>
          <w:b/>
          <w:i/>
          <w:sz w:val="36"/>
          <w:szCs w:val="36"/>
        </w:rPr>
      </w:pPr>
      <w:r>
        <w:rPr>
          <w:b/>
          <w:i/>
          <w:sz w:val="36"/>
          <w:szCs w:val="36"/>
        </w:rPr>
        <w:t>Aprobado en sesión</w:t>
      </w:r>
      <w:r w:rsidR="009755DD">
        <w:rPr>
          <w:b/>
          <w:i/>
          <w:sz w:val="36"/>
          <w:szCs w:val="36"/>
        </w:rPr>
        <w:t xml:space="preserve"> </w:t>
      </w:r>
      <w:r>
        <w:rPr>
          <w:b/>
          <w:i/>
          <w:sz w:val="36"/>
          <w:szCs w:val="36"/>
        </w:rPr>
        <w:t>del Consejo Superior 3</w:t>
      </w:r>
      <w:r w:rsidR="009755DD">
        <w:rPr>
          <w:b/>
          <w:i/>
          <w:sz w:val="36"/>
          <w:szCs w:val="36"/>
        </w:rPr>
        <w:t>4</w:t>
      </w:r>
      <w:r>
        <w:rPr>
          <w:b/>
          <w:i/>
          <w:sz w:val="36"/>
          <w:szCs w:val="36"/>
        </w:rPr>
        <w:t>-202</w:t>
      </w:r>
      <w:r w:rsidR="009755DD">
        <w:rPr>
          <w:b/>
          <w:i/>
          <w:sz w:val="36"/>
          <w:szCs w:val="36"/>
        </w:rPr>
        <w:t>3</w:t>
      </w:r>
      <w:r>
        <w:rPr>
          <w:b/>
          <w:i/>
          <w:sz w:val="36"/>
          <w:szCs w:val="36"/>
        </w:rPr>
        <w:t xml:space="preserve"> celebrada el 2</w:t>
      </w:r>
      <w:r w:rsidR="009755DD">
        <w:rPr>
          <w:b/>
          <w:i/>
          <w:sz w:val="36"/>
          <w:szCs w:val="36"/>
        </w:rPr>
        <w:t>5</w:t>
      </w:r>
      <w:r>
        <w:rPr>
          <w:b/>
          <w:i/>
          <w:sz w:val="36"/>
          <w:szCs w:val="36"/>
        </w:rPr>
        <w:t xml:space="preserve"> de abril de 202</w:t>
      </w:r>
      <w:r w:rsidR="009755DD">
        <w:rPr>
          <w:b/>
          <w:i/>
          <w:sz w:val="36"/>
          <w:szCs w:val="36"/>
        </w:rPr>
        <w:t>3</w:t>
      </w:r>
      <w:r>
        <w:rPr>
          <w:b/>
          <w:i/>
          <w:sz w:val="36"/>
          <w:szCs w:val="36"/>
        </w:rPr>
        <w:t>, artículo X</w:t>
      </w:r>
      <w:r w:rsidR="009755DD">
        <w:rPr>
          <w:b/>
          <w:i/>
          <w:sz w:val="36"/>
          <w:szCs w:val="36"/>
        </w:rPr>
        <w:t>LVI</w:t>
      </w:r>
    </w:p>
    <w:p w14:paraId="4CAA6CEA" w14:textId="77777777" w:rsidR="005D189D" w:rsidRPr="00584D49" w:rsidRDefault="005D189D" w:rsidP="00CB0EF2">
      <w:pPr>
        <w:spacing w:line="276" w:lineRule="auto"/>
        <w:jc w:val="center"/>
        <w:rPr>
          <w:rFonts w:ascii="Book Antiqua" w:hAnsi="Book Antiqua"/>
          <w:sz w:val="32"/>
          <w:szCs w:val="32"/>
        </w:rPr>
      </w:pPr>
    </w:p>
    <w:p w14:paraId="7E181EB3" w14:textId="1573F026" w:rsidR="00CB0EF2" w:rsidRPr="00380ACA" w:rsidRDefault="00F31DCC" w:rsidP="00CB0EF2">
      <w:pPr>
        <w:spacing w:line="276" w:lineRule="auto"/>
        <w:jc w:val="center"/>
        <w:rPr>
          <w:rFonts w:ascii="Book Antiqua" w:hAnsi="Book Antiqua"/>
          <w:b/>
          <w:bCs/>
          <w:sz w:val="36"/>
          <w:szCs w:val="36"/>
        </w:rPr>
      </w:pPr>
      <w:r w:rsidRPr="00380ACA">
        <w:rPr>
          <w:rFonts w:ascii="Book Antiqua" w:hAnsi="Book Antiqua"/>
          <w:b/>
          <w:bCs/>
          <w:sz w:val="36"/>
          <w:szCs w:val="36"/>
        </w:rPr>
        <w:t xml:space="preserve">Abril </w:t>
      </w:r>
      <w:r w:rsidR="00CF71DD" w:rsidRPr="00380ACA">
        <w:rPr>
          <w:rFonts w:ascii="Book Antiqua" w:hAnsi="Book Antiqua"/>
          <w:b/>
          <w:bCs/>
          <w:sz w:val="36"/>
          <w:szCs w:val="36"/>
        </w:rPr>
        <w:t>, 202</w:t>
      </w:r>
      <w:r w:rsidRPr="00380ACA">
        <w:rPr>
          <w:rFonts w:ascii="Book Antiqua" w:hAnsi="Book Antiqua"/>
          <w:b/>
          <w:bCs/>
          <w:sz w:val="36"/>
          <w:szCs w:val="36"/>
        </w:rPr>
        <w:t>4</w:t>
      </w:r>
    </w:p>
    <w:p w14:paraId="302905DD" w14:textId="6BFE67FF" w:rsidR="00AF327B" w:rsidRDefault="00AF327B" w:rsidP="00CB0EF2">
      <w:pPr>
        <w:spacing w:line="276" w:lineRule="auto"/>
        <w:jc w:val="center"/>
        <w:rPr>
          <w:rFonts w:ascii="Book Antiqua" w:hAnsi="Book Antiqua"/>
          <w:sz w:val="32"/>
          <w:szCs w:val="32"/>
        </w:rPr>
      </w:pPr>
    </w:p>
    <w:p w14:paraId="1AD4E3B1" w14:textId="77777777" w:rsidR="007E5453" w:rsidRPr="003E0D53" w:rsidRDefault="007E5453" w:rsidP="009E73B0">
      <w:pPr>
        <w:pStyle w:val="Ttulo1"/>
        <w:spacing w:before="120" w:after="120" w:line="276" w:lineRule="auto"/>
        <w:rPr>
          <w:szCs w:val="24"/>
        </w:rPr>
      </w:pPr>
      <w:bookmarkStart w:id="1" w:name="_Toc37670444"/>
      <w:r w:rsidRPr="003E0D53">
        <w:rPr>
          <w:szCs w:val="24"/>
        </w:rPr>
        <w:t>Antecedentes</w:t>
      </w:r>
      <w:bookmarkEnd w:id="1"/>
    </w:p>
    <w:p w14:paraId="0BAA8775" w14:textId="77777777" w:rsidR="00BF4045" w:rsidRDefault="00101A76" w:rsidP="00335C6E">
      <w:pPr>
        <w:pStyle w:val="Prrafodelista"/>
        <w:numPr>
          <w:ilvl w:val="1"/>
          <w:numId w:val="2"/>
        </w:numPr>
        <w:spacing w:line="276" w:lineRule="auto"/>
        <w:jc w:val="both"/>
        <w:rPr>
          <w:rFonts w:ascii="Book Antiqua" w:hAnsi="Book Antiqua"/>
          <w:sz w:val="24"/>
          <w:szCs w:val="24"/>
        </w:rPr>
      </w:pPr>
      <w:r w:rsidRPr="00101A76">
        <w:rPr>
          <w:rFonts w:ascii="Book Antiqua" w:hAnsi="Book Antiqua"/>
          <w:sz w:val="24"/>
          <w:szCs w:val="24"/>
        </w:rPr>
        <w:t>El “</w:t>
      </w:r>
      <w:r w:rsidRPr="001D0C10">
        <w:rPr>
          <w:rFonts w:ascii="Book Antiqua" w:hAnsi="Book Antiqua"/>
          <w:i/>
          <w:iCs/>
          <w:sz w:val="24"/>
          <w:szCs w:val="24"/>
        </w:rPr>
        <w:t>Código Procesal de Familia</w:t>
      </w:r>
      <w:r w:rsidRPr="00101A76">
        <w:rPr>
          <w:rFonts w:ascii="Book Antiqua" w:hAnsi="Book Antiqua"/>
          <w:sz w:val="24"/>
          <w:szCs w:val="24"/>
        </w:rPr>
        <w:t>” fue aprobado bajo Decreto Legislativo 9747 el 12 de febrero del 2020, según alcance 19 del Diario Oficial La Gaceta 28 del 23 de octubre de 2019</w:t>
      </w:r>
      <w:r w:rsidR="00BF4045">
        <w:rPr>
          <w:rFonts w:ascii="Book Antiqua" w:hAnsi="Book Antiqua"/>
          <w:sz w:val="24"/>
          <w:szCs w:val="24"/>
        </w:rPr>
        <w:t>.</w:t>
      </w:r>
    </w:p>
    <w:p w14:paraId="74298B79" w14:textId="5666795F" w:rsidR="00101A76" w:rsidRDefault="00BF4045" w:rsidP="00BF4045">
      <w:pPr>
        <w:spacing w:line="276" w:lineRule="auto"/>
        <w:jc w:val="both"/>
        <w:rPr>
          <w:rFonts w:ascii="Book Antiqua" w:hAnsi="Book Antiqua"/>
          <w:sz w:val="24"/>
          <w:szCs w:val="24"/>
        </w:rPr>
      </w:pPr>
      <w:r>
        <w:rPr>
          <w:rFonts w:ascii="Book Antiqua" w:hAnsi="Book Antiqua"/>
          <w:sz w:val="24"/>
          <w:szCs w:val="24"/>
        </w:rPr>
        <w:t>L</w:t>
      </w:r>
      <w:r w:rsidR="00101A76" w:rsidRPr="00BF4045">
        <w:rPr>
          <w:rFonts w:ascii="Book Antiqua" w:hAnsi="Book Antiqua"/>
          <w:sz w:val="24"/>
          <w:szCs w:val="24"/>
        </w:rPr>
        <w:t>a Asamblea Legislativa</w:t>
      </w:r>
      <w:r>
        <w:rPr>
          <w:rFonts w:ascii="Book Antiqua" w:hAnsi="Book Antiqua"/>
          <w:sz w:val="24"/>
          <w:szCs w:val="24"/>
        </w:rPr>
        <w:t xml:space="preserve"> por</w:t>
      </w:r>
      <w:r w:rsidR="00101A76" w:rsidRPr="00BF4045">
        <w:rPr>
          <w:rFonts w:ascii="Book Antiqua" w:hAnsi="Book Antiqua"/>
          <w:sz w:val="24"/>
          <w:szCs w:val="24"/>
        </w:rPr>
        <w:t xml:space="preserve"> Ley 9904, publicada el 29 de setiembre del 2020 en el Diario Oficial La Gaceta 239, alcance 257, </w:t>
      </w:r>
      <w:r>
        <w:rPr>
          <w:rFonts w:ascii="Book Antiqua" w:hAnsi="Book Antiqua"/>
          <w:sz w:val="24"/>
          <w:szCs w:val="24"/>
        </w:rPr>
        <w:t>en el</w:t>
      </w:r>
      <w:r w:rsidR="00101A76" w:rsidRPr="00BF4045">
        <w:rPr>
          <w:rFonts w:ascii="Book Antiqua" w:hAnsi="Book Antiqua"/>
          <w:sz w:val="24"/>
          <w:szCs w:val="24"/>
        </w:rPr>
        <w:t xml:space="preserve"> único artículo </w:t>
      </w:r>
      <w:r>
        <w:rPr>
          <w:rFonts w:ascii="Book Antiqua" w:hAnsi="Book Antiqua"/>
          <w:sz w:val="24"/>
          <w:szCs w:val="24"/>
        </w:rPr>
        <w:t>modificó</w:t>
      </w:r>
      <w:r w:rsidR="00101A76" w:rsidRPr="00BF4045">
        <w:rPr>
          <w:rFonts w:ascii="Book Antiqua" w:hAnsi="Book Antiqua"/>
          <w:sz w:val="24"/>
          <w:szCs w:val="24"/>
        </w:rPr>
        <w:t xml:space="preserve"> el Transitorio III de la Ley 9747 Código Procesal de Familia</w:t>
      </w:r>
      <w:r>
        <w:rPr>
          <w:rFonts w:ascii="Book Antiqua" w:hAnsi="Book Antiqua"/>
          <w:sz w:val="24"/>
          <w:szCs w:val="24"/>
        </w:rPr>
        <w:t xml:space="preserve"> y aprobó una vacancia inicial de 2 años. </w:t>
      </w:r>
    </w:p>
    <w:p w14:paraId="6081C790" w14:textId="4A6486BD" w:rsidR="00BF4045" w:rsidRDefault="00BF4045" w:rsidP="001D0C10">
      <w:pPr>
        <w:spacing w:line="276" w:lineRule="auto"/>
        <w:jc w:val="both"/>
        <w:rPr>
          <w:rFonts w:ascii="Book Antiqua" w:hAnsi="Book Antiqua"/>
          <w:sz w:val="24"/>
          <w:szCs w:val="24"/>
        </w:rPr>
      </w:pPr>
      <w:r>
        <w:rPr>
          <w:rFonts w:ascii="Book Antiqua" w:hAnsi="Book Antiqua"/>
          <w:sz w:val="24"/>
          <w:szCs w:val="24"/>
        </w:rPr>
        <w:t xml:space="preserve">Posteriormente por Ley </w:t>
      </w:r>
      <w:r w:rsidRPr="00DA4F33">
        <w:rPr>
          <w:rFonts w:ascii="Book Antiqua" w:hAnsi="Book Antiqua" w:cs="Times New Roman"/>
          <w:bCs/>
        </w:rPr>
        <w:t xml:space="preserve">10315 </w:t>
      </w:r>
      <w:r w:rsidRPr="00A80ECE">
        <w:rPr>
          <w:rFonts w:ascii="Book Antiqua" w:hAnsi="Book Antiqua" w:cs="Times New Roman"/>
          <w:bCs/>
          <w:i/>
          <w:iCs/>
        </w:rPr>
        <w:t xml:space="preserve">“Reforma de la entrada en vigencia de la Ley 9747, Código Procesal </w:t>
      </w:r>
      <w:r w:rsidRPr="00DA4F33">
        <w:rPr>
          <w:rFonts w:ascii="Book Antiqua" w:hAnsi="Book Antiqua" w:cs="Times New Roman"/>
          <w:bCs/>
          <w:i/>
          <w:iCs/>
        </w:rPr>
        <w:t>d</w:t>
      </w:r>
      <w:r w:rsidRPr="00A80ECE">
        <w:rPr>
          <w:rFonts w:ascii="Book Antiqua" w:hAnsi="Book Antiqua" w:cs="Times New Roman"/>
          <w:bCs/>
          <w:i/>
          <w:iCs/>
        </w:rPr>
        <w:t>e Familia, de 23 de octubre de 2019”</w:t>
      </w:r>
      <w:r w:rsidRPr="00DA4F33">
        <w:rPr>
          <w:rFonts w:ascii="Book Antiqua" w:hAnsi="Book Antiqua" w:cs="Times New Roman"/>
          <w:bCs/>
        </w:rPr>
        <w:t>, artículo único,</w:t>
      </w:r>
      <w:r>
        <w:rPr>
          <w:rFonts w:ascii="Book Antiqua" w:hAnsi="Book Antiqua" w:cs="Times New Roman"/>
          <w:bCs/>
        </w:rPr>
        <w:t xml:space="preserve"> publicada</w:t>
      </w:r>
      <w:r w:rsidRPr="00DA4F33">
        <w:rPr>
          <w:rFonts w:ascii="Book Antiqua" w:hAnsi="Book Antiqua" w:cs="Times New Roman"/>
          <w:bCs/>
        </w:rPr>
        <w:t xml:space="preserve"> </w:t>
      </w:r>
      <w:r w:rsidRPr="00A80ECE">
        <w:rPr>
          <w:rFonts w:ascii="Book Antiqua" w:hAnsi="Book Antiqua" w:cs="Times New Roman"/>
          <w:bCs/>
        </w:rPr>
        <w:t xml:space="preserve">en el Alcance 207 </w:t>
      </w:r>
      <w:r>
        <w:rPr>
          <w:rFonts w:ascii="Book Antiqua" w:hAnsi="Book Antiqua" w:cs="Times New Roman"/>
          <w:bCs/>
        </w:rPr>
        <w:t>de</w:t>
      </w:r>
      <w:r w:rsidRPr="00A80ECE">
        <w:rPr>
          <w:rFonts w:ascii="Book Antiqua" w:hAnsi="Book Antiqua" w:cs="Times New Roman"/>
          <w:bCs/>
        </w:rPr>
        <w:t xml:space="preserve"> La Gaceta</w:t>
      </w:r>
      <w:r w:rsidRPr="00DA4F33">
        <w:rPr>
          <w:rFonts w:ascii="Book Antiqua" w:hAnsi="Book Antiqua" w:cs="Times New Roman"/>
          <w:bCs/>
        </w:rPr>
        <w:t xml:space="preserve"> número </w:t>
      </w:r>
      <w:r w:rsidRPr="00A80ECE">
        <w:rPr>
          <w:rFonts w:ascii="Book Antiqua" w:hAnsi="Book Antiqua" w:cs="Times New Roman"/>
          <w:bCs/>
        </w:rPr>
        <w:t>185 del 29 de setiembre del 2022</w:t>
      </w:r>
      <w:r w:rsidRPr="00DA4F33">
        <w:rPr>
          <w:rFonts w:ascii="Book Antiqua" w:hAnsi="Book Antiqua" w:cs="Times New Roman"/>
          <w:bCs/>
        </w:rPr>
        <w:t xml:space="preserve"> de la que reformó la entrada en vigencia del Código Procesal de Familia (2 años</w:t>
      </w:r>
      <w:r>
        <w:rPr>
          <w:rFonts w:ascii="Book Antiqua" w:hAnsi="Book Antiqua" w:cs="Times New Roman"/>
          <w:bCs/>
        </w:rPr>
        <w:t xml:space="preserve"> adicionales</w:t>
      </w:r>
      <w:r w:rsidRPr="00DA4F33">
        <w:rPr>
          <w:rFonts w:ascii="Book Antiqua" w:hAnsi="Book Antiqua" w:cs="Times New Roman"/>
          <w:bCs/>
        </w:rPr>
        <w:t>),</w:t>
      </w:r>
      <w:r>
        <w:rPr>
          <w:rFonts w:ascii="Book Antiqua" w:hAnsi="Book Antiqua" w:cs="Times New Roman"/>
          <w:bCs/>
        </w:rPr>
        <w:t xml:space="preserve"> por lo</w:t>
      </w:r>
      <w:r w:rsidRPr="00DA4F33">
        <w:rPr>
          <w:rFonts w:ascii="Book Antiqua" w:hAnsi="Book Antiqua" w:cs="Times New Roman"/>
          <w:bCs/>
        </w:rPr>
        <w:t xml:space="preserve"> que ahora entrará en vigencia a partir del </w:t>
      </w:r>
      <w:r w:rsidRPr="00BF4045">
        <w:rPr>
          <w:rFonts w:ascii="Book Antiqua" w:hAnsi="Book Antiqua" w:cs="Times New Roman"/>
          <w:b/>
        </w:rPr>
        <w:t>1 de octubre de 2024</w:t>
      </w:r>
      <w:r w:rsidRPr="00DA4F33">
        <w:rPr>
          <w:rFonts w:ascii="Book Antiqua" w:hAnsi="Book Antiqua" w:cs="Times New Roman"/>
          <w:bCs/>
        </w:rPr>
        <w:t>.</w:t>
      </w:r>
    </w:p>
    <w:p w14:paraId="198C11D2" w14:textId="0E4DFA23" w:rsidR="00A65874" w:rsidRPr="001D0C10" w:rsidRDefault="00101A76" w:rsidP="001D0C10">
      <w:pPr>
        <w:spacing w:line="276" w:lineRule="auto"/>
        <w:jc w:val="both"/>
        <w:rPr>
          <w:rFonts w:ascii="Book Antiqua" w:hAnsi="Book Antiqua"/>
          <w:sz w:val="24"/>
          <w:szCs w:val="24"/>
        </w:rPr>
      </w:pPr>
      <w:r w:rsidRPr="001D0C10">
        <w:rPr>
          <w:rFonts w:ascii="Book Antiqua" w:hAnsi="Book Antiqua"/>
          <w:sz w:val="24"/>
          <w:szCs w:val="24"/>
        </w:rPr>
        <w:t>A continuación, se mencionan los informes o documentos utilizados como antecedentes en la confección del presente informe:</w:t>
      </w:r>
    </w:p>
    <w:p w14:paraId="2841BF8B" w14:textId="585CA7B9" w:rsidR="00A56B86" w:rsidRPr="00A56B86" w:rsidRDefault="00A56B86" w:rsidP="001D0C10">
      <w:pPr>
        <w:spacing w:line="276" w:lineRule="auto"/>
        <w:jc w:val="both"/>
        <w:rPr>
          <w:shd w:val="clear" w:color="auto" w:fill="FFFFFF"/>
          <w:lang w:eastAsia="ar-SA"/>
        </w:rPr>
      </w:pPr>
      <w:r w:rsidRPr="00A56B86">
        <w:rPr>
          <w:rFonts w:ascii="Book Antiqua" w:hAnsi="Book Antiqua"/>
          <w:sz w:val="24"/>
          <w:szCs w:val="24"/>
        </w:rPr>
        <w:t>Oficio 1554-PLA-2014, que remite el informe 87-PI-2014, aprobado por el Consejo Superior en la sesión 56-14 del 1 de diciembre de 2014, artículo XXXII, en el que se acordó:</w:t>
      </w:r>
    </w:p>
    <w:p w14:paraId="7D5DF48F" w14:textId="759B4204" w:rsidR="00A56B86" w:rsidRPr="00A56B86" w:rsidRDefault="00017967" w:rsidP="001D0C10">
      <w:pPr>
        <w:pStyle w:val="Prrafodelista"/>
        <w:widowControl w:val="0"/>
        <w:tabs>
          <w:tab w:val="left" w:pos="993"/>
        </w:tabs>
        <w:autoSpaceDE w:val="0"/>
        <w:autoSpaceDN w:val="0"/>
        <w:adjustRightInd w:val="0"/>
        <w:spacing w:after="0" w:line="276" w:lineRule="auto"/>
        <w:ind w:left="567" w:right="616"/>
        <w:jc w:val="both"/>
        <w:rPr>
          <w:rFonts w:ascii="Book Antiqua" w:eastAsia="Times New Roman" w:hAnsi="Book Antiqua" w:cs="Times New Roman"/>
          <w:i/>
          <w:iCs/>
          <w:sz w:val="24"/>
          <w:szCs w:val="24"/>
          <w:shd w:val="clear" w:color="auto" w:fill="FFFFFF"/>
          <w:lang w:eastAsia="ar-SA"/>
        </w:rPr>
      </w:pPr>
      <w:r>
        <w:rPr>
          <w:rFonts w:ascii="Book Antiqua" w:eastAsia="Times New Roman" w:hAnsi="Book Antiqua" w:cs="Times New Roman"/>
          <w:i/>
          <w:iCs/>
          <w:sz w:val="24"/>
          <w:szCs w:val="24"/>
          <w:shd w:val="clear" w:color="auto" w:fill="FFFFFF"/>
          <w:lang w:eastAsia="ar-SA"/>
        </w:rPr>
        <w:t>“1)</w:t>
      </w:r>
      <w:r w:rsidR="00A56B86" w:rsidRPr="00A56B86">
        <w:rPr>
          <w:rFonts w:ascii="Book Antiqua" w:eastAsia="Times New Roman" w:hAnsi="Book Antiqua" w:cs="Times New Roman"/>
          <w:i/>
          <w:iCs/>
          <w:sz w:val="24"/>
          <w:szCs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p>
    <w:p w14:paraId="187C1394" w14:textId="77777777" w:rsidR="00A56B86" w:rsidRPr="00982DA9" w:rsidRDefault="00A56B86" w:rsidP="00A56B86">
      <w:pPr>
        <w:spacing w:line="276" w:lineRule="auto"/>
        <w:rPr>
          <w:sz w:val="24"/>
          <w:szCs w:val="24"/>
        </w:rPr>
      </w:pPr>
    </w:p>
    <w:p w14:paraId="41385DE8" w14:textId="0D91EE49" w:rsidR="00D433A5" w:rsidRDefault="00A56B86" w:rsidP="00380ACA">
      <w:pPr>
        <w:spacing w:line="276" w:lineRule="auto"/>
        <w:jc w:val="both"/>
        <w:rPr>
          <w:rFonts w:ascii="Book Antiqua" w:hAnsi="Book Antiqua"/>
          <w:sz w:val="24"/>
          <w:szCs w:val="24"/>
        </w:rPr>
      </w:pPr>
      <w:r w:rsidRPr="00A56B86">
        <w:rPr>
          <w:rFonts w:ascii="Book Antiqua" w:hAnsi="Book Antiqua"/>
          <w:sz w:val="24"/>
          <w:szCs w:val="24"/>
        </w:rPr>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36279D79" w14:textId="2363A832" w:rsidR="00A56B86" w:rsidRDefault="00A56B86" w:rsidP="00A56B86">
      <w:pPr>
        <w:spacing w:after="0" w:line="276" w:lineRule="auto"/>
        <w:jc w:val="both"/>
        <w:rPr>
          <w:rFonts w:ascii="Book Antiqua" w:hAnsi="Book Antiqua"/>
          <w:sz w:val="24"/>
          <w:szCs w:val="24"/>
        </w:rPr>
      </w:pPr>
      <w:r w:rsidRPr="00A56B86">
        <w:rPr>
          <w:rFonts w:ascii="Book Antiqua" w:hAnsi="Book Antiqua"/>
          <w:sz w:val="24"/>
          <w:szCs w:val="24"/>
        </w:rPr>
        <w:t>Oficio 1981-PLA-2016, que remite el informe 190-PI-2016-B, relacionado con el “</w:t>
      </w:r>
      <w:r w:rsidRPr="001D0C10">
        <w:rPr>
          <w:rFonts w:ascii="Book Antiqua" w:hAnsi="Book Antiqua"/>
          <w:i/>
          <w:iCs/>
          <w:sz w:val="24"/>
          <w:szCs w:val="24"/>
        </w:rPr>
        <w:t>Modelo de sostenibilidad de los proyectos de rediseños de oficinas, así como el resultado del seguimiento que se realizó al Circuito Judicial de San Carlos”</w:t>
      </w:r>
      <w:r w:rsidRPr="00A56B86">
        <w:rPr>
          <w:rFonts w:ascii="Book Antiqua" w:hAnsi="Book Antiqua"/>
          <w:sz w:val="24"/>
          <w:szCs w:val="24"/>
        </w:rPr>
        <w:t xml:space="preserve"> aprobado por el Consejo Superior en la sesión 107-16 del 29 de noviembre de 2016, artículo XLIX, en el que se acordó: </w:t>
      </w:r>
    </w:p>
    <w:p w14:paraId="42BCB3A9" w14:textId="77777777" w:rsidR="0038397A" w:rsidRPr="00A56B86" w:rsidRDefault="0038397A" w:rsidP="00A56B86">
      <w:pPr>
        <w:spacing w:after="0" w:line="276" w:lineRule="auto"/>
        <w:jc w:val="both"/>
        <w:rPr>
          <w:rFonts w:ascii="Book Antiqua" w:hAnsi="Book Antiqua"/>
          <w:sz w:val="24"/>
          <w:szCs w:val="24"/>
        </w:rPr>
      </w:pPr>
    </w:p>
    <w:p w14:paraId="28D0F224" w14:textId="08A270E9" w:rsidR="00A56B86" w:rsidRDefault="00A56B86" w:rsidP="00A56B86">
      <w:pPr>
        <w:pStyle w:val="Prrafodelista"/>
        <w:spacing w:line="276" w:lineRule="auto"/>
        <w:ind w:left="0"/>
        <w:jc w:val="center"/>
        <w:rPr>
          <w:rFonts w:ascii="Book Antiqua" w:eastAsia="Times New Roman" w:hAnsi="Book Antiqua" w:cs="Times New Roman"/>
          <w:b/>
          <w:bCs/>
          <w:i/>
          <w:iCs/>
          <w:sz w:val="24"/>
          <w:szCs w:val="24"/>
          <w:shd w:val="clear" w:color="auto" w:fill="FFFFFF"/>
          <w:lang w:eastAsia="ar-SA"/>
        </w:rPr>
      </w:pPr>
      <w:r w:rsidRPr="00A56B86">
        <w:rPr>
          <w:rFonts w:ascii="Book Antiqua" w:eastAsia="Times New Roman" w:hAnsi="Book Antiqua" w:cs="Times New Roman"/>
          <w:b/>
          <w:bCs/>
          <w:i/>
          <w:iCs/>
          <w:sz w:val="24"/>
          <w:szCs w:val="24"/>
          <w:shd w:val="clear" w:color="auto" w:fill="FFFFFF"/>
          <w:lang w:eastAsia="ar-SA"/>
        </w:rPr>
        <w:t>“Tener por rendido el informe”.</w:t>
      </w:r>
    </w:p>
    <w:p w14:paraId="0A095723" w14:textId="77777777" w:rsidR="00D433A5" w:rsidRDefault="00D433A5" w:rsidP="00A56B86">
      <w:pPr>
        <w:widowControl w:val="0"/>
        <w:suppressAutoHyphens/>
        <w:autoSpaceDE w:val="0"/>
        <w:autoSpaceDN w:val="0"/>
        <w:adjustRightInd w:val="0"/>
        <w:spacing w:line="276" w:lineRule="auto"/>
        <w:jc w:val="both"/>
        <w:rPr>
          <w:rFonts w:ascii="Book Antiqua" w:hAnsi="Book Antiqua"/>
          <w:sz w:val="24"/>
          <w:szCs w:val="24"/>
        </w:rPr>
      </w:pPr>
    </w:p>
    <w:p w14:paraId="002D544D" w14:textId="55A3DAAF" w:rsidR="00A56B86" w:rsidRPr="00A56B86" w:rsidRDefault="00A56B86" w:rsidP="00A56B86">
      <w:pPr>
        <w:widowControl w:val="0"/>
        <w:suppressAutoHyphens/>
        <w:autoSpaceDE w:val="0"/>
        <w:autoSpaceDN w:val="0"/>
        <w:adjustRightInd w:val="0"/>
        <w:spacing w:line="276" w:lineRule="auto"/>
        <w:jc w:val="both"/>
        <w:rPr>
          <w:rFonts w:ascii="Book Antiqua" w:hAnsi="Book Antiqua"/>
          <w:sz w:val="24"/>
          <w:szCs w:val="24"/>
        </w:rPr>
      </w:pPr>
      <w:r w:rsidRPr="00A56B86">
        <w:rPr>
          <w:rFonts w:ascii="Book Antiqua" w:hAnsi="Book Antiqua"/>
          <w:sz w:val="24"/>
          <w:szCs w:val="24"/>
        </w:rPr>
        <w:t xml:space="preserve">Oficio 34-PLA-EV-2017, relacionado con el Impacto organizacional y presupuestario para el Poder Judicial con el Código Procesal de Familia, específicamente sobre las prioridades presupuestarias para el ejercicio económico del 2018 y el impacto del CPF. Conocido por el Consejo Superior en sesión extraordinaria de presupuesto 43-17, del 5 de mayo del 2017, artículo </w:t>
      </w:r>
      <w:r w:rsidRPr="0038397A">
        <w:rPr>
          <w:rFonts w:ascii="Book Antiqua" w:hAnsi="Book Antiqua"/>
          <w:sz w:val="24"/>
          <w:szCs w:val="24"/>
        </w:rPr>
        <w:t>XX</w:t>
      </w:r>
      <w:r w:rsidRPr="00A56B86">
        <w:rPr>
          <w:rFonts w:ascii="Book Antiqua" w:hAnsi="Book Antiqua"/>
          <w:sz w:val="24"/>
          <w:szCs w:val="24"/>
        </w:rPr>
        <w:t>IV y por Corte Plena en sesión 16-2017, del 1 de junio del 2017, artículo II</w:t>
      </w:r>
      <w:r w:rsidR="00E31D45">
        <w:rPr>
          <w:rFonts w:ascii="Book Antiqua" w:hAnsi="Book Antiqua"/>
          <w:sz w:val="24"/>
          <w:szCs w:val="24"/>
        </w:rPr>
        <w:t>.</w:t>
      </w:r>
    </w:p>
    <w:p w14:paraId="512AFABF" w14:textId="77777777" w:rsidR="00A56B86" w:rsidRPr="00E31D45" w:rsidRDefault="00A56B86" w:rsidP="00A56B86">
      <w:pPr>
        <w:widowControl w:val="0"/>
        <w:suppressAutoHyphens/>
        <w:autoSpaceDE w:val="0"/>
        <w:autoSpaceDN w:val="0"/>
        <w:adjustRightInd w:val="0"/>
        <w:spacing w:line="276" w:lineRule="auto"/>
        <w:jc w:val="both"/>
        <w:rPr>
          <w:rFonts w:ascii="Book Antiqua" w:hAnsi="Book Antiqua"/>
          <w:sz w:val="24"/>
          <w:szCs w:val="24"/>
        </w:rPr>
      </w:pPr>
      <w:r w:rsidRPr="00A56B86">
        <w:rPr>
          <w:rFonts w:ascii="Book Antiqua" w:hAnsi="Book Antiqua"/>
          <w:sz w:val="24"/>
          <w:szCs w:val="24"/>
        </w:rPr>
        <w:t>En el 2018, se elaboró un estudio preliminar y actualización del informe 34-PLA-EV-2017 para presupuesto 2019 (33-PLA-EV-2018), relacionado con “el Impacto Organizacional y</w:t>
      </w:r>
      <w:r w:rsidRPr="00E31D45">
        <w:rPr>
          <w:rFonts w:ascii="Book Antiqua" w:hAnsi="Book Antiqua"/>
          <w:sz w:val="24"/>
          <w:szCs w:val="24"/>
        </w:rPr>
        <w:t xml:space="preserve"> Presupuestario en el Poder Judicial en caso de aprobarse el proyecto de Ley denominado Código Procesal de Familia”, aprobado por Consejo Superior en sesión 34-18 de 25 de abril de 2018, artículo IV y modificado en sesión 42-18 del 15 de mayo 2018, artículos VII, XII, XIII, XIV. Sin embargo, en ese momento al no considerarse como Ley aprobada, la Corte Plena dispuso no incluir recursos como parte del anteproyecto de presupuesto del Poder Judicial para el 2018.</w:t>
      </w:r>
    </w:p>
    <w:p w14:paraId="395F8641" w14:textId="55FC673C" w:rsidR="00A56B86" w:rsidRDefault="00A56B86" w:rsidP="00E31D45">
      <w:pPr>
        <w:pStyle w:val="Prrafodelista"/>
        <w:spacing w:line="276" w:lineRule="auto"/>
        <w:ind w:left="0"/>
        <w:jc w:val="both"/>
        <w:rPr>
          <w:rFonts w:ascii="Book Antiqua" w:hAnsi="Book Antiqua"/>
          <w:sz w:val="24"/>
          <w:szCs w:val="24"/>
        </w:rPr>
      </w:pPr>
      <w:r w:rsidRPr="00E31D45">
        <w:rPr>
          <w:rFonts w:ascii="Book Antiqua" w:hAnsi="Book Antiqua"/>
          <w:sz w:val="24"/>
          <w:szCs w:val="24"/>
        </w:rPr>
        <w:t>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w:t>
      </w:r>
      <w:r w:rsidR="00E31D45">
        <w:rPr>
          <w:rFonts w:ascii="Book Antiqua" w:hAnsi="Book Antiqua"/>
          <w:sz w:val="24"/>
          <w:szCs w:val="24"/>
        </w:rPr>
        <w:t>:</w:t>
      </w:r>
    </w:p>
    <w:p w14:paraId="589FDA66" w14:textId="23A4B26C" w:rsidR="00E31D45" w:rsidRDefault="00E31D45" w:rsidP="00E31D45">
      <w:pPr>
        <w:spacing w:after="0" w:line="276" w:lineRule="auto"/>
        <w:ind w:left="567" w:right="616"/>
        <w:jc w:val="both"/>
        <w:rPr>
          <w:rFonts w:ascii="Book Antiqua" w:hAnsi="Book Antiqua"/>
          <w:i/>
          <w:iCs/>
          <w:sz w:val="24"/>
          <w:szCs w:val="24"/>
        </w:rPr>
      </w:pPr>
      <w:r w:rsidRPr="001D0C10">
        <w:rPr>
          <w:rFonts w:ascii="Book Antiqua" w:hAnsi="Book Antiqua"/>
          <w:i/>
          <w:iCs/>
        </w:rPr>
        <w:t xml:space="preserve">“(…) Es importante señalar que estos datos no incorporan los requerimientos asociados a las nuevas obligaciones impuestas por la Asamblea Legislativa por aprobación de leyes, los cuales será necesario solicitar ante el </w:t>
      </w:r>
      <w:r w:rsidRPr="00E31D45">
        <w:rPr>
          <w:rFonts w:ascii="Book Antiqua" w:hAnsi="Book Antiqua"/>
          <w:i/>
          <w:iCs/>
          <w:sz w:val="24"/>
          <w:szCs w:val="24"/>
        </w:rPr>
        <w:t>Ministerio de Hacienda de forma complementaria al presupuesto ordinario.”.</w:t>
      </w:r>
    </w:p>
    <w:p w14:paraId="25DCB92F" w14:textId="77777777" w:rsidR="00E31D45" w:rsidRPr="00E31D45" w:rsidRDefault="00E31D45" w:rsidP="00E31D45">
      <w:pPr>
        <w:spacing w:line="276" w:lineRule="auto"/>
        <w:jc w:val="both"/>
        <w:rPr>
          <w:rFonts w:ascii="Book Antiqua" w:hAnsi="Book Antiqua"/>
          <w:sz w:val="24"/>
          <w:szCs w:val="24"/>
        </w:rPr>
      </w:pPr>
      <w:r w:rsidRPr="00E31D45">
        <w:rPr>
          <w:rFonts w:ascii="Book Antiqua" w:hAnsi="Book Antiqua"/>
          <w:sz w:val="24"/>
          <w:szCs w:val="24"/>
        </w:rPr>
        <w:t xml:space="preserve">En el oficio DM-0945-2019, de fecha 11 de junio del 2019, la señora Ministra de Hacienda y en alusión a lo indicado en el oficio 101-P-2019, comunica al presidente de la Corte Suprema de Justicia: </w:t>
      </w:r>
    </w:p>
    <w:p w14:paraId="173BA4B0" w14:textId="77777777" w:rsidR="00E31D45" w:rsidRPr="001D0C10" w:rsidRDefault="00E31D45" w:rsidP="00E31D45">
      <w:pPr>
        <w:spacing w:after="0" w:line="276" w:lineRule="auto"/>
        <w:ind w:left="567" w:right="616"/>
        <w:jc w:val="both"/>
        <w:rPr>
          <w:rFonts w:ascii="Book Antiqua" w:hAnsi="Book Antiqua"/>
          <w:i/>
          <w:iCs/>
        </w:rPr>
      </w:pPr>
      <w:r w:rsidRPr="001D0C10">
        <w:rPr>
          <w:rFonts w:ascii="Book Antiqua" w:hAnsi="Book Antiqua"/>
          <w:i/>
          <w:iCs/>
        </w:rPr>
        <w:t>“(…) Finalmente, en relación con las solicitudes complementarias al Anteproyecto de presupuesto de la institución a que se hace alusión en su oficio, le informo que el cumplimiento de la regla fiscal no da espacio para el financiamiento de nuevos gastos.”.</w:t>
      </w:r>
    </w:p>
    <w:p w14:paraId="76934FAB" w14:textId="77777777" w:rsidR="00E32D1D" w:rsidRDefault="00E32D1D" w:rsidP="00E31D45">
      <w:pPr>
        <w:spacing w:line="276" w:lineRule="auto"/>
        <w:jc w:val="both"/>
        <w:rPr>
          <w:rFonts w:ascii="Book Antiqua" w:hAnsi="Book Antiqua"/>
          <w:sz w:val="24"/>
          <w:szCs w:val="24"/>
        </w:rPr>
      </w:pPr>
    </w:p>
    <w:p w14:paraId="692A869B" w14:textId="250F0C94" w:rsidR="00E31D45" w:rsidRPr="00E31D45" w:rsidRDefault="00E31D45" w:rsidP="00E31D45">
      <w:pPr>
        <w:spacing w:line="276" w:lineRule="auto"/>
        <w:jc w:val="both"/>
        <w:rPr>
          <w:rFonts w:ascii="Book Antiqua" w:hAnsi="Book Antiqua"/>
          <w:sz w:val="24"/>
          <w:szCs w:val="24"/>
        </w:rPr>
      </w:pPr>
      <w:r w:rsidRPr="00E31D45">
        <w:rPr>
          <w:rFonts w:ascii="Book Antiqua" w:hAnsi="Book Antiqua"/>
          <w:sz w:val="24"/>
          <w:szCs w:val="24"/>
        </w:rPr>
        <w:t>En el oficio 118-P-2019 del 14 de junio de 2019, el presidente de la Corte solicitó a la Ministra de Hacienda valorar la posibilidad de contar con financiamiento adicional al gasto ordinario para atender esta y cinco nuevas obligaciones más encomendadas por la Asamblea Legislativa.</w:t>
      </w:r>
    </w:p>
    <w:p w14:paraId="0ABE19DA" w14:textId="516BE217" w:rsidR="00E31D45" w:rsidRDefault="00E31D45" w:rsidP="001E4D82">
      <w:pPr>
        <w:spacing w:line="276" w:lineRule="auto"/>
        <w:jc w:val="both"/>
        <w:rPr>
          <w:rFonts w:ascii="Book Antiqua" w:hAnsi="Book Antiqua"/>
          <w:sz w:val="24"/>
          <w:szCs w:val="24"/>
        </w:rPr>
      </w:pPr>
      <w:r w:rsidRPr="00E31D45">
        <w:rPr>
          <w:rFonts w:ascii="Book Antiqua" w:hAnsi="Book Antiqua"/>
          <w:sz w:val="24"/>
          <w:szCs w:val="24"/>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14:paraId="34ABB239" w14:textId="05091303" w:rsidR="00792D9B" w:rsidRDefault="001E4D82" w:rsidP="00380ACA">
      <w:pPr>
        <w:spacing w:after="0" w:line="276" w:lineRule="auto"/>
        <w:ind w:left="567" w:right="616"/>
        <w:jc w:val="both"/>
        <w:rPr>
          <w:rFonts w:ascii="Book Antiqua" w:hAnsi="Book Antiqua"/>
          <w:i/>
          <w:iCs/>
        </w:rPr>
      </w:pPr>
      <w:r w:rsidRPr="001D0C10">
        <w:rPr>
          <w:rFonts w:ascii="Book Antiqua" w:hAnsi="Book Antiqua"/>
          <w:i/>
          <w:iCs/>
        </w:rPr>
        <w:t>“(…) No fueron incorporados por el Ministerio de Hacienda al presupuesto ordinario, ni tampoco se remitieron como requerimiento adicional a la Asamblea Legislativa.”.</w:t>
      </w:r>
    </w:p>
    <w:p w14:paraId="482B1DAD" w14:textId="77777777" w:rsidR="00380ACA" w:rsidRPr="00380ACA" w:rsidRDefault="00380ACA" w:rsidP="00380ACA">
      <w:pPr>
        <w:spacing w:after="0" w:line="240" w:lineRule="auto"/>
        <w:ind w:left="567" w:right="616"/>
        <w:jc w:val="both"/>
        <w:rPr>
          <w:rFonts w:ascii="Book Antiqua" w:hAnsi="Book Antiqua"/>
          <w:i/>
          <w:iCs/>
        </w:rPr>
      </w:pPr>
    </w:p>
    <w:p w14:paraId="371C0FAF" w14:textId="00757239" w:rsidR="001E4D82" w:rsidRPr="001E4D82" w:rsidRDefault="001E4D82" w:rsidP="00380ACA">
      <w:pPr>
        <w:spacing w:line="240" w:lineRule="auto"/>
        <w:jc w:val="both"/>
        <w:rPr>
          <w:rFonts w:ascii="Book Antiqua" w:hAnsi="Book Antiqua"/>
          <w:sz w:val="24"/>
          <w:szCs w:val="24"/>
        </w:rPr>
      </w:pPr>
      <w:r w:rsidRPr="001E4D82">
        <w:rPr>
          <w:rFonts w:ascii="Book Antiqua" w:hAnsi="Book Antiqua"/>
          <w:sz w:val="24"/>
          <w:szCs w:val="24"/>
        </w:rPr>
        <w:t>El oficio mencionado anteriormente fue conocido por Corte Plena en sesión 41-2019, de fecha 30 de setiembre de 2019, artículo XV.</w:t>
      </w:r>
    </w:p>
    <w:p w14:paraId="383673CC" w14:textId="684BD48E"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De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“Ley de Presupuesto Ordinario y Extraordinario de la República para el Ejercicio Económic</w:t>
      </w:r>
      <w:r>
        <w:rPr>
          <w:rFonts w:ascii="Book Antiqua" w:hAnsi="Book Antiqua"/>
          <w:sz w:val="24"/>
          <w:szCs w:val="24"/>
        </w:rPr>
        <w:t>o</w:t>
      </w:r>
      <w:r w:rsidRPr="001E4D82">
        <w:rPr>
          <w:rFonts w:ascii="Book Antiqua" w:hAnsi="Book Antiqua"/>
          <w:sz w:val="24"/>
          <w:szCs w:val="24"/>
        </w:rPr>
        <w:t xml:space="preserve"> del 2020” en la Comisión de Asuntos Hacendarios.</w:t>
      </w:r>
    </w:p>
    <w:p w14:paraId="03B18A57" w14:textId="77777777" w:rsidR="00380ACA" w:rsidRDefault="001E4D82" w:rsidP="001E4D82">
      <w:pPr>
        <w:spacing w:line="276" w:lineRule="auto"/>
        <w:jc w:val="both"/>
        <w:rPr>
          <w:rFonts w:ascii="Book Antiqua" w:hAnsi="Book Antiqua"/>
          <w:sz w:val="24"/>
          <w:szCs w:val="24"/>
        </w:rPr>
      </w:pPr>
      <w:r w:rsidRPr="001E4D82">
        <w:rPr>
          <w:rFonts w:ascii="Book Antiqua" w:hAnsi="Book Antiqua"/>
          <w:sz w:val="24"/>
          <w:szCs w:val="24"/>
        </w:rPr>
        <w:t>Mediante el informe 1285-PLA-2019, del 16 de agosto de 2019, la Dirección de Planificación modifica las estimaciones del impacto presupuestario que tendría la implementación del proyecto de Ley del Código Procesal de Familia, que se tramita en el expediente 19.455 de la Asamblea Legislativa. Este nuevo planteamiento difiere</w:t>
      </w:r>
    </w:p>
    <w:p w14:paraId="4A926D89" w14:textId="52AAF623"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 xml:space="preserve">del presentado en su momento ante la Comisión de Asuntos Jurídicos en el 2017, propiamente en cuanto a la exclusión de 33 plazas de Defensora y Defensor Público (con un costo asociado de </w:t>
      </w:r>
      <w:r w:rsidRPr="001E4D82">
        <w:rPr>
          <w:rFonts w:ascii="Times New Roman" w:hAnsi="Times New Roman" w:cs="Times New Roman"/>
          <w:sz w:val="24"/>
          <w:szCs w:val="24"/>
        </w:rPr>
        <w:t>₡</w:t>
      </w:r>
      <w:r w:rsidRPr="001E4D82">
        <w:rPr>
          <w:rFonts w:ascii="Book Antiqua" w:hAnsi="Book Antiqua"/>
          <w:sz w:val="24"/>
          <w:szCs w:val="24"/>
        </w:rPr>
        <w:t>1.784.673.000), que se requer</w:t>
      </w:r>
      <w:r w:rsidRPr="001E4D82">
        <w:rPr>
          <w:rFonts w:ascii="Book Antiqua" w:hAnsi="Book Antiqua" w:cs="Book Antiqua"/>
          <w:sz w:val="24"/>
          <w:szCs w:val="24"/>
        </w:rPr>
        <w:t>í</w:t>
      </w:r>
      <w:r w:rsidRPr="001E4D82">
        <w:rPr>
          <w:rFonts w:ascii="Book Antiqua" w:hAnsi="Book Antiqua"/>
          <w:sz w:val="24"/>
          <w:szCs w:val="24"/>
        </w:rPr>
        <w:t>an para dar cobertura nacional a la atenci</w:t>
      </w:r>
      <w:r w:rsidRPr="001E4D82">
        <w:rPr>
          <w:rFonts w:ascii="Book Antiqua" w:hAnsi="Book Antiqua" w:cs="Book Antiqua"/>
          <w:sz w:val="24"/>
          <w:szCs w:val="24"/>
        </w:rPr>
        <w:t>ó</w:t>
      </w:r>
      <w:r w:rsidRPr="001E4D82">
        <w:rPr>
          <w:rFonts w:ascii="Book Antiqua" w:hAnsi="Book Antiqua"/>
          <w:sz w:val="24"/>
          <w:szCs w:val="24"/>
        </w:rPr>
        <w:t>n en pensi</w:t>
      </w:r>
      <w:r w:rsidRPr="001E4D82">
        <w:rPr>
          <w:rFonts w:ascii="Book Antiqua" w:hAnsi="Book Antiqua" w:cs="Book Antiqua"/>
          <w:sz w:val="24"/>
          <w:szCs w:val="24"/>
        </w:rPr>
        <w:t>ó</w:t>
      </w:r>
      <w:r w:rsidRPr="001E4D82">
        <w:rPr>
          <w:rFonts w:ascii="Book Antiqua" w:hAnsi="Book Antiqua"/>
          <w:sz w:val="24"/>
          <w:szCs w:val="24"/>
        </w:rPr>
        <w:t xml:space="preserve">n alimentaria a la parte beneficiaria que no cuente con recursos económicos para contratar patrocinio letrado conforme lo establece el artículo 56 de este proyecto de Ley, ya que según lo indicado en correo recibido, se indica textualmente:  </w:t>
      </w:r>
    </w:p>
    <w:p w14:paraId="59F0CAC0" w14:textId="77777777" w:rsidR="00455FE9" w:rsidRPr="001D0C10" w:rsidRDefault="00455FE9" w:rsidP="00455FE9">
      <w:pPr>
        <w:widowControl w:val="0"/>
        <w:tabs>
          <w:tab w:val="left" w:pos="8222"/>
        </w:tabs>
        <w:suppressAutoHyphens/>
        <w:autoSpaceDE w:val="0"/>
        <w:autoSpaceDN w:val="0"/>
        <w:adjustRightInd w:val="0"/>
        <w:spacing w:after="0" w:line="276" w:lineRule="auto"/>
        <w:ind w:left="567" w:right="616"/>
        <w:jc w:val="both"/>
        <w:rPr>
          <w:rFonts w:ascii="Book Antiqua" w:hAnsi="Book Antiqua" w:cs="Arial"/>
          <w:i/>
          <w:iCs/>
          <w:lang w:eastAsia="zh-CN"/>
        </w:rPr>
      </w:pPr>
      <w:r w:rsidRPr="001D0C10">
        <w:rPr>
          <w:rFonts w:ascii="Book Antiqua" w:hAnsi="Book Antiqua" w:cs="Arial"/>
          <w:i/>
          <w:iCs/>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p>
    <w:p w14:paraId="159B7BFF" w14:textId="08F09F2F" w:rsidR="00A56B86" w:rsidRDefault="00A56B86" w:rsidP="001E4D82">
      <w:pPr>
        <w:pStyle w:val="Prrafodelista"/>
        <w:spacing w:line="276" w:lineRule="auto"/>
        <w:jc w:val="both"/>
        <w:rPr>
          <w:rFonts w:ascii="Book Antiqua" w:hAnsi="Book Antiqua"/>
          <w:sz w:val="24"/>
          <w:szCs w:val="24"/>
        </w:rPr>
      </w:pPr>
    </w:p>
    <w:p w14:paraId="309FD3E9" w14:textId="77777777" w:rsidR="00455FE9" w:rsidRPr="00455FE9" w:rsidRDefault="00455FE9" w:rsidP="00455FE9">
      <w:pPr>
        <w:spacing w:line="276" w:lineRule="auto"/>
        <w:jc w:val="both"/>
        <w:rPr>
          <w:rFonts w:ascii="Book Antiqua" w:hAnsi="Book Antiqua"/>
          <w:sz w:val="24"/>
          <w:szCs w:val="24"/>
        </w:rPr>
      </w:pPr>
      <w:r w:rsidRPr="00455FE9">
        <w:rPr>
          <w:rFonts w:ascii="Book Antiqua" w:hAnsi="Book Antiqua"/>
          <w:sz w:val="24"/>
          <w:szCs w:val="24"/>
        </w:rPr>
        <w:t xml:space="preserve">Oficio 2043-PLA-ES-2019, relacionado con la “Fórmula estadística e instructivo en materia de familia en primera instancia”, aprobado por el Consejo Superior en la sesión 107-19 del 10 de diciembre de 2019, artículo XLVIII, en el que se acordó: </w:t>
      </w:r>
    </w:p>
    <w:p w14:paraId="299EFF33" w14:textId="77777777" w:rsidR="00455FE9" w:rsidRPr="00455FE9" w:rsidRDefault="00455FE9" w:rsidP="00455FE9">
      <w:pPr>
        <w:pStyle w:val="Prrafodelista"/>
        <w:spacing w:after="0" w:line="276" w:lineRule="auto"/>
        <w:ind w:left="0"/>
        <w:jc w:val="center"/>
        <w:rPr>
          <w:rFonts w:ascii="Book Antiqua" w:eastAsia="Times New Roman" w:hAnsi="Book Antiqua" w:cs="Times New Roman"/>
          <w:b/>
          <w:bCs/>
          <w:i/>
          <w:iCs/>
          <w:sz w:val="24"/>
          <w:szCs w:val="24"/>
          <w:shd w:val="clear" w:color="auto" w:fill="FFFFFF"/>
          <w:lang w:eastAsia="ar-SA"/>
        </w:rPr>
      </w:pPr>
      <w:r w:rsidRPr="00455FE9">
        <w:rPr>
          <w:rFonts w:ascii="Book Antiqua" w:eastAsia="Times New Roman" w:hAnsi="Book Antiqua" w:cs="Times New Roman"/>
          <w:b/>
          <w:bCs/>
          <w:i/>
          <w:iCs/>
          <w:sz w:val="24"/>
          <w:szCs w:val="24"/>
          <w:shd w:val="clear" w:color="auto" w:fill="FFFFFF"/>
          <w:lang w:eastAsia="ar-SA"/>
        </w:rPr>
        <w:t>“Tener por rendido el informe.”.</w:t>
      </w:r>
    </w:p>
    <w:p w14:paraId="0AB2C5A1" w14:textId="77777777" w:rsidR="00792D9B" w:rsidRDefault="00792D9B" w:rsidP="00455FE9">
      <w:pPr>
        <w:spacing w:line="276" w:lineRule="auto"/>
        <w:jc w:val="both"/>
        <w:rPr>
          <w:rFonts w:ascii="Book Antiqua" w:hAnsi="Book Antiqua"/>
          <w:sz w:val="24"/>
          <w:szCs w:val="24"/>
        </w:rPr>
      </w:pPr>
    </w:p>
    <w:p w14:paraId="53B100D9" w14:textId="39E1136B" w:rsidR="00455FE9" w:rsidRPr="00455FE9" w:rsidRDefault="00455FE9" w:rsidP="00455FE9">
      <w:pPr>
        <w:spacing w:line="276" w:lineRule="auto"/>
        <w:jc w:val="both"/>
        <w:rPr>
          <w:rFonts w:ascii="Book Antiqua" w:hAnsi="Book Antiqua"/>
          <w:sz w:val="24"/>
          <w:szCs w:val="24"/>
        </w:rPr>
      </w:pPr>
      <w:r w:rsidRPr="00455FE9">
        <w:rPr>
          <w:rFonts w:ascii="Book Antiqua" w:hAnsi="Book Antiqua"/>
          <w:sz w:val="24"/>
          <w:szCs w:val="24"/>
        </w:rPr>
        <w:t xml:space="preserve">El informe 656-PLA-RH-MI-2020 </w:t>
      </w:r>
      <w:r w:rsidRPr="001D0C10">
        <w:rPr>
          <w:rFonts w:ascii="Book Antiqua" w:hAnsi="Book Antiqua"/>
          <w:i/>
          <w:iCs/>
          <w:sz w:val="24"/>
          <w:szCs w:val="24"/>
        </w:rPr>
        <w:t>“Impacto Organizacional y Presupuestario en el Poder Judicial en caso de aprobarse el proyecto de Ley denominado Código Procesal de Familia</w:t>
      </w:r>
      <w:r w:rsidRPr="00455FE9">
        <w:rPr>
          <w:rFonts w:ascii="Book Antiqua" w:hAnsi="Book Antiqua"/>
          <w:sz w:val="24"/>
          <w:szCs w:val="24"/>
        </w:rPr>
        <w:t xml:space="preserve">” para el 2021 fue aprobado por el Consejo Superior en sesión 45-2020 celebrada el 8 de mayo de 2020, artículo XIX, en la que se acordó: </w:t>
      </w:r>
    </w:p>
    <w:p w14:paraId="196FD702" w14:textId="6E37B3C6" w:rsidR="00A46DDD" w:rsidRPr="00A46DDD" w:rsidRDefault="00A46DDD" w:rsidP="00A46DDD">
      <w:pPr>
        <w:spacing w:after="0" w:line="276" w:lineRule="auto"/>
        <w:ind w:left="567" w:right="616"/>
        <w:jc w:val="both"/>
        <w:rPr>
          <w:rFonts w:ascii="Book Antiqua" w:eastAsia="Calibri" w:hAnsi="Book Antiqua" w:cs="Arial"/>
          <w:i/>
          <w:iCs/>
          <w:sz w:val="24"/>
          <w:szCs w:val="24"/>
        </w:rPr>
      </w:pPr>
      <w:r w:rsidRPr="00A46DDD">
        <w:rPr>
          <w:rFonts w:ascii="Book Antiqua" w:eastAsia="Calibri" w:hAnsi="Book Antiqua" w:cs="Arial"/>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Jurisdicción de Familia, a la Dirección de Tecnología de la Información y a la 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Pr="00A46DDD">
        <w:rPr>
          <w:rFonts w:ascii="Times New Roman" w:eastAsia="Calibri" w:hAnsi="Times New Roman" w:cs="Times New Roman"/>
          <w:i/>
          <w:iCs/>
          <w:sz w:val="24"/>
          <w:szCs w:val="24"/>
        </w:rPr>
        <w:t>₡</w:t>
      </w:r>
      <w:r w:rsidRPr="00A46DDD">
        <w:rPr>
          <w:rFonts w:ascii="Book Antiqua" w:eastAsia="Calibri" w:hAnsi="Book Antiqua" w:cs="Arial"/>
          <w:i/>
          <w:iCs/>
          <w:sz w:val="24"/>
          <w:szCs w:val="24"/>
        </w:rPr>
        <w:t xml:space="preserve">60.000.000 para el pago de peritajes solicitados por </w:t>
      </w:r>
      <w:r w:rsidRPr="00A46DDD">
        <w:rPr>
          <w:rFonts w:ascii="Book Antiqua" w:eastAsia="Calibri" w:hAnsi="Book Antiqua" w:cs="Book Antiqua"/>
          <w:i/>
          <w:iCs/>
          <w:sz w:val="24"/>
          <w:szCs w:val="24"/>
        </w:rPr>
        <w:t>ó</w:t>
      </w:r>
      <w:r w:rsidRPr="00A46DDD">
        <w:rPr>
          <w:rFonts w:ascii="Book Antiqua" w:eastAsia="Calibri" w:hAnsi="Book Antiqua" w:cs="Arial"/>
          <w:i/>
          <w:iCs/>
          <w:sz w:val="24"/>
          <w:szCs w:val="24"/>
        </w:rPr>
        <w:t xml:space="preserve">rdenes judiciales, de los cuales se deben incluir dentro del presupuesto ordinario </w:t>
      </w:r>
      <w:r w:rsidRPr="00A46DDD">
        <w:rPr>
          <w:rFonts w:ascii="Times New Roman" w:eastAsia="Calibri" w:hAnsi="Times New Roman" w:cs="Times New Roman"/>
          <w:i/>
          <w:iCs/>
          <w:sz w:val="24"/>
          <w:szCs w:val="24"/>
        </w:rPr>
        <w:t>₡</w:t>
      </w:r>
      <w:r w:rsidRPr="00A46DDD">
        <w:rPr>
          <w:rFonts w:ascii="Book Antiqua" w:eastAsia="Calibri" w:hAnsi="Book Antiqua" w:cs="Arial"/>
          <w:i/>
          <w:iCs/>
          <w:sz w:val="24"/>
          <w:szCs w:val="24"/>
        </w:rPr>
        <w:t>30.000.000 y el restante como parte del requerimiento que se solicita por aparte al Ministerio de Hacienda en virtud de tratarse de una Ley Especial. 3.) Aprobar la propuesta de circular que indica la Direcci</w:t>
      </w:r>
      <w:r w:rsidRPr="00A46DDD">
        <w:rPr>
          <w:rFonts w:ascii="Book Antiqua" w:eastAsia="Calibri" w:hAnsi="Book Antiqua" w:cs="Book Antiqua"/>
          <w:i/>
          <w:iCs/>
          <w:sz w:val="24"/>
          <w:szCs w:val="24"/>
        </w:rPr>
        <w:t>ó</w:t>
      </w:r>
      <w:r w:rsidRPr="00A46DDD">
        <w:rPr>
          <w:rFonts w:ascii="Book Antiqua" w:eastAsia="Calibri" w:hAnsi="Book Antiqua" w:cs="Arial"/>
          <w:i/>
          <w:iCs/>
          <w:sz w:val="24"/>
          <w:szCs w:val="24"/>
        </w:rPr>
        <w:t xml:space="preserve">n de Planificación, para lo que la Secretaría General de la Corte tomará nota para lo de su cargo. 4.) Se deberán cumplir con las cuotas de trabajo establecidas por la Dirección de Planificación por parte del personal técnico y juzgador presentadas en este informe. Se declara este acuerdo firme.” </w:t>
      </w:r>
    </w:p>
    <w:p w14:paraId="148B4198" w14:textId="3D601F43" w:rsidR="00A56B86" w:rsidRDefault="00A56B86" w:rsidP="00101A76">
      <w:pPr>
        <w:pStyle w:val="Prrafodelista"/>
        <w:spacing w:line="276" w:lineRule="auto"/>
        <w:jc w:val="both"/>
        <w:rPr>
          <w:rFonts w:ascii="Book Antiqua" w:hAnsi="Book Antiqua"/>
          <w:sz w:val="24"/>
          <w:szCs w:val="24"/>
        </w:rPr>
      </w:pPr>
    </w:p>
    <w:p w14:paraId="565F5317" w14:textId="77777777"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22038747" w14:textId="77777777" w:rsidR="00A95C87" w:rsidRPr="00A95C87" w:rsidRDefault="00A95C87" w:rsidP="00A95C87">
      <w:pPr>
        <w:spacing w:after="0" w:line="276" w:lineRule="auto"/>
        <w:jc w:val="both"/>
        <w:rPr>
          <w:rFonts w:ascii="Book Antiqua" w:eastAsia="Calibri" w:hAnsi="Book Antiqua" w:cs="Arial"/>
          <w:sz w:val="24"/>
          <w:szCs w:val="24"/>
        </w:rPr>
      </w:pPr>
    </w:p>
    <w:p w14:paraId="7C69742C" w14:textId="77777777"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 xml:space="preserve">El informe 656-PLA-RH-MI-2020 relacionado con el </w:t>
      </w:r>
      <w:r w:rsidRPr="00A95C87">
        <w:rPr>
          <w:rFonts w:ascii="Book Antiqua" w:eastAsia="Calibri" w:hAnsi="Book Antiqua" w:cs="Arial"/>
          <w:i/>
          <w:iCs/>
          <w:sz w:val="24"/>
          <w:szCs w:val="24"/>
        </w:rPr>
        <w:t xml:space="preserve">“Impacto organizacional y presupuestario en el Poder Judicial a partir de la promulgación del Código Procesal de Familia” </w:t>
      </w:r>
      <w:r w:rsidRPr="00A95C87">
        <w:rPr>
          <w:rFonts w:ascii="Book Antiqua" w:eastAsia="Calibri" w:hAnsi="Book Antiqua" w:cs="Arial"/>
          <w:sz w:val="24"/>
          <w:szCs w:val="24"/>
        </w:rPr>
        <w:t>para 2021</w:t>
      </w:r>
      <w:r w:rsidRPr="00A95C87">
        <w:rPr>
          <w:rFonts w:ascii="Book Antiqua" w:eastAsia="Calibri" w:hAnsi="Book Antiqua" w:cs="Arial"/>
          <w:i/>
          <w:iCs/>
          <w:sz w:val="24"/>
          <w:szCs w:val="24"/>
        </w:rPr>
        <w:t xml:space="preserve">, </w:t>
      </w:r>
      <w:r w:rsidRPr="00A95C87">
        <w:rPr>
          <w:rFonts w:ascii="Book Antiqua" w:eastAsia="Calibri" w:hAnsi="Book Antiqua" w:cs="Arial"/>
          <w:sz w:val="24"/>
          <w:szCs w:val="24"/>
        </w:rPr>
        <w:t>que consideraba las acciones a seguir para la implementación de la Ley 9747 también fue aprobado por Corte Plena en sesión 31-2020 del dos de junio del 2020, artículo I.</w:t>
      </w:r>
    </w:p>
    <w:p w14:paraId="749AC3D4" w14:textId="77777777" w:rsidR="00A95C87" w:rsidRPr="00A95C87" w:rsidRDefault="00A95C87" w:rsidP="00A95C87">
      <w:pPr>
        <w:spacing w:after="0" w:line="276" w:lineRule="auto"/>
        <w:jc w:val="both"/>
        <w:rPr>
          <w:rFonts w:ascii="Book Antiqua" w:eastAsia="Calibri" w:hAnsi="Book Antiqua" w:cs="Arial"/>
          <w:sz w:val="24"/>
          <w:szCs w:val="24"/>
        </w:rPr>
      </w:pPr>
    </w:p>
    <w:p w14:paraId="2B9C2C47" w14:textId="583F0CC1" w:rsidR="00A56B86" w:rsidRDefault="00A95C87" w:rsidP="00380ACA">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Sin embargo, de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w:t>
      </w:r>
      <w:r w:rsidR="00155D5C">
        <w:rPr>
          <w:rFonts w:ascii="Book Antiqua" w:eastAsia="Calibri" w:hAnsi="Book Antiqua" w:cs="Arial"/>
          <w:sz w:val="24"/>
          <w:szCs w:val="24"/>
        </w:rPr>
        <w:t>,</w:t>
      </w:r>
      <w:r w:rsidRPr="00A95C87">
        <w:rPr>
          <w:rFonts w:ascii="Book Antiqua" w:eastAsia="Calibri" w:hAnsi="Book Antiqua" w:cs="Arial"/>
          <w:sz w:val="24"/>
          <w:szCs w:val="24"/>
        </w:rPr>
        <w:t xml:space="preserve"> </w:t>
      </w:r>
      <w:r w:rsidR="00155D5C">
        <w:rPr>
          <w:rFonts w:ascii="Book Antiqua" w:eastAsia="Calibri" w:hAnsi="Book Antiqua" w:cs="Arial"/>
          <w:sz w:val="24"/>
          <w:szCs w:val="24"/>
        </w:rPr>
        <w:t>no</w:t>
      </w:r>
      <w:r w:rsidRPr="00A95C87">
        <w:rPr>
          <w:rFonts w:ascii="Book Antiqua" w:eastAsia="Calibri" w:hAnsi="Book Antiqua" w:cs="Arial"/>
          <w:sz w:val="24"/>
          <w:szCs w:val="24"/>
        </w:rPr>
        <w:t xml:space="preserve"> fueron trasladados por el Ministerio de Hacienda a la Asamblea como parte del Proyecto de Presupuesto 2021.</w:t>
      </w:r>
    </w:p>
    <w:p w14:paraId="05D91E5C" w14:textId="77777777" w:rsidR="00380ACA" w:rsidRPr="00380ACA" w:rsidRDefault="00380ACA" w:rsidP="00380ACA">
      <w:pPr>
        <w:spacing w:after="0" w:line="240" w:lineRule="auto"/>
        <w:jc w:val="both"/>
        <w:rPr>
          <w:rFonts w:ascii="Book Antiqua" w:eastAsia="Calibri" w:hAnsi="Book Antiqua" w:cs="Arial"/>
          <w:sz w:val="24"/>
          <w:szCs w:val="24"/>
        </w:rPr>
      </w:pPr>
    </w:p>
    <w:p w14:paraId="1DE79AC1" w14:textId="4F1BCAF1" w:rsidR="00155D5C" w:rsidRDefault="00155D5C" w:rsidP="00155D5C">
      <w:pPr>
        <w:spacing w:line="276" w:lineRule="auto"/>
        <w:jc w:val="both"/>
        <w:rPr>
          <w:rFonts w:ascii="Book Antiqua" w:hAnsi="Book Antiqua"/>
          <w:sz w:val="24"/>
          <w:szCs w:val="24"/>
        </w:rPr>
      </w:pPr>
      <w:r w:rsidRPr="00455FE9">
        <w:rPr>
          <w:rFonts w:ascii="Book Antiqua" w:hAnsi="Book Antiqua"/>
          <w:sz w:val="24"/>
          <w:szCs w:val="24"/>
        </w:rPr>
        <w:t xml:space="preserve">El informe </w:t>
      </w:r>
      <w:r>
        <w:rPr>
          <w:rFonts w:ascii="Book Antiqua" w:hAnsi="Book Antiqua"/>
          <w:sz w:val="24"/>
          <w:szCs w:val="24"/>
        </w:rPr>
        <w:t>389</w:t>
      </w:r>
      <w:r w:rsidRPr="00455FE9">
        <w:rPr>
          <w:rFonts w:ascii="Book Antiqua" w:hAnsi="Book Antiqua"/>
          <w:sz w:val="24"/>
          <w:szCs w:val="24"/>
        </w:rPr>
        <w:t>-PLA-RH-MI-202</w:t>
      </w:r>
      <w:r>
        <w:rPr>
          <w:rFonts w:ascii="Book Antiqua" w:hAnsi="Book Antiqua"/>
          <w:sz w:val="24"/>
          <w:szCs w:val="24"/>
        </w:rPr>
        <w:t>1</w:t>
      </w:r>
      <w:r w:rsidRPr="00455FE9">
        <w:rPr>
          <w:rFonts w:ascii="Book Antiqua" w:hAnsi="Book Antiqua"/>
          <w:sz w:val="24"/>
          <w:szCs w:val="24"/>
        </w:rPr>
        <w:t xml:space="preserve"> </w:t>
      </w:r>
      <w:r w:rsidRPr="001D0C10">
        <w:rPr>
          <w:rFonts w:ascii="Book Antiqua" w:hAnsi="Book Antiqua"/>
          <w:i/>
          <w:iCs/>
          <w:sz w:val="24"/>
          <w:szCs w:val="24"/>
        </w:rPr>
        <w:t>“Impacto organizacional y presupuestario en el Poder Judicial a partir de la promulgación del Código Procesal de Familia para el 2022”</w:t>
      </w:r>
      <w:r w:rsidRPr="00455FE9">
        <w:rPr>
          <w:rFonts w:ascii="Book Antiqua" w:hAnsi="Book Antiqua"/>
          <w:sz w:val="24"/>
          <w:szCs w:val="24"/>
        </w:rPr>
        <w:t xml:space="preserve"> aprobado por el Consejo Superior en sesión </w:t>
      </w:r>
      <w:r>
        <w:rPr>
          <w:rFonts w:ascii="Book Antiqua" w:hAnsi="Book Antiqua"/>
          <w:sz w:val="24"/>
          <w:szCs w:val="24"/>
        </w:rPr>
        <w:t>extraordinaria (presupuesto) 30</w:t>
      </w:r>
      <w:r w:rsidRPr="00455FE9">
        <w:rPr>
          <w:rFonts w:ascii="Book Antiqua" w:hAnsi="Book Antiqua"/>
          <w:sz w:val="24"/>
          <w:szCs w:val="24"/>
        </w:rPr>
        <w:t>-202</w:t>
      </w:r>
      <w:r>
        <w:rPr>
          <w:rFonts w:ascii="Book Antiqua" w:hAnsi="Book Antiqua"/>
          <w:sz w:val="24"/>
          <w:szCs w:val="24"/>
        </w:rPr>
        <w:t>1</w:t>
      </w:r>
      <w:r w:rsidRPr="00455FE9">
        <w:rPr>
          <w:rFonts w:ascii="Book Antiqua" w:hAnsi="Book Antiqua"/>
          <w:sz w:val="24"/>
          <w:szCs w:val="24"/>
        </w:rPr>
        <w:t xml:space="preserve"> celebrada el </w:t>
      </w:r>
      <w:r>
        <w:rPr>
          <w:rFonts w:ascii="Book Antiqua" w:hAnsi="Book Antiqua"/>
          <w:sz w:val="24"/>
          <w:szCs w:val="24"/>
        </w:rPr>
        <w:t xml:space="preserve">16 de abril </w:t>
      </w:r>
      <w:r w:rsidRPr="00455FE9">
        <w:rPr>
          <w:rFonts w:ascii="Book Antiqua" w:hAnsi="Book Antiqua"/>
          <w:sz w:val="24"/>
          <w:szCs w:val="24"/>
        </w:rPr>
        <w:t>de 202</w:t>
      </w:r>
      <w:r>
        <w:rPr>
          <w:rFonts w:ascii="Book Antiqua" w:hAnsi="Book Antiqua"/>
          <w:sz w:val="24"/>
          <w:szCs w:val="24"/>
        </w:rPr>
        <w:t>1</w:t>
      </w:r>
      <w:r w:rsidRPr="00455FE9">
        <w:rPr>
          <w:rFonts w:ascii="Book Antiqua" w:hAnsi="Book Antiqua"/>
          <w:sz w:val="24"/>
          <w:szCs w:val="24"/>
        </w:rPr>
        <w:t xml:space="preserve">, artículo XX </w:t>
      </w:r>
      <w:r>
        <w:rPr>
          <w:rFonts w:ascii="Book Antiqua" w:hAnsi="Book Antiqua"/>
          <w:sz w:val="24"/>
          <w:szCs w:val="24"/>
        </w:rPr>
        <w:t xml:space="preserve">y </w:t>
      </w:r>
      <w:r w:rsidRPr="00155D5C">
        <w:rPr>
          <w:rFonts w:ascii="Book Antiqua" w:hAnsi="Book Antiqua"/>
          <w:sz w:val="24"/>
          <w:szCs w:val="24"/>
        </w:rPr>
        <w:t>el acuerdo del Consejo Superior en sesión extraordinaria de presupuesto</w:t>
      </w:r>
      <w:r w:rsidR="00066E59">
        <w:rPr>
          <w:rFonts w:ascii="Book Antiqua" w:hAnsi="Book Antiqua"/>
          <w:sz w:val="24"/>
          <w:szCs w:val="24"/>
        </w:rPr>
        <w:t xml:space="preserve"> 35-21</w:t>
      </w:r>
      <w:r w:rsidRPr="00155D5C">
        <w:rPr>
          <w:rFonts w:ascii="Book Antiqua" w:hAnsi="Book Antiqua"/>
          <w:sz w:val="24"/>
          <w:szCs w:val="24"/>
        </w:rPr>
        <w:t xml:space="preserve"> del 30 de abril 2021</w:t>
      </w:r>
      <w:r w:rsidR="00066E59">
        <w:rPr>
          <w:rFonts w:ascii="Book Antiqua" w:hAnsi="Book Antiqua"/>
          <w:sz w:val="24"/>
          <w:szCs w:val="24"/>
        </w:rPr>
        <w:t xml:space="preserve">, artículo XII. Aprobado por Corte Plena en sesión 21-2021 del 1 de junio de 2021, artículo 2. </w:t>
      </w:r>
    </w:p>
    <w:p w14:paraId="4B0B0330" w14:textId="7EA6C780" w:rsidR="00B93C7C" w:rsidRDefault="00066E59" w:rsidP="00155D5C">
      <w:pPr>
        <w:spacing w:line="276" w:lineRule="auto"/>
        <w:jc w:val="both"/>
        <w:rPr>
          <w:rFonts w:ascii="Book Antiqua" w:hAnsi="Book Antiqua"/>
          <w:sz w:val="24"/>
          <w:szCs w:val="24"/>
        </w:rPr>
      </w:pPr>
      <w:r>
        <w:rPr>
          <w:rFonts w:ascii="Book Antiqua" w:hAnsi="Book Antiqua"/>
          <w:sz w:val="24"/>
          <w:szCs w:val="24"/>
        </w:rPr>
        <w:t>Este informe pese a ser remitido al Ministerio de Hacienda, justificándose incluso la necesidad de los recursos formulados</w:t>
      </w:r>
      <w:r w:rsidR="00702095">
        <w:rPr>
          <w:rFonts w:ascii="Book Antiqua" w:hAnsi="Book Antiqua"/>
          <w:sz w:val="24"/>
          <w:szCs w:val="24"/>
        </w:rPr>
        <w:t xml:space="preserve"> a partir de la </w:t>
      </w:r>
      <w:r>
        <w:rPr>
          <w:rFonts w:ascii="Book Antiqua" w:hAnsi="Book Antiqua"/>
          <w:sz w:val="24"/>
          <w:szCs w:val="24"/>
        </w:rPr>
        <w:t>Ley 9747</w:t>
      </w:r>
      <w:r w:rsidR="00B93C7C">
        <w:rPr>
          <w:rFonts w:ascii="Book Antiqua" w:hAnsi="Book Antiqua"/>
          <w:sz w:val="24"/>
          <w:szCs w:val="24"/>
        </w:rPr>
        <w:t>, que</w:t>
      </w:r>
      <w:r>
        <w:rPr>
          <w:rFonts w:ascii="Book Antiqua" w:hAnsi="Book Antiqua"/>
          <w:sz w:val="24"/>
          <w:szCs w:val="24"/>
        </w:rPr>
        <w:t xml:space="preserve"> entra a regir el 1 de octubre 2022, </w:t>
      </w:r>
      <w:r w:rsidR="00B93C7C">
        <w:rPr>
          <w:rFonts w:ascii="Book Antiqua" w:hAnsi="Book Antiqua"/>
          <w:sz w:val="24"/>
          <w:szCs w:val="24"/>
        </w:rPr>
        <w:t>no fue considerado dentro del proyecto de Ley de Presupuesto 2022, y por ende esta reforma no cuenta con contenido presupuestario este periodo.</w:t>
      </w:r>
    </w:p>
    <w:p w14:paraId="38B6F402" w14:textId="6BB3E66E" w:rsidR="00CC1067" w:rsidRDefault="00B93C7C" w:rsidP="00155D5C">
      <w:pPr>
        <w:spacing w:line="276" w:lineRule="auto"/>
        <w:jc w:val="both"/>
        <w:rPr>
          <w:rFonts w:ascii="Book Antiqua" w:hAnsi="Book Antiqua"/>
          <w:sz w:val="24"/>
          <w:szCs w:val="24"/>
        </w:rPr>
      </w:pPr>
      <w:r>
        <w:rPr>
          <w:rFonts w:ascii="Book Antiqua" w:hAnsi="Book Antiqua"/>
          <w:sz w:val="24"/>
          <w:szCs w:val="24"/>
        </w:rPr>
        <w:t xml:space="preserve">Por fuera del presupuesto de reforma, e incorporado en el presupuesto ordinario institucional se </w:t>
      </w:r>
      <w:r w:rsidR="00CC1067">
        <w:rPr>
          <w:rFonts w:ascii="Book Antiqua" w:hAnsi="Book Antiqua"/>
          <w:sz w:val="24"/>
          <w:szCs w:val="24"/>
        </w:rPr>
        <w:t xml:space="preserve">incluyeron </w:t>
      </w:r>
      <w:r w:rsidR="00CC1067">
        <w:rPr>
          <w:rFonts w:ascii="Times New Roman" w:hAnsi="Times New Roman" w:cs="Times New Roman"/>
          <w:sz w:val="24"/>
          <w:szCs w:val="24"/>
        </w:rPr>
        <w:t>₡</w:t>
      </w:r>
      <w:r w:rsidR="00CC1067" w:rsidRPr="00CC1067">
        <w:rPr>
          <w:rFonts w:ascii="Book Antiqua" w:hAnsi="Book Antiqua"/>
          <w:sz w:val="24"/>
          <w:szCs w:val="24"/>
        </w:rPr>
        <w:t xml:space="preserve">84,250,000.00 </w:t>
      </w:r>
      <w:r>
        <w:rPr>
          <w:rFonts w:ascii="Book Antiqua" w:hAnsi="Book Antiqua"/>
          <w:sz w:val="24"/>
          <w:szCs w:val="24"/>
        </w:rPr>
        <w:t xml:space="preserve">para la capacitación de la Jurisdicción de Familia en 2022, por acuerdo del Consejo Superior en sesión </w:t>
      </w:r>
      <w:r w:rsidR="00CC1067" w:rsidRPr="00CC1067">
        <w:rPr>
          <w:rFonts w:ascii="Book Antiqua" w:hAnsi="Book Antiqua"/>
          <w:sz w:val="24"/>
          <w:szCs w:val="24"/>
        </w:rPr>
        <w:t>extraordinaria de presupuesto del 30 de abril del 2021</w:t>
      </w:r>
      <w:r>
        <w:rPr>
          <w:rFonts w:ascii="Book Antiqua" w:hAnsi="Book Antiqua"/>
          <w:sz w:val="24"/>
          <w:szCs w:val="24"/>
        </w:rPr>
        <w:t xml:space="preserve">. </w:t>
      </w:r>
    </w:p>
    <w:p w14:paraId="63118557" w14:textId="1849C83F" w:rsidR="00BF4045" w:rsidRDefault="00B93C7C" w:rsidP="00380ACA">
      <w:pPr>
        <w:spacing w:line="276" w:lineRule="auto"/>
        <w:jc w:val="both"/>
        <w:rPr>
          <w:rFonts w:ascii="Book Antiqua" w:hAnsi="Book Antiqua"/>
          <w:sz w:val="24"/>
          <w:szCs w:val="24"/>
        </w:rPr>
      </w:pPr>
      <w:r>
        <w:rPr>
          <w:rFonts w:ascii="Book Antiqua" w:hAnsi="Book Antiqua"/>
          <w:sz w:val="24"/>
          <w:szCs w:val="24"/>
        </w:rPr>
        <w:t>Adicionalmente</w:t>
      </w:r>
      <w:r w:rsidR="004740B6">
        <w:rPr>
          <w:rFonts w:ascii="Book Antiqua" w:hAnsi="Book Antiqua"/>
          <w:sz w:val="24"/>
          <w:szCs w:val="24"/>
        </w:rPr>
        <w:t>,</w:t>
      </w:r>
      <w:r>
        <w:rPr>
          <w:rFonts w:ascii="Book Antiqua" w:hAnsi="Book Antiqua"/>
          <w:sz w:val="24"/>
          <w:szCs w:val="24"/>
        </w:rPr>
        <w:t xml:space="preserve"> </w:t>
      </w:r>
      <w:r w:rsidR="00C53AE5">
        <w:rPr>
          <w:rFonts w:ascii="Book Antiqua" w:hAnsi="Book Antiqua"/>
          <w:sz w:val="24"/>
          <w:szCs w:val="24"/>
        </w:rPr>
        <w:t>por parte del Ministerio de Hacienda se incorporaron 17 plazas de Defensor Público para la materia de P</w:t>
      </w:r>
      <w:r w:rsidR="00CC1067">
        <w:rPr>
          <w:rFonts w:ascii="Book Antiqua" w:hAnsi="Book Antiqua"/>
          <w:sz w:val="24"/>
          <w:szCs w:val="24"/>
        </w:rPr>
        <w:t>ensiones Alimentarias</w:t>
      </w:r>
      <w:r w:rsidR="004740B6">
        <w:rPr>
          <w:rFonts w:ascii="Book Antiqua" w:hAnsi="Book Antiqua"/>
          <w:sz w:val="24"/>
          <w:szCs w:val="24"/>
        </w:rPr>
        <w:t xml:space="preserve"> (</w:t>
      </w:r>
      <w:r w:rsidR="00CC1067">
        <w:rPr>
          <w:rFonts w:ascii="Book Antiqua" w:hAnsi="Book Antiqua"/>
          <w:sz w:val="24"/>
          <w:szCs w:val="24"/>
        </w:rPr>
        <w:t>15 para atención de asuntos ordinarios y 2 específicamente población de pueblos indígenas</w:t>
      </w:r>
      <w:r w:rsidR="004740B6">
        <w:rPr>
          <w:rFonts w:ascii="Book Antiqua" w:hAnsi="Book Antiqua"/>
          <w:sz w:val="24"/>
          <w:szCs w:val="24"/>
        </w:rPr>
        <w:t xml:space="preserve">) a partir del 1 de enero de 2022, dentro del </w:t>
      </w:r>
      <w:r w:rsidR="004740B6" w:rsidRPr="004740B6">
        <w:rPr>
          <w:rFonts w:ascii="Book Antiqua" w:hAnsi="Book Antiqua"/>
          <w:sz w:val="24"/>
          <w:szCs w:val="24"/>
        </w:rPr>
        <w:t>proyecto de Ley de Presupuesto 2022, el cual fue aprobado en segundo debate el 23 de noviembre 2021 por parte la Asamblea Legislativa.</w:t>
      </w:r>
    </w:p>
    <w:p w14:paraId="1E0D0259" w14:textId="2113F764" w:rsidR="00A56B86" w:rsidRDefault="00BF4045" w:rsidP="00380ACA">
      <w:pPr>
        <w:spacing w:before="120" w:after="120" w:line="276" w:lineRule="auto"/>
        <w:jc w:val="both"/>
        <w:rPr>
          <w:rFonts w:ascii="Book Antiqua" w:hAnsi="Book Antiqua"/>
          <w:sz w:val="24"/>
          <w:szCs w:val="24"/>
        </w:rPr>
      </w:pPr>
      <w:r>
        <w:rPr>
          <w:rFonts w:ascii="Book Antiqua" w:hAnsi="Book Antiqua"/>
          <w:sz w:val="24"/>
          <w:szCs w:val="24"/>
        </w:rPr>
        <w:t>Y finalmente, el i</w:t>
      </w:r>
      <w:r w:rsidRPr="00BF4045">
        <w:rPr>
          <w:rFonts w:ascii="Book Antiqua" w:hAnsi="Book Antiqua"/>
          <w:sz w:val="24"/>
          <w:szCs w:val="24"/>
        </w:rPr>
        <w:t xml:space="preserve">nforme 314-PLA-MI-RH-2022 con el análisis del </w:t>
      </w:r>
      <w:r w:rsidRPr="00BF4045">
        <w:rPr>
          <w:rFonts w:ascii="Book Antiqua" w:hAnsi="Book Antiqua"/>
          <w:i/>
          <w:iCs/>
          <w:sz w:val="24"/>
          <w:szCs w:val="24"/>
        </w:rPr>
        <w:t>“Impacto organizacional y presupuestario en el Poder Judicial a partir de la promulgación del Código Procesal de Familia para el 2023”,</w:t>
      </w:r>
      <w:r w:rsidRPr="00BF4045">
        <w:rPr>
          <w:rFonts w:ascii="Book Antiqua" w:hAnsi="Book Antiqua"/>
          <w:sz w:val="24"/>
          <w:szCs w:val="24"/>
        </w:rPr>
        <w:t xml:space="preserve"> aprobado en sesión extraordinaria (presupuesto) del Consejo Superior 36-2022 celebrada el 29 de abril de 2022, artículo XXI y acuerdos de la Corte Plena en sesión extraordinaria 25-2022 celebrada el 30 de mayo de 2022, artículo VIII, sesión 27-2022 celebrada el 01 de junio de 2022, artículo II.</w:t>
      </w:r>
    </w:p>
    <w:p w14:paraId="16067E97" w14:textId="77777777" w:rsidR="00380ACA" w:rsidRPr="00380ACA" w:rsidRDefault="00380ACA" w:rsidP="00380ACA">
      <w:pPr>
        <w:spacing w:after="0" w:line="240" w:lineRule="auto"/>
        <w:jc w:val="both"/>
        <w:rPr>
          <w:rFonts w:ascii="Book Antiqua" w:hAnsi="Book Antiqua"/>
          <w:sz w:val="24"/>
          <w:szCs w:val="24"/>
        </w:rPr>
      </w:pPr>
    </w:p>
    <w:p w14:paraId="78F3421A" w14:textId="341DB788" w:rsidR="00A65874" w:rsidRPr="00380ACA" w:rsidRDefault="00F66CC1" w:rsidP="00335C6E">
      <w:pPr>
        <w:pStyle w:val="Prrafodelista"/>
        <w:numPr>
          <w:ilvl w:val="1"/>
          <w:numId w:val="2"/>
        </w:numPr>
        <w:spacing w:line="276" w:lineRule="auto"/>
        <w:jc w:val="both"/>
        <w:rPr>
          <w:rFonts w:ascii="Book Antiqua" w:hAnsi="Book Antiqua"/>
          <w:sz w:val="24"/>
          <w:szCs w:val="24"/>
          <w:highlight w:val="lightGray"/>
        </w:rPr>
      </w:pPr>
      <w:r w:rsidRPr="00380ACA">
        <w:rPr>
          <w:rFonts w:ascii="Book Antiqua" w:hAnsi="Book Antiqua"/>
          <w:sz w:val="24"/>
          <w:szCs w:val="24"/>
          <w:highlight w:val="lightGray"/>
        </w:rPr>
        <w:t>Creación de plazas</w:t>
      </w:r>
    </w:p>
    <w:p w14:paraId="004CB591" w14:textId="77777777" w:rsidR="00B842D2" w:rsidRP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La Corte Plena aprobó en sesión 54-2019 del 18 de diciembre de 2019, artículo único, no crear plazas nuevas y valorar únicamente la condición y continuidad de las plazas extraordinarias existentes.</w:t>
      </w:r>
    </w:p>
    <w:p w14:paraId="7C9E3302" w14:textId="758974B0" w:rsid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Adicionalmente, en las sesiones 27-2017 de 21 de agosto de 2017, artículo XVI, 28- 2017 de 28 de agosto de 2017, artículo XV y 29-2017 de 4 setiembre de 2017, artículo XVI, aprobó una serie de medidas de contención del gasto en el Poder Judicial, producto de la grave situación fiscal que enfrenta el país, y con relación a la creación de plazas dispuso que:</w:t>
      </w:r>
    </w:p>
    <w:p w14:paraId="5502C837" w14:textId="20462064" w:rsidR="00B842D2" w:rsidRDefault="00B842D2" w:rsidP="00B842D2">
      <w:pPr>
        <w:spacing w:after="0" w:line="276" w:lineRule="auto"/>
        <w:ind w:left="567" w:right="616"/>
        <w:jc w:val="both"/>
        <w:rPr>
          <w:rFonts w:ascii="Book Antiqua" w:eastAsia="Calibri" w:hAnsi="Book Antiqua" w:cs="Arial"/>
          <w:i/>
          <w:iCs/>
          <w:sz w:val="24"/>
          <w:szCs w:val="24"/>
        </w:rPr>
      </w:pPr>
      <w:r w:rsidRPr="00B842D2">
        <w:rPr>
          <w:rFonts w:ascii="Book Antiqua" w:eastAsia="Calibri" w:hAnsi="Book Antiqua" w:cs="Arial"/>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p>
    <w:p w14:paraId="4B60BDA6" w14:textId="59585E46" w:rsidR="007B6C82" w:rsidRDefault="007B6C82" w:rsidP="007B6C82">
      <w:pPr>
        <w:spacing w:after="0" w:line="276" w:lineRule="auto"/>
        <w:ind w:right="616"/>
        <w:jc w:val="both"/>
        <w:rPr>
          <w:rFonts w:ascii="Book Antiqua" w:eastAsia="Calibri" w:hAnsi="Book Antiqua" w:cs="Arial"/>
          <w:i/>
          <w:iCs/>
          <w:sz w:val="24"/>
          <w:szCs w:val="24"/>
        </w:rPr>
      </w:pPr>
    </w:p>
    <w:p w14:paraId="11DCE569" w14:textId="47D829BF" w:rsidR="004D77D0" w:rsidRDefault="004D77D0" w:rsidP="00B842D2">
      <w:pPr>
        <w:spacing w:line="276" w:lineRule="auto"/>
        <w:jc w:val="both"/>
        <w:rPr>
          <w:rFonts w:ascii="Book Antiqua" w:hAnsi="Book Antiqua"/>
          <w:sz w:val="24"/>
          <w:szCs w:val="24"/>
        </w:rPr>
      </w:pPr>
      <w:r>
        <w:rPr>
          <w:rFonts w:ascii="Book Antiqua" w:hAnsi="Book Antiqua"/>
          <w:sz w:val="24"/>
          <w:szCs w:val="24"/>
        </w:rPr>
        <w:t>Por otra parte, e</w:t>
      </w:r>
      <w:r w:rsidR="00124002" w:rsidRPr="00124002">
        <w:rPr>
          <w:rFonts w:ascii="Book Antiqua" w:hAnsi="Book Antiqua"/>
          <w:sz w:val="24"/>
          <w:szCs w:val="24"/>
        </w:rPr>
        <w:t xml:space="preserve">l presupuesto solicitado para el financiamiento de las Leyes 9747 Código Procesal de Familia, 9609 Nuevo Código Procesal Agrario, 9458 Bienestar Animal y 9582 Justicia Restaurativa, </w:t>
      </w:r>
      <w:bookmarkStart w:id="2" w:name="_Hlk98105773"/>
      <w:r w:rsidR="00124002" w:rsidRPr="00124002">
        <w:rPr>
          <w:rFonts w:ascii="Book Antiqua" w:hAnsi="Book Antiqua"/>
          <w:sz w:val="24"/>
          <w:szCs w:val="24"/>
        </w:rPr>
        <w:t>no fueron incorporados por el Ministerio de Hacienda al presupuesto ordinario, ni tampoco se remitieron como requerimiento adicional a la Asamblea Legislativ</w:t>
      </w:r>
      <w:r w:rsidR="008A348D">
        <w:rPr>
          <w:rFonts w:ascii="Book Antiqua" w:hAnsi="Book Antiqua"/>
          <w:sz w:val="24"/>
          <w:szCs w:val="24"/>
        </w:rPr>
        <w:t>a para 202</w:t>
      </w:r>
      <w:r w:rsidR="00BF4045">
        <w:rPr>
          <w:rFonts w:ascii="Book Antiqua" w:hAnsi="Book Antiqua"/>
          <w:sz w:val="24"/>
          <w:szCs w:val="24"/>
        </w:rPr>
        <w:t>3</w:t>
      </w:r>
      <w:r w:rsidR="008A348D">
        <w:rPr>
          <w:rFonts w:ascii="Book Antiqua" w:hAnsi="Book Antiqua"/>
          <w:sz w:val="24"/>
          <w:szCs w:val="24"/>
        </w:rPr>
        <w:t>.</w:t>
      </w:r>
      <w:bookmarkEnd w:id="2"/>
      <w:r w:rsidR="008A348D">
        <w:rPr>
          <w:rFonts w:ascii="Book Antiqua" w:hAnsi="Book Antiqua"/>
          <w:sz w:val="24"/>
          <w:szCs w:val="24"/>
        </w:rPr>
        <w:t xml:space="preserve"> </w:t>
      </w:r>
    </w:p>
    <w:p w14:paraId="4AC6651E" w14:textId="77777777" w:rsidR="00380ACA" w:rsidRPr="00B842D2" w:rsidRDefault="00380ACA" w:rsidP="00380ACA">
      <w:pPr>
        <w:spacing w:after="0" w:line="240" w:lineRule="auto"/>
        <w:jc w:val="both"/>
        <w:rPr>
          <w:rFonts w:ascii="Book Antiqua" w:hAnsi="Book Antiqua"/>
          <w:sz w:val="24"/>
          <w:szCs w:val="24"/>
        </w:rPr>
      </w:pPr>
    </w:p>
    <w:p w14:paraId="20E1787A" w14:textId="7204E5A7" w:rsidR="00F66CC1" w:rsidRPr="00380ACA" w:rsidRDefault="00B842D2" w:rsidP="00335C6E">
      <w:pPr>
        <w:pStyle w:val="Prrafodelista"/>
        <w:numPr>
          <w:ilvl w:val="1"/>
          <w:numId w:val="2"/>
        </w:numPr>
        <w:spacing w:line="276" w:lineRule="auto"/>
        <w:jc w:val="both"/>
        <w:rPr>
          <w:rFonts w:ascii="Book Antiqua" w:hAnsi="Book Antiqua"/>
          <w:sz w:val="24"/>
          <w:szCs w:val="24"/>
          <w:highlight w:val="lightGray"/>
        </w:rPr>
      </w:pPr>
      <w:r w:rsidRPr="00380ACA">
        <w:rPr>
          <w:rFonts w:ascii="Book Antiqua" w:hAnsi="Book Antiqua"/>
          <w:sz w:val="24"/>
          <w:szCs w:val="24"/>
          <w:highlight w:val="lightGray"/>
        </w:rPr>
        <w:t>Contraloría General de la República</w:t>
      </w:r>
    </w:p>
    <w:p w14:paraId="40EB33AD" w14:textId="361BECD5" w:rsid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Como parte del Proyecto 1374-CF-P01 “</w:t>
      </w:r>
      <w:r w:rsidRPr="001D0C10">
        <w:rPr>
          <w:rFonts w:ascii="Book Antiqua" w:hAnsi="Book Antiqua"/>
          <w:i/>
          <w:iCs/>
          <w:sz w:val="24"/>
          <w:szCs w:val="24"/>
        </w:rPr>
        <w:t>Implementación del Código Procesal de Familia</w:t>
      </w:r>
      <w:r w:rsidRPr="00B842D2">
        <w:rPr>
          <w:rFonts w:ascii="Book Antiqua" w:hAnsi="Book Antiqua"/>
          <w:sz w:val="24"/>
          <w:szCs w:val="24"/>
        </w:rPr>
        <w:t>” se incorporó la atención de las recomendaciones emitidas por la Contraloría General de la República (CGR) número DFOE-PG-0098 (2683)-2020, relacionado con el informe DFOE-PG-IF-00002-2020 “Informe de Auditoría Operativa sobre la gestión del Poder Judicial en cuanto a la oportunidad de la prestación del servicio público de administración de la justicia de los juzgados de Familia y de Pensiones alimentarias”, de conformidad con el acuerdo del Consejo Superior en sesión 19-2020 celebrada el 10 de marzo del 2020, artículo LI:</w:t>
      </w:r>
    </w:p>
    <w:p w14:paraId="4808470D" w14:textId="4113006B" w:rsidR="00A24455" w:rsidRDefault="00A24455" w:rsidP="00A24455">
      <w:pPr>
        <w:spacing w:after="0" w:line="276" w:lineRule="auto"/>
        <w:ind w:left="567" w:right="616"/>
        <w:jc w:val="both"/>
        <w:rPr>
          <w:rFonts w:ascii="Book Antiqua" w:eastAsia="Calibri" w:hAnsi="Book Antiqua" w:cs="Arial"/>
          <w:i/>
          <w:iCs/>
          <w:sz w:val="24"/>
          <w:szCs w:val="24"/>
        </w:rPr>
      </w:pPr>
      <w:r w:rsidRPr="00A24455">
        <w:rPr>
          <w:rFonts w:ascii="Book Antiqua" w:eastAsia="Calibri" w:hAnsi="Book Antiqua" w:cs="Arial"/>
          <w:i/>
          <w:iCs/>
          <w:sz w:val="24"/>
          <w:szCs w:val="24"/>
        </w:rPr>
        <w:t>“1.) Tener por recibido el oficio  DP-126-2020 de 5 de marzo de 2020, suscrito por el máster Roger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p>
    <w:p w14:paraId="57444BE5" w14:textId="77777777" w:rsidR="00D433A5" w:rsidRPr="00A24455" w:rsidRDefault="00D433A5" w:rsidP="00A24455">
      <w:pPr>
        <w:spacing w:after="0" w:line="276" w:lineRule="auto"/>
        <w:ind w:left="567" w:right="616"/>
        <w:jc w:val="both"/>
        <w:rPr>
          <w:rFonts w:ascii="Book Antiqua" w:eastAsia="Calibri" w:hAnsi="Book Antiqua" w:cs="Arial"/>
          <w:i/>
          <w:iCs/>
          <w:sz w:val="24"/>
          <w:szCs w:val="24"/>
        </w:rPr>
      </w:pPr>
    </w:p>
    <w:p w14:paraId="51A2277C"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Respecto al mismo tema, la Corte Plena en sesión 17-2020 celebrada el 30 de marzo del 2020, artículo XXXIII, conoce el acuerdo del Consejo Superior en sesión 19-2020 celebrada el 10 de marzo del 2020, artículo LI:</w:t>
      </w:r>
    </w:p>
    <w:p w14:paraId="0AE68E43" w14:textId="26E8FD48" w:rsidR="00A24455" w:rsidRDefault="00A24455" w:rsidP="00B842D2">
      <w:pPr>
        <w:spacing w:line="276" w:lineRule="auto"/>
        <w:jc w:val="both"/>
        <w:rPr>
          <w:rFonts w:ascii="Book Antiqua" w:hAnsi="Book Antiqua"/>
          <w:sz w:val="24"/>
          <w:szCs w:val="24"/>
        </w:rPr>
      </w:pPr>
    </w:p>
    <w:p w14:paraId="6F88AACF" w14:textId="463D5376" w:rsidR="00A24455" w:rsidRPr="00A24455" w:rsidRDefault="00A24455" w:rsidP="00A24455">
      <w:pPr>
        <w:spacing w:after="0" w:line="276" w:lineRule="auto"/>
        <w:ind w:left="567" w:right="616"/>
        <w:jc w:val="both"/>
        <w:rPr>
          <w:rFonts w:ascii="Book Antiqua" w:eastAsia="Calibri" w:hAnsi="Book Antiqua" w:cs="Arial"/>
          <w:i/>
          <w:sz w:val="24"/>
          <w:szCs w:val="24"/>
        </w:rPr>
      </w:pPr>
      <w:r w:rsidRPr="00A24455">
        <w:rPr>
          <w:rFonts w:ascii="Book Antiqua" w:eastAsia="Calibri" w:hAnsi="Book Antiqua" w:cs="Arial"/>
          <w:i/>
          <w:sz w:val="24"/>
          <w:szCs w:val="24"/>
        </w:rPr>
        <w:t>“</w:t>
      </w:r>
      <w:r w:rsidRPr="00A24455">
        <w:rPr>
          <w:rFonts w:ascii="Book Antiqua" w:eastAsia="Calibri" w:hAnsi="Book Antiqua" w:cs="Arial"/>
          <w:b/>
          <w:bCs/>
          <w:i/>
          <w:sz w:val="24"/>
          <w:szCs w:val="24"/>
        </w:rPr>
        <w:t>Se dispuso:</w:t>
      </w:r>
      <w:r w:rsidRPr="00A24455">
        <w:rPr>
          <w:rFonts w:ascii="Book Antiqua" w:eastAsia="Calibri" w:hAnsi="Book Antiqua" w:cs="Arial"/>
          <w:i/>
          <w:sz w:val="24"/>
          <w:szCs w:val="24"/>
        </w:rPr>
        <w:t xml:space="preserve"> Tener por conocido el acuerdo adoptado por Consejo Superior, referente al oficio DP-126-2020 de 5 de marzo de 2020, suscrito por el máster Roger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p>
    <w:p w14:paraId="53497D8F" w14:textId="4562BEF3" w:rsidR="00A24455" w:rsidRDefault="00A24455" w:rsidP="00B842D2">
      <w:pPr>
        <w:spacing w:line="276" w:lineRule="auto"/>
        <w:jc w:val="both"/>
        <w:rPr>
          <w:rFonts w:ascii="Book Antiqua" w:hAnsi="Book Antiqua"/>
          <w:sz w:val="24"/>
          <w:szCs w:val="24"/>
        </w:rPr>
      </w:pPr>
    </w:p>
    <w:p w14:paraId="0A4A5061"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El acuerdo del Consejo Superior en sesión 43-2020 celebrada el 05 de mayo del 2020, artículo XXXVI, autorizó a la Dirección de Planificación a colaborar con la Comisión de Familia:</w:t>
      </w:r>
    </w:p>
    <w:p w14:paraId="5FFA5BD9" w14:textId="77777777" w:rsidR="00A24455" w:rsidRPr="00A24455" w:rsidRDefault="00A24455" w:rsidP="00A24455">
      <w:pPr>
        <w:spacing w:after="0" w:line="276" w:lineRule="auto"/>
        <w:jc w:val="both"/>
        <w:rPr>
          <w:rFonts w:ascii="Book Antiqua" w:eastAsia="Calibri" w:hAnsi="Book Antiqua" w:cs="Arial"/>
          <w:sz w:val="24"/>
          <w:szCs w:val="24"/>
        </w:rPr>
      </w:pPr>
    </w:p>
    <w:p w14:paraId="05D481A4" w14:textId="3BD63F6D" w:rsidR="00A24455" w:rsidRDefault="00A24455" w:rsidP="00A24455">
      <w:pPr>
        <w:spacing w:after="0" w:line="276" w:lineRule="auto"/>
        <w:ind w:left="567" w:right="616"/>
        <w:jc w:val="both"/>
        <w:rPr>
          <w:rFonts w:ascii="Book Antiqua" w:eastAsia="Calibri" w:hAnsi="Book Antiqua" w:cs="Arial"/>
          <w:i/>
          <w:iCs/>
          <w:sz w:val="24"/>
          <w:szCs w:val="24"/>
        </w:rPr>
      </w:pPr>
      <w:r w:rsidRPr="00A24455">
        <w:rPr>
          <w:rFonts w:ascii="Book Antiqua" w:eastAsia="Calibri" w:hAnsi="Book Antiqua" w:cs="Arial"/>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p>
    <w:p w14:paraId="254BFB49" w14:textId="77777777" w:rsidR="000B64CF" w:rsidRPr="00A24455" w:rsidRDefault="000B64CF" w:rsidP="00A24455">
      <w:pPr>
        <w:spacing w:after="0" w:line="276" w:lineRule="auto"/>
        <w:ind w:left="567" w:right="616"/>
        <w:jc w:val="both"/>
        <w:rPr>
          <w:rFonts w:ascii="Book Antiqua" w:eastAsia="Calibri" w:hAnsi="Book Antiqua" w:cs="Arial"/>
          <w:i/>
          <w:iCs/>
          <w:sz w:val="24"/>
          <w:szCs w:val="24"/>
        </w:rPr>
      </w:pPr>
    </w:p>
    <w:p w14:paraId="73E58E37"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Centro de Apoyo, Coordinación y Mejoramiento de la Función Jurisdiccional, Consejo Superior).</w:t>
      </w:r>
    </w:p>
    <w:p w14:paraId="488DC007" w14:textId="77777777" w:rsidR="00A24455" w:rsidRPr="00A24455" w:rsidRDefault="00A24455" w:rsidP="00A24455">
      <w:pPr>
        <w:spacing w:after="0" w:line="276" w:lineRule="auto"/>
        <w:jc w:val="both"/>
        <w:rPr>
          <w:rFonts w:ascii="Book Antiqua" w:eastAsia="Calibri" w:hAnsi="Book Antiqua" w:cs="Arial"/>
          <w:sz w:val="24"/>
          <w:szCs w:val="24"/>
        </w:rPr>
      </w:pPr>
    </w:p>
    <w:p w14:paraId="010CA3B0"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5CF053ED" w14:textId="77777777" w:rsidR="00A24455" w:rsidRPr="00A24455" w:rsidRDefault="00A24455" w:rsidP="00A24455">
      <w:pPr>
        <w:spacing w:after="0" w:line="276" w:lineRule="auto"/>
        <w:contextualSpacing/>
        <w:jc w:val="both"/>
        <w:rPr>
          <w:rFonts w:ascii="Book Antiqua" w:eastAsia="Calibri" w:hAnsi="Book Antiqua" w:cs="Arial"/>
          <w:i/>
          <w:iCs/>
          <w:sz w:val="24"/>
          <w:szCs w:val="24"/>
          <w:lang w:eastAsia="es-CR"/>
        </w:rPr>
      </w:pPr>
    </w:p>
    <w:p w14:paraId="0AD0A5C3" w14:textId="72E5C811" w:rsid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Oficio 039-JVA-2020 suscrito por la MSc Julia Varela Araya, Magistrada Coordinadora de la Comisión de la Jurisdicción de Familia, Niñez y Adolescencia, donde comunica el acuerdo de la Comisión de Familia en sesión celebrada el 25 de junio de 2020 donde:</w:t>
      </w:r>
    </w:p>
    <w:p w14:paraId="74391B80" w14:textId="77777777" w:rsidR="00A24455" w:rsidRPr="00A24455" w:rsidRDefault="00A24455" w:rsidP="00A24455">
      <w:pPr>
        <w:spacing w:after="0" w:line="276" w:lineRule="auto"/>
        <w:jc w:val="both"/>
        <w:rPr>
          <w:rFonts w:ascii="Book Antiqua" w:eastAsia="Calibri" w:hAnsi="Book Antiqua" w:cs="Arial"/>
          <w:sz w:val="24"/>
          <w:szCs w:val="24"/>
        </w:rPr>
      </w:pPr>
    </w:p>
    <w:p w14:paraId="3FD9DCBE" w14:textId="1080D929" w:rsidR="00A24455" w:rsidRDefault="00A24455" w:rsidP="00A24455">
      <w:pPr>
        <w:spacing w:after="0" w:line="276" w:lineRule="auto"/>
        <w:ind w:left="567" w:right="616"/>
        <w:jc w:val="both"/>
        <w:rPr>
          <w:rFonts w:ascii="Book Antiqua" w:eastAsia="Calibri" w:hAnsi="Book Antiqua" w:cs="Arial"/>
          <w:i/>
          <w:sz w:val="24"/>
          <w:szCs w:val="24"/>
        </w:rPr>
      </w:pPr>
      <w:r w:rsidRPr="00A24455">
        <w:rPr>
          <w:rFonts w:ascii="Book Antiqua" w:eastAsia="Calibri" w:hAnsi="Book Antiqua" w:cs="Arial"/>
          <w:sz w:val="24"/>
          <w:szCs w:val="24"/>
        </w:rPr>
        <w:t>“</w:t>
      </w:r>
      <w:r w:rsidRPr="00A24455">
        <w:rPr>
          <w:rFonts w:ascii="Book Antiqua" w:eastAsia="Calibri" w:hAnsi="Book Antiqua" w:cs="Arial"/>
          <w:b/>
          <w:bCs/>
          <w:i/>
          <w:sz w:val="24"/>
          <w:szCs w:val="24"/>
        </w:rPr>
        <w:t>Se acuerda:  1</w:t>
      </w:r>
      <w:r w:rsidRPr="00A24455">
        <w:rPr>
          <w:rFonts w:ascii="Book Antiqua" w:eastAsia="Calibri" w:hAnsi="Book Antiqua" w:cs="Arial"/>
          <w:i/>
          <w:sz w:val="24"/>
          <w:szCs w:val="24"/>
        </w:rPr>
        <w:t xml:space="preserve">) Aprobar que la Dirección de Planificación asuma la Dirección de la Reforma Procesal de Familia y sea acompañada por el Juez Gestor de la materia y esta Comisión. </w:t>
      </w:r>
      <w:r w:rsidRPr="00A24455">
        <w:rPr>
          <w:rFonts w:ascii="Book Antiqua" w:eastAsia="Calibri" w:hAnsi="Book Antiqua" w:cs="Arial"/>
          <w:b/>
          <w:bCs/>
          <w:i/>
          <w:sz w:val="24"/>
          <w:szCs w:val="24"/>
        </w:rPr>
        <w:t>2)</w:t>
      </w:r>
      <w:r w:rsidRPr="00A24455">
        <w:rPr>
          <w:rFonts w:ascii="Book Antiqua" w:eastAsia="Calibri" w:hAnsi="Book Antiqua" w:cs="Arial"/>
          <w:i/>
          <w:sz w:val="24"/>
          <w:szCs w:val="24"/>
        </w:rPr>
        <w:t xml:space="preserve"> La Comisión de Familia, asume el compromiso de brindar el apoyo que corresponda en la parte que le compete.</w:t>
      </w:r>
    </w:p>
    <w:p w14:paraId="29DB4EB4" w14:textId="77777777" w:rsidR="002E0577" w:rsidRDefault="002E0577" w:rsidP="00A24455">
      <w:pPr>
        <w:spacing w:after="0" w:line="276" w:lineRule="auto"/>
        <w:ind w:left="567" w:right="616"/>
        <w:jc w:val="both"/>
        <w:rPr>
          <w:rFonts w:ascii="Book Antiqua" w:eastAsia="Calibri" w:hAnsi="Book Antiqua" w:cs="Arial"/>
          <w:i/>
          <w:sz w:val="24"/>
          <w:szCs w:val="24"/>
        </w:rPr>
      </w:pPr>
    </w:p>
    <w:p w14:paraId="2AF33B0A" w14:textId="62B6FA3C" w:rsidR="002E0577" w:rsidRDefault="002E0577" w:rsidP="002E0577">
      <w:pPr>
        <w:spacing w:after="0" w:line="276" w:lineRule="auto"/>
        <w:ind w:left="567" w:right="616"/>
        <w:jc w:val="both"/>
        <w:rPr>
          <w:rFonts w:ascii="Book Antiqua" w:eastAsia="Calibri" w:hAnsi="Book Antiqua" w:cs="Arial"/>
          <w:i/>
          <w:sz w:val="24"/>
          <w:szCs w:val="24"/>
        </w:rPr>
      </w:pPr>
      <w:r w:rsidRPr="002E0577">
        <w:rPr>
          <w:rFonts w:ascii="Book Antiqua" w:eastAsia="Calibri" w:hAnsi="Book Antiqua" w:cs="Arial"/>
          <w:i/>
          <w:sz w:val="24"/>
          <w:szCs w:val="24"/>
        </w:rPr>
        <w:t>Se tiene como acuerdo firme.”.</w:t>
      </w:r>
    </w:p>
    <w:p w14:paraId="20AAB76D" w14:textId="77777777" w:rsidR="00026A8D" w:rsidRPr="002E0577" w:rsidRDefault="00026A8D" w:rsidP="002E0577">
      <w:pPr>
        <w:spacing w:after="0" w:line="276" w:lineRule="auto"/>
        <w:ind w:left="567" w:right="616"/>
        <w:jc w:val="both"/>
        <w:rPr>
          <w:rFonts w:ascii="Book Antiqua" w:eastAsia="Calibri" w:hAnsi="Book Antiqua" w:cs="Arial"/>
          <w:i/>
          <w:sz w:val="24"/>
          <w:szCs w:val="24"/>
        </w:rPr>
      </w:pPr>
    </w:p>
    <w:p w14:paraId="57722774" w14:textId="45DBAC8F" w:rsidR="002E0577" w:rsidRDefault="002E0577" w:rsidP="001D0C10">
      <w:pPr>
        <w:spacing w:after="0" w:line="276" w:lineRule="auto"/>
        <w:ind w:right="49"/>
        <w:jc w:val="both"/>
        <w:rPr>
          <w:rFonts w:ascii="Book Antiqua" w:eastAsia="Calibri" w:hAnsi="Book Antiqua" w:cs="Arial"/>
          <w:sz w:val="24"/>
          <w:szCs w:val="24"/>
        </w:rPr>
      </w:pPr>
      <w:r w:rsidRPr="002E0577">
        <w:rPr>
          <w:rFonts w:ascii="Book Antiqua" w:eastAsia="Calibri" w:hAnsi="Book Antiqua" w:cs="Arial"/>
          <w:sz w:val="24"/>
          <w:szCs w:val="24"/>
        </w:rPr>
        <w:t>Oficios 991-PLA-ES-EV-2020 y 1004-PLA-ES-2020 aprobados por el Consejo Superior en sesión 70-2020 celebrada el 09 de julio del 2020, artículo LVIII donde acordó</w:t>
      </w:r>
      <w:r w:rsidR="008A348D">
        <w:rPr>
          <w:rFonts w:ascii="Book Antiqua" w:eastAsia="Calibri" w:hAnsi="Book Antiqua" w:cs="Arial"/>
          <w:sz w:val="24"/>
          <w:szCs w:val="24"/>
        </w:rPr>
        <w:t xml:space="preserve"> el plan de trabajo para atender esas recomendaciones según responsable</w:t>
      </w:r>
      <w:r w:rsidRPr="002E0577">
        <w:rPr>
          <w:rFonts w:ascii="Book Antiqua" w:eastAsia="Calibri" w:hAnsi="Book Antiqua" w:cs="Arial"/>
          <w:sz w:val="24"/>
          <w:szCs w:val="24"/>
        </w:rPr>
        <w:t>:</w:t>
      </w:r>
    </w:p>
    <w:p w14:paraId="72F976C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b/>
          <w:bCs/>
          <w:i/>
          <w:sz w:val="24"/>
          <w:szCs w:val="24"/>
        </w:rPr>
        <w:t>“Se acordó:</w:t>
      </w:r>
      <w:r w:rsidRPr="00210D0A">
        <w:rPr>
          <w:rFonts w:ascii="Book Antiqua" w:eastAsia="Calibri" w:hAnsi="Book Antiqua"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419ED90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con fecha de entrada mayor a la fecha de término.</w:t>
      </w:r>
    </w:p>
    <w:p w14:paraId="05F969BE"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Expedientes donde la clase de asunto asignada no corresponde a las aprobadas por la Comisión de Familia, Niñez y Adolescencia. </w:t>
      </w:r>
    </w:p>
    <w:p w14:paraId="4C5A635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donde el procedimiento asignado no corresponde a los aprobados por la Comisión de Familia, Niñez y Adolescencia.</w:t>
      </w:r>
    </w:p>
    <w:p w14:paraId="42A18E6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donde el principal se encuentra cerrado estadísticamente, pero tiene un incidente o legajo de apremio que se está tramitando.</w:t>
      </w:r>
    </w:p>
    <w:p w14:paraId="4AE07C5A"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Expedientes donde la fecha de pase a fallo sea menor a la fecha de dictado de sentencia. </w:t>
      </w:r>
    </w:p>
    <w:p w14:paraId="66639204" w14:textId="58B8CD12" w:rsidR="00210D0A" w:rsidRPr="00210D0A" w:rsidRDefault="00210D0A" w:rsidP="00380AC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14E59C3E"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Datos generales: variable acorde al tipo de carpeta.</w:t>
      </w:r>
    </w:p>
    <w:p w14:paraId="47A7A282"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Datos de seguimiento: procedimiento, fase y estado</w:t>
      </w:r>
    </w:p>
    <w:p w14:paraId="0512209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Responsables: decisor, tramitador y auxiliar. </w:t>
      </w:r>
    </w:p>
    <w:p w14:paraId="2379A9CF"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Ubicaciones y tareas: que coincida con la fase. </w:t>
      </w:r>
    </w:p>
    <w:p w14:paraId="0D74395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Sello de inventario: opción inventario 2020.</w:t>
      </w:r>
    </w:p>
    <w:p w14:paraId="3EC7F7C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Intervinientes: sexo, edad, nacionalidad, domicilio, ocupación, estado civil, fecha de nacimiento, Grupo étnico.</w:t>
      </w:r>
    </w:p>
    <w:p w14:paraId="187A345D"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Datos adicionales: Testimonio de piezas: tenga marca de si es o no un testimonio; Cantón de procedencia, procedencia. </w:t>
      </w:r>
    </w:p>
    <w:p w14:paraId="233792CD"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0BA2EAA5" w14:textId="49689281" w:rsidR="00210D0A" w:rsidRDefault="00210D0A" w:rsidP="00380AC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4BC94A9C" w14:textId="77777777" w:rsidR="00380ACA" w:rsidRPr="00210D0A" w:rsidRDefault="00380ACA" w:rsidP="00380ACA">
      <w:pPr>
        <w:spacing w:after="0" w:line="276" w:lineRule="auto"/>
        <w:ind w:left="567" w:right="616"/>
        <w:jc w:val="both"/>
        <w:rPr>
          <w:rFonts w:ascii="Book Antiqua" w:eastAsia="Calibri" w:hAnsi="Book Antiqua" w:cs="Arial"/>
          <w:i/>
          <w:sz w:val="24"/>
          <w:szCs w:val="24"/>
        </w:rPr>
      </w:pPr>
    </w:p>
    <w:p w14:paraId="04107724" w14:textId="6259B200" w:rsidR="00210D0A" w:rsidRDefault="00210D0A" w:rsidP="00210D0A">
      <w:pPr>
        <w:spacing w:after="0" w:line="276" w:lineRule="auto"/>
        <w:ind w:left="567" w:right="616"/>
        <w:jc w:val="both"/>
        <w:rPr>
          <w:rFonts w:ascii="Book Antiqua" w:eastAsia="Calibri" w:hAnsi="Book Antiqua" w:cs="Arial"/>
          <w:b/>
          <w:bCs/>
          <w:i/>
          <w:sz w:val="24"/>
          <w:szCs w:val="24"/>
        </w:rPr>
      </w:pPr>
      <w:r w:rsidRPr="00210D0A">
        <w:rPr>
          <w:rFonts w:ascii="Book Antiqua" w:eastAsia="Calibri" w:hAnsi="Book Antiqua"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210D0A">
        <w:rPr>
          <w:rFonts w:ascii="Book Antiqua" w:eastAsia="Calibri" w:hAnsi="Book Antiqua" w:cs="Arial"/>
          <w:b/>
          <w:bCs/>
          <w:i/>
          <w:sz w:val="24"/>
          <w:szCs w:val="24"/>
        </w:rPr>
        <w:t>Se declara acuerdo firme.”.</w:t>
      </w:r>
    </w:p>
    <w:p w14:paraId="260EA76F" w14:textId="77777777" w:rsidR="004D77D0" w:rsidRPr="00210D0A" w:rsidRDefault="004D77D0" w:rsidP="00210D0A">
      <w:pPr>
        <w:spacing w:after="0" w:line="276" w:lineRule="auto"/>
        <w:ind w:left="567" w:right="616"/>
        <w:jc w:val="both"/>
        <w:rPr>
          <w:rFonts w:ascii="Book Antiqua" w:eastAsia="Calibri" w:hAnsi="Book Antiqua" w:cs="Arial"/>
          <w:b/>
          <w:bCs/>
          <w:sz w:val="24"/>
          <w:szCs w:val="24"/>
        </w:rPr>
      </w:pPr>
    </w:p>
    <w:p w14:paraId="2A06BD0C" w14:textId="76FCD021" w:rsidR="00210D0A" w:rsidRPr="00210D0A" w:rsidRDefault="00210D0A"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r w:rsidRPr="008E2A27">
        <w:rPr>
          <w:rFonts w:ascii="Book Antiqua" w:eastAsia="Arial Unicode MS" w:hAnsi="Book Antiqua" w:cs="Arial"/>
          <w:color w:val="000000"/>
          <w:sz w:val="24"/>
          <w:szCs w:val="24"/>
          <w:u w:color="000000"/>
          <w:lang w:val="es-ES" w:eastAsia="es-ES"/>
        </w:rPr>
        <w:t xml:space="preserve">Respecto a las recomendaciones dadas </w:t>
      </w:r>
      <w:r w:rsidR="0084665A">
        <w:rPr>
          <w:rFonts w:ascii="Book Antiqua" w:eastAsia="Arial Unicode MS" w:hAnsi="Book Antiqua" w:cs="Arial"/>
          <w:color w:val="000000"/>
          <w:sz w:val="24"/>
          <w:szCs w:val="24"/>
          <w:u w:color="000000"/>
          <w:lang w:val="es-ES" w:eastAsia="es-ES"/>
        </w:rPr>
        <w:t xml:space="preserve">de parte de </w:t>
      </w:r>
      <w:r w:rsidRPr="008E2A27">
        <w:rPr>
          <w:rFonts w:ascii="Book Antiqua" w:eastAsia="Arial Unicode MS" w:hAnsi="Book Antiqua" w:cs="Arial"/>
          <w:color w:val="000000"/>
          <w:sz w:val="24"/>
          <w:szCs w:val="24"/>
          <w:u w:color="000000"/>
          <w:lang w:val="es-ES" w:eastAsia="es-ES"/>
        </w:rPr>
        <w:t>la Contraloría General de la República</w:t>
      </w:r>
      <w:r w:rsidR="0084665A">
        <w:rPr>
          <w:rFonts w:ascii="Book Antiqua" w:eastAsia="Arial Unicode MS" w:hAnsi="Book Antiqua" w:cs="Arial"/>
          <w:color w:val="000000"/>
          <w:sz w:val="24"/>
          <w:szCs w:val="24"/>
          <w:u w:color="000000"/>
          <w:lang w:val="es-ES" w:eastAsia="es-ES"/>
        </w:rPr>
        <w:t>,</w:t>
      </w:r>
      <w:r w:rsidRPr="008E2A27">
        <w:rPr>
          <w:rFonts w:ascii="Book Antiqua" w:eastAsia="Arial Unicode MS" w:hAnsi="Book Antiqua" w:cs="Arial"/>
          <w:color w:val="000000"/>
          <w:sz w:val="24"/>
          <w:szCs w:val="24"/>
          <w:u w:color="000000"/>
          <w:lang w:val="es-ES" w:eastAsia="es-ES"/>
        </w:rPr>
        <w:t xml:space="preserve"> se</w:t>
      </w:r>
      <w:r w:rsidR="008E2A27" w:rsidRPr="008E2A27">
        <w:rPr>
          <w:rFonts w:ascii="Book Antiqua" w:eastAsia="Arial Unicode MS" w:hAnsi="Book Antiqua" w:cs="Arial"/>
          <w:color w:val="000000"/>
          <w:sz w:val="24"/>
          <w:szCs w:val="24"/>
          <w:u w:color="000000"/>
          <w:lang w:val="es-ES" w:eastAsia="es-ES"/>
        </w:rPr>
        <w:t xml:space="preserve"> emitieron los respectivos oficios en donde </w:t>
      </w:r>
      <w:r w:rsidR="008A348D">
        <w:rPr>
          <w:rFonts w:ascii="Book Antiqua" w:eastAsia="Arial Unicode MS" w:hAnsi="Book Antiqua" w:cs="Arial"/>
          <w:color w:val="000000"/>
          <w:sz w:val="24"/>
          <w:szCs w:val="24"/>
          <w:u w:color="000000"/>
          <w:lang w:val="es-ES" w:eastAsia="es-ES"/>
        </w:rPr>
        <w:t xml:space="preserve">se tiene por acreditado el cumplimiento </w:t>
      </w:r>
      <w:r w:rsidR="008A348D" w:rsidRPr="008A348D">
        <w:rPr>
          <w:rFonts w:ascii="Book Antiqua" w:eastAsia="Arial Unicode MS" w:hAnsi="Book Antiqua" w:cs="Arial"/>
          <w:color w:val="000000"/>
          <w:sz w:val="24"/>
          <w:szCs w:val="24"/>
          <w:u w:color="000000"/>
          <w:lang w:val="es-ES" w:eastAsia="es-ES"/>
        </w:rPr>
        <w:t>al 100% en 2021, ya el órgano contralor dio por finalizado el seguimiento al Poder Judicial y esto fue comunicado al Consejo Superior mediante oficio 1320-PLA-MI-2021 aprobado en sesión 02-2022 celebrada el 06 de enero del 2022, artículo XLI.</w:t>
      </w:r>
      <w:r w:rsidR="008A348D">
        <w:rPr>
          <w:rFonts w:ascii="Book Antiqua" w:eastAsia="Arial Unicode MS" w:hAnsi="Book Antiqua" w:cs="Arial"/>
          <w:color w:val="000000"/>
          <w:sz w:val="24"/>
          <w:szCs w:val="24"/>
          <w:u w:color="000000"/>
          <w:lang w:val="es-ES" w:eastAsia="es-ES"/>
        </w:rPr>
        <w:t xml:space="preserve"> La conclusión d</w:t>
      </w:r>
      <w:r w:rsidR="008E2A27" w:rsidRPr="008E2A27">
        <w:rPr>
          <w:rFonts w:ascii="Book Antiqua" w:eastAsia="Arial Unicode MS" w:hAnsi="Book Antiqua" w:cs="Arial"/>
          <w:color w:val="000000"/>
          <w:sz w:val="24"/>
          <w:szCs w:val="24"/>
          <w:u w:color="000000"/>
          <w:lang w:val="es-ES" w:eastAsia="es-ES"/>
        </w:rPr>
        <w:t>el proceso de seguimiento</w:t>
      </w:r>
      <w:r w:rsidR="008A348D">
        <w:rPr>
          <w:rFonts w:ascii="Book Antiqua" w:eastAsia="Arial Unicode MS" w:hAnsi="Book Antiqua" w:cs="Arial"/>
          <w:color w:val="000000"/>
          <w:sz w:val="24"/>
          <w:szCs w:val="24"/>
          <w:u w:color="000000"/>
          <w:lang w:val="es-ES" w:eastAsia="es-ES"/>
        </w:rPr>
        <w:t xml:space="preserve"> por parte de la Contraloría, </w:t>
      </w:r>
      <w:r w:rsidR="0084665A">
        <w:rPr>
          <w:rFonts w:ascii="Book Antiqua" w:eastAsia="Arial Unicode MS" w:hAnsi="Book Antiqua" w:cs="Arial"/>
          <w:color w:val="000000"/>
          <w:sz w:val="24"/>
          <w:szCs w:val="24"/>
          <w:u w:color="000000"/>
          <w:lang w:val="es-ES" w:eastAsia="es-ES"/>
        </w:rPr>
        <w:t xml:space="preserve"> </w:t>
      </w:r>
      <w:r w:rsidR="008A348D">
        <w:rPr>
          <w:rFonts w:ascii="Book Antiqua" w:eastAsia="Arial Unicode MS" w:hAnsi="Book Antiqua" w:cs="Arial"/>
          <w:color w:val="000000"/>
          <w:sz w:val="24"/>
          <w:szCs w:val="24"/>
          <w:u w:color="000000"/>
          <w:lang w:val="es-ES" w:eastAsia="es-ES"/>
        </w:rPr>
        <w:t>es comunicado</w:t>
      </w:r>
      <w:r w:rsidR="0084665A">
        <w:rPr>
          <w:rFonts w:ascii="Book Antiqua" w:eastAsia="Arial Unicode MS" w:hAnsi="Book Antiqua" w:cs="Arial"/>
          <w:color w:val="000000"/>
          <w:sz w:val="24"/>
          <w:szCs w:val="24"/>
          <w:u w:color="000000"/>
          <w:lang w:val="es-ES" w:eastAsia="es-ES"/>
        </w:rPr>
        <w:t xml:space="preserve"> sin perjuicio de la fiscalización posterior que pueda llevar a cabo y </w:t>
      </w:r>
      <w:r w:rsidR="008E2A27">
        <w:rPr>
          <w:rFonts w:ascii="Book Antiqua" w:eastAsia="Arial Unicode MS" w:hAnsi="Book Antiqua" w:cs="Arial"/>
          <w:color w:val="000000"/>
          <w:sz w:val="24"/>
          <w:szCs w:val="24"/>
          <w:u w:color="000000"/>
          <w:lang w:val="es-ES" w:eastAsia="es-ES"/>
        </w:rPr>
        <w:t>además</w:t>
      </w:r>
      <w:r w:rsidR="0084665A">
        <w:rPr>
          <w:rFonts w:ascii="Book Antiqua" w:eastAsia="Arial Unicode MS" w:hAnsi="Book Antiqua" w:cs="Arial"/>
          <w:color w:val="000000"/>
          <w:sz w:val="24"/>
          <w:szCs w:val="24"/>
          <w:u w:color="000000"/>
          <w:lang w:val="es-ES" w:eastAsia="es-ES"/>
        </w:rPr>
        <w:t xml:space="preserve"> reitera </w:t>
      </w:r>
      <w:r w:rsidR="008E2A27" w:rsidRPr="008E2A27">
        <w:rPr>
          <w:rFonts w:ascii="Book Antiqua" w:eastAsia="Arial Unicode MS" w:hAnsi="Book Antiqua" w:cs="Arial"/>
          <w:color w:val="000000"/>
          <w:sz w:val="24"/>
          <w:szCs w:val="24"/>
          <w:u w:color="000000"/>
          <w:lang w:val="es-ES" w:eastAsia="es-ES"/>
        </w:rPr>
        <w:t>la responsabilidad que compete a</w:t>
      </w:r>
      <w:r w:rsidR="008A348D">
        <w:rPr>
          <w:rFonts w:ascii="Book Antiqua" w:eastAsia="Arial Unicode MS" w:hAnsi="Book Antiqua" w:cs="Arial"/>
          <w:color w:val="000000"/>
          <w:sz w:val="24"/>
          <w:szCs w:val="24"/>
          <w:u w:color="000000"/>
          <w:lang w:val="es-ES" w:eastAsia="es-ES"/>
        </w:rPr>
        <w:t xml:space="preserve">l </w:t>
      </w:r>
      <w:r w:rsidR="008E2A27" w:rsidRPr="008E2A27">
        <w:rPr>
          <w:rFonts w:ascii="Book Antiqua" w:eastAsia="Arial Unicode MS" w:hAnsi="Book Antiqua" w:cs="Arial"/>
          <w:color w:val="000000"/>
          <w:sz w:val="24"/>
          <w:szCs w:val="24"/>
          <w:u w:color="000000"/>
          <w:lang w:val="es-ES" w:eastAsia="es-ES"/>
        </w:rPr>
        <w:t xml:space="preserve">Consejo Superior, de velar por la continuidad de las acciones implementadas en los Despachos Judiciales que atienden materia de Pensión Alimentaria y de Familia, </w:t>
      </w:r>
      <w:r w:rsidR="008E2A27">
        <w:rPr>
          <w:rFonts w:ascii="Book Antiqua" w:eastAsia="Arial Unicode MS" w:hAnsi="Book Antiqua" w:cs="Arial"/>
          <w:color w:val="000000"/>
          <w:sz w:val="24"/>
          <w:szCs w:val="24"/>
          <w:u w:color="000000"/>
          <w:lang w:val="es-ES" w:eastAsia="es-ES"/>
        </w:rPr>
        <w:t>a</w:t>
      </w:r>
      <w:r w:rsidR="008E2A27" w:rsidRPr="008E2A27">
        <w:rPr>
          <w:rFonts w:ascii="Book Antiqua" w:eastAsia="Arial Unicode MS" w:hAnsi="Book Antiqua" w:cs="Arial"/>
          <w:color w:val="000000"/>
          <w:sz w:val="24"/>
          <w:szCs w:val="24"/>
          <w:u w:color="000000"/>
          <w:lang w:val="es-ES" w:eastAsia="es-ES"/>
        </w:rPr>
        <w:t xml:space="preserve">sí como adoptar las acciones adicionales que se requieran en un futuro para que no se repitan las situaciones que motivaron la disposición </w:t>
      </w:r>
      <w:r w:rsidR="008A348D">
        <w:rPr>
          <w:rFonts w:ascii="Book Antiqua" w:eastAsia="Arial Unicode MS" w:hAnsi="Book Antiqua" w:cs="Arial"/>
          <w:color w:val="000000"/>
          <w:sz w:val="24"/>
          <w:szCs w:val="24"/>
          <w:u w:color="000000"/>
          <w:lang w:val="es-ES" w:eastAsia="es-ES"/>
        </w:rPr>
        <w:t>inicial</w:t>
      </w:r>
      <w:r w:rsidR="008E2A27" w:rsidRPr="008E2A27">
        <w:rPr>
          <w:rFonts w:ascii="Book Antiqua" w:eastAsia="Arial Unicode MS" w:hAnsi="Book Antiqua" w:cs="Arial"/>
          <w:color w:val="000000"/>
          <w:sz w:val="24"/>
          <w:szCs w:val="24"/>
          <w:u w:color="000000"/>
          <w:lang w:val="es-ES" w:eastAsia="es-ES"/>
        </w:rPr>
        <w:t>.</w:t>
      </w:r>
      <w:r w:rsidR="008E2A27">
        <w:rPr>
          <w:rFonts w:ascii="Book Antiqua" w:eastAsia="Arial Unicode MS" w:hAnsi="Book Antiqua" w:cs="Arial"/>
          <w:color w:val="000000"/>
          <w:sz w:val="24"/>
          <w:szCs w:val="24"/>
          <w:u w:color="000000"/>
          <w:lang w:val="es-ES" w:eastAsia="es-ES"/>
        </w:rPr>
        <w:t xml:space="preserve"> </w:t>
      </w:r>
      <w:r w:rsidRPr="00210D0A">
        <w:rPr>
          <w:rFonts w:ascii="Book Antiqua" w:eastAsia="Arial Unicode MS" w:hAnsi="Book Antiqua" w:cs="Arial"/>
          <w:color w:val="000000"/>
          <w:sz w:val="24"/>
          <w:szCs w:val="24"/>
          <w:u w:color="000000"/>
          <w:lang w:val="es-ES" w:eastAsia="es-ES"/>
        </w:rPr>
        <w:t xml:space="preserve">  </w:t>
      </w:r>
    </w:p>
    <w:p w14:paraId="5228CC44" w14:textId="77777777" w:rsidR="00D433A5" w:rsidRDefault="00D433A5"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p>
    <w:p w14:paraId="1B23D102" w14:textId="344B91E5" w:rsidR="008A348D" w:rsidRDefault="008A348D"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r w:rsidRPr="008A348D">
        <w:rPr>
          <w:rFonts w:ascii="Book Antiqua" w:eastAsia="Arial Unicode MS" w:hAnsi="Book Antiqua" w:cs="Arial"/>
          <w:color w:val="000000"/>
          <w:sz w:val="24"/>
          <w:szCs w:val="24"/>
          <w:u w:color="000000"/>
          <w:lang w:val="es-ES" w:eastAsia="es-ES"/>
        </w:rPr>
        <w:t xml:space="preserve">El resumen se presenta en el siguiente cuadro: </w:t>
      </w:r>
      <w:r w:rsidRPr="008E2A27">
        <w:rPr>
          <w:rFonts w:ascii="Book Antiqua" w:eastAsia="Arial Unicode MS" w:hAnsi="Book Antiqua" w:cs="Arial"/>
          <w:color w:val="000000"/>
          <w:sz w:val="24"/>
          <w:szCs w:val="24"/>
          <w:u w:color="000000"/>
          <w:lang w:val="es-ES" w:eastAsia="es-ES"/>
        </w:rPr>
        <w:t xml:space="preserve"> </w:t>
      </w:r>
    </w:p>
    <w:p w14:paraId="0C80C557" w14:textId="7A133399" w:rsidR="009216BC" w:rsidRDefault="009216BC"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p>
    <w:p w14:paraId="3E69BF86" w14:textId="32CC3DD7" w:rsidR="009216BC" w:rsidRPr="009216BC" w:rsidRDefault="009216BC" w:rsidP="009216B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216BC">
        <w:rPr>
          <w:rFonts w:ascii="Book Antiqua" w:eastAsia="Calibri" w:hAnsi="Book Antiqua" w:cs="Arial"/>
          <w:b/>
          <w:bCs/>
          <w:color w:val="1F497D"/>
          <w:szCs w:val="24"/>
          <w:lang w:val="es-ES" w:eastAsia="es-ES"/>
        </w:rPr>
        <w:t xml:space="preserve">Cuadro </w:t>
      </w:r>
      <w:r w:rsidRPr="009216BC">
        <w:rPr>
          <w:rFonts w:ascii="Book Antiqua" w:eastAsia="Calibri" w:hAnsi="Book Antiqua" w:cs="Arial"/>
          <w:b/>
          <w:bCs/>
          <w:color w:val="1F497D"/>
          <w:szCs w:val="24"/>
          <w:lang w:val="es-ES" w:eastAsia="es-ES"/>
        </w:rPr>
        <w:fldChar w:fldCharType="begin"/>
      </w:r>
      <w:r w:rsidRPr="009216BC">
        <w:rPr>
          <w:rFonts w:ascii="Book Antiqua" w:eastAsia="Calibri" w:hAnsi="Book Antiqua" w:cs="Arial"/>
          <w:b/>
          <w:bCs/>
          <w:color w:val="1F497D"/>
          <w:szCs w:val="24"/>
          <w:lang w:val="es-ES" w:eastAsia="es-ES"/>
        </w:rPr>
        <w:instrText xml:space="preserve"> SEQ Cuadro \* ARABIC </w:instrText>
      </w:r>
      <w:r w:rsidRPr="009216B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1</w:t>
      </w:r>
      <w:r w:rsidRPr="009216BC">
        <w:rPr>
          <w:rFonts w:ascii="Book Antiqua" w:eastAsia="Calibri" w:hAnsi="Book Antiqua" w:cs="Arial"/>
          <w:b/>
          <w:bCs/>
          <w:color w:val="1F497D"/>
          <w:szCs w:val="24"/>
          <w:lang w:val="es-ES" w:eastAsia="es-ES"/>
        </w:rPr>
        <w:fldChar w:fldCharType="end"/>
      </w:r>
      <w:r w:rsidRPr="009216BC">
        <w:rPr>
          <w:rFonts w:ascii="Book Antiqua" w:eastAsia="Calibri" w:hAnsi="Book Antiqua" w:cs="Arial"/>
          <w:b/>
          <w:bCs/>
          <w:color w:val="1F497D"/>
          <w:szCs w:val="24"/>
          <w:lang w:val="es-ES" w:eastAsia="es-ES"/>
        </w:rPr>
        <w:t xml:space="preserve"> </w:t>
      </w:r>
    </w:p>
    <w:p w14:paraId="79E53E09" w14:textId="46E4E062" w:rsidR="009216BC" w:rsidRPr="009216BC" w:rsidRDefault="00960311" w:rsidP="009216B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Resumen de c</w:t>
      </w:r>
      <w:r w:rsidR="006D695A">
        <w:rPr>
          <w:rFonts w:ascii="Book Antiqua" w:eastAsia="Calibri" w:hAnsi="Book Antiqua" w:cs="Arial"/>
          <w:b/>
          <w:bCs/>
          <w:color w:val="1F497D"/>
          <w:szCs w:val="24"/>
          <w:lang w:val="es-ES" w:eastAsia="es-ES"/>
        </w:rPr>
        <w:t xml:space="preserve">umplimiento </w:t>
      </w:r>
      <w:r>
        <w:rPr>
          <w:rFonts w:ascii="Book Antiqua" w:eastAsia="Calibri" w:hAnsi="Book Antiqua" w:cs="Arial"/>
          <w:b/>
          <w:bCs/>
          <w:color w:val="1F497D"/>
          <w:szCs w:val="24"/>
          <w:lang w:val="es-ES" w:eastAsia="es-ES"/>
        </w:rPr>
        <w:t>de las r</w:t>
      </w:r>
      <w:r w:rsidR="006D695A">
        <w:rPr>
          <w:rFonts w:ascii="Book Antiqua" w:eastAsia="Calibri" w:hAnsi="Book Antiqua" w:cs="Arial"/>
          <w:b/>
          <w:bCs/>
          <w:color w:val="1F497D"/>
          <w:szCs w:val="24"/>
          <w:lang w:val="es-ES" w:eastAsia="es-ES"/>
        </w:rPr>
        <w:t>ecomendaciones de la CGR</w:t>
      </w:r>
    </w:p>
    <w:tbl>
      <w:tblPr>
        <w:tblW w:w="11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1950"/>
        <w:gridCol w:w="3294"/>
        <w:gridCol w:w="1669"/>
      </w:tblGrid>
      <w:tr w:rsidR="008A348D" w:rsidRPr="00201631" w14:paraId="35BD275F" w14:textId="77777777" w:rsidTr="00612E7C">
        <w:trPr>
          <w:trHeight w:val="282"/>
          <w:jc w:val="center"/>
        </w:trPr>
        <w:tc>
          <w:tcPr>
            <w:tcW w:w="4532" w:type="dxa"/>
            <w:shd w:val="clear" w:color="auto" w:fill="0070C0"/>
            <w:vAlign w:val="center"/>
          </w:tcPr>
          <w:p w14:paraId="38DC7B10"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Recomendación</w:t>
            </w:r>
          </w:p>
        </w:tc>
        <w:tc>
          <w:tcPr>
            <w:tcW w:w="1950" w:type="dxa"/>
            <w:shd w:val="clear" w:color="auto" w:fill="0070C0"/>
            <w:vAlign w:val="center"/>
          </w:tcPr>
          <w:p w14:paraId="7D69E6B5"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Oficio de comunicación cumplimiento</w:t>
            </w:r>
          </w:p>
        </w:tc>
        <w:tc>
          <w:tcPr>
            <w:tcW w:w="3294" w:type="dxa"/>
            <w:shd w:val="clear" w:color="auto" w:fill="0070C0"/>
            <w:vAlign w:val="center"/>
          </w:tcPr>
          <w:p w14:paraId="62C49C0C"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Acuerdo del Consejo Superior</w:t>
            </w:r>
          </w:p>
        </w:tc>
        <w:tc>
          <w:tcPr>
            <w:tcW w:w="1669" w:type="dxa"/>
            <w:shd w:val="clear" w:color="auto" w:fill="0070C0"/>
            <w:vAlign w:val="center"/>
          </w:tcPr>
          <w:p w14:paraId="2BA36096"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Oficio de la CGR donde dio por atendida la recomendación</w:t>
            </w:r>
          </w:p>
        </w:tc>
      </w:tr>
      <w:tr w:rsidR="008A348D" w:rsidRPr="00201631" w14:paraId="499E9CE2" w14:textId="77777777" w:rsidTr="00612E7C">
        <w:trPr>
          <w:trHeight w:val="1830"/>
          <w:jc w:val="center"/>
        </w:trPr>
        <w:tc>
          <w:tcPr>
            <w:tcW w:w="4532" w:type="dxa"/>
            <w:vMerge w:val="restart"/>
            <w:shd w:val="clear" w:color="auto" w:fill="auto"/>
            <w:vAlign w:val="center"/>
          </w:tcPr>
          <w:p w14:paraId="349C28ED"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4.4 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p>
        </w:tc>
        <w:tc>
          <w:tcPr>
            <w:tcW w:w="1950" w:type="dxa"/>
            <w:shd w:val="clear" w:color="auto" w:fill="auto"/>
            <w:vAlign w:val="center"/>
          </w:tcPr>
          <w:p w14:paraId="65DAD587"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1212-PLA-EV-2020</w:t>
            </w:r>
          </w:p>
        </w:tc>
        <w:tc>
          <w:tcPr>
            <w:tcW w:w="3294" w:type="dxa"/>
            <w:shd w:val="clear" w:color="auto" w:fill="auto"/>
            <w:vAlign w:val="center"/>
          </w:tcPr>
          <w:p w14:paraId="173E762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82-2020 celebrada el 20 de agosto del 2020, artículo XLI</w:t>
            </w:r>
          </w:p>
        </w:tc>
        <w:tc>
          <w:tcPr>
            <w:tcW w:w="1669" w:type="dxa"/>
            <w:vMerge w:val="restart"/>
            <w:vAlign w:val="center"/>
          </w:tcPr>
          <w:p w14:paraId="5248B041"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lang w:eastAsia="es-CR"/>
              </w:rPr>
              <w:t>DFOE-SD-0618</w:t>
            </w:r>
          </w:p>
        </w:tc>
      </w:tr>
      <w:tr w:rsidR="008A348D" w:rsidRPr="00201631" w14:paraId="7ACF2EBF" w14:textId="77777777" w:rsidTr="00612E7C">
        <w:trPr>
          <w:trHeight w:val="984"/>
          <w:jc w:val="center"/>
        </w:trPr>
        <w:tc>
          <w:tcPr>
            <w:tcW w:w="4532" w:type="dxa"/>
            <w:vMerge/>
            <w:shd w:val="clear" w:color="auto" w:fill="auto"/>
            <w:vAlign w:val="center"/>
          </w:tcPr>
          <w:p w14:paraId="64F559D3"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383D7A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1801-PLA-ES-EV- 2020</w:t>
            </w:r>
          </w:p>
        </w:tc>
        <w:tc>
          <w:tcPr>
            <w:tcW w:w="3294" w:type="dxa"/>
            <w:shd w:val="clear" w:color="auto" w:fill="auto"/>
            <w:vAlign w:val="center"/>
          </w:tcPr>
          <w:p w14:paraId="73712BEE" w14:textId="428F06A7" w:rsidR="008A348D" w:rsidRPr="001D0C10" w:rsidRDefault="008A348D" w:rsidP="00035934">
            <w:pPr>
              <w:autoSpaceDE w:val="0"/>
              <w:autoSpaceDN w:val="0"/>
              <w:adjustRightInd w:val="0"/>
              <w:jc w:val="both"/>
              <w:rPr>
                <w:rFonts w:ascii="Book Antiqua" w:hAnsi="Book Antiqua" w:cs="TimesNewRomanPS-BoldMT"/>
                <w:sz w:val="20"/>
                <w:szCs w:val="20"/>
                <w:lang w:eastAsia="es-CR"/>
              </w:rPr>
            </w:pPr>
            <w:r w:rsidRPr="00201631">
              <w:rPr>
                <w:rFonts w:ascii="Book Antiqua" w:hAnsi="Book Antiqua" w:cs="TimesNewRomanPS-BoldMT"/>
                <w:sz w:val="20"/>
                <w:szCs w:val="20"/>
                <w:lang w:eastAsia="es-CR"/>
              </w:rPr>
              <w:t xml:space="preserve">Sesión 111-2020 </w:t>
            </w:r>
            <w:r w:rsidRPr="00201631">
              <w:rPr>
                <w:rFonts w:ascii="Book Antiqua" w:hAnsi="Book Antiqua" w:cs="TimesNewRomanPSMT"/>
                <w:sz w:val="20"/>
                <w:szCs w:val="20"/>
                <w:lang w:eastAsia="es-CR"/>
              </w:rPr>
              <w:t xml:space="preserve">celebrada el </w:t>
            </w:r>
            <w:r w:rsidRPr="00201631">
              <w:rPr>
                <w:rFonts w:ascii="Book Antiqua" w:hAnsi="Book Antiqua" w:cs="TimesNewRomanPS-BoldMT"/>
                <w:sz w:val="20"/>
                <w:szCs w:val="20"/>
                <w:lang w:eastAsia="es-CR"/>
              </w:rPr>
              <w:t>17 de noviembre del</w:t>
            </w:r>
            <w:r w:rsidR="00707CDE">
              <w:rPr>
                <w:rFonts w:ascii="Book Antiqua" w:hAnsi="Book Antiqua" w:cs="TimesNewRomanPS-BoldMT"/>
                <w:sz w:val="20"/>
                <w:szCs w:val="20"/>
                <w:lang w:eastAsia="es-CR"/>
              </w:rPr>
              <w:t xml:space="preserve"> </w:t>
            </w:r>
            <w:r w:rsidRPr="00201631">
              <w:rPr>
                <w:rFonts w:ascii="Book Antiqua" w:hAnsi="Book Antiqua" w:cs="TimesNewRomanPS-BoldMT"/>
                <w:sz w:val="20"/>
                <w:szCs w:val="20"/>
                <w:lang w:eastAsia="es-CR"/>
              </w:rPr>
              <w:t xml:space="preserve">2020, </w:t>
            </w:r>
            <w:r w:rsidRPr="00201631">
              <w:rPr>
                <w:rFonts w:ascii="Book Antiqua" w:hAnsi="Book Antiqua" w:cs="TimesNewRomanPSMT"/>
                <w:sz w:val="20"/>
                <w:szCs w:val="20"/>
                <w:lang w:eastAsia="es-CR"/>
              </w:rPr>
              <w:t>artículo</w:t>
            </w:r>
            <w:r w:rsidRPr="00201631">
              <w:rPr>
                <w:rFonts w:ascii="Book Antiqua" w:hAnsi="Book Antiqua" w:cs="TimesNewRomanPS-BoldMT"/>
                <w:sz w:val="20"/>
                <w:szCs w:val="20"/>
                <w:lang w:eastAsia="es-CR"/>
              </w:rPr>
              <w:t xml:space="preserve"> XLVI</w:t>
            </w:r>
          </w:p>
        </w:tc>
        <w:tc>
          <w:tcPr>
            <w:tcW w:w="1669" w:type="dxa"/>
            <w:vMerge/>
            <w:vAlign w:val="center"/>
          </w:tcPr>
          <w:p w14:paraId="57AF4AA3" w14:textId="77777777" w:rsidR="008A348D" w:rsidRPr="00201631" w:rsidRDefault="008A348D" w:rsidP="00035934">
            <w:pPr>
              <w:autoSpaceDE w:val="0"/>
              <w:autoSpaceDN w:val="0"/>
              <w:adjustRightInd w:val="0"/>
              <w:jc w:val="both"/>
              <w:rPr>
                <w:rFonts w:ascii="Book Antiqua" w:hAnsi="Book Antiqua" w:cs="TimesNewRomanPS-BoldMT"/>
                <w:sz w:val="20"/>
                <w:szCs w:val="20"/>
                <w:lang w:eastAsia="es-CR"/>
              </w:rPr>
            </w:pPr>
          </w:p>
        </w:tc>
      </w:tr>
      <w:tr w:rsidR="008A348D" w:rsidRPr="00201631" w14:paraId="1266754C" w14:textId="77777777" w:rsidTr="00612E7C">
        <w:trPr>
          <w:trHeight w:val="2304"/>
          <w:jc w:val="center"/>
        </w:trPr>
        <w:tc>
          <w:tcPr>
            <w:tcW w:w="4532" w:type="dxa"/>
            <w:vMerge w:val="restart"/>
            <w:shd w:val="clear" w:color="auto" w:fill="auto"/>
            <w:vAlign w:val="center"/>
          </w:tcPr>
          <w:p w14:paraId="794145ED"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Ver párrafo del 2.29 al 2.32 y del 2.39 al 2.40.</w:t>
            </w:r>
          </w:p>
        </w:tc>
        <w:tc>
          <w:tcPr>
            <w:tcW w:w="1950" w:type="dxa"/>
            <w:shd w:val="clear" w:color="auto" w:fill="auto"/>
            <w:vAlign w:val="center"/>
          </w:tcPr>
          <w:p w14:paraId="58248EB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1534-PLA-EV-2020</w:t>
            </w:r>
          </w:p>
        </w:tc>
        <w:tc>
          <w:tcPr>
            <w:tcW w:w="3294" w:type="dxa"/>
            <w:shd w:val="clear" w:color="auto" w:fill="auto"/>
            <w:vAlign w:val="center"/>
          </w:tcPr>
          <w:p w14:paraId="0D83881A" w14:textId="77777777" w:rsidR="008A348D" w:rsidRPr="00201631" w:rsidRDefault="008A348D" w:rsidP="00035934">
            <w:pPr>
              <w:pStyle w:val="xmsonormal"/>
              <w:jc w:val="both"/>
              <w:rPr>
                <w:rFonts w:ascii="Book Antiqua" w:hAnsi="Book Antiqua"/>
                <w:sz w:val="20"/>
                <w:szCs w:val="20"/>
              </w:rPr>
            </w:pPr>
            <w:r w:rsidRPr="00201631">
              <w:rPr>
                <w:rFonts w:ascii="Book Antiqua" w:hAnsi="Book Antiqua"/>
                <w:sz w:val="20"/>
                <w:szCs w:val="20"/>
                <w:lang w:val="es-ES"/>
              </w:rPr>
              <w:t xml:space="preserve">Sesión 97-2020 celebrada el 08 de octubre del 2020, </w:t>
            </w:r>
            <w:bookmarkStart w:id="3" w:name="x__Toc53061176"/>
            <w:r w:rsidRPr="00201631">
              <w:rPr>
                <w:rFonts w:ascii="Book Antiqua" w:hAnsi="Book Antiqua"/>
                <w:sz w:val="20"/>
                <w:szCs w:val="20"/>
                <w:lang w:val="es-ES"/>
              </w:rPr>
              <w:t>artículo</w:t>
            </w:r>
            <w:r w:rsidRPr="00201631">
              <w:rPr>
                <w:rFonts w:ascii="Book Antiqua" w:hAnsi="Book Antiqua"/>
                <w:sz w:val="20"/>
                <w:szCs w:val="20"/>
                <w:lang w:val="es-419"/>
              </w:rPr>
              <w:t xml:space="preserve"> LI </w:t>
            </w:r>
            <w:bookmarkEnd w:id="3"/>
          </w:p>
          <w:p w14:paraId="0A0918D4" w14:textId="77777777" w:rsidR="008A348D" w:rsidRPr="00201631" w:rsidRDefault="008A348D" w:rsidP="00035934">
            <w:pPr>
              <w:spacing w:line="276" w:lineRule="auto"/>
              <w:ind w:right="-1"/>
              <w:jc w:val="both"/>
              <w:rPr>
                <w:rFonts w:ascii="Book Antiqua" w:hAnsi="Book Antiqua"/>
                <w:sz w:val="20"/>
                <w:szCs w:val="20"/>
              </w:rPr>
            </w:pPr>
          </w:p>
        </w:tc>
        <w:tc>
          <w:tcPr>
            <w:tcW w:w="1669" w:type="dxa"/>
            <w:vMerge w:val="restart"/>
            <w:vAlign w:val="center"/>
          </w:tcPr>
          <w:p w14:paraId="1A0A2627" w14:textId="77777777" w:rsidR="008A348D" w:rsidRPr="00201631" w:rsidRDefault="008A348D" w:rsidP="00035934">
            <w:pPr>
              <w:pStyle w:val="xmsonormal"/>
              <w:jc w:val="both"/>
              <w:rPr>
                <w:rFonts w:ascii="Book Antiqua" w:hAnsi="Book Antiqua"/>
                <w:sz w:val="20"/>
                <w:szCs w:val="20"/>
                <w:lang w:val="es-ES"/>
              </w:rPr>
            </w:pPr>
            <w:r w:rsidRPr="00201631">
              <w:rPr>
                <w:rFonts w:ascii="Book Antiqua" w:hAnsi="Book Antiqua" w:cs="Arial-BoldMT"/>
                <w:sz w:val="20"/>
                <w:szCs w:val="20"/>
              </w:rPr>
              <w:t>DFOE-SEM-0325</w:t>
            </w:r>
          </w:p>
        </w:tc>
      </w:tr>
      <w:tr w:rsidR="008A348D" w:rsidRPr="00201631" w14:paraId="7059624D" w14:textId="77777777" w:rsidTr="00612E7C">
        <w:trPr>
          <w:trHeight w:val="1261"/>
          <w:jc w:val="center"/>
        </w:trPr>
        <w:tc>
          <w:tcPr>
            <w:tcW w:w="4532" w:type="dxa"/>
            <w:vMerge/>
            <w:shd w:val="clear" w:color="auto" w:fill="auto"/>
            <w:vAlign w:val="center"/>
          </w:tcPr>
          <w:p w14:paraId="7FAE90E3"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66F96214" w14:textId="77777777" w:rsidR="008A348D" w:rsidRPr="00201631" w:rsidRDefault="008A348D" w:rsidP="00035934">
            <w:pPr>
              <w:tabs>
                <w:tab w:val="left" w:pos="7728"/>
              </w:tabs>
              <w:spacing w:line="276" w:lineRule="auto"/>
              <w:jc w:val="both"/>
              <w:rPr>
                <w:rFonts w:ascii="Book Antiqua" w:hAnsi="Book Antiqua" w:cs="Book Antiqua"/>
                <w:sz w:val="20"/>
                <w:szCs w:val="20"/>
              </w:rPr>
            </w:pPr>
            <w:r w:rsidRPr="00201631">
              <w:rPr>
                <w:rFonts w:ascii="Book Antiqua" w:hAnsi="Book Antiqua"/>
                <w:sz w:val="20"/>
                <w:szCs w:val="20"/>
              </w:rPr>
              <w:t xml:space="preserve">Meta 2: </w:t>
            </w:r>
            <w:r w:rsidRPr="00201631">
              <w:rPr>
                <w:rFonts w:ascii="Book Antiqua" w:hAnsi="Book Antiqua" w:cs="Book Antiqua"/>
                <w:sz w:val="20"/>
                <w:szCs w:val="20"/>
              </w:rPr>
              <w:t>199-PLA-MI-2021</w:t>
            </w:r>
          </w:p>
          <w:p w14:paraId="08347ECC" w14:textId="77777777" w:rsidR="008A348D" w:rsidRPr="00201631" w:rsidRDefault="008A348D" w:rsidP="00035934">
            <w:pPr>
              <w:spacing w:line="276" w:lineRule="auto"/>
              <w:ind w:right="-1"/>
              <w:jc w:val="both"/>
              <w:rPr>
                <w:rFonts w:ascii="Book Antiqua" w:hAnsi="Book Antiqua"/>
                <w:sz w:val="20"/>
                <w:szCs w:val="20"/>
              </w:rPr>
            </w:pPr>
          </w:p>
        </w:tc>
        <w:tc>
          <w:tcPr>
            <w:tcW w:w="3294" w:type="dxa"/>
            <w:shd w:val="clear" w:color="auto" w:fill="auto"/>
            <w:vAlign w:val="center"/>
          </w:tcPr>
          <w:p w14:paraId="1B0B6305" w14:textId="26F6CFBC" w:rsidR="008A348D" w:rsidRPr="001D0C10" w:rsidRDefault="008A348D" w:rsidP="001D0C10">
            <w:pPr>
              <w:pStyle w:val="wordsection1"/>
              <w:jc w:val="both"/>
              <w:rPr>
                <w:rFonts w:ascii="Book Antiqua" w:hAnsi="Book Antiqua"/>
                <w:sz w:val="20"/>
                <w:szCs w:val="20"/>
                <w:lang w:val="es-ES" w:eastAsia="ar-SA"/>
              </w:rPr>
            </w:pPr>
            <w:r w:rsidRPr="00201631">
              <w:rPr>
                <w:rFonts w:ascii="Book Antiqua" w:hAnsi="Book Antiqua"/>
                <w:sz w:val="20"/>
                <w:szCs w:val="20"/>
                <w:lang w:val="es-ES"/>
              </w:rPr>
              <w:t xml:space="preserve">Sesión 18-2021 celebrada el 04 de marzo de 2021, </w:t>
            </w:r>
            <w:bookmarkStart w:id="4" w:name="_Toc65509645"/>
            <w:r w:rsidRPr="00201631">
              <w:rPr>
                <w:rFonts w:ascii="Book Antiqua" w:hAnsi="Book Antiqua"/>
                <w:sz w:val="20"/>
                <w:szCs w:val="20"/>
                <w:lang w:val="es-ES"/>
              </w:rPr>
              <w:t xml:space="preserve">artículo XXXI </w:t>
            </w:r>
            <w:bookmarkEnd w:id="4"/>
          </w:p>
        </w:tc>
        <w:tc>
          <w:tcPr>
            <w:tcW w:w="1669" w:type="dxa"/>
            <w:vMerge/>
            <w:vAlign w:val="center"/>
          </w:tcPr>
          <w:p w14:paraId="1EE272C3" w14:textId="77777777" w:rsidR="008A348D" w:rsidRPr="00201631" w:rsidRDefault="008A348D" w:rsidP="00035934">
            <w:pPr>
              <w:pStyle w:val="wordsection1"/>
              <w:jc w:val="both"/>
              <w:rPr>
                <w:rFonts w:ascii="Book Antiqua" w:hAnsi="Book Antiqua"/>
                <w:sz w:val="20"/>
                <w:szCs w:val="20"/>
                <w:lang w:val="es-ES"/>
              </w:rPr>
            </w:pPr>
          </w:p>
        </w:tc>
      </w:tr>
      <w:tr w:rsidR="008A348D" w:rsidRPr="00201631" w14:paraId="18FD0D9C" w14:textId="77777777" w:rsidTr="00612E7C">
        <w:trPr>
          <w:trHeight w:val="1878"/>
          <w:jc w:val="center"/>
        </w:trPr>
        <w:tc>
          <w:tcPr>
            <w:tcW w:w="4532" w:type="dxa"/>
            <w:vMerge w:val="restart"/>
            <w:shd w:val="clear" w:color="auto" w:fill="auto"/>
            <w:vAlign w:val="center"/>
          </w:tcPr>
          <w:p w14:paraId="301D1E68"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p>
        </w:tc>
        <w:tc>
          <w:tcPr>
            <w:tcW w:w="1950" w:type="dxa"/>
            <w:shd w:val="clear" w:color="auto" w:fill="auto"/>
            <w:vAlign w:val="center"/>
          </w:tcPr>
          <w:p w14:paraId="68244E20"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1211-PLA-EV-2020</w:t>
            </w:r>
          </w:p>
        </w:tc>
        <w:tc>
          <w:tcPr>
            <w:tcW w:w="3294" w:type="dxa"/>
            <w:shd w:val="clear" w:color="auto" w:fill="auto"/>
            <w:vAlign w:val="center"/>
          </w:tcPr>
          <w:p w14:paraId="56B1CCA5" w14:textId="220E4CA0" w:rsidR="008A348D" w:rsidRPr="00201631" w:rsidRDefault="008A348D" w:rsidP="001D0C10">
            <w:pPr>
              <w:pStyle w:val="wordsection1"/>
              <w:jc w:val="both"/>
              <w:rPr>
                <w:rFonts w:ascii="Book Antiqua" w:hAnsi="Book Antiqua"/>
                <w:sz w:val="20"/>
                <w:szCs w:val="20"/>
              </w:rPr>
            </w:pPr>
            <w:r w:rsidRPr="00201631">
              <w:rPr>
                <w:rFonts w:ascii="Book Antiqua" w:hAnsi="Book Antiqua"/>
                <w:sz w:val="20"/>
                <w:szCs w:val="20"/>
                <w:lang w:val="es-ES"/>
              </w:rPr>
              <w:t>Sesión 82-2020 celebrada el 20 de agosto del 2020, artículo</w:t>
            </w:r>
            <w:r w:rsidRPr="00201631">
              <w:rPr>
                <w:rFonts w:ascii="Book Antiqua" w:hAnsi="Book Antiqua"/>
                <w:sz w:val="20"/>
                <w:szCs w:val="20"/>
              </w:rPr>
              <w:t xml:space="preserve"> XL </w:t>
            </w:r>
          </w:p>
        </w:tc>
        <w:tc>
          <w:tcPr>
            <w:tcW w:w="1669" w:type="dxa"/>
            <w:vMerge w:val="restart"/>
            <w:vAlign w:val="center"/>
          </w:tcPr>
          <w:p w14:paraId="7E04CB6D" w14:textId="77777777" w:rsidR="008A348D" w:rsidRPr="00201631" w:rsidRDefault="008A348D" w:rsidP="00035934">
            <w:pPr>
              <w:pStyle w:val="wordsection1"/>
              <w:jc w:val="both"/>
              <w:rPr>
                <w:rFonts w:ascii="Book Antiqua" w:hAnsi="Book Antiqua"/>
                <w:sz w:val="20"/>
                <w:szCs w:val="20"/>
                <w:lang w:val="es-ES"/>
              </w:rPr>
            </w:pPr>
            <w:r w:rsidRPr="00201631">
              <w:rPr>
                <w:rFonts w:ascii="Book Antiqua" w:hAnsi="Book Antiqua" w:cs="Arial-BoldMT"/>
                <w:sz w:val="20"/>
                <w:szCs w:val="20"/>
              </w:rPr>
              <w:t>DFOE-SEM-1239</w:t>
            </w:r>
          </w:p>
        </w:tc>
      </w:tr>
      <w:tr w:rsidR="008A348D" w:rsidRPr="00201631" w14:paraId="0264C6DB" w14:textId="77777777" w:rsidTr="00612E7C">
        <w:trPr>
          <w:trHeight w:val="1691"/>
          <w:jc w:val="center"/>
        </w:trPr>
        <w:tc>
          <w:tcPr>
            <w:tcW w:w="4532" w:type="dxa"/>
            <w:vMerge/>
            <w:shd w:val="clear" w:color="auto" w:fill="auto"/>
            <w:vAlign w:val="center"/>
          </w:tcPr>
          <w:p w14:paraId="3EFFDAA3"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78736532"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792-PLA-MI-2021</w:t>
            </w:r>
          </w:p>
        </w:tc>
        <w:tc>
          <w:tcPr>
            <w:tcW w:w="3294" w:type="dxa"/>
            <w:shd w:val="clear" w:color="auto" w:fill="auto"/>
            <w:vAlign w:val="center"/>
          </w:tcPr>
          <w:p w14:paraId="6B8F6315" w14:textId="28390E9C" w:rsidR="008A348D" w:rsidRPr="001D0C10" w:rsidRDefault="008A348D" w:rsidP="001D0C10">
            <w:pPr>
              <w:pStyle w:val="wordsection1"/>
              <w:jc w:val="both"/>
              <w:rPr>
                <w:rFonts w:ascii="Book Antiqua" w:hAnsi="Book Antiqua"/>
                <w:b/>
                <w:bCs/>
                <w:sz w:val="20"/>
                <w:szCs w:val="20"/>
                <w:lang w:val="es-ES"/>
              </w:rPr>
            </w:pPr>
            <w:r w:rsidRPr="00201631">
              <w:rPr>
                <w:rFonts w:ascii="Book Antiqua" w:hAnsi="Book Antiqua"/>
                <w:sz w:val="20"/>
                <w:szCs w:val="20"/>
                <w:lang w:val="es-ES"/>
              </w:rPr>
              <w:t>Sesión 61-2021 celebrada el 22 de julio del 2021</w:t>
            </w:r>
            <w:bookmarkStart w:id="5" w:name="_Toc77604234"/>
            <w:r w:rsidRPr="00201631">
              <w:rPr>
                <w:rFonts w:ascii="Book Antiqua" w:hAnsi="Book Antiqua"/>
                <w:sz w:val="20"/>
                <w:szCs w:val="20"/>
                <w:lang w:val="es-ES"/>
              </w:rPr>
              <w:t>, artículo</w:t>
            </w:r>
            <w:r w:rsidRPr="00201631">
              <w:rPr>
                <w:rFonts w:ascii="Book Antiqua" w:hAnsi="Book Antiqua"/>
                <w:b/>
                <w:bCs/>
                <w:iCs/>
                <w:sz w:val="20"/>
                <w:szCs w:val="20"/>
                <w:lang w:val="es-ES"/>
              </w:rPr>
              <w:t xml:space="preserve"> </w:t>
            </w:r>
            <w:r w:rsidRPr="00201631">
              <w:rPr>
                <w:rFonts w:ascii="Book Antiqua" w:hAnsi="Book Antiqua"/>
                <w:iCs/>
                <w:sz w:val="20"/>
                <w:szCs w:val="20"/>
                <w:lang w:val="es-ES"/>
              </w:rPr>
              <w:t>XLVIII</w:t>
            </w:r>
            <w:bookmarkEnd w:id="5"/>
          </w:p>
        </w:tc>
        <w:tc>
          <w:tcPr>
            <w:tcW w:w="1669" w:type="dxa"/>
            <w:vMerge/>
            <w:vAlign w:val="center"/>
          </w:tcPr>
          <w:p w14:paraId="76D91E1A" w14:textId="77777777" w:rsidR="008A348D" w:rsidRPr="00201631" w:rsidRDefault="008A348D" w:rsidP="00035934">
            <w:pPr>
              <w:pStyle w:val="wordsection1"/>
              <w:jc w:val="both"/>
              <w:rPr>
                <w:rFonts w:ascii="Book Antiqua" w:hAnsi="Book Antiqua"/>
                <w:sz w:val="20"/>
                <w:szCs w:val="20"/>
                <w:lang w:val="es-ES"/>
              </w:rPr>
            </w:pPr>
          </w:p>
        </w:tc>
      </w:tr>
      <w:tr w:rsidR="008A348D" w:rsidRPr="00201631" w14:paraId="5D6682EE" w14:textId="77777777" w:rsidTr="00612E7C">
        <w:trPr>
          <w:trHeight w:val="1878"/>
          <w:jc w:val="center"/>
        </w:trPr>
        <w:tc>
          <w:tcPr>
            <w:tcW w:w="4532" w:type="dxa"/>
            <w:vMerge w:val="restart"/>
            <w:shd w:val="clear" w:color="auto" w:fill="auto"/>
            <w:vAlign w:val="center"/>
          </w:tcPr>
          <w:p w14:paraId="6F2D7953"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 Ver párrafos del 2.46 al 2.48.</w:t>
            </w:r>
          </w:p>
        </w:tc>
        <w:tc>
          <w:tcPr>
            <w:tcW w:w="1950" w:type="dxa"/>
            <w:shd w:val="clear" w:color="auto" w:fill="auto"/>
            <w:vAlign w:val="center"/>
          </w:tcPr>
          <w:p w14:paraId="3E94671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1213-PLA-EV-2020</w:t>
            </w:r>
          </w:p>
        </w:tc>
        <w:tc>
          <w:tcPr>
            <w:tcW w:w="3294" w:type="dxa"/>
            <w:shd w:val="clear" w:color="auto" w:fill="auto"/>
            <w:vAlign w:val="center"/>
          </w:tcPr>
          <w:p w14:paraId="58DA2BFA" w14:textId="3ACA80FE"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82-2020 celebrada el 20 de agosto del 2020, artículo XLI</w:t>
            </w:r>
            <w:r w:rsidRPr="00201631">
              <w:rPr>
                <w:rFonts w:ascii="Book Antiqua" w:hAnsi="Book Antiqua"/>
                <w:color w:val="FF0000"/>
                <w:sz w:val="20"/>
                <w:szCs w:val="20"/>
              </w:rPr>
              <w:t xml:space="preserve"> </w:t>
            </w:r>
          </w:p>
        </w:tc>
        <w:tc>
          <w:tcPr>
            <w:tcW w:w="1669" w:type="dxa"/>
            <w:vMerge w:val="restart"/>
            <w:vAlign w:val="center"/>
          </w:tcPr>
          <w:p w14:paraId="44D5E95E" w14:textId="77777777" w:rsidR="008A348D" w:rsidRPr="00201631" w:rsidRDefault="008A348D" w:rsidP="00035934">
            <w:pPr>
              <w:jc w:val="both"/>
              <w:rPr>
                <w:rFonts w:ascii="Book Antiqua" w:hAnsi="Book Antiqua"/>
                <w:sz w:val="20"/>
                <w:szCs w:val="20"/>
              </w:rPr>
            </w:pPr>
            <w:r w:rsidRPr="00201631">
              <w:rPr>
                <w:rFonts w:ascii="Book Antiqua" w:hAnsi="Book Antiqua" w:cs="Arial"/>
                <w:sz w:val="20"/>
                <w:szCs w:val="20"/>
                <w:lang w:eastAsia="es-CR"/>
              </w:rPr>
              <w:t>DFOE-SD-0618</w:t>
            </w:r>
          </w:p>
        </w:tc>
      </w:tr>
      <w:tr w:rsidR="008A348D" w:rsidRPr="00201631" w14:paraId="48CD3FBA" w14:textId="77777777" w:rsidTr="00612E7C">
        <w:trPr>
          <w:trHeight w:val="1405"/>
          <w:jc w:val="center"/>
        </w:trPr>
        <w:tc>
          <w:tcPr>
            <w:tcW w:w="4532" w:type="dxa"/>
            <w:vMerge/>
            <w:shd w:val="clear" w:color="auto" w:fill="auto"/>
            <w:vAlign w:val="center"/>
          </w:tcPr>
          <w:p w14:paraId="40B9BEC0"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0D7A0D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2058-PLA-EV-2020</w:t>
            </w:r>
          </w:p>
        </w:tc>
        <w:tc>
          <w:tcPr>
            <w:tcW w:w="3294" w:type="dxa"/>
            <w:shd w:val="clear" w:color="auto" w:fill="auto"/>
            <w:vAlign w:val="center"/>
          </w:tcPr>
          <w:p w14:paraId="3FBAFC52" w14:textId="2E31249E" w:rsidR="008A348D" w:rsidRPr="00201631" w:rsidRDefault="008A348D" w:rsidP="001D0C10">
            <w:pPr>
              <w:pStyle w:val="xmsonormal"/>
              <w:jc w:val="both"/>
              <w:rPr>
                <w:rFonts w:ascii="Book Antiqua" w:hAnsi="Book Antiqua"/>
                <w:sz w:val="20"/>
                <w:szCs w:val="20"/>
              </w:rPr>
            </w:pPr>
            <w:r w:rsidRPr="00201631">
              <w:rPr>
                <w:rFonts w:ascii="Book Antiqua" w:hAnsi="Book Antiqua"/>
                <w:sz w:val="20"/>
                <w:szCs w:val="20"/>
                <w:lang w:val="es-ES"/>
              </w:rPr>
              <w:t>Sesión 2-2021 celebrada el 07 de enero del 2021, artículo</w:t>
            </w:r>
            <w:r w:rsidRPr="00201631">
              <w:rPr>
                <w:rFonts w:ascii="Book Antiqua" w:hAnsi="Book Antiqua"/>
                <w:sz w:val="20"/>
                <w:szCs w:val="20"/>
              </w:rPr>
              <w:t xml:space="preserve"> XXXIX </w:t>
            </w:r>
          </w:p>
        </w:tc>
        <w:tc>
          <w:tcPr>
            <w:tcW w:w="1669" w:type="dxa"/>
            <w:vMerge/>
            <w:vAlign w:val="center"/>
          </w:tcPr>
          <w:p w14:paraId="036EB2C7" w14:textId="77777777" w:rsidR="008A348D" w:rsidRPr="00201631" w:rsidRDefault="008A348D" w:rsidP="00035934">
            <w:pPr>
              <w:pStyle w:val="xmsonormal"/>
              <w:jc w:val="both"/>
              <w:rPr>
                <w:rFonts w:ascii="Book Antiqua" w:hAnsi="Book Antiqua"/>
                <w:sz w:val="20"/>
                <w:szCs w:val="20"/>
                <w:lang w:val="es-ES"/>
              </w:rPr>
            </w:pPr>
          </w:p>
        </w:tc>
      </w:tr>
      <w:tr w:rsidR="008A348D" w:rsidRPr="00201631" w14:paraId="3449A376" w14:textId="77777777" w:rsidTr="00612E7C">
        <w:trPr>
          <w:trHeight w:val="1761"/>
          <w:jc w:val="center"/>
        </w:trPr>
        <w:tc>
          <w:tcPr>
            <w:tcW w:w="4532" w:type="dxa"/>
            <w:vMerge w:val="restart"/>
            <w:shd w:val="clear" w:color="auto" w:fill="auto"/>
            <w:vAlign w:val="center"/>
          </w:tcPr>
          <w:p w14:paraId="0512AEB2" w14:textId="77777777" w:rsidR="008A348D" w:rsidRPr="00201631" w:rsidRDefault="008A348D" w:rsidP="00035934">
            <w:pPr>
              <w:spacing w:line="276" w:lineRule="auto"/>
              <w:ind w:right="-1"/>
              <w:jc w:val="both"/>
              <w:rPr>
                <w:rFonts w:ascii="Book Antiqua" w:hAnsi="Book Antiqua"/>
                <w:i/>
                <w:iCs/>
                <w:sz w:val="20"/>
                <w:szCs w:val="20"/>
              </w:rPr>
            </w:pPr>
          </w:p>
          <w:p w14:paraId="38C49A43"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15 de diciembre de 2020 en la cual se haga constar su depuración</w:t>
            </w:r>
          </w:p>
        </w:tc>
        <w:tc>
          <w:tcPr>
            <w:tcW w:w="1950" w:type="dxa"/>
            <w:shd w:val="clear" w:color="auto" w:fill="auto"/>
            <w:vAlign w:val="center"/>
          </w:tcPr>
          <w:p w14:paraId="695ECDA3"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 xml:space="preserve">Meta 1: </w:t>
            </w:r>
            <w:r w:rsidRPr="00201631">
              <w:rPr>
                <w:rFonts w:ascii="Book Antiqua" w:hAnsi="Book Antiqua" w:cs="Arial"/>
                <w:sz w:val="20"/>
                <w:szCs w:val="20"/>
              </w:rPr>
              <w:t>2550-2020 de la Secretaría General de la Corte</w:t>
            </w:r>
          </w:p>
        </w:tc>
        <w:tc>
          <w:tcPr>
            <w:tcW w:w="3294" w:type="dxa"/>
            <w:shd w:val="clear" w:color="auto" w:fill="auto"/>
            <w:vAlign w:val="center"/>
          </w:tcPr>
          <w:p w14:paraId="7503C31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19-2020 celebrada el 10 de marzo del 2020, artículo LI</w:t>
            </w:r>
          </w:p>
        </w:tc>
        <w:tc>
          <w:tcPr>
            <w:tcW w:w="1669" w:type="dxa"/>
            <w:vMerge w:val="restart"/>
            <w:vAlign w:val="center"/>
          </w:tcPr>
          <w:p w14:paraId="2C618575" w14:textId="77777777" w:rsidR="008A348D" w:rsidRPr="00201631" w:rsidRDefault="008A348D" w:rsidP="00035934">
            <w:pPr>
              <w:spacing w:line="276" w:lineRule="auto"/>
              <w:ind w:right="-1"/>
              <w:jc w:val="both"/>
              <w:rPr>
                <w:rFonts w:ascii="Book Antiqua" w:hAnsi="Book Antiqua" w:cs="Arial"/>
                <w:sz w:val="20"/>
                <w:szCs w:val="20"/>
              </w:rPr>
            </w:pPr>
            <w:r w:rsidRPr="00201631">
              <w:rPr>
                <w:rFonts w:ascii="Book Antiqua" w:hAnsi="Book Antiqua" w:cs="Arial-BoldMT"/>
                <w:sz w:val="20"/>
                <w:szCs w:val="20"/>
                <w:lang w:eastAsia="es-CR"/>
              </w:rPr>
              <w:t>DFOE-SEM-1239</w:t>
            </w:r>
          </w:p>
        </w:tc>
      </w:tr>
      <w:tr w:rsidR="008A348D" w:rsidRPr="00201631" w14:paraId="2E6C40D0" w14:textId="77777777" w:rsidTr="00612E7C">
        <w:trPr>
          <w:trHeight w:val="1545"/>
          <w:jc w:val="center"/>
        </w:trPr>
        <w:tc>
          <w:tcPr>
            <w:tcW w:w="4532" w:type="dxa"/>
            <w:vMerge/>
            <w:shd w:val="clear" w:color="auto" w:fill="auto"/>
            <w:vAlign w:val="center"/>
          </w:tcPr>
          <w:p w14:paraId="0810A410"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0172A427"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991-PLA-EV-ES-2020 y 1004-PLA-ES-2020</w:t>
            </w:r>
          </w:p>
        </w:tc>
        <w:tc>
          <w:tcPr>
            <w:tcW w:w="3294" w:type="dxa"/>
            <w:shd w:val="clear" w:color="auto" w:fill="auto"/>
            <w:vAlign w:val="center"/>
          </w:tcPr>
          <w:p w14:paraId="26101156"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70-2020 celebrada el 09 de julio del 2020, artículo LVIII</w:t>
            </w:r>
          </w:p>
        </w:tc>
        <w:tc>
          <w:tcPr>
            <w:tcW w:w="1669" w:type="dxa"/>
            <w:vMerge/>
            <w:vAlign w:val="center"/>
          </w:tcPr>
          <w:p w14:paraId="5175C751" w14:textId="77777777" w:rsidR="008A348D" w:rsidRPr="00201631" w:rsidRDefault="008A348D" w:rsidP="00035934">
            <w:pPr>
              <w:spacing w:line="276" w:lineRule="auto"/>
              <w:ind w:right="-1"/>
              <w:jc w:val="both"/>
              <w:rPr>
                <w:rFonts w:ascii="Book Antiqua" w:hAnsi="Book Antiqua" w:cs="Arial"/>
                <w:sz w:val="20"/>
                <w:szCs w:val="20"/>
              </w:rPr>
            </w:pPr>
          </w:p>
        </w:tc>
      </w:tr>
      <w:tr w:rsidR="008A348D" w:rsidRPr="00201631" w14:paraId="6FAD8610" w14:textId="77777777" w:rsidTr="00612E7C">
        <w:trPr>
          <w:trHeight w:val="1118"/>
          <w:jc w:val="center"/>
        </w:trPr>
        <w:tc>
          <w:tcPr>
            <w:tcW w:w="4532" w:type="dxa"/>
            <w:vMerge/>
            <w:shd w:val="clear" w:color="auto" w:fill="auto"/>
            <w:vAlign w:val="center"/>
          </w:tcPr>
          <w:p w14:paraId="09FF2736"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1C8FE636"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3: 766-PLA-ES-MI-2021</w:t>
            </w:r>
          </w:p>
        </w:tc>
        <w:tc>
          <w:tcPr>
            <w:tcW w:w="3294" w:type="dxa"/>
            <w:shd w:val="clear" w:color="auto" w:fill="auto"/>
            <w:vAlign w:val="center"/>
          </w:tcPr>
          <w:p w14:paraId="4D24CCE6" w14:textId="0174EBEE"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61-2021 celebrada el 22 de julio de 2021, artículo XLVI</w:t>
            </w:r>
          </w:p>
        </w:tc>
        <w:tc>
          <w:tcPr>
            <w:tcW w:w="1669" w:type="dxa"/>
            <w:vMerge/>
            <w:vAlign w:val="center"/>
          </w:tcPr>
          <w:p w14:paraId="17D55F16" w14:textId="77777777" w:rsidR="008A348D" w:rsidRPr="00201631" w:rsidRDefault="008A348D" w:rsidP="00035934">
            <w:pPr>
              <w:jc w:val="both"/>
              <w:rPr>
                <w:rFonts w:ascii="Book Antiqua" w:hAnsi="Book Antiqua"/>
                <w:sz w:val="20"/>
                <w:szCs w:val="20"/>
              </w:rPr>
            </w:pPr>
          </w:p>
        </w:tc>
      </w:tr>
      <w:tr w:rsidR="008A348D" w:rsidRPr="00201631" w14:paraId="5A6C53C6" w14:textId="77777777" w:rsidTr="00612E7C">
        <w:trPr>
          <w:trHeight w:val="1737"/>
          <w:jc w:val="center"/>
        </w:trPr>
        <w:tc>
          <w:tcPr>
            <w:tcW w:w="4532" w:type="dxa"/>
            <w:vMerge w:val="restart"/>
            <w:shd w:val="clear" w:color="auto" w:fill="auto"/>
            <w:vAlign w:val="center"/>
          </w:tcPr>
          <w:p w14:paraId="6EFD010E"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26 de febrero de 2021, una certificación que acredite que dichos mecanismos se encuentran en implementación. Ver párrafos del 2.50 al 2.59”.</w:t>
            </w:r>
          </w:p>
        </w:tc>
        <w:tc>
          <w:tcPr>
            <w:tcW w:w="1950" w:type="dxa"/>
            <w:shd w:val="clear" w:color="auto" w:fill="auto"/>
            <w:vAlign w:val="center"/>
          </w:tcPr>
          <w:p w14:paraId="7B1E6FFE"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 xml:space="preserve">Meta 1: </w:t>
            </w:r>
            <w:r w:rsidRPr="00201631">
              <w:rPr>
                <w:rFonts w:ascii="Book Antiqua" w:hAnsi="Book Antiqua" w:cs="Arial"/>
                <w:sz w:val="20"/>
                <w:szCs w:val="20"/>
              </w:rPr>
              <w:t>2550-2020 de la Secretaría General de la Corte</w:t>
            </w:r>
          </w:p>
        </w:tc>
        <w:tc>
          <w:tcPr>
            <w:tcW w:w="3294" w:type="dxa"/>
            <w:shd w:val="clear" w:color="auto" w:fill="auto"/>
            <w:vAlign w:val="center"/>
          </w:tcPr>
          <w:p w14:paraId="59BB517E"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19-2020 celebrada el 10 de marzo del 2020, artículo LI</w:t>
            </w:r>
          </w:p>
        </w:tc>
        <w:tc>
          <w:tcPr>
            <w:tcW w:w="1669" w:type="dxa"/>
            <w:vMerge w:val="restart"/>
            <w:vAlign w:val="center"/>
          </w:tcPr>
          <w:p w14:paraId="0232301C" w14:textId="77777777" w:rsidR="008A348D" w:rsidRPr="00201631" w:rsidRDefault="008A348D" w:rsidP="00035934">
            <w:pPr>
              <w:spacing w:line="276" w:lineRule="auto"/>
              <w:ind w:right="-1"/>
              <w:jc w:val="both"/>
              <w:rPr>
                <w:rFonts w:ascii="Book Antiqua" w:hAnsi="Book Antiqua" w:cs="Arial"/>
                <w:sz w:val="20"/>
                <w:szCs w:val="20"/>
              </w:rPr>
            </w:pPr>
            <w:r w:rsidRPr="00201631">
              <w:rPr>
                <w:rFonts w:ascii="Book Antiqua" w:hAnsi="Book Antiqua" w:cs="Arial-BoldMT"/>
                <w:sz w:val="20"/>
                <w:szCs w:val="20"/>
                <w:lang w:eastAsia="es-CR"/>
              </w:rPr>
              <w:t>DFOE-SEM-1239</w:t>
            </w:r>
          </w:p>
        </w:tc>
      </w:tr>
      <w:tr w:rsidR="008A348D" w:rsidRPr="00201631" w14:paraId="61E8CD45" w14:textId="77777777" w:rsidTr="00612E7C">
        <w:trPr>
          <w:trHeight w:val="1832"/>
          <w:jc w:val="center"/>
        </w:trPr>
        <w:tc>
          <w:tcPr>
            <w:tcW w:w="4532" w:type="dxa"/>
            <w:vMerge/>
            <w:shd w:val="clear" w:color="auto" w:fill="auto"/>
            <w:vAlign w:val="center"/>
          </w:tcPr>
          <w:p w14:paraId="08D6B637"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01919F3"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1614-DTI-2020</w:t>
            </w:r>
          </w:p>
        </w:tc>
        <w:tc>
          <w:tcPr>
            <w:tcW w:w="3294" w:type="dxa"/>
            <w:shd w:val="clear" w:color="auto" w:fill="auto"/>
            <w:vAlign w:val="center"/>
          </w:tcPr>
          <w:p w14:paraId="4E053B12"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86-3030 del 3 de setiembre 2020, artículo XLVIII</w:t>
            </w:r>
          </w:p>
        </w:tc>
        <w:tc>
          <w:tcPr>
            <w:tcW w:w="1669" w:type="dxa"/>
            <w:vMerge/>
            <w:vAlign w:val="center"/>
          </w:tcPr>
          <w:p w14:paraId="39B7F96E" w14:textId="77777777" w:rsidR="008A348D" w:rsidRPr="00201631" w:rsidRDefault="008A348D" w:rsidP="00035934">
            <w:pPr>
              <w:spacing w:line="276" w:lineRule="auto"/>
              <w:ind w:right="-1"/>
              <w:jc w:val="both"/>
              <w:rPr>
                <w:rFonts w:ascii="Book Antiqua" w:hAnsi="Book Antiqua"/>
                <w:sz w:val="20"/>
                <w:szCs w:val="20"/>
              </w:rPr>
            </w:pPr>
          </w:p>
        </w:tc>
      </w:tr>
      <w:tr w:rsidR="008A348D" w:rsidRPr="00201631" w14:paraId="3052E0B4" w14:textId="77777777" w:rsidTr="00612E7C">
        <w:trPr>
          <w:trHeight w:val="1121"/>
          <w:jc w:val="center"/>
        </w:trPr>
        <w:tc>
          <w:tcPr>
            <w:tcW w:w="4532" w:type="dxa"/>
            <w:vMerge/>
            <w:shd w:val="clear" w:color="auto" w:fill="auto"/>
            <w:vAlign w:val="center"/>
          </w:tcPr>
          <w:p w14:paraId="3B17C7E1"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1A5BC73A"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3: 1418-DTI-2021</w:t>
            </w:r>
          </w:p>
        </w:tc>
        <w:tc>
          <w:tcPr>
            <w:tcW w:w="3294" w:type="dxa"/>
            <w:shd w:val="clear" w:color="auto" w:fill="auto"/>
            <w:vAlign w:val="center"/>
          </w:tcPr>
          <w:p w14:paraId="4DF6B04B"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61-2021 del 22 de julio 2021, artículo LXXXVI</w:t>
            </w:r>
          </w:p>
        </w:tc>
        <w:tc>
          <w:tcPr>
            <w:tcW w:w="1669" w:type="dxa"/>
            <w:vMerge/>
            <w:vAlign w:val="center"/>
          </w:tcPr>
          <w:p w14:paraId="0BD61E3E" w14:textId="77777777" w:rsidR="008A348D" w:rsidRPr="00201631" w:rsidRDefault="008A348D" w:rsidP="00035934">
            <w:pPr>
              <w:spacing w:line="276" w:lineRule="auto"/>
              <w:ind w:right="-1"/>
              <w:jc w:val="both"/>
              <w:rPr>
                <w:rFonts w:ascii="Book Antiqua" w:hAnsi="Book Antiqua"/>
                <w:sz w:val="20"/>
                <w:szCs w:val="20"/>
              </w:rPr>
            </w:pPr>
          </w:p>
        </w:tc>
      </w:tr>
      <w:tr w:rsidR="008A348D" w:rsidRPr="00201631" w14:paraId="0CE695A8" w14:textId="77777777" w:rsidTr="00612E7C">
        <w:trPr>
          <w:trHeight w:val="2870"/>
          <w:jc w:val="center"/>
        </w:trPr>
        <w:tc>
          <w:tcPr>
            <w:tcW w:w="4532" w:type="dxa"/>
            <w:vMerge w:val="restart"/>
            <w:shd w:val="clear" w:color="auto" w:fill="auto"/>
            <w:vAlign w:val="center"/>
          </w:tcPr>
          <w:p w14:paraId="76832B5C"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4.10: A LA SEÑORA JULIA VARELA ARAYA EN SU CALIDAD DE COORDINADORA DE LA COMISIÓN DE LA JURISDICCIÓN DE FAMILIA, NIÑEZ Y ADOLESCENCIA DEL PODER JUDICIAL O A QUIEN EN SU LUGAR OCUPE EL CARGO</w:t>
            </w:r>
            <w:r w:rsidRPr="00201631">
              <w:rPr>
                <w:rFonts w:ascii="Book Antiqua" w:hAnsi="Book Antiqua"/>
                <w:i/>
                <w:iCs/>
                <w:sz w:val="20"/>
                <w:szCs w:val="20"/>
              </w:rPr>
              <w:br/>
              <w:t>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15 de enero del 2021 donde conste la implementación de las acciones señaladas. Ver párrafos del 2.20 al 2.21.</w:t>
            </w:r>
          </w:p>
        </w:tc>
        <w:tc>
          <w:tcPr>
            <w:tcW w:w="1950" w:type="dxa"/>
            <w:shd w:val="clear" w:color="auto" w:fill="auto"/>
            <w:vAlign w:val="center"/>
          </w:tcPr>
          <w:p w14:paraId="21235DB0" w14:textId="77777777" w:rsidR="008A348D" w:rsidRPr="00201631" w:rsidRDefault="008A348D" w:rsidP="00035934">
            <w:pPr>
              <w:pStyle w:val="NormalWeb"/>
              <w:jc w:val="both"/>
              <w:rPr>
                <w:rFonts w:ascii="Book Antiqua" w:hAnsi="Book Antiqua"/>
                <w:sz w:val="20"/>
                <w:szCs w:val="20"/>
                <w:lang w:val="es-CR" w:eastAsia="es-CR"/>
              </w:rPr>
            </w:pPr>
            <w:r w:rsidRPr="00201631">
              <w:rPr>
                <w:rFonts w:ascii="Book Antiqua" w:hAnsi="Book Antiqua"/>
                <w:sz w:val="20"/>
                <w:szCs w:val="20"/>
              </w:rPr>
              <w:t xml:space="preserve">Meta 1: </w:t>
            </w:r>
            <w:r w:rsidRPr="00201631">
              <w:rPr>
                <w:rFonts w:ascii="Book Antiqua" w:hAnsi="Book Antiqua"/>
                <w:sz w:val="20"/>
                <w:szCs w:val="20"/>
                <w:lang w:val="es-CR" w:eastAsia="es-CR"/>
              </w:rPr>
              <w:t>085-JVA-2020 y 1204-PLA-2020</w:t>
            </w:r>
          </w:p>
        </w:tc>
        <w:tc>
          <w:tcPr>
            <w:tcW w:w="3294" w:type="dxa"/>
            <w:shd w:val="clear" w:color="auto" w:fill="auto"/>
            <w:vAlign w:val="center"/>
          </w:tcPr>
          <w:p w14:paraId="4A1A4E55" w14:textId="48C0A157"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79-2020 celebrada el 11 de agosto del 2020, artículo LXXIII</w:t>
            </w:r>
          </w:p>
        </w:tc>
        <w:tc>
          <w:tcPr>
            <w:tcW w:w="1669" w:type="dxa"/>
            <w:vMerge w:val="restart"/>
            <w:vAlign w:val="center"/>
          </w:tcPr>
          <w:p w14:paraId="6E3BF302" w14:textId="77777777" w:rsidR="008A348D" w:rsidRPr="00201631" w:rsidRDefault="008A348D" w:rsidP="00035934">
            <w:pPr>
              <w:jc w:val="both"/>
              <w:rPr>
                <w:rFonts w:ascii="Book Antiqua" w:hAnsi="Book Antiqua"/>
                <w:sz w:val="20"/>
                <w:szCs w:val="20"/>
              </w:rPr>
            </w:pPr>
            <w:r w:rsidRPr="00201631">
              <w:rPr>
                <w:rFonts w:ascii="Book Antiqua" w:hAnsi="Book Antiqua" w:cs="Arial-BoldMT"/>
                <w:sz w:val="20"/>
                <w:szCs w:val="20"/>
                <w:lang w:eastAsia="es-CR"/>
              </w:rPr>
              <w:t>DFOE-SEM-1239</w:t>
            </w:r>
          </w:p>
        </w:tc>
      </w:tr>
      <w:tr w:rsidR="008A348D" w:rsidRPr="00201631" w14:paraId="68D8A3DA" w14:textId="77777777" w:rsidTr="00612E7C">
        <w:trPr>
          <w:trHeight w:val="1112"/>
          <w:jc w:val="center"/>
        </w:trPr>
        <w:tc>
          <w:tcPr>
            <w:tcW w:w="4532" w:type="dxa"/>
            <w:vMerge/>
            <w:shd w:val="clear" w:color="auto" w:fill="auto"/>
            <w:vAlign w:val="center"/>
          </w:tcPr>
          <w:p w14:paraId="05080050"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1F00ABF8"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91-JVA-2021</w:t>
            </w:r>
          </w:p>
          <w:p w14:paraId="77D217B1" w14:textId="77777777" w:rsidR="008A348D" w:rsidRPr="00201631" w:rsidRDefault="008A348D" w:rsidP="00035934">
            <w:pPr>
              <w:spacing w:line="276" w:lineRule="auto"/>
              <w:ind w:right="-1"/>
              <w:jc w:val="both"/>
              <w:rPr>
                <w:rFonts w:ascii="Book Antiqua" w:hAnsi="Book Antiqua"/>
                <w:sz w:val="20"/>
                <w:szCs w:val="20"/>
              </w:rPr>
            </w:pPr>
          </w:p>
        </w:tc>
        <w:tc>
          <w:tcPr>
            <w:tcW w:w="3294" w:type="dxa"/>
            <w:shd w:val="clear" w:color="auto" w:fill="auto"/>
            <w:vAlign w:val="center"/>
          </w:tcPr>
          <w:p w14:paraId="51E3CFE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61-2021 celebrada el 22 de julio de 2021, artículo LXXVIII</w:t>
            </w:r>
          </w:p>
        </w:tc>
        <w:tc>
          <w:tcPr>
            <w:tcW w:w="1669" w:type="dxa"/>
            <w:vMerge/>
            <w:vAlign w:val="center"/>
          </w:tcPr>
          <w:p w14:paraId="2BAB61EE" w14:textId="77777777" w:rsidR="008A348D" w:rsidRPr="00201631" w:rsidRDefault="008A348D" w:rsidP="00035934">
            <w:pPr>
              <w:spacing w:line="276" w:lineRule="auto"/>
              <w:ind w:right="-1"/>
              <w:jc w:val="both"/>
              <w:rPr>
                <w:rFonts w:ascii="Book Antiqua" w:hAnsi="Book Antiqua"/>
                <w:sz w:val="20"/>
                <w:szCs w:val="20"/>
              </w:rPr>
            </w:pPr>
          </w:p>
        </w:tc>
      </w:tr>
    </w:tbl>
    <w:p w14:paraId="139DC6B7" w14:textId="0544EC49" w:rsidR="006D695A" w:rsidRPr="006D695A" w:rsidRDefault="006D695A" w:rsidP="001D0C10">
      <w:pPr>
        <w:tabs>
          <w:tab w:val="left" w:pos="8364"/>
        </w:tabs>
        <w:spacing w:after="0" w:line="276" w:lineRule="auto"/>
        <w:ind w:right="1700" w:hanging="1134"/>
        <w:rPr>
          <w:rFonts w:ascii="Book Antiqua" w:eastAsia="Calibri" w:hAnsi="Book Antiqua" w:cs="Arial"/>
          <w:bCs/>
          <w:i/>
          <w:sz w:val="20"/>
          <w:szCs w:val="20"/>
        </w:rPr>
      </w:pPr>
      <w:r w:rsidRPr="008B7405">
        <w:rPr>
          <w:rFonts w:ascii="Book Antiqua" w:eastAsia="Calibri" w:hAnsi="Book Antiqua" w:cs="Arial"/>
          <w:b/>
          <w:i/>
          <w:sz w:val="20"/>
          <w:szCs w:val="20"/>
        </w:rPr>
        <w:t>Fuente:</w:t>
      </w:r>
      <w:r w:rsidRPr="006D695A">
        <w:rPr>
          <w:rFonts w:ascii="Book Antiqua" w:eastAsia="Calibri" w:hAnsi="Book Antiqua" w:cs="Arial"/>
          <w:bCs/>
          <w:i/>
          <w:sz w:val="20"/>
          <w:szCs w:val="20"/>
        </w:rPr>
        <w:t xml:space="preserve"> </w:t>
      </w:r>
      <w:r w:rsidR="008B7405">
        <w:rPr>
          <w:rFonts w:ascii="Book Antiqua" w:eastAsia="Calibri" w:hAnsi="Book Antiqua" w:cs="Arial"/>
          <w:bCs/>
          <w:i/>
          <w:sz w:val="20"/>
          <w:szCs w:val="20"/>
        </w:rPr>
        <w:t xml:space="preserve">Oficio </w:t>
      </w:r>
      <w:r w:rsidR="008B7405" w:rsidRPr="008B7405">
        <w:rPr>
          <w:rFonts w:ascii="Book Antiqua" w:eastAsia="Calibri" w:hAnsi="Book Antiqua" w:cs="Arial"/>
          <w:bCs/>
          <w:i/>
          <w:sz w:val="20"/>
          <w:szCs w:val="20"/>
        </w:rPr>
        <w:t>192-PLA-PP-MI-OI-2022</w:t>
      </w:r>
      <w:r w:rsidR="008B7405">
        <w:rPr>
          <w:rFonts w:ascii="Book Antiqua" w:eastAsia="Calibri" w:hAnsi="Book Antiqua" w:cs="Arial"/>
          <w:bCs/>
          <w:i/>
          <w:sz w:val="20"/>
          <w:szCs w:val="20"/>
        </w:rPr>
        <w:t xml:space="preserve"> de la Dirección de Planificación. </w:t>
      </w:r>
    </w:p>
    <w:p w14:paraId="3C04F3B7" w14:textId="77777777" w:rsidR="00A041ED" w:rsidRPr="003141DF" w:rsidRDefault="00A041ED" w:rsidP="00A041ED">
      <w:pPr>
        <w:pStyle w:val="Ttulo1"/>
      </w:pPr>
      <w:r>
        <w:t>Justificación</w:t>
      </w:r>
    </w:p>
    <w:p w14:paraId="38CC9231" w14:textId="4D2F170C" w:rsidR="00F97E61" w:rsidRDefault="00A041ED" w:rsidP="00A041ED">
      <w:pPr>
        <w:spacing w:line="276" w:lineRule="auto"/>
        <w:jc w:val="both"/>
        <w:rPr>
          <w:rFonts w:ascii="Book Antiqua" w:hAnsi="Book Antiqua"/>
          <w:sz w:val="24"/>
          <w:szCs w:val="24"/>
        </w:rPr>
      </w:pPr>
      <w:r w:rsidRPr="00A041ED">
        <w:rPr>
          <w:rFonts w:ascii="Book Antiqua" w:hAnsi="Book Antiqua"/>
          <w:sz w:val="24"/>
          <w:szCs w:val="24"/>
        </w:rPr>
        <w:t>En virtud de la entrada en vigencia d</w:t>
      </w:r>
      <w:r w:rsidR="00BF06B7">
        <w:rPr>
          <w:rFonts w:ascii="Book Antiqua" w:hAnsi="Book Antiqua"/>
          <w:sz w:val="24"/>
          <w:szCs w:val="24"/>
        </w:rPr>
        <w:t>e</w:t>
      </w:r>
      <w:r w:rsidRPr="00A041ED">
        <w:rPr>
          <w:rFonts w:ascii="Book Antiqua" w:hAnsi="Book Antiqua"/>
          <w:sz w:val="24"/>
          <w:szCs w:val="24"/>
        </w:rPr>
        <w:t xml:space="preserve">l Código Procesal de Familia, </w:t>
      </w:r>
      <w:r w:rsidR="00F97E61" w:rsidRPr="00A041ED">
        <w:rPr>
          <w:rFonts w:ascii="Book Antiqua" w:hAnsi="Book Antiqua"/>
          <w:sz w:val="24"/>
          <w:szCs w:val="24"/>
        </w:rPr>
        <w:t>surge la necesidad de analizar los requerimientos para la operativización de la norma, así como para implementar los cambios en la estructura organizativa necesarios en los despachos de Familia, Pensiones Alimentarias y Violencia Doméstica a partir de la entrada en vigencia de la Ley 9747</w:t>
      </w:r>
      <w:r w:rsidR="00F97E61">
        <w:rPr>
          <w:rFonts w:ascii="Book Antiqua" w:hAnsi="Book Antiqua"/>
          <w:sz w:val="24"/>
          <w:szCs w:val="24"/>
        </w:rPr>
        <w:t xml:space="preserve">, </w:t>
      </w:r>
      <w:r w:rsidRPr="00A041ED">
        <w:rPr>
          <w:rFonts w:ascii="Book Antiqua" w:hAnsi="Book Antiqua"/>
          <w:sz w:val="24"/>
          <w:szCs w:val="24"/>
        </w:rPr>
        <w:t>prevista para el 1 de octubre de 202</w:t>
      </w:r>
      <w:r w:rsidR="0041176A">
        <w:rPr>
          <w:rFonts w:ascii="Book Antiqua" w:hAnsi="Book Antiqua"/>
          <w:sz w:val="24"/>
          <w:szCs w:val="24"/>
        </w:rPr>
        <w:t>4</w:t>
      </w:r>
      <w:r w:rsidRPr="00A041ED">
        <w:rPr>
          <w:rFonts w:ascii="Book Antiqua" w:hAnsi="Book Antiqua"/>
          <w:sz w:val="24"/>
          <w:szCs w:val="24"/>
        </w:rPr>
        <w:t>, esta Dirección se da a la tarea de definir las prioridades presupuestarias para el ejercicio económico</w:t>
      </w:r>
      <w:r w:rsidR="00F97E61">
        <w:rPr>
          <w:rFonts w:ascii="Book Antiqua" w:hAnsi="Book Antiqua"/>
          <w:sz w:val="24"/>
          <w:szCs w:val="24"/>
        </w:rPr>
        <w:t xml:space="preserve">.  </w:t>
      </w:r>
    </w:p>
    <w:p w14:paraId="13084980" w14:textId="2E48C57A" w:rsidR="008E752F" w:rsidRDefault="00F97E61" w:rsidP="00A041ED">
      <w:pPr>
        <w:spacing w:line="276" w:lineRule="auto"/>
        <w:jc w:val="both"/>
        <w:rPr>
          <w:rFonts w:ascii="Book Antiqua" w:hAnsi="Book Antiqua"/>
          <w:sz w:val="24"/>
          <w:szCs w:val="24"/>
        </w:rPr>
      </w:pPr>
      <w:r>
        <w:rPr>
          <w:rFonts w:ascii="Book Antiqua" w:hAnsi="Book Antiqua"/>
          <w:sz w:val="24"/>
          <w:szCs w:val="24"/>
        </w:rPr>
        <w:t>Para</w:t>
      </w:r>
      <w:r w:rsidR="008E752F">
        <w:rPr>
          <w:rFonts w:ascii="Book Antiqua" w:hAnsi="Book Antiqua"/>
          <w:sz w:val="24"/>
          <w:szCs w:val="24"/>
        </w:rPr>
        <w:t xml:space="preserve"> 2021, el cual fue comunicado mediante oficio </w:t>
      </w:r>
      <w:r w:rsidR="008E752F" w:rsidRPr="001D0C10">
        <w:rPr>
          <w:rFonts w:ascii="Book Antiqua" w:hAnsi="Book Antiqua"/>
          <w:b/>
          <w:bCs/>
          <w:sz w:val="24"/>
          <w:szCs w:val="24"/>
        </w:rPr>
        <w:t>656-PLA-RH-MI-2020,</w:t>
      </w:r>
      <w:r w:rsidR="008E752F">
        <w:rPr>
          <w:rFonts w:ascii="Book Antiqua" w:hAnsi="Book Antiqua"/>
          <w:sz w:val="24"/>
          <w:szCs w:val="24"/>
        </w:rPr>
        <w:t xml:space="preserve"> </w:t>
      </w:r>
      <w:r w:rsidR="008E752F" w:rsidRPr="008E752F">
        <w:rPr>
          <w:rFonts w:ascii="Book Antiqua" w:hAnsi="Book Antiqua"/>
          <w:sz w:val="24"/>
          <w:szCs w:val="24"/>
        </w:rPr>
        <w:t>aprobado por el Consejo Superior en sesión 45-2020 celebrada el 8 de mayo de 2020, artículo XIX</w:t>
      </w:r>
      <w:r w:rsidR="008E752F">
        <w:rPr>
          <w:rFonts w:ascii="Book Antiqua" w:hAnsi="Book Antiqua"/>
          <w:sz w:val="24"/>
          <w:szCs w:val="24"/>
        </w:rPr>
        <w:t xml:space="preserve"> y la sesión 48-20 del 14 de mayo de 2020, artículo XIII, y por Corte Plena en sesión</w:t>
      </w:r>
      <w:r w:rsidR="00BD257A">
        <w:rPr>
          <w:rFonts w:ascii="Book Antiqua" w:hAnsi="Book Antiqua"/>
          <w:sz w:val="24"/>
          <w:szCs w:val="24"/>
        </w:rPr>
        <w:t xml:space="preserve"> </w:t>
      </w:r>
      <w:r w:rsidR="00BD257A" w:rsidRPr="00BD257A">
        <w:rPr>
          <w:rFonts w:ascii="Book Antiqua" w:hAnsi="Book Antiqua"/>
          <w:sz w:val="24"/>
          <w:szCs w:val="24"/>
        </w:rPr>
        <w:t>31-2020 del dos de junio del 2020, artículo I</w:t>
      </w:r>
      <w:r w:rsidR="008E752F">
        <w:rPr>
          <w:rFonts w:ascii="Book Antiqua" w:hAnsi="Book Antiqua"/>
          <w:sz w:val="24"/>
          <w:szCs w:val="24"/>
        </w:rPr>
        <w:t xml:space="preserve">, sin embargo el presupuesto formulado no fue incorporado en el anteproyecto de la Ley de Presupuesto para 2021. </w:t>
      </w:r>
    </w:p>
    <w:p w14:paraId="73663E8F" w14:textId="7601E620" w:rsidR="008E752F" w:rsidRDefault="008E752F" w:rsidP="00A041ED">
      <w:pPr>
        <w:spacing w:line="276" w:lineRule="auto"/>
        <w:jc w:val="both"/>
        <w:rPr>
          <w:rFonts w:ascii="Book Antiqua" w:hAnsi="Book Antiqua"/>
          <w:sz w:val="24"/>
          <w:szCs w:val="24"/>
        </w:rPr>
      </w:pPr>
      <w:r>
        <w:rPr>
          <w:rFonts w:ascii="Book Antiqua" w:hAnsi="Book Antiqua"/>
          <w:sz w:val="24"/>
          <w:szCs w:val="24"/>
        </w:rPr>
        <w:t>Misma situación en 2022</w:t>
      </w:r>
      <w:r w:rsidR="00F97E61">
        <w:rPr>
          <w:rFonts w:ascii="Book Antiqua" w:hAnsi="Book Antiqua"/>
          <w:sz w:val="24"/>
          <w:szCs w:val="24"/>
        </w:rPr>
        <w:t xml:space="preserve"> donde no hay contenido presupuestario</w:t>
      </w:r>
      <w:r>
        <w:rPr>
          <w:rFonts w:ascii="Book Antiqua" w:hAnsi="Book Antiqua"/>
          <w:sz w:val="24"/>
          <w:szCs w:val="24"/>
        </w:rPr>
        <w:t xml:space="preserve">, </w:t>
      </w:r>
      <w:r w:rsidR="00F97E61">
        <w:rPr>
          <w:rFonts w:ascii="Book Antiqua" w:hAnsi="Book Antiqua"/>
          <w:sz w:val="24"/>
          <w:szCs w:val="24"/>
        </w:rPr>
        <w:t xml:space="preserve">formulación </w:t>
      </w:r>
      <w:r w:rsidR="00D2452B">
        <w:rPr>
          <w:rFonts w:ascii="Book Antiqua" w:hAnsi="Book Antiqua"/>
          <w:sz w:val="24"/>
          <w:szCs w:val="24"/>
        </w:rPr>
        <w:t>incorporad</w:t>
      </w:r>
      <w:r w:rsidR="00F97E61">
        <w:rPr>
          <w:rFonts w:ascii="Book Antiqua" w:hAnsi="Book Antiqua"/>
          <w:sz w:val="24"/>
          <w:szCs w:val="24"/>
        </w:rPr>
        <w:t>a</w:t>
      </w:r>
      <w:r w:rsidR="00D2452B">
        <w:rPr>
          <w:rFonts w:ascii="Book Antiqua" w:hAnsi="Book Antiqua"/>
          <w:sz w:val="24"/>
          <w:szCs w:val="24"/>
        </w:rPr>
        <w:t xml:space="preserve"> en el informe </w:t>
      </w:r>
      <w:r w:rsidR="00D2452B" w:rsidRPr="00D2452B">
        <w:rPr>
          <w:rFonts w:ascii="Book Antiqua" w:hAnsi="Book Antiqua"/>
          <w:sz w:val="24"/>
          <w:szCs w:val="24"/>
        </w:rPr>
        <w:t>389-PLA-RH-MI-202</w:t>
      </w:r>
      <w:r w:rsidR="00D2452B">
        <w:rPr>
          <w:rFonts w:ascii="Book Antiqua" w:hAnsi="Book Antiqua"/>
          <w:sz w:val="24"/>
          <w:szCs w:val="24"/>
        </w:rPr>
        <w:t>1, aprobado por Consejo Superior</w:t>
      </w:r>
      <w:r w:rsidR="00D2452B" w:rsidRPr="00D2452B">
        <w:rPr>
          <w:rFonts w:ascii="Book Antiqua" w:hAnsi="Book Antiqua"/>
          <w:sz w:val="24"/>
          <w:szCs w:val="24"/>
        </w:rPr>
        <w:t xml:space="preserve"> en sesión extraordinaria (presupuesto) 30-2021 celebrada el 16 de abril del 2021, artículo XX.</w:t>
      </w:r>
      <w:r w:rsidR="00D2452B">
        <w:rPr>
          <w:rFonts w:ascii="Book Antiqua" w:hAnsi="Book Antiqua"/>
          <w:sz w:val="24"/>
          <w:szCs w:val="24"/>
        </w:rPr>
        <w:t xml:space="preserve"> </w:t>
      </w:r>
      <w:r w:rsidR="00D2452B" w:rsidRPr="00D2452B">
        <w:rPr>
          <w:rFonts w:ascii="Book Antiqua" w:hAnsi="Book Antiqua"/>
          <w:sz w:val="24"/>
          <w:szCs w:val="24"/>
        </w:rPr>
        <w:t>Incorpora el acuerdo del Consejo Superior en sesión 35-21 extraordinaria de presupuesto del 30 de abril 2021, artículo XII</w:t>
      </w:r>
      <w:r w:rsidR="00D2452B">
        <w:rPr>
          <w:rFonts w:ascii="Book Antiqua" w:hAnsi="Book Antiqua"/>
          <w:sz w:val="24"/>
          <w:szCs w:val="24"/>
        </w:rPr>
        <w:t>; y</w:t>
      </w:r>
      <w:r w:rsidR="00D2452B" w:rsidRPr="00D2452B">
        <w:rPr>
          <w:rFonts w:ascii="Book Antiqua" w:hAnsi="Book Antiqua"/>
          <w:sz w:val="24"/>
          <w:szCs w:val="24"/>
        </w:rPr>
        <w:t xml:space="preserve"> aprobado por Corte Plena en sesión 21-21, del 1 de junio de 2021, artículo II.</w:t>
      </w:r>
      <w:r w:rsidR="00863341">
        <w:rPr>
          <w:rFonts w:ascii="Book Antiqua" w:hAnsi="Book Antiqua"/>
          <w:sz w:val="24"/>
          <w:szCs w:val="24"/>
        </w:rPr>
        <w:t xml:space="preserve">   </w:t>
      </w:r>
      <w:r w:rsidR="00D2452B">
        <w:rPr>
          <w:rFonts w:ascii="Book Antiqua" w:hAnsi="Book Antiqua"/>
          <w:sz w:val="24"/>
          <w:szCs w:val="24"/>
        </w:rPr>
        <w:t xml:space="preserve"> </w:t>
      </w:r>
    </w:p>
    <w:p w14:paraId="17A98E2A" w14:textId="0F98C159" w:rsidR="00A041ED" w:rsidRDefault="00A041ED" w:rsidP="00A041ED">
      <w:pPr>
        <w:spacing w:line="276" w:lineRule="auto"/>
        <w:jc w:val="both"/>
        <w:rPr>
          <w:rFonts w:ascii="Book Antiqua" w:hAnsi="Book Antiqua"/>
          <w:sz w:val="24"/>
          <w:szCs w:val="24"/>
        </w:rPr>
      </w:pPr>
      <w:r w:rsidRPr="00F97E61">
        <w:rPr>
          <w:rFonts w:ascii="Book Antiqua" w:hAnsi="Book Antiqua"/>
          <w:sz w:val="24"/>
          <w:szCs w:val="24"/>
        </w:rPr>
        <w:t>Para la formulación del presupuesto 202</w:t>
      </w:r>
      <w:r w:rsidR="0041176A">
        <w:rPr>
          <w:rFonts w:ascii="Book Antiqua" w:hAnsi="Book Antiqua"/>
          <w:sz w:val="24"/>
          <w:szCs w:val="24"/>
        </w:rPr>
        <w:t>3</w:t>
      </w:r>
      <w:r w:rsidR="00F97E61" w:rsidRPr="001D0C10">
        <w:rPr>
          <w:rFonts w:ascii="Book Antiqua" w:hAnsi="Book Antiqua"/>
          <w:sz w:val="24"/>
          <w:szCs w:val="24"/>
        </w:rPr>
        <w:t xml:space="preserve"> igualmente se realiz</w:t>
      </w:r>
      <w:r w:rsidR="0041176A">
        <w:rPr>
          <w:rFonts w:ascii="Book Antiqua" w:hAnsi="Book Antiqua"/>
          <w:sz w:val="24"/>
          <w:szCs w:val="24"/>
        </w:rPr>
        <w:t>ó</w:t>
      </w:r>
      <w:r w:rsidR="00F97E61" w:rsidRPr="001D0C10">
        <w:rPr>
          <w:rFonts w:ascii="Book Antiqua" w:hAnsi="Book Antiqua"/>
          <w:sz w:val="24"/>
          <w:szCs w:val="24"/>
        </w:rPr>
        <w:t xml:space="preserve"> la estimación del costo a nivel presupuestario para la institución de implementar la Ley 9747</w:t>
      </w:r>
      <w:r w:rsidR="0041176A">
        <w:rPr>
          <w:rFonts w:ascii="Book Antiqua" w:hAnsi="Book Antiqua"/>
          <w:sz w:val="24"/>
          <w:szCs w:val="24"/>
        </w:rPr>
        <w:t>, pero para ese año tampoco se otorgó contenido presupuestario para esta Ley.</w:t>
      </w:r>
    </w:p>
    <w:p w14:paraId="7BF5FA28" w14:textId="0052C124" w:rsidR="0041176A" w:rsidRDefault="0041176A" w:rsidP="00A041ED">
      <w:pPr>
        <w:spacing w:line="276" w:lineRule="auto"/>
        <w:jc w:val="both"/>
        <w:rPr>
          <w:rFonts w:ascii="Book Antiqua" w:hAnsi="Book Antiqua"/>
          <w:sz w:val="24"/>
          <w:szCs w:val="24"/>
        </w:rPr>
      </w:pPr>
      <w:r>
        <w:rPr>
          <w:rFonts w:ascii="Book Antiqua" w:hAnsi="Book Antiqua"/>
          <w:sz w:val="24"/>
          <w:szCs w:val="24"/>
        </w:rPr>
        <w:t xml:space="preserve">Se procede a actualizar el informe 314-PLA-RH-MI-2022 (Presupuesto para 2023) para estimar los costos de la implementación del Código Procesal de Familia en 2024, considerando que la Ley entrará en vigencia el 1 de octubre y que se requiere contar con el contenido presupuestario para cubrir esos 3 meses en que la Ley estará en vigencia. </w:t>
      </w:r>
    </w:p>
    <w:p w14:paraId="79D7A261" w14:textId="0136EDD4" w:rsidR="009C01E1" w:rsidRPr="003141DF" w:rsidRDefault="00A041ED" w:rsidP="009C01E1">
      <w:pPr>
        <w:pStyle w:val="Ttulo1"/>
      </w:pPr>
      <w:r>
        <w:t>Metodología</w:t>
      </w:r>
    </w:p>
    <w:p w14:paraId="5486D563" w14:textId="5B2CB3B8" w:rsidR="009C01E1" w:rsidRPr="009C01E1" w:rsidRDefault="009C01E1" w:rsidP="009C01E1">
      <w:pPr>
        <w:jc w:val="both"/>
        <w:rPr>
          <w:rFonts w:ascii="Book Antiqua" w:hAnsi="Book Antiqua"/>
          <w:sz w:val="24"/>
          <w:szCs w:val="24"/>
        </w:rPr>
      </w:pPr>
      <w:r w:rsidRPr="009C01E1">
        <w:rPr>
          <w:rFonts w:ascii="Book Antiqua" w:hAnsi="Book Antiqua"/>
          <w:sz w:val="24"/>
          <w:szCs w:val="24"/>
        </w:rPr>
        <w:t>El análisis del impacto de cambios con la entrada en vigencia del Código Procesal de Familia en el Poder</w:t>
      </w:r>
      <w:r w:rsidR="00797957">
        <w:rPr>
          <w:rFonts w:ascii="Book Antiqua" w:hAnsi="Book Antiqua"/>
          <w:sz w:val="24"/>
          <w:szCs w:val="24"/>
        </w:rPr>
        <w:t xml:space="preserve"> </w:t>
      </w:r>
      <w:r w:rsidR="00797957" w:rsidRPr="009C01E1">
        <w:rPr>
          <w:rFonts w:ascii="Book Antiqua" w:hAnsi="Book Antiqua"/>
          <w:sz w:val="24"/>
          <w:szCs w:val="24"/>
        </w:rPr>
        <w:t>Judicial</w:t>
      </w:r>
      <w:r w:rsidRPr="009C01E1">
        <w:rPr>
          <w:rFonts w:ascii="Book Antiqua" w:hAnsi="Book Antiqua"/>
          <w:sz w:val="24"/>
          <w:szCs w:val="24"/>
        </w:rPr>
        <w:t xml:space="preserve"> se trabajó de manera interdisciplinaria y con representantes de la de la Comisión de la Jurisdicción Familia, Niñez y Adolescencia </w:t>
      </w:r>
      <w:r w:rsidR="00454FC1">
        <w:rPr>
          <w:rFonts w:ascii="Book Antiqua" w:hAnsi="Book Antiqua"/>
          <w:sz w:val="24"/>
          <w:szCs w:val="24"/>
        </w:rPr>
        <w:t xml:space="preserve">en el 2020, </w:t>
      </w:r>
      <w:r w:rsidRPr="009C01E1">
        <w:rPr>
          <w:rFonts w:ascii="Book Antiqua" w:hAnsi="Book Antiqua"/>
          <w:sz w:val="24"/>
          <w:szCs w:val="24"/>
        </w:rPr>
        <w:t xml:space="preserve">los cuales se incluyeron en el informe 656-PLA-RH-MI-2020 </w:t>
      </w:r>
      <w:r w:rsidR="00454FC1">
        <w:rPr>
          <w:rFonts w:ascii="Book Antiqua" w:hAnsi="Book Antiqua"/>
          <w:sz w:val="24"/>
          <w:szCs w:val="24"/>
        </w:rPr>
        <w:t xml:space="preserve">de esta Dirección </w:t>
      </w:r>
      <w:r w:rsidRPr="009C01E1">
        <w:rPr>
          <w:rFonts w:ascii="Book Antiqua" w:hAnsi="Book Antiqua"/>
          <w:sz w:val="24"/>
          <w:szCs w:val="24"/>
        </w:rPr>
        <w:t>relacionado con el “</w:t>
      </w:r>
      <w:r w:rsidRPr="001D0C10">
        <w:rPr>
          <w:rFonts w:ascii="Book Antiqua" w:hAnsi="Book Antiqua"/>
          <w:i/>
          <w:iCs/>
          <w:sz w:val="24"/>
          <w:szCs w:val="24"/>
        </w:rPr>
        <w:t>Impacto organizacional y presupuestario en el Poder Judicial a partir de la promulgación del Código Procesal de Familia</w:t>
      </w:r>
      <w:r w:rsidR="006A358F" w:rsidRPr="001D0C10">
        <w:rPr>
          <w:rFonts w:ascii="Book Antiqua" w:hAnsi="Book Antiqua"/>
          <w:i/>
          <w:iCs/>
          <w:sz w:val="24"/>
          <w:szCs w:val="24"/>
        </w:rPr>
        <w:t xml:space="preserve"> </w:t>
      </w:r>
      <w:r w:rsidR="006D695A" w:rsidRPr="001D0C10">
        <w:rPr>
          <w:rFonts w:ascii="Book Antiqua" w:hAnsi="Book Antiqua"/>
          <w:i/>
          <w:iCs/>
          <w:sz w:val="24"/>
          <w:szCs w:val="24"/>
        </w:rPr>
        <w:t>p</w:t>
      </w:r>
      <w:r w:rsidR="006A358F" w:rsidRPr="001D0C10">
        <w:rPr>
          <w:rFonts w:ascii="Book Antiqua" w:hAnsi="Book Antiqua"/>
          <w:i/>
          <w:iCs/>
          <w:sz w:val="24"/>
          <w:szCs w:val="24"/>
        </w:rPr>
        <w:t>ara 2021</w:t>
      </w:r>
      <w:r w:rsidRPr="009C01E1">
        <w:rPr>
          <w:rFonts w:ascii="Book Antiqua" w:hAnsi="Book Antiqua"/>
          <w:sz w:val="24"/>
          <w:szCs w:val="24"/>
        </w:rPr>
        <w:t>”</w:t>
      </w:r>
      <w:r w:rsidR="00454FC1">
        <w:rPr>
          <w:rFonts w:ascii="Book Antiqua" w:hAnsi="Book Antiqua"/>
          <w:sz w:val="24"/>
          <w:szCs w:val="24"/>
        </w:rPr>
        <w:t>. E</w:t>
      </w:r>
      <w:r w:rsidRPr="009C01E1">
        <w:rPr>
          <w:rFonts w:ascii="Book Antiqua" w:hAnsi="Book Antiqua"/>
          <w:sz w:val="24"/>
          <w:szCs w:val="24"/>
        </w:rPr>
        <w:t>ntre los colaboradores se contó con los siguientes funcionarios:</w:t>
      </w:r>
    </w:p>
    <w:p w14:paraId="2354D121" w14:textId="76297F67" w:rsid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Lic. Alberto Jiménez Mata, Juez de Familia de Puntarenas</w:t>
      </w:r>
      <w:r>
        <w:rPr>
          <w:rFonts w:ascii="Book Antiqua" w:eastAsia="Calibri" w:hAnsi="Book Antiqua" w:cs="Arial"/>
          <w:sz w:val="24"/>
          <w:szCs w:val="24"/>
          <w:lang w:eastAsia="es-CR"/>
        </w:rPr>
        <w:t>,</w:t>
      </w:r>
      <w:r w:rsidRPr="009C01E1">
        <w:rPr>
          <w:rFonts w:ascii="Book Antiqua" w:eastAsia="Calibri" w:hAnsi="Book Antiqua" w:cs="Arial"/>
          <w:sz w:val="24"/>
          <w:szCs w:val="24"/>
          <w:lang w:eastAsia="es-CR"/>
        </w:rPr>
        <w:t xml:space="preserve"> quien participó en la redacción de la normativa procesal propuesta para la materia de Familia, Integrante de la Comisión de la Jurisdicción </w:t>
      </w:r>
      <w:r>
        <w:rPr>
          <w:rFonts w:ascii="Book Antiqua" w:eastAsia="Calibri" w:hAnsi="Book Antiqua" w:cs="Arial"/>
          <w:sz w:val="24"/>
          <w:szCs w:val="24"/>
          <w:lang w:eastAsia="es-CR"/>
        </w:rPr>
        <w:t xml:space="preserve">de </w:t>
      </w:r>
      <w:r w:rsidRPr="009C01E1">
        <w:rPr>
          <w:rFonts w:ascii="Book Antiqua" w:eastAsia="Calibri" w:hAnsi="Book Antiqua" w:cs="Arial"/>
          <w:sz w:val="24"/>
          <w:szCs w:val="24"/>
          <w:lang w:eastAsia="es-CR"/>
        </w:rPr>
        <w:t xml:space="preserve">Familia, Niñez y Adolescencia, y designado como Coordinador del proyecto de CPF. </w:t>
      </w:r>
    </w:p>
    <w:p w14:paraId="31097793" w14:textId="77777777" w:rsidR="007E10FD" w:rsidRPr="009C01E1" w:rsidRDefault="007E10FD" w:rsidP="007E10FD">
      <w:pPr>
        <w:spacing w:after="0" w:line="276" w:lineRule="auto"/>
        <w:contextualSpacing/>
        <w:jc w:val="both"/>
        <w:rPr>
          <w:rFonts w:ascii="Book Antiqua" w:eastAsia="Calibri" w:hAnsi="Book Antiqua" w:cs="Arial"/>
          <w:sz w:val="24"/>
          <w:szCs w:val="24"/>
          <w:lang w:eastAsia="es-CR"/>
        </w:rPr>
      </w:pPr>
    </w:p>
    <w:p w14:paraId="5EE9D75A" w14:textId="533CFE45" w:rsid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 xml:space="preserve">Lic. Cristian Alberto Martínez Hernández, Juez Gestor de la Jurisdicción de Familia, Niñez y Adolescencia. </w:t>
      </w:r>
    </w:p>
    <w:p w14:paraId="65F37BEC"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4BF778A7" w14:textId="533166AA" w:rsidR="009C01E1" w:rsidRP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 xml:space="preserve">Profesionales de la Defensa Pública, específicamente las Licenciadas Melania Soto Delgado y Sandra Mora Venegas, por su orden </w:t>
      </w:r>
      <w:r w:rsidR="00306313">
        <w:rPr>
          <w:rFonts w:ascii="Book Antiqua" w:eastAsia="Calibri" w:hAnsi="Book Antiqua" w:cs="Arial"/>
          <w:sz w:val="24"/>
          <w:szCs w:val="24"/>
          <w:lang w:eastAsia="es-CR"/>
        </w:rPr>
        <w:t xml:space="preserve">entonces </w:t>
      </w:r>
      <w:r w:rsidRPr="009C01E1">
        <w:rPr>
          <w:rFonts w:ascii="Book Antiqua" w:eastAsia="Calibri" w:hAnsi="Book Antiqua" w:cs="Arial"/>
          <w:sz w:val="24"/>
          <w:szCs w:val="24"/>
          <w:lang w:eastAsia="es-CR"/>
        </w:rPr>
        <w:t>Administradora Regional de la Defensa Pública y Supervisora a.i. de la Unidad de Pensiones Alimentarias y Familia.</w:t>
      </w:r>
    </w:p>
    <w:p w14:paraId="7847220D" w14:textId="3C4BE7B4" w:rsidR="009C01E1" w:rsidRDefault="00111B07"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Lic. </w:t>
      </w:r>
      <w:r w:rsidR="009C01E1" w:rsidRPr="009C01E1">
        <w:rPr>
          <w:rFonts w:ascii="Book Antiqua" w:eastAsia="Calibri" w:hAnsi="Book Antiqua" w:cs="Arial"/>
          <w:sz w:val="24"/>
          <w:szCs w:val="24"/>
          <w:lang w:eastAsia="es-CR"/>
        </w:rPr>
        <w:t>Melvin Obando Villalobos de la Dirección Ejecutiva, Jefe a.i. del Subproceso de Análisis y Ejecución.</w:t>
      </w:r>
    </w:p>
    <w:p w14:paraId="4704CBB7" w14:textId="77777777" w:rsidR="007E10FD" w:rsidRPr="009C01E1" w:rsidRDefault="007E10FD" w:rsidP="007E10FD">
      <w:pPr>
        <w:spacing w:after="0" w:line="276" w:lineRule="auto"/>
        <w:contextualSpacing/>
        <w:jc w:val="both"/>
        <w:rPr>
          <w:rFonts w:ascii="Book Antiqua" w:eastAsia="Calibri" w:hAnsi="Book Antiqua" w:cs="Arial"/>
          <w:sz w:val="24"/>
          <w:szCs w:val="24"/>
          <w:lang w:eastAsia="es-CR"/>
        </w:rPr>
      </w:pPr>
    </w:p>
    <w:p w14:paraId="77560AAC" w14:textId="293C60A0" w:rsidR="009C01E1" w:rsidRDefault="009C01E1" w:rsidP="0090609F">
      <w:pPr>
        <w:numPr>
          <w:ilvl w:val="0"/>
          <w:numId w:val="4"/>
        </w:numPr>
        <w:spacing w:after="0" w:line="276" w:lineRule="auto"/>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Escuela Judicial, con l</w:t>
      </w:r>
      <w:r w:rsidR="00111B07">
        <w:rPr>
          <w:rFonts w:ascii="Book Antiqua" w:eastAsia="Calibri" w:hAnsi="Book Antiqua" w:cs="Arial"/>
          <w:sz w:val="24"/>
          <w:szCs w:val="24"/>
          <w:lang w:eastAsia="es-CR"/>
        </w:rPr>
        <w:t>a</w:t>
      </w:r>
      <w:r w:rsidRPr="009C01E1">
        <w:rPr>
          <w:rFonts w:ascii="Book Antiqua" w:eastAsia="Calibri" w:hAnsi="Book Antiqua" w:cs="Arial"/>
          <w:sz w:val="24"/>
          <w:szCs w:val="24"/>
          <w:lang w:eastAsia="es-CR"/>
        </w:rPr>
        <w:t xml:space="preserve"> Licda. Rebeca Guardia Morales, Directora a.i. de la Escuela Judicial, Lic</w:t>
      </w:r>
      <w:r w:rsidR="00111B07">
        <w:rPr>
          <w:rFonts w:ascii="Book Antiqua" w:eastAsia="Calibri" w:hAnsi="Book Antiqua" w:cs="Arial"/>
          <w:sz w:val="24"/>
          <w:szCs w:val="24"/>
          <w:lang w:eastAsia="es-CR"/>
        </w:rPr>
        <w:t>da</w:t>
      </w:r>
      <w:r w:rsidRPr="009C01E1">
        <w:rPr>
          <w:rFonts w:ascii="Book Antiqua" w:eastAsia="Calibri" w:hAnsi="Book Antiqua" w:cs="Arial"/>
          <w:sz w:val="24"/>
          <w:szCs w:val="24"/>
          <w:lang w:eastAsia="es-CR"/>
        </w:rPr>
        <w:t>. Francia León González de la Escuela Judicial.</w:t>
      </w:r>
    </w:p>
    <w:p w14:paraId="0C539DF0" w14:textId="77777777" w:rsidR="00306313" w:rsidRPr="009C01E1" w:rsidRDefault="00306313" w:rsidP="001D0C10">
      <w:pPr>
        <w:spacing w:after="0" w:line="276" w:lineRule="auto"/>
        <w:contextualSpacing/>
        <w:jc w:val="both"/>
        <w:rPr>
          <w:rFonts w:ascii="Book Antiqua" w:eastAsia="Calibri" w:hAnsi="Book Antiqua" w:cs="Arial"/>
          <w:sz w:val="24"/>
          <w:szCs w:val="24"/>
          <w:lang w:eastAsia="es-CR"/>
        </w:rPr>
      </w:pPr>
    </w:p>
    <w:p w14:paraId="3DE0D025" w14:textId="3786EC85" w:rsidR="00111B07" w:rsidRDefault="009C01E1" w:rsidP="0090609F">
      <w:pPr>
        <w:numPr>
          <w:ilvl w:val="0"/>
          <w:numId w:val="4"/>
        </w:numPr>
        <w:spacing w:after="0" w:line="276" w:lineRule="auto"/>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Profesional del Departamento de Trabajo Social y Psicología, concretamente la MSc. Alba Gutiérrez Villalobos, Jefa del Departamento de Trabajo Social y Psicología.</w:t>
      </w:r>
    </w:p>
    <w:p w14:paraId="4E2C6F40"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61DAD48E" w14:textId="19B4C84A" w:rsidR="00111B07" w:rsidRDefault="00111B07" w:rsidP="0090609F">
      <w:pPr>
        <w:numPr>
          <w:ilvl w:val="0"/>
          <w:numId w:val="4"/>
        </w:numPr>
        <w:spacing w:after="0" w:line="276" w:lineRule="auto"/>
        <w:contextualSpacing/>
        <w:jc w:val="both"/>
        <w:rPr>
          <w:rFonts w:ascii="Book Antiqua" w:eastAsia="Calibri" w:hAnsi="Book Antiqua" w:cs="Arial"/>
          <w:sz w:val="24"/>
          <w:szCs w:val="24"/>
          <w:lang w:eastAsia="es-CR"/>
        </w:rPr>
      </w:pPr>
      <w:r w:rsidRPr="00111B07">
        <w:rPr>
          <w:rFonts w:ascii="Book Antiqua" w:eastAsia="Calibri" w:hAnsi="Book Antiqua" w:cs="Arial"/>
          <w:sz w:val="24"/>
          <w:szCs w:val="24"/>
          <w:lang w:eastAsia="es-CR"/>
        </w:rPr>
        <w:t xml:space="preserve">Departamento de Medicina Legal, con el Dr. Franz Vega Zúñiga, </w:t>
      </w:r>
      <w:r>
        <w:rPr>
          <w:rFonts w:ascii="Book Antiqua" w:eastAsia="Calibri" w:hAnsi="Book Antiqua" w:cs="Arial"/>
          <w:sz w:val="24"/>
          <w:szCs w:val="24"/>
          <w:lang w:eastAsia="es-CR"/>
        </w:rPr>
        <w:t>J</w:t>
      </w:r>
      <w:r w:rsidRPr="00111B07">
        <w:rPr>
          <w:rFonts w:ascii="Book Antiqua" w:eastAsia="Calibri" w:hAnsi="Book Antiqua" w:cs="Arial"/>
          <w:sz w:val="24"/>
          <w:szCs w:val="24"/>
          <w:lang w:eastAsia="es-CR"/>
        </w:rPr>
        <w:t>efe del Departamento de Medicina Legal y el señor Jesús Benavides Chacón de la Unidad Tecnológica Informática.</w:t>
      </w:r>
    </w:p>
    <w:p w14:paraId="477470C9"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6D1AFABE" w14:textId="52A6F2DC" w:rsidR="00111B07" w:rsidRDefault="00111B07" w:rsidP="0090609F">
      <w:pPr>
        <w:numPr>
          <w:ilvl w:val="0"/>
          <w:numId w:val="4"/>
        </w:numPr>
        <w:spacing w:after="0" w:line="276" w:lineRule="auto"/>
        <w:contextualSpacing/>
        <w:jc w:val="both"/>
        <w:rPr>
          <w:rFonts w:ascii="Book Antiqua" w:eastAsia="Calibri" w:hAnsi="Book Antiqua" w:cs="Arial"/>
          <w:sz w:val="24"/>
          <w:szCs w:val="24"/>
          <w:lang w:eastAsia="es-CR"/>
        </w:rPr>
      </w:pPr>
      <w:r w:rsidRPr="00111B07">
        <w:rPr>
          <w:rFonts w:ascii="Book Antiqua" w:eastAsia="Calibri" w:hAnsi="Book Antiqua" w:cs="Arial"/>
          <w:sz w:val="24"/>
          <w:szCs w:val="24"/>
          <w:lang w:eastAsia="es-CR"/>
        </w:rPr>
        <w:t>Sección de Bioquímica, con la Dra. Eugenia Fernández Mora, Jefa de la Sección de Bioquímica.</w:t>
      </w:r>
    </w:p>
    <w:p w14:paraId="7C146AB1" w14:textId="77777777" w:rsidR="00D401B3" w:rsidRDefault="00D401B3" w:rsidP="00D401B3">
      <w:pPr>
        <w:pStyle w:val="Prrafodelista"/>
        <w:rPr>
          <w:rFonts w:ascii="Book Antiqua" w:eastAsia="Calibri" w:hAnsi="Book Antiqua" w:cs="Arial"/>
          <w:sz w:val="24"/>
          <w:szCs w:val="24"/>
          <w:lang w:eastAsia="es-CR"/>
        </w:rPr>
      </w:pPr>
    </w:p>
    <w:p w14:paraId="3E2E514D" w14:textId="7A34E56F" w:rsidR="00B94F8B" w:rsidRPr="00B94F8B" w:rsidRDefault="00B94F8B" w:rsidP="00B94F8B">
      <w:pPr>
        <w:spacing w:after="0" w:line="276" w:lineRule="auto"/>
        <w:jc w:val="both"/>
        <w:rPr>
          <w:rFonts w:ascii="Book Antiqua" w:eastAsia="Calibri" w:hAnsi="Book Antiqua" w:cs="Arial"/>
          <w:sz w:val="24"/>
          <w:szCs w:val="24"/>
        </w:rPr>
      </w:pPr>
      <w:r w:rsidRPr="00271750">
        <w:rPr>
          <w:rFonts w:ascii="Book Antiqua" w:eastAsia="Calibri" w:hAnsi="Book Antiqua" w:cs="Arial"/>
          <w:b/>
          <w:bCs/>
          <w:i/>
          <w:iCs/>
          <w:sz w:val="24"/>
          <w:szCs w:val="24"/>
        </w:rPr>
        <w:t>Para el ejercicio de formulación presupuestario para el 202</w:t>
      </w:r>
      <w:r w:rsidR="00E42380">
        <w:rPr>
          <w:rFonts w:ascii="Book Antiqua" w:eastAsia="Calibri" w:hAnsi="Book Antiqua" w:cs="Arial"/>
          <w:b/>
          <w:bCs/>
          <w:i/>
          <w:iCs/>
          <w:sz w:val="24"/>
          <w:szCs w:val="24"/>
        </w:rPr>
        <w:t>2</w:t>
      </w:r>
      <w:r w:rsidR="00D401B3">
        <w:rPr>
          <w:rFonts w:ascii="Book Antiqua" w:eastAsia="Calibri" w:hAnsi="Book Antiqua" w:cs="Arial"/>
          <w:b/>
          <w:bCs/>
          <w:i/>
          <w:iCs/>
          <w:sz w:val="24"/>
          <w:szCs w:val="24"/>
        </w:rPr>
        <w:t>,</w:t>
      </w:r>
      <w:r w:rsidR="00E42380">
        <w:rPr>
          <w:rFonts w:ascii="Book Antiqua" w:eastAsia="Calibri" w:hAnsi="Book Antiqua" w:cs="Arial"/>
          <w:b/>
          <w:bCs/>
          <w:i/>
          <w:iCs/>
          <w:sz w:val="24"/>
          <w:szCs w:val="24"/>
        </w:rPr>
        <w:t xml:space="preserve"> 202</w:t>
      </w:r>
      <w:r w:rsidRPr="00271750">
        <w:rPr>
          <w:rFonts w:ascii="Book Antiqua" w:eastAsia="Calibri" w:hAnsi="Book Antiqua" w:cs="Arial"/>
          <w:b/>
          <w:bCs/>
          <w:i/>
          <w:iCs/>
          <w:sz w:val="24"/>
          <w:szCs w:val="24"/>
        </w:rPr>
        <w:t>3</w:t>
      </w:r>
      <w:r w:rsidRPr="00271750">
        <w:rPr>
          <w:rFonts w:ascii="Book Antiqua" w:eastAsia="Calibri" w:hAnsi="Book Antiqua" w:cs="Arial"/>
          <w:sz w:val="24"/>
          <w:szCs w:val="24"/>
        </w:rPr>
        <w:t xml:space="preserve"> </w:t>
      </w:r>
      <w:r w:rsidR="00D401B3" w:rsidRPr="00D401B3">
        <w:rPr>
          <w:rFonts w:ascii="Book Antiqua" w:eastAsia="Calibri" w:hAnsi="Book Antiqua" w:cs="Arial"/>
          <w:b/>
          <w:bCs/>
          <w:i/>
          <w:iCs/>
          <w:sz w:val="24"/>
          <w:szCs w:val="24"/>
        </w:rPr>
        <w:t>y 2024</w:t>
      </w:r>
      <w:r w:rsidR="00D401B3">
        <w:rPr>
          <w:rFonts w:ascii="Book Antiqua" w:eastAsia="Calibri" w:hAnsi="Book Antiqua" w:cs="Arial"/>
          <w:sz w:val="24"/>
          <w:szCs w:val="24"/>
        </w:rPr>
        <w:t xml:space="preserve">, </w:t>
      </w:r>
      <w:r w:rsidR="00E42380">
        <w:rPr>
          <w:rFonts w:ascii="Book Antiqua" w:eastAsia="Calibri" w:hAnsi="Book Antiqua" w:cs="Arial"/>
          <w:sz w:val="24"/>
          <w:szCs w:val="24"/>
        </w:rPr>
        <w:t xml:space="preserve">se hace referencia a </w:t>
      </w:r>
      <w:r w:rsidR="006D695A">
        <w:rPr>
          <w:rFonts w:ascii="Book Antiqua" w:eastAsia="Calibri" w:hAnsi="Book Antiqua" w:cs="Arial"/>
          <w:sz w:val="24"/>
          <w:szCs w:val="24"/>
        </w:rPr>
        <w:t xml:space="preserve">las </w:t>
      </w:r>
      <w:r w:rsidR="00E42380">
        <w:rPr>
          <w:rFonts w:ascii="Book Antiqua" w:eastAsia="Calibri" w:hAnsi="Book Antiqua" w:cs="Arial"/>
          <w:sz w:val="24"/>
          <w:szCs w:val="24"/>
        </w:rPr>
        <w:t>partes iniciales de las personas citadas en el párrafo anterior, y además se procede a la actualización de los costos citados en el informe</w:t>
      </w:r>
      <w:r w:rsidRPr="00271750">
        <w:rPr>
          <w:rFonts w:ascii="Book Antiqua" w:eastAsia="Calibri" w:hAnsi="Book Antiqua" w:cs="Arial"/>
          <w:sz w:val="24"/>
          <w:szCs w:val="24"/>
        </w:rPr>
        <w:t xml:space="preserve"> </w:t>
      </w:r>
      <w:r w:rsidR="00D53C25" w:rsidRPr="00271750">
        <w:rPr>
          <w:rFonts w:ascii="Book Antiqua" w:eastAsia="Calibri" w:hAnsi="Book Antiqua" w:cs="Arial"/>
          <w:sz w:val="24"/>
          <w:szCs w:val="24"/>
        </w:rPr>
        <w:t>3</w:t>
      </w:r>
      <w:r w:rsidR="003B427F">
        <w:rPr>
          <w:rFonts w:ascii="Book Antiqua" w:eastAsia="Calibri" w:hAnsi="Book Antiqua" w:cs="Arial"/>
          <w:sz w:val="24"/>
          <w:szCs w:val="24"/>
        </w:rPr>
        <w:t>14</w:t>
      </w:r>
      <w:r w:rsidRPr="00271750">
        <w:rPr>
          <w:rFonts w:ascii="Book Antiqua" w:eastAsia="Calibri" w:hAnsi="Book Antiqua" w:cs="Arial"/>
          <w:sz w:val="24"/>
          <w:szCs w:val="24"/>
        </w:rPr>
        <w:t>-PLA-MI-</w:t>
      </w:r>
      <w:r w:rsidR="00A36013">
        <w:rPr>
          <w:rFonts w:ascii="Book Antiqua" w:eastAsia="Calibri" w:hAnsi="Book Antiqua" w:cs="Arial"/>
          <w:sz w:val="24"/>
          <w:szCs w:val="24"/>
        </w:rPr>
        <w:t>RH-</w:t>
      </w:r>
      <w:r w:rsidRPr="00271750">
        <w:rPr>
          <w:rFonts w:ascii="Book Antiqua" w:eastAsia="Calibri" w:hAnsi="Book Antiqua" w:cs="Arial"/>
          <w:sz w:val="24"/>
          <w:szCs w:val="24"/>
        </w:rPr>
        <w:t>202</w:t>
      </w:r>
      <w:r w:rsidR="003B427F">
        <w:rPr>
          <w:rFonts w:ascii="Book Antiqua" w:eastAsia="Calibri" w:hAnsi="Book Antiqua" w:cs="Arial"/>
          <w:sz w:val="24"/>
          <w:szCs w:val="24"/>
        </w:rPr>
        <w:t>2</w:t>
      </w:r>
      <w:r w:rsidR="00E42380">
        <w:rPr>
          <w:rFonts w:ascii="Book Antiqua" w:eastAsia="Calibri" w:hAnsi="Book Antiqua" w:cs="Arial"/>
          <w:sz w:val="24"/>
          <w:szCs w:val="24"/>
        </w:rPr>
        <w:t xml:space="preserve">; y el avance en las tareas o estudios complementarios citados en ese informe y que representan análisis que conforme al cronograma del </w:t>
      </w:r>
      <w:r w:rsidRPr="00BB2865">
        <w:rPr>
          <w:rFonts w:ascii="Book Antiqua" w:eastAsia="Calibri" w:hAnsi="Book Antiqua" w:cs="Arial"/>
          <w:sz w:val="24"/>
          <w:szCs w:val="24"/>
        </w:rPr>
        <w:t>Proyecto 1374-CF-P01 “</w:t>
      </w:r>
      <w:r w:rsidRPr="00BB2865">
        <w:rPr>
          <w:rFonts w:ascii="Book Antiqua" w:eastAsia="Calibri" w:hAnsi="Book Antiqua" w:cs="Arial"/>
          <w:i/>
          <w:iCs/>
          <w:sz w:val="24"/>
          <w:szCs w:val="24"/>
        </w:rPr>
        <w:t>Implementación del Código Procesal de Familia”</w:t>
      </w:r>
      <w:r w:rsidR="00E42380">
        <w:rPr>
          <w:rFonts w:ascii="Book Antiqua" w:eastAsia="Calibri" w:hAnsi="Book Antiqua" w:cs="Arial"/>
          <w:i/>
          <w:iCs/>
          <w:sz w:val="24"/>
          <w:szCs w:val="24"/>
        </w:rPr>
        <w:t xml:space="preserve">, </w:t>
      </w:r>
      <w:r w:rsidR="00E42380" w:rsidRPr="001D0C10">
        <w:rPr>
          <w:rFonts w:ascii="Book Antiqua" w:eastAsia="Calibri" w:hAnsi="Book Antiqua" w:cs="Arial"/>
          <w:sz w:val="24"/>
          <w:szCs w:val="24"/>
        </w:rPr>
        <w:t xml:space="preserve">se les da seguimiento incluso con las Comisiones Jurisdiccionales y el Centro de Apoyo, Coordinación y Mejoramiento de la Función Jurisdiccional para garantizar su ejecución previo a la entrada en vigencia de la norma. Para este informe además </w:t>
      </w:r>
      <w:r w:rsidRPr="00E42380">
        <w:rPr>
          <w:rFonts w:ascii="Book Antiqua" w:eastAsia="Calibri" w:hAnsi="Book Antiqua" w:cs="Arial"/>
          <w:sz w:val="24"/>
          <w:szCs w:val="24"/>
        </w:rPr>
        <w:t xml:space="preserve">se actualizó la </w:t>
      </w:r>
      <w:r w:rsidR="00E42380" w:rsidRPr="00E42380">
        <w:rPr>
          <w:rFonts w:ascii="Book Antiqua" w:eastAsia="Calibri" w:hAnsi="Book Antiqua" w:cs="Arial"/>
          <w:sz w:val="24"/>
          <w:szCs w:val="24"/>
        </w:rPr>
        <w:t xml:space="preserve">información </w:t>
      </w:r>
      <w:r w:rsidRPr="00E42380">
        <w:rPr>
          <w:rFonts w:ascii="Book Antiqua" w:eastAsia="Calibri" w:hAnsi="Book Antiqua" w:cs="Arial"/>
          <w:sz w:val="24"/>
          <w:szCs w:val="24"/>
        </w:rPr>
        <w:t xml:space="preserve">estadística </w:t>
      </w:r>
      <w:r w:rsidR="00E42380" w:rsidRPr="00E42380">
        <w:rPr>
          <w:rFonts w:ascii="Book Antiqua" w:eastAsia="Calibri" w:hAnsi="Book Antiqua" w:cs="Arial"/>
          <w:sz w:val="24"/>
          <w:szCs w:val="24"/>
        </w:rPr>
        <w:t>al finalizar</w:t>
      </w:r>
      <w:r w:rsidRPr="00E42380">
        <w:rPr>
          <w:rFonts w:ascii="Book Antiqua" w:eastAsia="Calibri" w:hAnsi="Book Antiqua" w:cs="Arial"/>
          <w:sz w:val="24"/>
          <w:szCs w:val="24"/>
        </w:rPr>
        <w:t xml:space="preserve"> 202</w:t>
      </w:r>
      <w:r w:rsidR="00A36013">
        <w:rPr>
          <w:rFonts w:ascii="Book Antiqua" w:eastAsia="Calibri" w:hAnsi="Book Antiqua" w:cs="Arial"/>
          <w:sz w:val="24"/>
          <w:szCs w:val="24"/>
        </w:rPr>
        <w:t>2</w:t>
      </w:r>
      <w:r w:rsidRPr="00E42380">
        <w:rPr>
          <w:rFonts w:ascii="Book Antiqua" w:eastAsia="Calibri" w:hAnsi="Book Antiqua" w:cs="Arial"/>
          <w:sz w:val="24"/>
          <w:szCs w:val="24"/>
        </w:rPr>
        <w:t>.</w:t>
      </w:r>
      <w:r w:rsidRPr="00B94F8B">
        <w:rPr>
          <w:rFonts w:ascii="Book Antiqua" w:eastAsia="Calibri" w:hAnsi="Book Antiqua" w:cs="Arial"/>
          <w:sz w:val="24"/>
          <w:szCs w:val="24"/>
        </w:rPr>
        <w:t xml:space="preserve"> </w:t>
      </w:r>
    </w:p>
    <w:p w14:paraId="11F1BBC3" w14:textId="77777777" w:rsidR="00B94F8B" w:rsidRPr="00B94F8B" w:rsidRDefault="00B94F8B" w:rsidP="00B94F8B">
      <w:pPr>
        <w:spacing w:after="0" w:line="276" w:lineRule="auto"/>
        <w:jc w:val="both"/>
        <w:rPr>
          <w:rFonts w:ascii="Book Antiqua" w:eastAsia="Calibri" w:hAnsi="Book Antiqua" w:cs="Arial"/>
          <w:sz w:val="24"/>
          <w:szCs w:val="24"/>
        </w:rPr>
      </w:pPr>
    </w:p>
    <w:p w14:paraId="2A86DA2F" w14:textId="6A58F74A" w:rsidR="00B94F8B" w:rsidRPr="00B94F8B" w:rsidRDefault="002B1E31" w:rsidP="00B94F8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efectos de análisis estadístico debe considerar</w:t>
      </w:r>
      <w:r w:rsidR="0073640E">
        <w:rPr>
          <w:rFonts w:ascii="Book Antiqua" w:eastAsia="Calibri" w:hAnsi="Book Antiqua" w:cs="Arial"/>
          <w:sz w:val="24"/>
          <w:szCs w:val="24"/>
        </w:rPr>
        <w:t>se</w:t>
      </w:r>
      <w:r>
        <w:rPr>
          <w:rFonts w:ascii="Book Antiqua" w:eastAsia="Calibri" w:hAnsi="Book Antiqua" w:cs="Arial"/>
          <w:sz w:val="24"/>
          <w:szCs w:val="24"/>
        </w:rPr>
        <w:t xml:space="preserve"> que el año 2020, es un </w:t>
      </w:r>
      <w:r w:rsidR="00797957">
        <w:rPr>
          <w:rFonts w:ascii="Book Antiqua" w:eastAsia="Calibri" w:hAnsi="Book Antiqua" w:cs="Arial"/>
          <w:sz w:val="24"/>
          <w:szCs w:val="24"/>
        </w:rPr>
        <w:t xml:space="preserve">periodo </w:t>
      </w:r>
      <w:r w:rsidR="00797957" w:rsidRPr="00B94F8B">
        <w:rPr>
          <w:rFonts w:ascii="Book Antiqua" w:eastAsia="Calibri" w:hAnsi="Book Antiqua" w:cs="Arial"/>
          <w:sz w:val="24"/>
          <w:szCs w:val="24"/>
        </w:rPr>
        <w:t>atípico</w:t>
      </w:r>
      <w:r>
        <w:rPr>
          <w:rFonts w:ascii="Book Antiqua" w:eastAsia="Calibri" w:hAnsi="Book Antiqua" w:cs="Arial"/>
          <w:sz w:val="24"/>
          <w:szCs w:val="24"/>
        </w:rPr>
        <w:t xml:space="preserve">, y </w:t>
      </w:r>
      <w:r w:rsidR="00D4767A" w:rsidRPr="00D4767A">
        <w:rPr>
          <w:rFonts w:ascii="Book Antiqua" w:eastAsia="Calibri" w:hAnsi="Book Antiqua" w:cs="Arial"/>
          <w:sz w:val="24"/>
          <w:szCs w:val="24"/>
        </w:rPr>
        <w:t>para efectos de estimaciones</w:t>
      </w:r>
      <w:r>
        <w:rPr>
          <w:rFonts w:ascii="Book Antiqua" w:eastAsia="Calibri" w:hAnsi="Book Antiqua" w:cs="Arial"/>
          <w:sz w:val="24"/>
          <w:szCs w:val="24"/>
        </w:rPr>
        <w:t xml:space="preserve"> ese periodo </w:t>
      </w:r>
      <w:r w:rsidR="00B94F8B" w:rsidRPr="00B94F8B">
        <w:rPr>
          <w:rFonts w:ascii="Book Antiqua" w:eastAsia="Calibri" w:hAnsi="Book Antiqua" w:cs="Arial"/>
          <w:sz w:val="24"/>
          <w:szCs w:val="24"/>
        </w:rPr>
        <w:t>no refleja la normalidad de las oficinas debido a la emergencia nacional por la pandemia por Covid-19.</w:t>
      </w:r>
    </w:p>
    <w:p w14:paraId="126D1352" w14:textId="5956D22D" w:rsidR="00B94F8B" w:rsidRDefault="00CC2002" w:rsidP="00B94F8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la formulación del Presupuesto 2022, 2023 y ahora 2024 lo que se ha realizado es una actualización de los costos</w:t>
      </w:r>
      <w:r w:rsidR="00AF1FB0">
        <w:rPr>
          <w:rFonts w:ascii="Book Antiqua" w:eastAsia="Calibri" w:hAnsi="Book Antiqua" w:cs="Arial"/>
          <w:sz w:val="24"/>
          <w:szCs w:val="24"/>
        </w:rPr>
        <w:t xml:space="preserve"> y recomendaciones</w:t>
      </w:r>
      <w:r>
        <w:rPr>
          <w:rFonts w:ascii="Book Antiqua" w:eastAsia="Calibri" w:hAnsi="Book Antiqua" w:cs="Arial"/>
          <w:sz w:val="24"/>
          <w:szCs w:val="24"/>
        </w:rPr>
        <w:t xml:space="preserve">. </w:t>
      </w:r>
    </w:p>
    <w:p w14:paraId="2906F762" w14:textId="77777777" w:rsidR="00CC2002" w:rsidRPr="00B94F8B" w:rsidRDefault="00CC2002" w:rsidP="00B94F8B">
      <w:pPr>
        <w:spacing w:after="0" w:line="276" w:lineRule="auto"/>
        <w:jc w:val="both"/>
        <w:rPr>
          <w:rFonts w:ascii="Book Antiqua" w:eastAsia="Calibri" w:hAnsi="Book Antiqua" w:cs="Arial"/>
          <w:sz w:val="24"/>
          <w:szCs w:val="24"/>
        </w:rPr>
      </w:pPr>
    </w:p>
    <w:p w14:paraId="557C4863" w14:textId="77777777" w:rsidR="006E0F2D" w:rsidRPr="005C0591" w:rsidRDefault="006E0F2D" w:rsidP="00380ACA">
      <w:pPr>
        <w:pStyle w:val="Ttulo2"/>
        <w:numPr>
          <w:ilvl w:val="0"/>
          <w:numId w:val="0"/>
        </w:numPr>
        <w:ind w:left="360" w:hanging="360"/>
      </w:pPr>
      <w:r w:rsidRPr="0062180E">
        <w:t xml:space="preserve">Proyecto 1374-CF-P01 </w:t>
      </w:r>
      <w:r w:rsidRPr="00AD7EED">
        <w:t>“</w:t>
      </w:r>
      <w:r w:rsidRPr="005C0591">
        <w:t>Implementación del Código Procesal de Familia”</w:t>
      </w:r>
    </w:p>
    <w:p w14:paraId="336B0F40" w14:textId="4BEC684B" w:rsidR="006E0F2D" w:rsidRDefault="006E0F2D" w:rsidP="009C01E1">
      <w:pPr>
        <w:spacing w:line="276" w:lineRule="auto"/>
        <w:jc w:val="both"/>
        <w:rPr>
          <w:rFonts w:ascii="Book Antiqua" w:hAnsi="Book Antiqua"/>
          <w:sz w:val="24"/>
          <w:szCs w:val="24"/>
        </w:rPr>
      </w:pPr>
      <w:r w:rsidRPr="006E0F2D">
        <w:rPr>
          <w:rFonts w:ascii="Book Antiqua" w:hAnsi="Book Antiqua"/>
          <w:sz w:val="24"/>
          <w:szCs w:val="24"/>
        </w:rPr>
        <w:t xml:space="preserve">A partir de junio 2020 y conforme al acuerdo del Consejo Superior en sesión 70-2020 celebrada el 09 de julio del 2020, artículo LVIII se acordó entre otras cosas, ceder a la Dirección de Planificación el liderazgo del proyecto 1374-CF-P01 </w:t>
      </w:r>
      <w:r w:rsidRPr="001D0C10">
        <w:rPr>
          <w:rFonts w:ascii="Book Antiqua" w:hAnsi="Book Antiqua"/>
          <w:i/>
          <w:iCs/>
          <w:sz w:val="24"/>
          <w:szCs w:val="24"/>
        </w:rPr>
        <w:t>“Implementación del Código Procesal de Familia</w:t>
      </w:r>
      <w:r w:rsidRPr="006E0F2D">
        <w:rPr>
          <w:rFonts w:ascii="Book Antiqua" w:hAnsi="Book Antiqua"/>
          <w:sz w:val="24"/>
          <w:szCs w:val="24"/>
        </w:rPr>
        <w:t>” anteriormente administrado por la Comisión de Familia, Niñez y Adolescencia:</w:t>
      </w:r>
    </w:p>
    <w:p w14:paraId="0FB5EBBB" w14:textId="77777777" w:rsidR="006E0F2D" w:rsidRPr="006E0F2D" w:rsidRDefault="006E0F2D" w:rsidP="006E0F2D">
      <w:pPr>
        <w:spacing w:after="0" w:line="276" w:lineRule="auto"/>
        <w:ind w:left="567" w:right="616"/>
        <w:jc w:val="both"/>
        <w:rPr>
          <w:rFonts w:ascii="Book Antiqua" w:eastAsia="Calibri" w:hAnsi="Book Antiqua" w:cs="Arial"/>
          <w:i/>
          <w:sz w:val="24"/>
          <w:szCs w:val="24"/>
        </w:rPr>
      </w:pPr>
      <w:r w:rsidRPr="006E0F2D">
        <w:rPr>
          <w:rFonts w:ascii="Book Antiqua" w:eastAsia="Calibri" w:hAnsi="Book Antiqua" w:cs="Arial"/>
          <w:i/>
          <w:sz w:val="24"/>
          <w:szCs w:val="24"/>
        </w:rPr>
        <w:t>“</w:t>
      </w:r>
      <w:r w:rsidRPr="006E0F2D">
        <w:rPr>
          <w:rFonts w:ascii="Book Antiqua" w:eastAsia="Calibri" w:hAnsi="Book Antiqua" w:cs="Arial"/>
          <w:b/>
          <w:bCs/>
          <w:i/>
          <w:sz w:val="24"/>
          <w:szCs w:val="24"/>
        </w:rPr>
        <w:t>2</w:t>
      </w:r>
      <w:r w:rsidRPr="006E0F2D">
        <w:rPr>
          <w:rFonts w:ascii="Book Antiqua" w:eastAsia="Calibri" w:hAnsi="Book Antiqua"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p>
    <w:p w14:paraId="27EF7688" w14:textId="77777777" w:rsidR="006E0F2D" w:rsidRDefault="006E0F2D" w:rsidP="006E0F2D">
      <w:pPr>
        <w:spacing w:after="0" w:line="276" w:lineRule="auto"/>
        <w:ind w:right="49"/>
        <w:jc w:val="both"/>
        <w:rPr>
          <w:rFonts w:ascii="Book Antiqua" w:eastAsia="Calibri" w:hAnsi="Book Antiqua" w:cs="Arial"/>
          <w:b/>
          <w:bCs/>
          <w:i/>
          <w:sz w:val="24"/>
          <w:szCs w:val="24"/>
        </w:rPr>
      </w:pPr>
    </w:p>
    <w:p w14:paraId="5B3BC9A3" w14:textId="3129B41C" w:rsidR="006E0F2D" w:rsidRPr="006E0F2D" w:rsidRDefault="006E0F2D" w:rsidP="006E0F2D">
      <w:pPr>
        <w:spacing w:after="0" w:line="276" w:lineRule="auto"/>
        <w:ind w:right="49"/>
        <w:jc w:val="both"/>
        <w:rPr>
          <w:rFonts w:ascii="Book Antiqua" w:eastAsia="Calibri" w:hAnsi="Book Antiqua" w:cs="Arial"/>
          <w:b/>
          <w:bCs/>
          <w:i/>
          <w:sz w:val="24"/>
          <w:szCs w:val="24"/>
        </w:rPr>
      </w:pPr>
      <w:r w:rsidRPr="006E0F2D">
        <w:rPr>
          <w:rFonts w:ascii="Book Antiqua" w:eastAsia="Calibri" w:hAnsi="Book Antiqua" w:cs="Arial"/>
          <w:b/>
          <w:bCs/>
          <w:i/>
          <w:sz w:val="24"/>
          <w:szCs w:val="24"/>
        </w:rPr>
        <w:t xml:space="preserve">Equipo Interdisciplinario </w:t>
      </w:r>
    </w:p>
    <w:p w14:paraId="1FB3653B" w14:textId="77777777" w:rsidR="006E0F2D" w:rsidRPr="006E0F2D" w:rsidRDefault="006E0F2D" w:rsidP="006E0F2D">
      <w:pPr>
        <w:spacing w:after="0" w:line="276" w:lineRule="auto"/>
        <w:ind w:right="49"/>
        <w:jc w:val="both"/>
        <w:rPr>
          <w:rFonts w:ascii="Book Antiqua" w:eastAsia="Calibri" w:hAnsi="Book Antiqua" w:cs="Arial"/>
          <w:b/>
          <w:bCs/>
          <w:i/>
          <w:sz w:val="24"/>
          <w:szCs w:val="24"/>
        </w:rPr>
      </w:pPr>
    </w:p>
    <w:p w14:paraId="40391ACA" w14:textId="5A956DBF" w:rsidR="002124D9" w:rsidRDefault="006E0F2D" w:rsidP="006E0F2D">
      <w:pPr>
        <w:spacing w:after="0" w:line="276" w:lineRule="auto"/>
        <w:ind w:right="49"/>
        <w:jc w:val="both"/>
        <w:rPr>
          <w:rFonts w:ascii="Book Antiqua" w:eastAsia="Calibri" w:hAnsi="Book Antiqua" w:cs="Arial"/>
          <w:iCs/>
          <w:sz w:val="24"/>
          <w:szCs w:val="24"/>
        </w:rPr>
      </w:pPr>
      <w:r w:rsidRPr="006E0F2D">
        <w:rPr>
          <w:rFonts w:ascii="Book Antiqua" w:eastAsia="Calibri" w:hAnsi="Book Antiqua" w:cs="Arial"/>
          <w:iCs/>
          <w:sz w:val="24"/>
          <w:szCs w:val="24"/>
        </w:rPr>
        <w:t>A partir de ese momento</w:t>
      </w:r>
      <w:r w:rsidR="009E4F55">
        <w:rPr>
          <w:rFonts w:ascii="Book Antiqua" w:eastAsia="Calibri" w:hAnsi="Book Antiqua" w:cs="Arial"/>
          <w:iCs/>
          <w:sz w:val="24"/>
          <w:szCs w:val="24"/>
        </w:rPr>
        <w:t>,</w:t>
      </w:r>
      <w:r w:rsidRPr="006E0F2D">
        <w:rPr>
          <w:rFonts w:ascii="Book Antiqua" w:eastAsia="Calibri" w:hAnsi="Book Antiqua" w:cs="Arial"/>
          <w:iCs/>
          <w:sz w:val="24"/>
          <w:szCs w:val="24"/>
        </w:rPr>
        <w:t xml:space="preserve"> se </w:t>
      </w:r>
      <w:r w:rsidR="0030761F">
        <w:rPr>
          <w:rFonts w:ascii="Book Antiqua" w:eastAsia="Calibri" w:hAnsi="Book Antiqua" w:cs="Arial"/>
          <w:iCs/>
          <w:sz w:val="24"/>
          <w:szCs w:val="24"/>
        </w:rPr>
        <w:t>realizaron</w:t>
      </w:r>
      <w:r w:rsidRPr="006E0F2D">
        <w:rPr>
          <w:rFonts w:ascii="Book Antiqua" w:eastAsia="Calibri" w:hAnsi="Book Antiqua" w:cs="Arial"/>
          <w:iCs/>
          <w:sz w:val="24"/>
          <w:szCs w:val="24"/>
        </w:rPr>
        <w:t xml:space="preserve"> sesiones de trabajo interdisciplinarias cada 2</w:t>
      </w:r>
      <w:r w:rsidR="009E4F55">
        <w:rPr>
          <w:rFonts w:ascii="Book Antiqua" w:eastAsia="Calibri" w:hAnsi="Book Antiqua" w:cs="Arial"/>
          <w:iCs/>
          <w:sz w:val="24"/>
          <w:szCs w:val="24"/>
        </w:rPr>
        <w:t xml:space="preserve"> a 3</w:t>
      </w:r>
      <w:r w:rsidRPr="006E0F2D">
        <w:rPr>
          <w:rFonts w:ascii="Book Antiqua" w:eastAsia="Calibri" w:hAnsi="Book Antiqua" w:cs="Arial"/>
          <w:iCs/>
          <w:sz w:val="24"/>
          <w:szCs w:val="24"/>
        </w:rPr>
        <w:t xml:space="preserve"> semanas aproximadamente con participación del Centro de Apoyo, Coordinación y Mejoramiento de la Función Jurisdiccional, Dirección de Tecnología de la Información, Dirección Ejecutiva, Dirección de Gestión Humana, Inspección Judicial</w:t>
      </w:r>
      <w:r w:rsidR="002124D9">
        <w:rPr>
          <w:rFonts w:ascii="Book Antiqua" w:eastAsia="Calibri" w:hAnsi="Book Antiqua" w:cs="Arial"/>
          <w:iCs/>
          <w:sz w:val="24"/>
          <w:szCs w:val="24"/>
        </w:rPr>
        <w:t>, Escuela Judicial, Contraloría de Servicios</w:t>
      </w:r>
      <w:r w:rsidRPr="006E0F2D">
        <w:rPr>
          <w:rFonts w:ascii="Book Antiqua" w:eastAsia="Calibri" w:hAnsi="Book Antiqua" w:cs="Arial"/>
          <w:iCs/>
          <w:sz w:val="24"/>
          <w:szCs w:val="24"/>
        </w:rPr>
        <w:t>.</w:t>
      </w:r>
      <w:r w:rsidR="002124D9">
        <w:rPr>
          <w:rFonts w:ascii="Book Antiqua" w:eastAsia="Calibri" w:hAnsi="Book Antiqua" w:cs="Arial"/>
          <w:iCs/>
          <w:sz w:val="24"/>
          <w:szCs w:val="24"/>
        </w:rPr>
        <w:t xml:space="preserve"> </w:t>
      </w:r>
      <w:r w:rsidRPr="006E0F2D">
        <w:rPr>
          <w:rFonts w:ascii="Book Antiqua" w:eastAsia="Calibri" w:hAnsi="Book Antiqua" w:cs="Arial"/>
          <w:iCs/>
          <w:sz w:val="24"/>
          <w:szCs w:val="24"/>
        </w:rPr>
        <w:t>También se han realizado sesiones de trabajo con la Comisión de Familia, Niñez y Adolescencia</w:t>
      </w:r>
      <w:r w:rsidR="002124D9">
        <w:rPr>
          <w:rFonts w:ascii="Book Antiqua" w:eastAsia="Calibri" w:hAnsi="Book Antiqua" w:cs="Arial"/>
          <w:iCs/>
          <w:sz w:val="24"/>
          <w:szCs w:val="24"/>
        </w:rPr>
        <w:t>,</w:t>
      </w:r>
      <w:r w:rsidRPr="006E0F2D">
        <w:rPr>
          <w:rFonts w:ascii="Book Antiqua" w:eastAsia="Calibri" w:hAnsi="Book Antiqua" w:cs="Arial"/>
          <w:iCs/>
          <w:sz w:val="24"/>
          <w:szCs w:val="24"/>
        </w:rPr>
        <w:t xml:space="preserve"> el Despacho de la Presidencia</w:t>
      </w:r>
      <w:r w:rsidR="002124D9">
        <w:rPr>
          <w:rFonts w:ascii="Book Antiqua" w:eastAsia="Calibri" w:hAnsi="Book Antiqua" w:cs="Arial"/>
          <w:iCs/>
          <w:sz w:val="24"/>
          <w:szCs w:val="24"/>
        </w:rPr>
        <w:t xml:space="preserve"> y la </w:t>
      </w:r>
      <w:r w:rsidR="002124D9" w:rsidRPr="002124D9">
        <w:rPr>
          <w:rFonts w:ascii="Book Antiqua" w:eastAsia="Calibri" w:hAnsi="Book Antiqua" w:cs="Arial"/>
          <w:iCs/>
          <w:sz w:val="24"/>
          <w:szCs w:val="24"/>
        </w:rPr>
        <w:t>Comisión Permanente para el Seguimiento de la Atención y Prevención de la Violencia Intrafamiliar</w:t>
      </w:r>
      <w:r w:rsidRPr="006E0F2D">
        <w:rPr>
          <w:rFonts w:ascii="Book Antiqua" w:eastAsia="Calibri" w:hAnsi="Book Antiqua" w:cs="Arial"/>
          <w:iCs/>
          <w:sz w:val="24"/>
          <w:szCs w:val="24"/>
        </w:rPr>
        <w:t xml:space="preserve">.  </w:t>
      </w:r>
    </w:p>
    <w:p w14:paraId="095D8A0E" w14:textId="77777777" w:rsidR="002124D9" w:rsidRDefault="002124D9" w:rsidP="006E0F2D">
      <w:pPr>
        <w:spacing w:after="0" w:line="276" w:lineRule="auto"/>
        <w:ind w:right="49"/>
        <w:jc w:val="both"/>
        <w:rPr>
          <w:rFonts w:ascii="Book Antiqua" w:eastAsia="Calibri" w:hAnsi="Book Antiqua" w:cs="Arial"/>
          <w:iCs/>
          <w:sz w:val="24"/>
          <w:szCs w:val="24"/>
        </w:rPr>
      </w:pPr>
    </w:p>
    <w:p w14:paraId="22087409" w14:textId="04402428" w:rsidR="00AF1FB0" w:rsidRPr="006E0F2D" w:rsidRDefault="006E0F2D" w:rsidP="006E0F2D">
      <w:pPr>
        <w:spacing w:after="0" w:line="276" w:lineRule="auto"/>
        <w:ind w:right="49"/>
        <w:jc w:val="both"/>
        <w:rPr>
          <w:rFonts w:ascii="Book Antiqua" w:eastAsia="Calibri" w:hAnsi="Book Antiqua" w:cs="Arial"/>
          <w:iCs/>
          <w:sz w:val="24"/>
          <w:szCs w:val="24"/>
        </w:rPr>
      </w:pPr>
      <w:r w:rsidRPr="006E0F2D">
        <w:rPr>
          <w:rFonts w:ascii="Book Antiqua" w:eastAsia="Calibri" w:hAnsi="Book Antiqua" w:cs="Arial"/>
          <w:iCs/>
          <w:sz w:val="24"/>
          <w:szCs w:val="24"/>
        </w:rPr>
        <w:t xml:space="preserve">Los participantes en las sesiones se ajustan a los temas de agenda. </w:t>
      </w:r>
    </w:p>
    <w:p w14:paraId="11B0B2B8" w14:textId="1485213D" w:rsidR="006E0F2D" w:rsidRPr="003141DF" w:rsidRDefault="006E0F2D" w:rsidP="006E0F2D">
      <w:pPr>
        <w:pStyle w:val="Ttulo1"/>
      </w:pPr>
      <w:r>
        <w:t>Principales implicaciones del Código Procesal de Familia</w:t>
      </w:r>
    </w:p>
    <w:p w14:paraId="26E17D87" w14:textId="77777777"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A continuación, se comentan las principales implicaciones del CPF sobre la organización y funcionamiento de los despachos y oficinas judiciales:</w:t>
      </w:r>
    </w:p>
    <w:p w14:paraId="7692CF84" w14:textId="792FF5FB" w:rsidR="006E0F2D" w:rsidRDefault="006E0F2D" w:rsidP="009C01E1">
      <w:pPr>
        <w:spacing w:line="276" w:lineRule="auto"/>
        <w:jc w:val="both"/>
        <w:rPr>
          <w:rFonts w:ascii="Book Antiqua" w:hAnsi="Book Antiqua"/>
          <w:sz w:val="24"/>
          <w:szCs w:val="24"/>
        </w:rPr>
      </w:pPr>
    </w:p>
    <w:p w14:paraId="47D44A81" w14:textId="77777777" w:rsidR="009916D1" w:rsidRPr="009916D1" w:rsidRDefault="009916D1" w:rsidP="0090609F">
      <w:pPr>
        <w:numPr>
          <w:ilvl w:val="0"/>
          <w:numId w:val="6"/>
        </w:numPr>
        <w:tabs>
          <w:tab w:val="left" w:pos="426"/>
        </w:tabs>
        <w:spacing w:after="0" w:line="276" w:lineRule="auto"/>
        <w:jc w:val="both"/>
        <w:rPr>
          <w:rFonts w:ascii="Book Antiqua" w:eastAsia="Calibri" w:hAnsi="Book Antiqua" w:cs="Arial"/>
          <w:sz w:val="24"/>
          <w:szCs w:val="24"/>
        </w:rPr>
      </w:pPr>
      <w:r w:rsidRPr="009916D1">
        <w:rPr>
          <w:rFonts w:ascii="Book Antiqua" w:eastAsia="Calibri" w:hAnsi="Book Antiqua" w:cs="Arial"/>
          <w:b/>
          <w:sz w:val="24"/>
          <w:szCs w:val="24"/>
        </w:rPr>
        <w:t>Oralidad.</w:t>
      </w:r>
      <w:r w:rsidRPr="009916D1">
        <w:rPr>
          <w:rFonts w:ascii="Book Antiqua" w:eastAsia="Calibri" w:hAnsi="Book Antiqua" w:cs="Arial"/>
          <w:sz w:val="24"/>
          <w:szCs w:val="24"/>
        </w:rPr>
        <w:t xml:space="preserve"> Se plantea que los procedimientos se regirán por el sistema procesal de oralidad, pero con aplicación del principio de privacidad, tal como se consigna en el artículo:</w:t>
      </w:r>
    </w:p>
    <w:p w14:paraId="363B0371" w14:textId="77777777" w:rsidR="009916D1" w:rsidRPr="009916D1" w:rsidRDefault="009916D1" w:rsidP="009916D1">
      <w:pPr>
        <w:spacing w:after="0" w:line="276" w:lineRule="auto"/>
        <w:contextualSpacing/>
        <w:jc w:val="both"/>
        <w:rPr>
          <w:rFonts w:ascii="Book Antiqua" w:eastAsia="Calibri" w:hAnsi="Book Antiqua" w:cs="Arial"/>
          <w:sz w:val="24"/>
          <w:szCs w:val="24"/>
          <w:lang w:eastAsia="es-CR"/>
        </w:rPr>
      </w:pPr>
    </w:p>
    <w:p w14:paraId="4CBD4AF7" w14:textId="77777777" w:rsidR="009916D1" w:rsidRPr="009916D1" w:rsidRDefault="009916D1" w:rsidP="009916D1">
      <w:pPr>
        <w:spacing w:after="0" w:line="276" w:lineRule="auto"/>
        <w:ind w:left="567" w:right="616"/>
        <w:jc w:val="both"/>
        <w:rPr>
          <w:rFonts w:ascii="Book Antiqua" w:eastAsia="Calibri" w:hAnsi="Book Antiqua" w:cs="Arial"/>
          <w:i/>
          <w:iCs/>
          <w:sz w:val="24"/>
          <w:szCs w:val="24"/>
        </w:rPr>
      </w:pPr>
      <w:r w:rsidRPr="009916D1">
        <w:rPr>
          <w:rFonts w:ascii="Book Antiqua" w:eastAsia="Calibri" w:hAnsi="Book Antiqua" w:cs="Arial"/>
          <w:i/>
          <w:iCs/>
          <w:sz w:val="24"/>
          <w:szCs w:val="24"/>
        </w:rPr>
        <w:t>“Artículo 4.- Preferencia del sistema procesal de oralidad</w:t>
      </w:r>
    </w:p>
    <w:p w14:paraId="14F1B169" w14:textId="14663185" w:rsidR="009916D1" w:rsidRDefault="009916D1" w:rsidP="009916D1">
      <w:pPr>
        <w:spacing w:after="0" w:line="276" w:lineRule="auto"/>
        <w:ind w:left="567" w:right="616"/>
        <w:jc w:val="both"/>
        <w:rPr>
          <w:rFonts w:ascii="Book Antiqua" w:eastAsia="Calibri" w:hAnsi="Book Antiqua" w:cs="Arial"/>
          <w:i/>
          <w:iCs/>
          <w:sz w:val="24"/>
          <w:szCs w:val="24"/>
        </w:rPr>
      </w:pPr>
      <w:r w:rsidRPr="009916D1">
        <w:rPr>
          <w:rFonts w:ascii="Book Antiqua" w:eastAsia="Calibri" w:hAnsi="Book Antiqua" w:cs="Arial"/>
          <w:i/>
          <w:iCs/>
          <w:sz w:val="24"/>
          <w:szCs w:val="24"/>
        </w:rPr>
        <w:t>Salvo disposición en contrario, los procedimientos que regula este Código se regirán por el sistema procesal de oralidad con aplicación del principio de privacidad dentro de él.”</w:t>
      </w:r>
    </w:p>
    <w:p w14:paraId="2F86789C" w14:textId="77777777" w:rsidR="007D608F" w:rsidRDefault="007D608F" w:rsidP="009916D1">
      <w:pPr>
        <w:spacing w:after="0" w:line="276" w:lineRule="auto"/>
        <w:ind w:left="567" w:right="616"/>
        <w:jc w:val="both"/>
        <w:rPr>
          <w:rFonts w:ascii="Book Antiqua" w:eastAsia="Calibri" w:hAnsi="Book Antiqua" w:cs="Arial"/>
          <w:i/>
          <w:iCs/>
          <w:sz w:val="24"/>
          <w:szCs w:val="24"/>
        </w:rPr>
      </w:pPr>
    </w:p>
    <w:p w14:paraId="6C5047EA" w14:textId="27A5E382"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 xml:space="preserve">Sobre este tema el Lic. Jiménez Mata, aclaró </w:t>
      </w:r>
      <w:r w:rsidR="00162B19">
        <w:rPr>
          <w:rFonts w:ascii="Book Antiqua" w:eastAsia="Calibri" w:hAnsi="Book Antiqua" w:cs="Arial"/>
          <w:sz w:val="24"/>
          <w:szCs w:val="24"/>
        </w:rPr>
        <w:t xml:space="preserve">en 2020, </w:t>
      </w:r>
      <w:r w:rsidRPr="009916D1">
        <w:rPr>
          <w:rFonts w:ascii="Book Antiqua" w:eastAsia="Calibri" w:hAnsi="Book Antiqua" w:cs="Arial"/>
          <w:sz w:val="24"/>
          <w:szCs w:val="24"/>
        </w:rPr>
        <w:t>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CPF.</w:t>
      </w:r>
    </w:p>
    <w:p w14:paraId="5EE3C774" w14:textId="20A941B1"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 impactando además en las labores de las personas técnicas judiciales</w:t>
      </w:r>
      <w:r w:rsidR="00036364">
        <w:rPr>
          <w:rFonts w:ascii="Book Antiqua" w:eastAsia="Calibri" w:hAnsi="Book Antiqua" w:cs="Arial"/>
          <w:sz w:val="24"/>
          <w:szCs w:val="24"/>
        </w:rPr>
        <w:t>,</w:t>
      </w:r>
      <w:r w:rsidRPr="009916D1">
        <w:rPr>
          <w:rFonts w:ascii="Book Antiqua" w:eastAsia="Calibri" w:hAnsi="Book Antiqua" w:cs="Arial"/>
          <w:sz w:val="24"/>
          <w:szCs w:val="24"/>
        </w:rPr>
        <w:t xml:space="preserve"> las cuales probablemente verán reducirse en lo que hoy realizan.</w:t>
      </w:r>
    </w:p>
    <w:p w14:paraId="04467228" w14:textId="77777777" w:rsidR="009916D1" w:rsidRPr="009916D1" w:rsidRDefault="009916D1" w:rsidP="009916D1">
      <w:pPr>
        <w:spacing w:after="0" w:line="276" w:lineRule="auto"/>
        <w:ind w:left="567" w:right="616"/>
        <w:jc w:val="both"/>
        <w:rPr>
          <w:rFonts w:ascii="Book Antiqua" w:eastAsia="Calibri" w:hAnsi="Book Antiqua" w:cs="Arial"/>
          <w:i/>
          <w:iCs/>
          <w:sz w:val="24"/>
          <w:szCs w:val="24"/>
        </w:rPr>
      </w:pPr>
    </w:p>
    <w:p w14:paraId="5632BE49" w14:textId="551E8B07" w:rsidR="009916D1" w:rsidRPr="009916D1" w:rsidRDefault="009916D1" w:rsidP="0090609F">
      <w:pPr>
        <w:pStyle w:val="Prrafodelista"/>
        <w:numPr>
          <w:ilvl w:val="0"/>
          <w:numId w:val="6"/>
        </w:numPr>
        <w:tabs>
          <w:tab w:val="left" w:pos="426"/>
        </w:tabs>
        <w:spacing w:after="0" w:line="276" w:lineRule="auto"/>
        <w:jc w:val="both"/>
        <w:rPr>
          <w:rFonts w:ascii="Book Antiqua" w:eastAsia="Calibri" w:hAnsi="Book Antiqua" w:cs="Arial"/>
          <w:b/>
          <w:sz w:val="24"/>
          <w:szCs w:val="24"/>
        </w:rPr>
      </w:pPr>
      <w:r w:rsidRPr="009916D1">
        <w:rPr>
          <w:rFonts w:ascii="Book Antiqua" w:eastAsia="Calibri" w:hAnsi="Book Antiqua" w:cs="Arial"/>
          <w:b/>
          <w:sz w:val="24"/>
          <w:szCs w:val="24"/>
        </w:rPr>
        <w:t>Conciliación.</w:t>
      </w:r>
      <w:r w:rsidRPr="009916D1">
        <w:rPr>
          <w:rFonts w:ascii="Book Antiqua" w:eastAsia="Calibri" w:hAnsi="Book Antiqua" w:cs="Arial"/>
          <w:bCs/>
          <w:sz w:val="24"/>
          <w:szCs w:val="24"/>
        </w:rPr>
        <w:t xml:space="preserve"> Se </w:t>
      </w:r>
      <w:r w:rsidRPr="009916D1">
        <w:rPr>
          <w:rFonts w:ascii="Book Antiqua" w:eastAsia="Calibri" w:hAnsi="Book Antiqua" w:cs="Arial"/>
          <w:sz w:val="24"/>
          <w:szCs w:val="24"/>
        </w:rPr>
        <w:t>propone la conciliación en una audiencia previa, dejando abierta la posibilidad de aplicarla en cualquier etapa del proceso judicial, tal como se consigna en el artículo 9 del CPF:</w:t>
      </w:r>
    </w:p>
    <w:p w14:paraId="73BAC80A" w14:textId="77777777" w:rsidR="009916D1" w:rsidRPr="009916D1" w:rsidRDefault="009916D1" w:rsidP="009916D1">
      <w:pPr>
        <w:tabs>
          <w:tab w:val="left" w:pos="426"/>
        </w:tabs>
        <w:spacing w:after="0" w:line="276" w:lineRule="auto"/>
        <w:jc w:val="both"/>
        <w:rPr>
          <w:rFonts w:ascii="Book Antiqua" w:eastAsia="Calibri" w:hAnsi="Book Antiqua" w:cs="Arial"/>
          <w:b/>
          <w:sz w:val="24"/>
          <w:szCs w:val="24"/>
        </w:rPr>
      </w:pPr>
    </w:p>
    <w:p w14:paraId="2DF59E81"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“Artículo 9.- Audiencia previa de conciliación</w:t>
      </w:r>
    </w:p>
    <w:p w14:paraId="42CE892A"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p>
    <w:p w14:paraId="1C8E92FA"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69125C6D"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Se prohíbe la conciliación en aquellas situaciones en que se constaten relaciones desiguales de poder, salvo que se determine que lo acordado beneficie a la persona en situación de vulnerabilidad.”</w:t>
      </w:r>
    </w:p>
    <w:p w14:paraId="0070B24B" w14:textId="77777777" w:rsidR="001A1177" w:rsidRPr="001A1177" w:rsidRDefault="001A1177" w:rsidP="001A1177">
      <w:pPr>
        <w:spacing w:after="0" w:line="276" w:lineRule="auto"/>
        <w:jc w:val="both"/>
        <w:rPr>
          <w:rFonts w:ascii="Book Antiqua" w:eastAsia="Calibri" w:hAnsi="Book Antiqua" w:cs="Arial"/>
          <w:sz w:val="24"/>
          <w:szCs w:val="24"/>
        </w:rPr>
      </w:pPr>
    </w:p>
    <w:p w14:paraId="55EE6484" w14:textId="74340DD4" w:rsidR="001A1177" w:rsidRDefault="001A1177" w:rsidP="0090609F">
      <w:pPr>
        <w:numPr>
          <w:ilvl w:val="0"/>
          <w:numId w:val="6"/>
        </w:numPr>
        <w:tabs>
          <w:tab w:val="left" w:pos="426"/>
        </w:tabs>
        <w:spacing w:after="0" w:line="276" w:lineRule="auto"/>
        <w:jc w:val="both"/>
        <w:rPr>
          <w:rFonts w:ascii="Book Antiqua" w:eastAsia="Calibri" w:hAnsi="Book Antiqua" w:cs="Arial"/>
          <w:bCs/>
          <w:sz w:val="24"/>
          <w:szCs w:val="24"/>
        </w:rPr>
      </w:pPr>
      <w:r w:rsidRPr="001A1177">
        <w:rPr>
          <w:rFonts w:ascii="Book Antiqua" w:eastAsia="Calibri" w:hAnsi="Book Antiqua" w:cs="Arial"/>
          <w:b/>
          <w:sz w:val="24"/>
          <w:szCs w:val="24"/>
        </w:rPr>
        <w:t xml:space="preserve">Intervención de la Defensa Pública. </w:t>
      </w:r>
      <w:r w:rsidRPr="001A1177">
        <w:rPr>
          <w:rFonts w:ascii="Book Antiqua" w:eastAsia="Calibri" w:hAnsi="Book Antiqua" w:cs="Arial"/>
          <w:bCs/>
          <w:sz w:val="24"/>
          <w:szCs w:val="24"/>
        </w:rPr>
        <w:t xml:space="preserve">Para la parte beneficiaria cuando no disponga de recursos económicos suficientes, el artículo 56 otorga a la Defensa Pública la posibilidad de brindar asistencia legal en los </w:t>
      </w:r>
      <w:r w:rsidRPr="001A1177">
        <w:rPr>
          <w:rFonts w:ascii="Book Antiqua" w:eastAsia="Calibri" w:hAnsi="Book Antiqua" w:cs="Arial"/>
          <w:b/>
          <w:sz w:val="24"/>
          <w:szCs w:val="24"/>
        </w:rPr>
        <w:t>procesos materia de Pensión Alimentaria</w:t>
      </w:r>
      <w:r w:rsidRPr="001A1177">
        <w:rPr>
          <w:rFonts w:ascii="Book Antiqua" w:eastAsia="Calibri" w:hAnsi="Book Antiqua" w:cs="Arial"/>
          <w:bCs/>
          <w:sz w:val="24"/>
          <w:szCs w:val="24"/>
        </w:rPr>
        <w:t xml:space="preserve">.  </w:t>
      </w:r>
    </w:p>
    <w:p w14:paraId="0C037528" w14:textId="77777777" w:rsidR="00831847" w:rsidRPr="001A1177" w:rsidRDefault="00831847" w:rsidP="00831847">
      <w:pPr>
        <w:tabs>
          <w:tab w:val="left" w:pos="426"/>
        </w:tabs>
        <w:spacing w:after="0" w:line="276" w:lineRule="auto"/>
        <w:ind w:left="720"/>
        <w:jc w:val="both"/>
        <w:rPr>
          <w:rFonts w:ascii="Book Antiqua" w:eastAsia="Calibri" w:hAnsi="Book Antiqua" w:cs="Arial"/>
          <w:bCs/>
          <w:sz w:val="24"/>
          <w:szCs w:val="24"/>
        </w:rPr>
      </w:pPr>
    </w:p>
    <w:p w14:paraId="3F66412D" w14:textId="77777777" w:rsidR="00831847" w:rsidRPr="00831847" w:rsidRDefault="00831847" w:rsidP="008B7405">
      <w:pPr>
        <w:spacing w:line="276" w:lineRule="auto"/>
        <w:ind w:left="851" w:right="616"/>
        <w:rPr>
          <w:rFonts w:ascii="Book Antiqua" w:eastAsia="Calibri" w:hAnsi="Book Antiqua" w:cs="Arial"/>
          <w:i/>
          <w:iCs/>
          <w:sz w:val="24"/>
          <w:szCs w:val="24"/>
        </w:rPr>
      </w:pPr>
      <w:r w:rsidRPr="00831847">
        <w:rPr>
          <w:rFonts w:ascii="Book Antiqua" w:eastAsia="Calibri" w:hAnsi="Book Antiqua" w:cs="Arial"/>
          <w:i/>
          <w:iCs/>
          <w:sz w:val="24"/>
          <w:szCs w:val="24"/>
        </w:rPr>
        <w:t xml:space="preserve">“Artículo 56- Casos en que actúa la Defensa Pública </w:t>
      </w:r>
    </w:p>
    <w:p w14:paraId="4EB9207F" w14:textId="2C8FE585" w:rsidR="00831847" w:rsidRDefault="00831847" w:rsidP="008B7405">
      <w:pPr>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 xml:space="preserve">En los procesos referidos </w:t>
      </w:r>
      <w:r w:rsidRPr="00831847">
        <w:rPr>
          <w:rFonts w:ascii="Book Antiqua" w:eastAsia="Calibri" w:hAnsi="Book Antiqua" w:cs="Arial"/>
          <w:b/>
          <w:bCs/>
          <w:i/>
          <w:iCs/>
          <w:sz w:val="24"/>
          <w:szCs w:val="24"/>
        </w:rPr>
        <w:t>a materia de pensión alimentaria</w:t>
      </w:r>
      <w:r w:rsidRPr="00831847">
        <w:rPr>
          <w:rFonts w:ascii="Book Antiqua" w:eastAsia="Calibri" w:hAnsi="Book Antiqua" w:cs="Arial"/>
          <w:i/>
          <w:iCs/>
          <w:sz w:val="24"/>
          <w:szCs w:val="24"/>
        </w:rPr>
        <w:t xml:space="preserve">, </w:t>
      </w:r>
      <w:r w:rsidRPr="00831847">
        <w:rPr>
          <w:rFonts w:ascii="Book Antiqua" w:eastAsia="Calibri" w:hAnsi="Book Antiqua" w:cs="Arial"/>
          <w:b/>
          <w:bCs/>
          <w:i/>
          <w:iCs/>
          <w:sz w:val="24"/>
          <w:szCs w:val="24"/>
          <w:u w:val="single"/>
        </w:rPr>
        <w:t>la parte beneficiaria</w:t>
      </w:r>
      <w:r w:rsidRPr="00831847">
        <w:rPr>
          <w:rFonts w:ascii="Book Antiqua" w:eastAsia="Calibri" w:hAnsi="Book Antiqua" w:cs="Arial"/>
          <w:i/>
          <w:iCs/>
          <w:sz w:val="24"/>
          <w:szCs w:val="24"/>
        </w:rPr>
        <w:t xml:space="preserve"> que no cuente con los recursos económicos para contratar patrocinio letrado podrá solicitar asistencia letrada a la Defensa Pública del Poder Judicial.</w:t>
      </w:r>
    </w:p>
    <w:p w14:paraId="2764D7BD" w14:textId="77777777" w:rsidR="00831847" w:rsidRPr="00831847" w:rsidRDefault="00831847" w:rsidP="008B7405">
      <w:pPr>
        <w:spacing w:after="0" w:line="276" w:lineRule="auto"/>
        <w:ind w:left="851" w:right="616"/>
        <w:jc w:val="both"/>
        <w:rPr>
          <w:rFonts w:ascii="Book Antiqua" w:eastAsia="Calibri" w:hAnsi="Book Antiqua" w:cs="Arial"/>
          <w:i/>
          <w:iCs/>
          <w:sz w:val="24"/>
          <w:szCs w:val="24"/>
        </w:rPr>
      </w:pPr>
    </w:p>
    <w:p w14:paraId="65C7D903" w14:textId="77777777" w:rsidR="00831847" w:rsidRPr="00831847" w:rsidRDefault="00831847" w:rsidP="008B7405">
      <w:pPr>
        <w:spacing w:after="0" w:line="276" w:lineRule="auto"/>
        <w:ind w:left="851" w:right="616"/>
        <w:jc w:val="both"/>
        <w:rPr>
          <w:rFonts w:ascii="Book Antiqua" w:eastAsia="Calibri" w:hAnsi="Book Antiqua" w:cs="Arial"/>
          <w:sz w:val="24"/>
          <w:szCs w:val="24"/>
        </w:rPr>
      </w:pPr>
      <w:r w:rsidRPr="00831847">
        <w:rPr>
          <w:rFonts w:ascii="Book Antiqua" w:eastAsia="Calibri" w:hAnsi="Book Antiqua" w:cs="Arial"/>
          <w:i/>
          <w:iCs/>
          <w:sz w:val="24"/>
          <w:szCs w:val="24"/>
        </w:rPr>
        <w:t>La defensa o asistencia gratuita de la Defensa Pública asumirá las mismas funciones, deberes y derechos de quienes actúan como personas abogadas directoras</w:t>
      </w:r>
      <w:r w:rsidRPr="00831847">
        <w:rPr>
          <w:rFonts w:ascii="Book Antiqua" w:eastAsia="Calibri" w:hAnsi="Book Antiqua" w:cs="Arial"/>
          <w:sz w:val="24"/>
          <w:szCs w:val="24"/>
        </w:rPr>
        <w:t>.”.  (La negrita no es del original).</w:t>
      </w:r>
    </w:p>
    <w:p w14:paraId="21CDC57E" w14:textId="77777777" w:rsidR="00494ADF" w:rsidRDefault="00494ADF" w:rsidP="00831847">
      <w:pPr>
        <w:spacing w:after="0" w:line="276" w:lineRule="auto"/>
        <w:jc w:val="both"/>
        <w:rPr>
          <w:rFonts w:ascii="Book Antiqua" w:eastAsia="Calibri" w:hAnsi="Book Antiqua" w:cs="Arial"/>
          <w:sz w:val="24"/>
          <w:szCs w:val="24"/>
        </w:rPr>
      </w:pPr>
    </w:p>
    <w:p w14:paraId="5449D0F8" w14:textId="01AE966F" w:rsidR="00831847" w:rsidRPr="00831847" w:rsidRDefault="00831847" w:rsidP="00831847">
      <w:pPr>
        <w:spacing w:after="0" w:line="276" w:lineRule="auto"/>
        <w:jc w:val="both"/>
        <w:rPr>
          <w:rFonts w:ascii="Book Antiqua" w:eastAsia="Calibri" w:hAnsi="Book Antiqua" w:cs="Arial"/>
          <w:i/>
          <w:iCs/>
          <w:sz w:val="24"/>
          <w:szCs w:val="24"/>
        </w:rPr>
      </w:pPr>
      <w:r w:rsidRPr="00831847">
        <w:rPr>
          <w:rFonts w:ascii="Book Antiqua" w:eastAsia="Calibri" w:hAnsi="Book Antiqua" w:cs="Arial"/>
          <w:sz w:val="24"/>
          <w:szCs w:val="24"/>
        </w:rPr>
        <w:t>En relación con las garantías para el debido proceso en poblaciones de vulnerabilidad también cabe destacar lo dispuesto en el artículo 8 del CPF y la circular 67-19</w:t>
      </w:r>
      <w:r w:rsidRPr="00831847">
        <w:rPr>
          <w:rFonts w:ascii="Book Antiqua" w:eastAsia="Calibri" w:hAnsi="Book Antiqua" w:cs="Arial"/>
          <w:i/>
          <w:iCs/>
          <w:sz w:val="24"/>
          <w:szCs w:val="24"/>
        </w:rPr>
        <w:t xml:space="preserve"> “Reglas mínimas para la aplicación del primer párrafo del numeral 7 de la Ley de Acceso a la Justicia de Personas Indígenas de Costa Rica” </w:t>
      </w:r>
      <w:r w:rsidRPr="00831847">
        <w:rPr>
          <w:rFonts w:ascii="Book Antiqua" w:eastAsia="Calibri" w:hAnsi="Book Antiqua" w:cs="Arial"/>
          <w:sz w:val="24"/>
          <w:szCs w:val="24"/>
        </w:rPr>
        <w:t>que comunica el acuerdo del Consejo Superior del Poder Judicial en sesión 27-19 celebrada el 26 de marzo de 2019, artículo LXXI; que literalmente indican:</w:t>
      </w:r>
    </w:p>
    <w:p w14:paraId="2EE2AFF5"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49851921"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r w:rsidRPr="00831847">
        <w:rPr>
          <w:rFonts w:ascii="Book Antiqua" w:eastAsia="Calibri" w:hAnsi="Book Antiqua" w:cs="Arial"/>
          <w:i/>
          <w:iCs/>
          <w:sz w:val="24"/>
          <w:szCs w:val="24"/>
        </w:rPr>
        <w:t>Artículo 8 CPF- Acceso a la justicia</w:t>
      </w:r>
    </w:p>
    <w:p w14:paraId="1221D9A3"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p>
    <w:p w14:paraId="37A7031B"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r w:rsidRPr="00831847">
        <w:rPr>
          <w:rFonts w:ascii="Book Antiqua" w:eastAsia="Calibri" w:hAnsi="Book Antiqua" w:cs="Arial"/>
          <w:b/>
          <w:bCs/>
          <w:i/>
          <w:iCs/>
          <w:sz w:val="24"/>
          <w:szCs w:val="24"/>
        </w:rPr>
        <w:t>En todo procedimiento familiar</w:t>
      </w:r>
      <w:r w:rsidRPr="00831847">
        <w:rPr>
          <w:rFonts w:ascii="Book Antiqua" w:eastAsia="Calibri" w:hAnsi="Book Antiqua" w:cs="Arial"/>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 lesco y lenguas indígenas, según se presenten, para facilitar el desempeño de personas sordas y personas indígenas, y otras, como participaciones directas e indirectas, incluida la declaración como testigos en todos los procedimientos judiciales, en todas las etapas del proceso.</w:t>
      </w:r>
    </w:p>
    <w:p w14:paraId="1D2EE1D3"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2A9A2C47" w14:textId="77777777" w:rsidR="00831847" w:rsidRPr="00831847" w:rsidRDefault="00831847" w:rsidP="00831847">
      <w:pPr>
        <w:spacing w:before="60" w:after="0" w:line="276" w:lineRule="auto"/>
        <w:jc w:val="both"/>
        <w:rPr>
          <w:rFonts w:ascii="Book Antiqua" w:eastAsia="Times New Roman" w:hAnsi="Book Antiqua" w:cs="Times New Roman"/>
          <w:color w:val="000000"/>
          <w:sz w:val="24"/>
          <w:szCs w:val="24"/>
          <w:lang w:eastAsia="es-CR"/>
        </w:rPr>
      </w:pPr>
      <w:r w:rsidRPr="00831847">
        <w:rPr>
          <w:rFonts w:ascii="Book Antiqua" w:eastAsia="Times New Roman" w:hAnsi="Book Antiqua" w:cs="Times New Roman"/>
          <w:color w:val="000000"/>
          <w:sz w:val="24"/>
          <w:szCs w:val="24"/>
          <w:lang w:eastAsia="es-CR"/>
        </w:rPr>
        <w:t>El Consejo Superior del Poder Judicial en sesión 27-19 celebrada el 26 de marzo de 2019, artículo LXXI, a solicitud de la Defensa Pública, dispuso comunicar las</w:t>
      </w:r>
      <w:r w:rsidRPr="00831847">
        <w:rPr>
          <w:rFonts w:ascii="Book Antiqua" w:eastAsia="Times New Roman" w:hAnsi="Book Antiqua" w:cs="Times New Roman"/>
          <w:i/>
          <w:iCs/>
          <w:color w:val="000000"/>
          <w:sz w:val="24"/>
          <w:szCs w:val="24"/>
          <w:lang w:eastAsia="es-CR"/>
        </w:rPr>
        <w:t xml:space="preserve"> "Reglas mínimas para la aplicación del primer párrafo del numeral 7 de la Ley de Acceso a la Justicia de Personas Indígenas de Costa Rica", </w:t>
      </w:r>
      <w:r w:rsidRPr="00831847">
        <w:rPr>
          <w:rFonts w:ascii="Book Antiqua" w:eastAsia="Times New Roman" w:hAnsi="Book Antiqua" w:cs="Times New Roman"/>
          <w:b/>
          <w:bCs/>
          <w:i/>
          <w:iCs/>
          <w:color w:val="000000"/>
          <w:sz w:val="24"/>
          <w:szCs w:val="24"/>
          <w:lang w:eastAsia="es-CR"/>
        </w:rPr>
        <w:t>sin hacer distinción de que la persona actúe como parte actora o demandada</w:t>
      </w:r>
      <w:r w:rsidRPr="00831847">
        <w:rPr>
          <w:rFonts w:ascii="Book Antiqua" w:eastAsia="Times New Roman" w:hAnsi="Book Antiqua" w:cs="Times New Roman"/>
          <w:color w:val="000000"/>
          <w:sz w:val="24"/>
          <w:szCs w:val="24"/>
          <w:lang w:eastAsia="es-CR"/>
        </w:rPr>
        <w:t xml:space="preserve"> y</w:t>
      </w:r>
      <w:r w:rsidRPr="00831847">
        <w:rPr>
          <w:rFonts w:ascii="Book Antiqua" w:eastAsia="Times New Roman" w:hAnsi="Book Antiqua" w:cs="Times New Roman"/>
          <w:i/>
          <w:iCs/>
          <w:color w:val="000000"/>
          <w:sz w:val="24"/>
          <w:szCs w:val="24"/>
          <w:lang w:eastAsia="es-CR"/>
        </w:rPr>
        <w:t xml:space="preserve"> </w:t>
      </w:r>
      <w:r w:rsidRPr="00831847">
        <w:rPr>
          <w:rFonts w:ascii="Book Antiqua" w:eastAsia="Times New Roman" w:hAnsi="Book Antiqua" w:cs="Times New Roman"/>
          <w:color w:val="000000"/>
          <w:sz w:val="24"/>
          <w:szCs w:val="24"/>
          <w:lang w:eastAsia="es-CR"/>
        </w:rPr>
        <w:t>que dicen:</w:t>
      </w:r>
    </w:p>
    <w:p w14:paraId="77A16459" w14:textId="77777777" w:rsidR="00831847" w:rsidRPr="00831847" w:rsidRDefault="00831847" w:rsidP="00831847">
      <w:pPr>
        <w:spacing w:after="0" w:line="276" w:lineRule="auto"/>
        <w:rPr>
          <w:rFonts w:ascii="Book Antiqua" w:eastAsia="Times New Roman" w:hAnsi="Book Antiqua" w:cs="Times New Roman"/>
          <w:sz w:val="24"/>
          <w:szCs w:val="24"/>
          <w:lang w:eastAsia="es-CR"/>
        </w:rPr>
      </w:pPr>
    </w:p>
    <w:p w14:paraId="0593B241" w14:textId="77777777" w:rsidR="00831847" w:rsidRPr="00831847" w:rsidRDefault="00831847" w:rsidP="00831847">
      <w:pPr>
        <w:spacing w:before="60"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sz w:val="24"/>
          <w:szCs w:val="24"/>
          <w:lang w:eastAsia="es-CR"/>
        </w:rPr>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0E2A2E46" w14:textId="6E1E29D8"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A continuación, se emiten los siguientes lineamientos mínimos, que deben ser valorados y ampliados según el caso en concreto, para la atención de personas usuarias indígenas en todas las materias y en todos los despachos.</w:t>
      </w:r>
    </w:p>
    <w:p w14:paraId="033DF1ED"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7A76B0F0"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366EEEF6"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p>
    <w:p w14:paraId="58D22304"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w:t>
      </w:r>
      <w:r w:rsidRPr="00831847">
        <w:rPr>
          <w:rFonts w:ascii="Book Antiqua" w:eastAsia="Times New Roman" w:hAnsi="Book Antiqua" w:cs="Times New Roman"/>
          <w:b/>
          <w:bCs/>
          <w:i/>
          <w:iCs/>
          <w:color w:val="000000"/>
          <w:sz w:val="24"/>
          <w:szCs w:val="24"/>
          <w:lang w:eastAsia="es-CR"/>
        </w:rPr>
        <w:t>Cuando una persona indígena tenga un proceso pendiente en el Despacho Judicial </w:t>
      </w:r>
      <w:r w:rsidRPr="00831847">
        <w:rPr>
          <w:rFonts w:ascii="Book Antiqua" w:eastAsia="Times New Roman" w:hAnsi="Book Antiqua"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10962D84"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6C5CEB5B"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w:t>
      </w:r>
      <w:r w:rsidRPr="00831847">
        <w:rPr>
          <w:rFonts w:ascii="Book Antiqua" w:eastAsia="Times New Roman" w:hAnsi="Book Antiqua" w:cs="Times New Roman"/>
          <w:b/>
          <w:bCs/>
          <w:i/>
          <w:iCs/>
          <w:color w:val="000000"/>
          <w:sz w:val="24"/>
          <w:szCs w:val="24"/>
          <w:lang w:eastAsia="es-CR"/>
        </w:rPr>
        <w:t>Cuando una persona indígena se presente a un Despacho Judicial </w:t>
      </w:r>
      <w:r w:rsidRPr="00831847">
        <w:rPr>
          <w:rFonts w:ascii="Book Antiqua" w:eastAsia="Times New Roman" w:hAnsi="Book Antiqua" w:cs="Times New Roman"/>
          <w:i/>
          <w:iCs/>
          <w:color w:val="000000"/>
          <w:sz w:val="24"/>
          <w:szCs w:val="24"/>
          <w:lang w:eastAsia="es-CR"/>
        </w:rPr>
        <w:t>para establecer un procedimiento nuevo, debe comunicársele la existencia del numeral 7 de la Ley de Acceso a la Justicia de Pueblos Indígenas de Costa Rica, y consultarle si desea asistencia letrada y si puede o no cubrir los costos económicos de ello. En caso de que su respuesta sea negativa, se le debe informar de su derecho de contar con defensa pública y consultarle si ese es su deseo. En caso afirmativo se enviará la solicitud de persona Defensora Pública a la oficina de Defensa Pública del Circuito que corresponda, para que esta proceda con el trámite.</w:t>
      </w:r>
    </w:p>
    <w:p w14:paraId="43BDEA0F"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67C91FC8"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29D52FCC"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Arial"/>
          <w:i/>
          <w:iCs/>
          <w:color w:val="000000"/>
          <w:sz w:val="24"/>
          <w:szCs w:val="24"/>
          <w:lang w:eastAsia="es-CR"/>
        </w:rPr>
        <w:br/>
      </w:r>
      <w:r w:rsidRPr="00831847">
        <w:rPr>
          <w:rFonts w:ascii="Book Antiqua" w:eastAsia="Times New Roman" w:hAnsi="Book Antiqua"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p>
    <w:p w14:paraId="72976D6A"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364D6036" w14:textId="77777777" w:rsidR="00831847" w:rsidRPr="00831847" w:rsidRDefault="00831847" w:rsidP="00831847">
      <w:pPr>
        <w:spacing w:after="0" w:line="276" w:lineRule="auto"/>
        <w:jc w:val="both"/>
        <w:rPr>
          <w:rFonts w:ascii="Book Antiqua" w:eastAsia="Calibri" w:hAnsi="Book Antiqua" w:cs="Arial"/>
          <w:i/>
          <w:iCs/>
          <w:sz w:val="24"/>
          <w:szCs w:val="24"/>
        </w:rPr>
      </w:pPr>
      <w:r w:rsidRPr="00831847">
        <w:rPr>
          <w:rFonts w:ascii="Book Antiqua" w:eastAsia="Calibri" w:hAnsi="Book Antiqua" w:cs="Arial"/>
          <w:sz w:val="24"/>
          <w:szCs w:val="24"/>
        </w:rPr>
        <w:t>También lo dispuesto por la circular 32-2021 respecto</w:t>
      </w:r>
      <w:r w:rsidRPr="00831847">
        <w:rPr>
          <w:rFonts w:ascii="Book Antiqua" w:eastAsia="Calibri" w:hAnsi="Book Antiqua" w:cs="Arial"/>
          <w:i/>
          <w:iCs/>
          <w:sz w:val="24"/>
          <w:szCs w:val="24"/>
        </w:rPr>
        <w:t xml:space="preserve"> “Lineamientos para las personas servidoras judiciales en relación con las Medidas Cautelares 321-12 de la Comisión Interamericana de Derechos Humanos contra el Estado, y la aplicación de la normativa internacional de derechos humanos referida a personas indígenas.”</w:t>
      </w:r>
    </w:p>
    <w:p w14:paraId="5170D640"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70D83EE5" w14:textId="709C3BE4" w:rsidR="00831847" w:rsidRDefault="00831847" w:rsidP="00831847">
      <w:pPr>
        <w:spacing w:after="0" w:line="276" w:lineRule="auto"/>
        <w:jc w:val="both"/>
        <w:rPr>
          <w:rFonts w:ascii="Book Antiqua" w:eastAsia="Calibri" w:hAnsi="Book Antiqua" w:cs="Arial"/>
          <w:sz w:val="24"/>
          <w:szCs w:val="24"/>
        </w:rPr>
      </w:pPr>
      <w:r w:rsidRPr="00831847">
        <w:rPr>
          <w:rFonts w:ascii="Book Antiqua" w:eastAsia="Calibri" w:hAnsi="Book Antiqua" w:cs="Arial"/>
          <w:sz w:val="24"/>
          <w:szCs w:val="24"/>
        </w:rPr>
        <w:t xml:space="preserve">C.1. Respecto a la representación de personas menores de edad (incluida la población indígena) y su rol de participación en los procesos judiciales, debe considerarse lo dispuesto en la Ley 9747 en la Sección III </w:t>
      </w:r>
      <w:r w:rsidRPr="00831847">
        <w:rPr>
          <w:rFonts w:ascii="Book Antiqua" w:eastAsia="Calibri" w:hAnsi="Book Antiqua" w:cs="Arial"/>
          <w:i/>
          <w:iCs/>
          <w:sz w:val="24"/>
          <w:szCs w:val="24"/>
        </w:rPr>
        <w:t>Capacidad y Representación</w:t>
      </w:r>
      <w:r w:rsidRPr="00831847">
        <w:rPr>
          <w:rFonts w:ascii="Book Antiqua" w:eastAsia="Calibri" w:hAnsi="Book Antiqua" w:cs="Arial"/>
          <w:sz w:val="24"/>
          <w:szCs w:val="24"/>
        </w:rPr>
        <w:t xml:space="preserve">, en la subsección II </w:t>
      </w:r>
      <w:r w:rsidRPr="00831847">
        <w:rPr>
          <w:rFonts w:ascii="Book Antiqua" w:eastAsia="Calibri" w:hAnsi="Book Antiqua" w:cs="Arial"/>
          <w:i/>
          <w:iCs/>
          <w:sz w:val="24"/>
          <w:szCs w:val="24"/>
        </w:rPr>
        <w:t>Representación procesal de personas menores de edad y de personas con discapacidad,</w:t>
      </w:r>
      <w:r w:rsidRPr="00831847">
        <w:rPr>
          <w:rFonts w:ascii="Book Antiqua" w:eastAsia="Calibri" w:hAnsi="Book Antiqua" w:cs="Arial"/>
          <w:sz w:val="24"/>
          <w:szCs w:val="24"/>
        </w:rPr>
        <w:t xml:space="preserve"> específicamente en los artículos 41 y 42 y el rol que podrá asumir la Defensa Pública. </w:t>
      </w:r>
    </w:p>
    <w:p w14:paraId="34B29F20" w14:textId="77777777" w:rsidR="00F4322C" w:rsidRPr="00831847" w:rsidRDefault="00F4322C" w:rsidP="00831847">
      <w:pPr>
        <w:spacing w:after="0" w:line="276" w:lineRule="auto"/>
        <w:jc w:val="both"/>
        <w:rPr>
          <w:rFonts w:ascii="Book Antiqua" w:eastAsia="Calibri" w:hAnsi="Book Antiqua" w:cs="Arial"/>
          <w:sz w:val="24"/>
          <w:szCs w:val="24"/>
        </w:rPr>
      </w:pPr>
    </w:p>
    <w:p w14:paraId="32F1DBBE"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w:t>
      </w:r>
      <w:r w:rsidRPr="00831847">
        <w:rPr>
          <w:rFonts w:ascii="Book Antiqua" w:eastAsia="Calibri" w:hAnsi="Book Antiqua" w:cs="Arial"/>
          <w:b/>
          <w:bCs/>
          <w:i/>
          <w:iCs/>
          <w:sz w:val="24"/>
          <w:szCs w:val="24"/>
        </w:rPr>
        <w:t>Artículo 41- Representación de personas menores de edad</w:t>
      </w:r>
    </w:p>
    <w:p w14:paraId="0387C7F1"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14:paraId="0B0E19B5"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36FCEE3A"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204BE6C3"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2858B25E" w14:textId="6CCDE962"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Excepcionalmente, las personas menores de doce años podrán accionar de forma</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personal. En este caso, para el inicio del proceso el tribunal deberá contar con un</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informe psicológico del Departamento de Trabajo Social y Psicología del Poder</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Judicial, que acredite que la persona menor de edad tiene la capacidad para ejercer</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dicha acción.”</w:t>
      </w:r>
    </w:p>
    <w:p w14:paraId="6DBF792B"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1E3E1169"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b/>
          <w:bCs/>
          <w:i/>
          <w:iCs/>
          <w:sz w:val="24"/>
          <w:szCs w:val="24"/>
        </w:rPr>
      </w:pPr>
      <w:r w:rsidRPr="00831847">
        <w:rPr>
          <w:rFonts w:ascii="Book Antiqua" w:eastAsia="Calibri" w:hAnsi="Book Antiqua" w:cs="Arial"/>
          <w:b/>
          <w:bCs/>
          <w:i/>
          <w:iCs/>
          <w:sz w:val="24"/>
          <w:szCs w:val="24"/>
        </w:rPr>
        <w:t>“Artículo 42- Asistencia y patrocinio letrado gratuito</w:t>
      </w:r>
    </w:p>
    <w:p w14:paraId="4E2EACBB"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b/>
          <w:bCs/>
          <w:i/>
          <w:iCs/>
          <w:sz w:val="24"/>
          <w:szCs w:val="24"/>
        </w:rPr>
      </w:pPr>
    </w:p>
    <w:p w14:paraId="6FA555A0"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El Estado garantizará la asistencia y el patrocinio letrado gratuito a las personas menores de edad que carezcan de medios económicos suficientes”.</w:t>
      </w:r>
    </w:p>
    <w:p w14:paraId="34D2D735"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70766597" w14:textId="77777777" w:rsidR="00F4322C" w:rsidRPr="00F4322C" w:rsidRDefault="00F4322C" w:rsidP="0090609F">
      <w:pPr>
        <w:numPr>
          <w:ilvl w:val="0"/>
          <w:numId w:val="6"/>
        </w:numPr>
        <w:tabs>
          <w:tab w:val="left" w:pos="426"/>
        </w:tabs>
        <w:spacing w:after="0" w:line="276" w:lineRule="auto"/>
        <w:jc w:val="both"/>
        <w:rPr>
          <w:rFonts w:ascii="Book Antiqua" w:eastAsia="Calibri" w:hAnsi="Book Antiqua" w:cs="Arial"/>
          <w:bCs/>
          <w:sz w:val="24"/>
          <w:szCs w:val="24"/>
        </w:rPr>
      </w:pPr>
      <w:r w:rsidRPr="00F4322C">
        <w:rPr>
          <w:rFonts w:ascii="Book Antiqua" w:eastAsia="Calibri" w:hAnsi="Book Antiqua" w:cs="Arial"/>
          <w:b/>
          <w:sz w:val="24"/>
          <w:szCs w:val="24"/>
        </w:rPr>
        <w:t xml:space="preserve">Introducción de nuevos tipos procesales. </w:t>
      </w:r>
      <w:r w:rsidRPr="00F4322C">
        <w:rPr>
          <w:rFonts w:ascii="Book Antiqua" w:eastAsia="Calibri" w:hAnsi="Book Antiqua" w:cs="Arial"/>
          <w:bCs/>
          <w:sz w:val="24"/>
          <w:szCs w:val="24"/>
        </w:rPr>
        <w:t>En el artículo 212 y siguientes se establece que toda pretensión de carácter familiar se tramitará según su naturaleza bajo cinco tipos de procesos:</w:t>
      </w:r>
    </w:p>
    <w:p w14:paraId="3566CF6F" w14:textId="4430A1AD" w:rsidR="006E0F2D" w:rsidRDefault="006E0F2D" w:rsidP="009C01E1">
      <w:pPr>
        <w:spacing w:line="276" w:lineRule="auto"/>
        <w:jc w:val="both"/>
        <w:rPr>
          <w:rFonts w:ascii="Book Antiqua" w:hAnsi="Book Antiqua"/>
          <w:sz w:val="24"/>
          <w:szCs w:val="24"/>
        </w:rPr>
      </w:pPr>
    </w:p>
    <w:p w14:paraId="10D72FF4" w14:textId="771177A4" w:rsidR="005F3D33"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Resolutivos familiares.</w:t>
      </w:r>
      <w:r w:rsidRPr="005F3D33">
        <w:rPr>
          <w:rFonts w:ascii="Book Antiqua" w:eastAsia="Calibri" w:hAnsi="Book Antiqua" w:cs="Arial"/>
          <w:sz w:val="24"/>
          <w:szCs w:val="24"/>
        </w:rPr>
        <w:t xml:space="preserve"> Según el artículo 222 abarcan las pretensiones relacionadas al vínculo matrimonial; el reconocimiento de la unión de hecho; la aplicación del régimen patrimonial del matrimonio y de la unión de hecho; la filiación y la oposición de la adopción; la oposición a la declaratoria de adoptabilidad en sede administrativa; los conflictos en el ejercicio de los atributos de la responsabilidad parental, incluidos los referidos al cuidado personal de hijas e hijos y modificaciones de sentencias sobre estas pretensiones; la terminación con o sin fines de adopción y la suspensión de los atributos de la responsabilidad parental; la pérdida, con petición o no de adaptabilidad, y la suspensión de los atributos de la responsabilidad parental; la oposición válida y definida por la autoridad judicial a la solicitud de salvaguardia para la igualdad jurídica de personas con discapacidad; y los reclamos de daños y perjuicios.</w:t>
      </w:r>
    </w:p>
    <w:p w14:paraId="7427CA82" w14:textId="77777777" w:rsidR="00562D38" w:rsidRDefault="00562D38" w:rsidP="00562D38">
      <w:pPr>
        <w:pStyle w:val="Prrafodelista"/>
        <w:spacing w:after="0" w:line="276" w:lineRule="auto"/>
        <w:ind w:left="750"/>
        <w:jc w:val="both"/>
        <w:rPr>
          <w:rFonts w:ascii="Book Antiqua" w:eastAsia="Calibri" w:hAnsi="Book Antiqua" w:cs="Arial"/>
          <w:sz w:val="24"/>
          <w:szCs w:val="24"/>
        </w:rPr>
      </w:pPr>
    </w:p>
    <w:p w14:paraId="7CA531A8" w14:textId="77777777" w:rsidR="00562D38" w:rsidRDefault="00E15C45" w:rsidP="0090609F">
      <w:pPr>
        <w:pStyle w:val="Prrafodelista"/>
        <w:numPr>
          <w:ilvl w:val="0"/>
          <w:numId w:val="7"/>
        </w:numPr>
        <w:spacing w:after="0" w:line="276" w:lineRule="auto"/>
        <w:jc w:val="both"/>
        <w:rPr>
          <w:rFonts w:ascii="Book Antiqua" w:eastAsia="Calibri" w:hAnsi="Book Antiqua" w:cs="Arial"/>
          <w:sz w:val="24"/>
          <w:szCs w:val="24"/>
        </w:rPr>
      </w:pPr>
      <w:r w:rsidRPr="00562D38">
        <w:rPr>
          <w:rFonts w:ascii="Book Antiqua" w:eastAsia="Calibri" w:hAnsi="Book Antiqua" w:cs="Arial"/>
          <w:b/>
          <w:bCs/>
          <w:i/>
          <w:iCs/>
          <w:sz w:val="24"/>
          <w:szCs w:val="24"/>
        </w:rPr>
        <w:t>De prote</w:t>
      </w:r>
      <w:r w:rsidR="005F3D33" w:rsidRPr="005F3D33">
        <w:rPr>
          <w:rFonts w:ascii="Book Antiqua" w:eastAsia="Calibri" w:hAnsi="Book Antiqua" w:cs="Arial"/>
          <w:b/>
          <w:bCs/>
          <w:i/>
          <w:iCs/>
          <w:sz w:val="24"/>
          <w:szCs w:val="24"/>
        </w:rPr>
        <w:t xml:space="preserve">cción cautelar. </w:t>
      </w:r>
      <w:r w:rsidR="005F3D33" w:rsidRPr="005F3D33">
        <w:rPr>
          <w:rFonts w:ascii="Book Antiqua" w:eastAsia="Calibri" w:hAnsi="Book Antiqua" w:cs="Arial"/>
          <w:sz w:val="24"/>
          <w:szCs w:val="24"/>
        </w:rPr>
        <w:t>Esta fase se encuentra dentro de los artículos que van del 234 al 241.</w:t>
      </w:r>
    </w:p>
    <w:p w14:paraId="686EFBE1" w14:textId="77777777" w:rsidR="00562D38" w:rsidRPr="00562D38" w:rsidRDefault="00562D38" w:rsidP="00562D38">
      <w:pPr>
        <w:pStyle w:val="Prrafodelista"/>
        <w:rPr>
          <w:rFonts w:ascii="Book Antiqua" w:eastAsia="Calibri" w:hAnsi="Book Antiqua" w:cs="Arial"/>
          <w:b/>
          <w:bCs/>
          <w:i/>
          <w:iCs/>
          <w:sz w:val="24"/>
          <w:szCs w:val="24"/>
        </w:rPr>
      </w:pPr>
    </w:p>
    <w:p w14:paraId="31FF9079" w14:textId="77777777" w:rsidR="00562D38"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 xml:space="preserve">De petición unilateral. </w:t>
      </w:r>
      <w:r w:rsidRPr="005F3D33">
        <w:rPr>
          <w:rFonts w:ascii="Book Antiqua" w:eastAsia="Calibri" w:hAnsi="Book Antiqua" w:cs="Arial"/>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4563D7C" w14:textId="77777777" w:rsidR="00562D38" w:rsidRPr="00562D38" w:rsidRDefault="00562D38" w:rsidP="00562D38">
      <w:pPr>
        <w:pStyle w:val="Prrafodelista"/>
        <w:rPr>
          <w:rFonts w:ascii="Book Antiqua" w:eastAsia="Calibri" w:hAnsi="Book Antiqua" w:cs="Arial"/>
          <w:b/>
          <w:bCs/>
          <w:i/>
          <w:iCs/>
          <w:sz w:val="24"/>
          <w:szCs w:val="24"/>
        </w:rPr>
      </w:pPr>
    </w:p>
    <w:p w14:paraId="2D60AB9B" w14:textId="164652BC" w:rsidR="005F3D33" w:rsidRDefault="005F3D33" w:rsidP="00380ACA">
      <w:pPr>
        <w:pStyle w:val="Prrafodelista"/>
        <w:numPr>
          <w:ilvl w:val="0"/>
          <w:numId w:val="7"/>
        </w:numPr>
        <w:spacing w:after="0" w:line="276" w:lineRule="auto"/>
        <w:ind w:hanging="324"/>
        <w:jc w:val="both"/>
        <w:rPr>
          <w:rFonts w:ascii="Book Antiqua" w:eastAsia="Calibri" w:hAnsi="Book Antiqua" w:cs="Arial"/>
          <w:sz w:val="24"/>
          <w:szCs w:val="24"/>
        </w:rPr>
      </w:pPr>
      <w:r w:rsidRPr="005F3D33">
        <w:rPr>
          <w:rFonts w:ascii="Book Antiqua" w:eastAsia="Calibri" w:hAnsi="Book Antiqua" w:cs="Arial"/>
          <w:b/>
          <w:bCs/>
          <w:i/>
          <w:iCs/>
          <w:sz w:val="24"/>
          <w:szCs w:val="24"/>
        </w:rPr>
        <w:t>Resolutivos especiales</w:t>
      </w:r>
      <w:r w:rsidRPr="005F3D33">
        <w:rPr>
          <w:rFonts w:ascii="Book Antiqua" w:eastAsia="Calibri" w:hAnsi="Book Antiqua" w:cs="Arial"/>
          <w:sz w:val="24"/>
          <w:szCs w:val="24"/>
        </w:rPr>
        <w:t>. Comprenden los siguientes procedimientos:</w:t>
      </w:r>
    </w:p>
    <w:p w14:paraId="2389D850" w14:textId="77777777" w:rsidR="00DA1B2F" w:rsidRPr="00DA1B2F" w:rsidRDefault="00DA1B2F" w:rsidP="00DA1B2F">
      <w:pPr>
        <w:pStyle w:val="Prrafodelista"/>
        <w:rPr>
          <w:rFonts w:ascii="Book Antiqua" w:eastAsia="Calibri" w:hAnsi="Book Antiqua" w:cs="Arial"/>
          <w:sz w:val="24"/>
          <w:szCs w:val="24"/>
        </w:rPr>
      </w:pPr>
    </w:p>
    <w:p w14:paraId="46E6B405" w14:textId="0BBFB0B5" w:rsidR="00562D38" w:rsidRPr="00562D38" w:rsidRDefault="00562D38" w:rsidP="0090609F">
      <w:pPr>
        <w:pStyle w:val="Prrafodelista"/>
        <w:numPr>
          <w:ilvl w:val="0"/>
          <w:numId w:val="8"/>
        </w:numPr>
        <w:rPr>
          <w:rFonts w:ascii="Book Antiqua" w:eastAsia="Calibri" w:hAnsi="Book Antiqua" w:cs="Arial"/>
          <w:sz w:val="24"/>
          <w:szCs w:val="24"/>
        </w:rPr>
      </w:pPr>
      <w:r>
        <w:rPr>
          <w:rFonts w:ascii="Book Antiqua" w:eastAsia="Calibri" w:hAnsi="Book Antiqua" w:cs="Arial"/>
          <w:sz w:val="24"/>
          <w:szCs w:val="24"/>
        </w:rPr>
        <w:t>P</w:t>
      </w:r>
      <w:r w:rsidRPr="00562D38">
        <w:rPr>
          <w:rFonts w:ascii="Book Antiqua" w:eastAsia="Calibri" w:hAnsi="Book Antiqua" w:cs="Arial"/>
          <w:sz w:val="24"/>
        </w:rPr>
        <w:t>ensiones alimentarias, en los artículos del 257 al 266</w:t>
      </w:r>
    </w:p>
    <w:p w14:paraId="5DD058A8"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Fijación de cuota alimentaria, en los artículos del 267 al 276;</w:t>
      </w:r>
    </w:p>
    <w:p w14:paraId="4E7597FD"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Extinción o modificación de la cuota fijada de alimentos y cobro de gastos Extraordinarios no pactados, en los artículos del 277 al 279;</w:t>
      </w:r>
    </w:p>
    <w:p w14:paraId="1054B4A2"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Ejecución de la deuda alimentaria, en los artículos del 280 al 288;</w:t>
      </w:r>
    </w:p>
    <w:p w14:paraId="1CA257A9"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Divorcio, separación judicial o cese de la unión de hecho por muto consentimiento, en los artículos del 289 al 293;</w:t>
      </w:r>
    </w:p>
    <w:p w14:paraId="1B09B9B3"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Adopción, en los artículos del 294 al 302;</w:t>
      </w:r>
    </w:p>
    <w:p w14:paraId="19DD85EC" w14:textId="54CDC27A" w:rsid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Restitución internacional de personas menores de edad, en los artículos del 303 al 312.</w:t>
      </w:r>
    </w:p>
    <w:p w14:paraId="74AA98EF" w14:textId="77777777" w:rsidR="007D608F" w:rsidRPr="00562D38" w:rsidRDefault="007D608F" w:rsidP="007D608F">
      <w:pPr>
        <w:pStyle w:val="Prrafodelista"/>
        <w:spacing w:after="0" w:line="276" w:lineRule="auto"/>
        <w:ind w:left="1440"/>
        <w:jc w:val="both"/>
        <w:rPr>
          <w:rFonts w:ascii="Book Antiqua" w:hAnsi="Book Antiqua"/>
          <w:sz w:val="24"/>
        </w:rPr>
      </w:pPr>
    </w:p>
    <w:p w14:paraId="52A60A51" w14:textId="04DCC2F4" w:rsidR="00562D38" w:rsidRPr="00562D38" w:rsidRDefault="00562D38" w:rsidP="00380ACA">
      <w:pPr>
        <w:pStyle w:val="Prrafodelista"/>
        <w:numPr>
          <w:ilvl w:val="0"/>
          <w:numId w:val="7"/>
        </w:numPr>
        <w:spacing w:after="0" w:line="276" w:lineRule="auto"/>
        <w:ind w:left="851" w:hanging="425"/>
        <w:jc w:val="both"/>
        <w:rPr>
          <w:rFonts w:ascii="Book Antiqua" w:eastAsia="Calibri" w:hAnsi="Book Antiqua" w:cs="Arial"/>
          <w:sz w:val="24"/>
          <w:szCs w:val="24"/>
        </w:rPr>
      </w:pPr>
      <w:r w:rsidRPr="00562D38">
        <w:rPr>
          <w:rFonts w:ascii="Book Antiqua" w:hAnsi="Book Antiqua"/>
          <w:b/>
          <w:bCs/>
          <w:i/>
          <w:iCs/>
          <w:sz w:val="24"/>
          <w:szCs w:val="24"/>
        </w:rPr>
        <w:t>De ejecución de resoluciones judiciales.</w:t>
      </w:r>
      <w:r w:rsidRPr="00562D38">
        <w:rPr>
          <w:rFonts w:ascii="Book Antiqua" w:hAnsi="Book Antiqua"/>
          <w:sz w:val="24"/>
          <w:szCs w:val="24"/>
        </w:rPr>
        <w:t xml:space="preserve"> Ejecución de resoluciones judiciales.</w:t>
      </w:r>
      <w:r w:rsidR="00EB0EB1">
        <w:rPr>
          <w:rFonts w:ascii="Book Antiqua" w:hAnsi="Book Antiqua"/>
          <w:sz w:val="24"/>
          <w:szCs w:val="24"/>
        </w:rPr>
        <w:t xml:space="preserve"> </w:t>
      </w:r>
      <w:r w:rsidRPr="00562D38">
        <w:rPr>
          <w:rFonts w:ascii="Book Antiqua" w:hAnsi="Book Antiqua"/>
          <w:sz w:val="24"/>
          <w:szCs w:val="24"/>
        </w:rPr>
        <w:t>Esta fase se encuentra dentro de los artículos que van del 313 al 333</w:t>
      </w:r>
      <w:r>
        <w:rPr>
          <w:rFonts w:ascii="Book Antiqua" w:hAnsi="Book Antiqua"/>
          <w:sz w:val="24"/>
          <w:szCs w:val="24"/>
        </w:rPr>
        <w:t>.</w:t>
      </w:r>
    </w:p>
    <w:p w14:paraId="00CF7937" w14:textId="77777777" w:rsidR="00562D38" w:rsidRPr="00562D38" w:rsidRDefault="00562D38" w:rsidP="00562D38">
      <w:pPr>
        <w:spacing w:line="276" w:lineRule="auto"/>
        <w:jc w:val="both"/>
        <w:rPr>
          <w:rFonts w:ascii="Book Antiqua" w:hAnsi="Book Antiqua"/>
          <w:sz w:val="24"/>
          <w:szCs w:val="24"/>
        </w:rPr>
      </w:pPr>
      <w:r w:rsidRPr="00562D38">
        <w:rPr>
          <w:rFonts w:ascii="Book Antiqua" w:hAnsi="Book Antiqua"/>
          <w:sz w:val="24"/>
          <w:szCs w:val="24"/>
        </w:rPr>
        <w:t>En el caso de los incisos 1, 3, 4 y 5, el CPF plantea una reagrupación de los procesos vigentes en la materia de Familia, por lo que no corresponden a nuevos procesos. Por su parte el proceso denominado “</w:t>
      </w:r>
      <w:r w:rsidRPr="00562D38">
        <w:rPr>
          <w:rFonts w:ascii="Book Antiqua" w:hAnsi="Book Antiqua"/>
          <w:i/>
          <w:sz w:val="24"/>
          <w:szCs w:val="24"/>
        </w:rPr>
        <w:t>protección cautelar</w:t>
      </w:r>
      <w:r w:rsidRPr="00562D38">
        <w:rPr>
          <w:rFonts w:ascii="Book Antiqua" w:hAnsi="Book Antiqua"/>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766AF943" w14:textId="77777777" w:rsidR="00562D38" w:rsidRPr="00562D38" w:rsidRDefault="00562D38" w:rsidP="00562D38">
      <w:pPr>
        <w:spacing w:after="0" w:line="276" w:lineRule="auto"/>
        <w:jc w:val="both"/>
        <w:rPr>
          <w:rFonts w:ascii="Book Antiqua" w:eastAsia="Calibri" w:hAnsi="Book Antiqua" w:cs="Arial"/>
          <w:sz w:val="24"/>
          <w:szCs w:val="24"/>
        </w:rPr>
      </w:pPr>
      <w:r w:rsidRPr="00562D38">
        <w:rPr>
          <w:rFonts w:ascii="Book Antiqua" w:eastAsia="Calibri" w:hAnsi="Book Antiqua" w:cs="Arial"/>
          <w:sz w:val="24"/>
          <w:szCs w:val="24"/>
        </w:rPr>
        <w:t>La asignación de las medidas cautelares correspondería a los actuales Juzgados de Violencia Doméstica que a su vez se les modifica su nomenclatura y en adelante se denominarían “</w:t>
      </w:r>
      <w:r w:rsidRPr="00562D38">
        <w:rPr>
          <w:rFonts w:ascii="Book Antiqua" w:eastAsia="Calibri" w:hAnsi="Book Antiqua" w:cs="Arial"/>
          <w:i/>
          <w:iCs/>
          <w:sz w:val="24"/>
          <w:szCs w:val="24"/>
        </w:rPr>
        <w:t>Juzgados de Violencia Domestica y Protección Cautelar</w:t>
      </w:r>
      <w:r w:rsidRPr="00562D38">
        <w:rPr>
          <w:rFonts w:ascii="Book Antiqua" w:eastAsia="Calibri" w:hAnsi="Book Antiqua" w:cs="Arial"/>
          <w:sz w:val="24"/>
          <w:szCs w:val="24"/>
        </w:rPr>
        <w:t>”, lo cual se contempla en el artículo 121 bis, que se adiciona a la Ley Orgánica del Poder Judicial:</w:t>
      </w:r>
    </w:p>
    <w:p w14:paraId="00E9726F" w14:textId="77777777" w:rsidR="00562D38" w:rsidRPr="00562D38" w:rsidRDefault="00562D38" w:rsidP="00562D38">
      <w:pPr>
        <w:spacing w:after="0" w:line="276" w:lineRule="auto"/>
        <w:jc w:val="both"/>
        <w:rPr>
          <w:rFonts w:ascii="Book Antiqua" w:eastAsia="Calibri" w:hAnsi="Book Antiqua" w:cs="Arial"/>
          <w:sz w:val="24"/>
          <w:szCs w:val="24"/>
        </w:rPr>
      </w:pPr>
    </w:p>
    <w:p w14:paraId="045845D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w:t>
      </w:r>
      <w:r w:rsidRPr="008B7405">
        <w:rPr>
          <w:rFonts w:ascii="Book Antiqua" w:eastAsia="Calibri" w:hAnsi="Book Antiqua" w:cs="Arial"/>
          <w:b/>
          <w:bCs/>
          <w:i/>
          <w:iCs/>
          <w:sz w:val="24"/>
          <w:szCs w:val="24"/>
        </w:rPr>
        <w:t>Artículo 121 bis</w:t>
      </w:r>
      <w:r w:rsidRPr="00562D38">
        <w:rPr>
          <w:rFonts w:ascii="Book Antiqua" w:eastAsia="Calibri" w:hAnsi="Book Antiqua" w:cs="Arial"/>
          <w:i/>
          <w:iCs/>
          <w:sz w:val="24"/>
          <w:szCs w:val="24"/>
        </w:rPr>
        <w:t>- Juzgados de Violencia Doméstica y de Protección Cautelar</w:t>
      </w:r>
    </w:p>
    <w:p w14:paraId="497C176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389AC381"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Los juzgados de Violencia Doméstica y de Protección Cautelar conocerán de:</w:t>
      </w:r>
    </w:p>
    <w:p w14:paraId="244AF3B9"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6A74BB19"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1) Todo lo relativo a los procesos de protección cautelar de violencia intrafamiliar, personas adultas mayores y personas con discapacidad.</w:t>
      </w:r>
    </w:p>
    <w:p w14:paraId="1B3AA572"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33E9C774"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2) Los demás asuntos que estipule la ley.</w:t>
      </w:r>
    </w:p>
    <w:p w14:paraId="2A957A1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4379B319" w14:textId="77777777" w:rsidR="00562D38" w:rsidRPr="00562D38" w:rsidRDefault="00562D38" w:rsidP="00562D38">
      <w:pPr>
        <w:spacing w:after="0" w:line="276" w:lineRule="auto"/>
        <w:ind w:left="567" w:right="616"/>
        <w:jc w:val="both"/>
        <w:rPr>
          <w:rFonts w:ascii="Book Antiqua" w:eastAsia="Calibri" w:hAnsi="Book Antiqua" w:cs="Arial"/>
          <w:sz w:val="24"/>
          <w:szCs w:val="24"/>
        </w:rPr>
      </w:pPr>
      <w:r w:rsidRPr="00562D38">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6DA97DFC" w14:textId="77777777" w:rsidR="00562D38" w:rsidRDefault="00562D38" w:rsidP="00562D38">
      <w:pPr>
        <w:spacing w:after="0" w:line="276" w:lineRule="auto"/>
        <w:jc w:val="both"/>
        <w:rPr>
          <w:rFonts w:ascii="Book Antiqua" w:eastAsia="Calibri" w:hAnsi="Book Antiqua" w:cs="Arial"/>
          <w:sz w:val="24"/>
          <w:szCs w:val="24"/>
        </w:rPr>
      </w:pPr>
    </w:p>
    <w:p w14:paraId="2ECFFE79" w14:textId="0654E0B1" w:rsidR="00562D38" w:rsidRPr="00562D38" w:rsidRDefault="00562D38" w:rsidP="00562D38">
      <w:pPr>
        <w:spacing w:after="0" w:line="276" w:lineRule="auto"/>
        <w:jc w:val="both"/>
        <w:rPr>
          <w:rFonts w:ascii="Book Antiqua" w:eastAsia="Calibri" w:hAnsi="Book Antiqua" w:cs="Arial"/>
          <w:sz w:val="24"/>
          <w:szCs w:val="24"/>
        </w:rPr>
      </w:pPr>
      <w:r w:rsidRPr="00562D38">
        <w:rPr>
          <w:rFonts w:ascii="Book Antiqua" w:eastAsia="Calibri" w:hAnsi="Book Antiqua" w:cs="Arial"/>
          <w:sz w:val="24"/>
          <w:szCs w:val="24"/>
        </w:rPr>
        <w:t>Al respecto el Lic. Jiménez Mata</w:t>
      </w:r>
      <w:r w:rsidR="00EC26F2">
        <w:rPr>
          <w:rFonts w:ascii="Book Antiqua" w:eastAsia="Calibri" w:hAnsi="Book Antiqua" w:cs="Arial"/>
          <w:sz w:val="24"/>
          <w:szCs w:val="24"/>
        </w:rPr>
        <w:t xml:space="preserve"> en 2020</w:t>
      </w:r>
      <w:r w:rsidRPr="00562D38">
        <w:rPr>
          <w:rFonts w:ascii="Book Antiqua" w:eastAsia="Calibri" w:hAnsi="Book Antiqua" w:cs="Arial"/>
          <w:sz w:val="24"/>
          <w:szCs w:val="24"/>
        </w:rPr>
        <w:t xml:space="preserve">, comentó que el impacto de estos cambios se reflejaría en el incremento de la entrada de casos para los actuales juzgados competentes en Violencia Doméstica del país, producto del proceso de protección cautelar para personas con discapacidad. </w:t>
      </w:r>
    </w:p>
    <w:p w14:paraId="4CC6FCB3" w14:textId="77777777" w:rsidR="00562D38" w:rsidRPr="00562D38" w:rsidRDefault="00562D38" w:rsidP="00562D38">
      <w:pPr>
        <w:spacing w:after="0" w:line="276" w:lineRule="auto"/>
        <w:jc w:val="both"/>
        <w:rPr>
          <w:rFonts w:ascii="Book Antiqua" w:eastAsia="Calibri" w:hAnsi="Book Antiqua" w:cs="Arial"/>
          <w:sz w:val="24"/>
          <w:szCs w:val="24"/>
        </w:rPr>
      </w:pPr>
    </w:p>
    <w:p w14:paraId="113EABD5" w14:textId="77777777" w:rsidR="000F0B1E" w:rsidRPr="000F0B1E" w:rsidRDefault="000F0B1E"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0F0B1E">
        <w:rPr>
          <w:rFonts w:ascii="Book Antiqua" w:eastAsia="Calibri" w:hAnsi="Book Antiqua" w:cs="Arial"/>
          <w:b/>
          <w:sz w:val="24"/>
          <w:szCs w:val="24"/>
        </w:rPr>
        <w:t xml:space="preserve">Desjudicialización de procesos. </w:t>
      </w:r>
      <w:r w:rsidRPr="000F0B1E">
        <w:rPr>
          <w:rFonts w:ascii="Book Antiqua" w:eastAsia="Calibri" w:hAnsi="Book Antiqua" w:cs="Arial"/>
          <w:bCs/>
          <w:sz w:val="24"/>
          <w:szCs w:val="24"/>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14:paraId="2C52BD42" w14:textId="77777777" w:rsidR="000F0B1E" w:rsidRPr="000F0B1E" w:rsidRDefault="000F0B1E" w:rsidP="000F0B1E">
      <w:pPr>
        <w:spacing w:after="0" w:line="276" w:lineRule="auto"/>
        <w:jc w:val="both"/>
        <w:rPr>
          <w:rFonts w:ascii="Book Antiqua" w:eastAsia="Calibri" w:hAnsi="Book Antiqua" w:cs="Arial"/>
          <w:sz w:val="24"/>
          <w:szCs w:val="24"/>
        </w:rPr>
      </w:pPr>
    </w:p>
    <w:p w14:paraId="6E4B1590"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w:t>
      </w:r>
      <w:r w:rsidRPr="008B7405">
        <w:rPr>
          <w:rFonts w:ascii="Book Antiqua" w:eastAsia="Calibri" w:hAnsi="Book Antiqua" w:cs="Arial"/>
          <w:b/>
          <w:bCs/>
          <w:i/>
          <w:iCs/>
          <w:sz w:val="24"/>
          <w:szCs w:val="24"/>
        </w:rPr>
        <w:t>Artículo 24-</w:t>
      </w:r>
      <w:r w:rsidRPr="00D00CB4">
        <w:rPr>
          <w:rFonts w:ascii="Book Antiqua" w:eastAsia="Calibri" w:hAnsi="Book Antiqua" w:cs="Arial"/>
          <w:i/>
          <w:iCs/>
          <w:sz w:val="24"/>
          <w:szCs w:val="24"/>
        </w:rPr>
        <w:t xml:space="preserve"> Matrimonio civil. Celebración</w:t>
      </w:r>
    </w:p>
    <w:p w14:paraId="518721E2"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Además del caso del artículo anterior, el matrimonio podrá celebrarse ante las autoridades de jefatura de las oficinas centrales o regionales del Registro Civil o ante los notarios públicos.</w:t>
      </w:r>
      <w:r w:rsidRPr="00D00CB4">
        <w:rPr>
          <w:rFonts w:ascii="Book Antiqua" w:eastAsia="Calibri" w:hAnsi="Book Antiqua" w:cs="Arial"/>
          <w:sz w:val="24"/>
          <w:szCs w:val="24"/>
        </w:rPr>
        <w:t xml:space="preserve"> </w:t>
      </w:r>
      <w:r w:rsidRPr="00D00CB4">
        <w:rPr>
          <w:rFonts w:ascii="Book Antiqua" w:eastAsia="Calibri" w:hAnsi="Book Antiqua" w:cs="Arial"/>
          <w:i/>
          <w:iCs/>
          <w:sz w:val="24"/>
          <w:szCs w:val="24"/>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482BBC95"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p>
    <w:p w14:paraId="50EE8608"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“Artículo 84- Reconocimiento administrativo de la paternidad</w:t>
      </w:r>
    </w:p>
    <w:p w14:paraId="6998BBF1"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Podrán ser reconocidos por sus padres todos los hijos habidos fuera de matrimonio y cuya paternidad no conste en el Registro Civil; igualmente, los hijos por nacer y los hijos muertos.</w:t>
      </w:r>
    </w:p>
    <w:p w14:paraId="631BDC5D"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3EE1D94A"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r w:rsidRPr="00D00CB4">
        <w:rPr>
          <w:rFonts w:ascii="Book Antiqua" w:eastAsia="Calibri" w:hAnsi="Book Antiqua" w:cs="Arial"/>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7959CF3C"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p>
    <w:p w14:paraId="05702B75"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w:t>
      </w:r>
      <w:r w:rsidRPr="008B7405">
        <w:rPr>
          <w:rFonts w:ascii="Book Antiqua" w:eastAsia="Calibri" w:hAnsi="Book Antiqua" w:cs="Arial"/>
          <w:b/>
          <w:bCs/>
          <w:i/>
          <w:iCs/>
          <w:sz w:val="24"/>
          <w:szCs w:val="24"/>
        </w:rPr>
        <w:t>Artículo 302-</w:t>
      </w:r>
      <w:r w:rsidRPr="00D00CB4">
        <w:rPr>
          <w:rFonts w:ascii="Book Antiqua" w:eastAsia="Calibri" w:hAnsi="Book Antiqua" w:cs="Arial"/>
          <w:i/>
          <w:iCs/>
          <w:sz w:val="24"/>
          <w:szCs w:val="24"/>
        </w:rPr>
        <w:t xml:space="preserve"> Adopción en sede notarial</w:t>
      </w:r>
    </w:p>
    <w:p w14:paraId="3B3FE851"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Cuando se trate de personas mayores de edad, la adopción se tramitará en sede notarial, mediante los procedimientos establecidos en el título VI de la Ley N.º 7764, Código Notarial, de 17 de abril de 1998. Se exceptúan de este trámite las personas con discapacidad cuya condición no les permita dar su consentimiento.</w:t>
      </w:r>
    </w:p>
    <w:p w14:paraId="1DC049D6"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Una vez aprobada, la persona notaria estará en la obligación de presentar el testimonio de escritura ante el Registro Civil, dentro de los ocho días siguientes, y tramitar su inscripción.”.</w:t>
      </w:r>
    </w:p>
    <w:p w14:paraId="370F8F1A" w14:textId="77777777" w:rsidR="00D00CB4" w:rsidRDefault="00D00CB4" w:rsidP="00D00CB4">
      <w:pPr>
        <w:autoSpaceDE w:val="0"/>
        <w:autoSpaceDN w:val="0"/>
        <w:adjustRightInd w:val="0"/>
        <w:spacing w:after="0" w:line="276" w:lineRule="auto"/>
        <w:jc w:val="both"/>
        <w:rPr>
          <w:rFonts w:ascii="Book Antiqua" w:eastAsia="Calibri" w:hAnsi="Book Antiqua" w:cs="Arial"/>
          <w:sz w:val="24"/>
          <w:szCs w:val="24"/>
        </w:rPr>
      </w:pPr>
    </w:p>
    <w:p w14:paraId="4105DF9B" w14:textId="38FC0318" w:rsidR="00D00CB4" w:rsidRPr="00D00CB4" w:rsidRDefault="00D00CB4" w:rsidP="00D00CB4">
      <w:pPr>
        <w:autoSpaceDE w:val="0"/>
        <w:autoSpaceDN w:val="0"/>
        <w:adjustRightInd w:val="0"/>
        <w:spacing w:after="0" w:line="276" w:lineRule="auto"/>
        <w:jc w:val="both"/>
        <w:rPr>
          <w:rFonts w:ascii="Book Antiqua" w:eastAsia="Calibri" w:hAnsi="Book Antiqua" w:cs="Arial"/>
          <w:sz w:val="24"/>
          <w:szCs w:val="24"/>
        </w:rPr>
      </w:pPr>
      <w:r w:rsidRPr="00D00CB4">
        <w:rPr>
          <w:rFonts w:ascii="Book Antiqua" w:eastAsia="Calibri" w:hAnsi="Book Antiqua" w:cs="Arial"/>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D00CB4">
        <w:rPr>
          <w:rFonts w:ascii="Book Antiqua" w:eastAsia="Calibri" w:hAnsi="Book Antiqua" w:cs="Arial"/>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D00CB4">
        <w:rPr>
          <w:rFonts w:ascii="Book Antiqua" w:eastAsia="Calibri" w:hAnsi="Book Antiqua" w:cs="Arial"/>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15DED27A" w14:textId="77777777" w:rsidR="00D00CB4" w:rsidRPr="00D00CB4" w:rsidRDefault="00D00CB4" w:rsidP="00D00CB4">
      <w:pPr>
        <w:autoSpaceDE w:val="0"/>
        <w:autoSpaceDN w:val="0"/>
        <w:adjustRightInd w:val="0"/>
        <w:spacing w:after="0" w:line="276" w:lineRule="auto"/>
        <w:jc w:val="both"/>
        <w:rPr>
          <w:rFonts w:ascii="Book Antiqua" w:eastAsia="Calibri" w:hAnsi="Book Antiqua" w:cs="Arial"/>
          <w:sz w:val="24"/>
          <w:szCs w:val="24"/>
        </w:rPr>
      </w:pPr>
    </w:p>
    <w:p w14:paraId="203D469F" w14:textId="77777777" w:rsidR="00D00CB4" w:rsidRPr="00D00CB4" w:rsidRDefault="00D00CB4" w:rsidP="00D00CB4">
      <w:pPr>
        <w:spacing w:after="0" w:line="276" w:lineRule="auto"/>
        <w:jc w:val="both"/>
        <w:rPr>
          <w:rFonts w:ascii="Book Antiqua" w:eastAsia="Calibri" w:hAnsi="Book Antiqua" w:cs="Arial"/>
          <w:sz w:val="24"/>
          <w:szCs w:val="24"/>
        </w:rPr>
      </w:pPr>
      <w:r w:rsidRPr="00D00CB4">
        <w:rPr>
          <w:rFonts w:ascii="Book Antiqua" w:eastAsia="Calibri" w:hAnsi="Book Antiqua" w:cs="Arial"/>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18B74736" w14:textId="6A651C47" w:rsidR="006E0F2D" w:rsidRDefault="006E0F2D" w:rsidP="009C01E1">
      <w:pPr>
        <w:spacing w:line="276" w:lineRule="auto"/>
        <w:jc w:val="both"/>
        <w:rPr>
          <w:rFonts w:ascii="Book Antiqua" w:hAnsi="Book Antiqua"/>
          <w:sz w:val="24"/>
          <w:szCs w:val="24"/>
        </w:rPr>
      </w:pPr>
    </w:p>
    <w:p w14:paraId="6A31E11F" w14:textId="674C9632" w:rsidR="00FA77C7" w:rsidRDefault="00FA77C7" w:rsidP="00FA77C7">
      <w:pPr>
        <w:spacing w:before="120" w:after="120" w:line="276" w:lineRule="auto"/>
        <w:jc w:val="both"/>
        <w:rPr>
          <w:rFonts w:ascii="Book Antiqua" w:eastAsia="Times New Roman" w:hAnsi="Book Antiqua" w:cs="Arial"/>
          <w:sz w:val="24"/>
          <w:szCs w:val="24"/>
          <w:lang w:eastAsia="es-ES"/>
        </w:rPr>
      </w:pPr>
      <w:r w:rsidRPr="001D0C10">
        <w:rPr>
          <w:rFonts w:ascii="Book Antiqua" w:eastAsia="Times New Roman" w:hAnsi="Book Antiqua" w:cs="Arial"/>
          <w:sz w:val="24"/>
          <w:szCs w:val="24"/>
          <w:lang w:eastAsia="es-ES"/>
        </w:rPr>
        <w:t xml:space="preserve">Actualmente los Juzgados con competencia en materia de Familia, atienden como segunda instancia los recursos de apelación de la materia de Pensiones Alimentarias: apelaciones de la pensión provisionales, de Sentencia, entre otras.  Con la entrada en vigencia del Código Procesal de Familia, los Juzgados de Familia no conocerán las apelaciones de las actualmente denominadas </w:t>
      </w:r>
      <w:r w:rsidRPr="001D0C10">
        <w:rPr>
          <w:rFonts w:ascii="Book Antiqua" w:eastAsia="Times New Roman" w:hAnsi="Book Antiqua" w:cs="Arial"/>
          <w:b/>
          <w:bCs/>
          <w:i/>
          <w:iCs/>
          <w:sz w:val="24"/>
          <w:szCs w:val="24"/>
          <w:lang w:eastAsia="es-ES"/>
        </w:rPr>
        <w:t>“pensiones provisionales</w:t>
      </w:r>
      <w:r w:rsidRPr="001D0C10">
        <w:rPr>
          <w:rFonts w:ascii="Book Antiqua" w:eastAsia="Times New Roman" w:hAnsi="Book Antiqua" w:cs="Arial"/>
          <w:sz w:val="24"/>
          <w:szCs w:val="24"/>
          <w:lang w:eastAsia="es-ES"/>
        </w:rPr>
        <w:t>”. Mantienen competencia para conocer las apelaciones de Sentencia y otras que la nueva ley dispone y que a criterio experto sería más complejas que las apelaciones de provisionales actuales, entre otras</w:t>
      </w:r>
      <w:r>
        <w:rPr>
          <w:rStyle w:val="Refdenotaalpie"/>
          <w:rFonts w:ascii="Book Antiqua" w:eastAsia="Times New Roman" w:hAnsi="Book Antiqua" w:cs="Arial"/>
          <w:sz w:val="24"/>
          <w:szCs w:val="24"/>
          <w:lang w:eastAsia="es-ES"/>
        </w:rPr>
        <w:footnoteReference w:id="2"/>
      </w:r>
      <w:r w:rsidRPr="001D0C10">
        <w:rPr>
          <w:rFonts w:ascii="Book Antiqua" w:eastAsia="Times New Roman" w:hAnsi="Book Antiqua" w:cs="Arial"/>
          <w:sz w:val="24"/>
          <w:szCs w:val="24"/>
          <w:lang w:eastAsia="es-ES"/>
        </w:rPr>
        <w:t xml:space="preserve">. </w:t>
      </w:r>
      <w:r>
        <w:rPr>
          <w:rFonts w:ascii="Book Antiqua" w:eastAsia="Times New Roman" w:hAnsi="Book Antiqua" w:cs="Arial"/>
          <w:sz w:val="24"/>
          <w:szCs w:val="24"/>
          <w:lang w:eastAsia="es-ES"/>
        </w:rPr>
        <w:t xml:space="preserve"> </w:t>
      </w:r>
    </w:p>
    <w:p w14:paraId="002AF1E1" w14:textId="77777777" w:rsidR="005B4146" w:rsidRPr="001D0C10" w:rsidRDefault="005B4146" w:rsidP="00FA77C7">
      <w:pPr>
        <w:spacing w:before="120" w:after="120" w:line="276" w:lineRule="auto"/>
        <w:jc w:val="both"/>
        <w:rPr>
          <w:rFonts w:ascii="Book Antiqua" w:eastAsia="Times New Roman" w:hAnsi="Book Antiqua" w:cs="Arial"/>
          <w:sz w:val="24"/>
          <w:szCs w:val="24"/>
          <w:lang w:eastAsia="es-ES"/>
        </w:rPr>
      </w:pPr>
    </w:p>
    <w:p w14:paraId="332D494C" w14:textId="77777777" w:rsidR="00D00CB4" w:rsidRPr="00845957" w:rsidRDefault="00D00CB4"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bookmarkStart w:id="8" w:name="_Hlk34901399"/>
      <w:r w:rsidRPr="00D00CB4">
        <w:rPr>
          <w:rFonts w:ascii="Book Antiqua" w:eastAsia="Calibri" w:hAnsi="Book Antiqua" w:cs="Arial"/>
          <w:b/>
          <w:sz w:val="24"/>
          <w:szCs w:val="24"/>
        </w:rPr>
        <w:t xml:space="preserve">Competencia de la Sala Segunda. </w:t>
      </w:r>
      <w:r w:rsidRPr="00D00CB4">
        <w:rPr>
          <w:rFonts w:ascii="Book Antiqua" w:eastAsia="Calibri" w:hAnsi="Book Antiqua" w:cs="Arial"/>
          <w:bCs/>
          <w:sz w:val="24"/>
          <w:szCs w:val="24"/>
        </w:rPr>
        <w:t xml:space="preserve">El CPF adiciona el artículo 55 bis a la Ley </w:t>
      </w:r>
      <w:r w:rsidRPr="00845957">
        <w:rPr>
          <w:rFonts w:ascii="Book Antiqua" w:eastAsia="Calibri" w:hAnsi="Book Antiqua" w:cs="Arial"/>
          <w:bCs/>
          <w:sz w:val="24"/>
          <w:szCs w:val="24"/>
        </w:rPr>
        <w:t>Orgánica del Poder Judicial, donde se le conferiría a la Sala Segunda nuevas competencias, según se observa:</w:t>
      </w:r>
    </w:p>
    <w:bookmarkEnd w:id="8"/>
    <w:p w14:paraId="6B61A97F" w14:textId="77777777" w:rsidR="00D00CB4" w:rsidRPr="00845957" w:rsidRDefault="00D00CB4" w:rsidP="00D00CB4">
      <w:pPr>
        <w:spacing w:after="0" w:line="276" w:lineRule="auto"/>
        <w:jc w:val="both"/>
        <w:rPr>
          <w:rFonts w:ascii="Book Antiqua" w:eastAsia="Calibri" w:hAnsi="Book Antiqua" w:cs="Arial"/>
          <w:sz w:val="24"/>
          <w:szCs w:val="24"/>
        </w:rPr>
      </w:pPr>
    </w:p>
    <w:p w14:paraId="1AA64171"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w:t>
      </w:r>
      <w:r w:rsidRPr="00845957">
        <w:rPr>
          <w:rFonts w:ascii="Book Antiqua" w:eastAsia="Calibri" w:hAnsi="Book Antiqua" w:cs="Arial"/>
          <w:b/>
          <w:bCs/>
          <w:i/>
          <w:iCs/>
          <w:sz w:val="24"/>
          <w:szCs w:val="24"/>
        </w:rPr>
        <w:t>Artículo 55 bis-</w:t>
      </w:r>
      <w:r w:rsidRPr="00845957">
        <w:rPr>
          <w:rFonts w:ascii="Book Antiqua" w:eastAsia="Calibri" w:hAnsi="Book Antiqua" w:cs="Arial"/>
          <w:i/>
          <w:iCs/>
          <w:sz w:val="24"/>
          <w:szCs w:val="24"/>
        </w:rPr>
        <w:t xml:space="preserve"> La Sala Segunda de la Corte Suprema de Justicia</w:t>
      </w:r>
    </w:p>
    <w:p w14:paraId="772953C1"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En lo familiar, la Sala Segunda de la Corte Suprema de Justicia conocerá de:</w:t>
      </w:r>
    </w:p>
    <w:p w14:paraId="077F0CCD" w14:textId="7B4CE45F"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1) Los recursos de casación y las demandas de revisión</w:t>
      </w:r>
      <w:r w:rsidR="00467F6A" w:rsidRPr="00845957">
        <w:footnoteReference w:id="3"/>
      </w:r>
      <w:r w:rsidRPr="00845957">
        <w:rPr>
          <w:rFonts w:ascii="Book Antiqua" w:eastAsia="Calibri" w:hAnsi="Book Antiqua" w:cs="Arial"/>
          <w:i/>
          <w:iCs/>
          <w:sz w:val="24"/>
          <w:szCs w:val="24"/>
        </w:rPr>
        <w:t xml:space="preserve"> en materia familiar.</w:t>
      </w:r>
    </w:p>
    <w:p w14:paraId="301AC75A" w14:textId="4828DC40"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2) Los recursos de apelación contra la decisión final en los procesos de restitución internacional de personas menores de edad</w:t>
      </w:r>
      <w:r w:rsidR="00502170" w:rsidRPr="00845957">
        <w:footnoteReference w:id="4"/>
      </w:r>
      <w:r w:rsidRPr="00845957">
        <w:rPr>
          <w:rFonts w:ascii="Book Antiqua" w:eastAsia="Calibri" w:hAnsi="Book Antiqua" w:cs="Arial"/>
          <w:i/>
          <w:iCs/>
          <w:sz w:val="24"/>
          <w:szCs w:val="24"/>
        </w:rPr>
        <w:t>.</w:t>
      </w:r>
    </w:p>
    <w:p w14:paraId="37182E9B" w14:textId="06691DDB" w:rsidR="00D00CB4" w:rsidRPr="00797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3) Los conflictos de competencia material entre un despacho de Familia y uno de otra materia, cuando el que ha prevenido el asunto es el de Familia; así como los conflictos de competencia territorial entre dos juzgados de Familia</w:t>
      </w:r>
      <w:r w:rsidR="00502170" w:rsidRPr="00845957">
        <w:footnoteReference w:id="5"/>
      </w:r>
      <w:r w:rsidRPr="00845957">
        <w:rPr>
          <w:rFonts w:ascii="Book Antiqua" w:eastAsia="Calibri" w:hAnsi="Book Antiqua" w:cs="Arial"/>
          <w:i/>
          <w:iCs/>
          <w:sz w:val="24"/>
          <w:szCs w:val="24"/>
        </w:rPr>
        <w:t>.</w:t>
      </w:r>
    </w:p>
    <w:p w14:paraId="35C0C7AD"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797957">
        <w:rPr>
          <w:rFonts w:ascii="Book Antiqua" w:eastAsia="Calibri" w:hAnsi="Book Antiqua" w:cs="Arial"/>
          <w:i/>
          <w:iCs/>
          <w:sz w:val="24"/>
          <w:szCs w:val="24"/>
        </w:rPr>
        <w:t xml:space="preserve">4) De las demandas de responsabilidad civil contra los jueces integrantes de los </w:t>
      </w:r>
      <w:r w:rsidRPr="00845957">
        <w:rPr>
          <w:rFonts w:ascii="Book Antiqua" w:eastAsia="Calibri" w:hAnsi="Book Antiqua" w:cs="Arial"/>
          <w:i/>
          <w:iCs/>
          <w:sz w:val="24"/>
          <w:szCs w:val="24"/>
        </w:rPr>
        <w:t>tribunales colegiados de Familia.</w:t>
      </w:r>
    </w:p>
    <w:p w14:paraId="3FB909BF" w14:textId="35D07B15"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5) Del recurso de apelación interpuesto contra la resolución que se pronunció acerca de la competencia internacional alegada</w:t>
      </w:r>
      <w:r w:rsidR="0060750C" w:rsidRPr="00845957">
        <w:footnoteReference w:id="6"/>
      </w:r>
      <w:r w:rsidRPr="00845957">
        <w:rPr>
          <w:rFonts w:ascii="Book Antiqua" w:eastAsia="Calibri" w:hAnsi="Book Antiqua" w:cs="Arial"/>
          <w:i/>
          <w:iCs/>
          <w:sz w:val="24"/>
          <w:szCs w:val="24"/>
        </w:rPr>
        <w:t>.</w:t>
      </w:r>
      <w:r w:rsidR="001E16E7" w:rsidRPr="00845957">
        <w:rPr>
          <w:rFonts w:ascii="Book Antiqua" w:eastAsia="Calibri" w:hAnsi="Book Antiqua" w:cs="Arial"/>
          <w:i/>
          <w:iCs/>
          <w:sz w:val="24"/>
          <w:szCs w:val="24"/>
        </w:rPr>
        <w:t xml:space="preserve"> </w:t>
      </w:r>
    </w:p>
    <w:p w14:paraId="38B7AC52" w14:textId="345D13D8" w:rsidR="00D00CB4" w:rsidRDefault="00D00CB4" w:rsidP="00D00CB4">
      <w:pPr>
        <w:spacing w:after="0" w:line="276" w:lineRule="auto"/>
        <w:ind w:left="567" w:right="616"/>
        <w:jc w:val="both"/>
        <w:rPr>
          <w:rFonts w:ascii="Book Antiqua" w:eastAsia="Calibri" w:hAnsi="Book Antiqua" w:cs="Arial"/>
        </w:rPr>
      </w:pPr>
      <w:r w:rsidRPr="00845957">
        <w:rPr>
          <w:rFonts w:ascii="Book Antiqua" w:eastAsia="Calibri" w:hAnsi="Book Antiqua" w:cs="Arial"/>
          <w:i/>
          <w:iCs/>
          <w:sz w:val="24"/>
          <w:szCs w:val="24"/>
        </w:rPr>
        <w:t>6) Del auxilio judicial internacional y del reconocimiento y eficacia de sentencias y laudos extranjeros en materia de familia, con</w:t>
      </w:r>
      <w:r w:rsidRPr="00D00CB4">
        <w:rPr>
          <w:rFonts w:ascii="Book Antiqua" w:eastAsia="Calibri" w:hAnsi="Book Antiqua" w:cs="Arial"/>
          <w:i/>
          <w:iCs/>
          <w:sz w:val="24"/>
          <w:szCs w:val="24"/>
        </w:rPr>
        <w:t xml:space="preserve"> la salvedad de lo que corresponda conocer a las otras salas de la Corte”.</w:t>
      </w:r>
      <w:r w:rsidR="004435B4">
        <w:rPr>
          <w:rFonts w:ascii="Book Antiqua" w:eastAsia="Calibri" w:hAnsi="Book Antiqua" w:cs="Arial"/>
          <w:i/>
          <w:iCs/>
          <w:sz w:val="24"/>
          <w:szCs w:val="24"/>
        </w:rPr>
        <w:t xml:space="preserve"> </w:t>
      </w:r>
      <w:r w:rsidR="004435B4" w:rsidRPr="001D0C10">
        <w:rPr>
          <w:rFonts w:ascii="Book Antiqua" w:eastAsia="Calibri" w:hAnsi="Book Antiqua" w:cs="Arial"/>
        </w:rPr>
        <w:t>(Lo marcado en verde no es del original).</w:t>
      </w:r>
    </w:p>
    <w:p w14:paraId="71CF1F88" w14:textId="77777777" w:rsidR="00DB6062" w:rsidRPr="00D00CB4" w:rsidRDefault="00DB6062" w:rsidP="00D00CB4">
      <w:pPr>
        <w:spacing w:after="0" w:line="276" w:lineRule="auto"/>
        <w:ind w:left="567" w:right="616"/>
        <w:jc w:val="both"/>
        <w:rPr>
          <w:rFonts w:ascii="Book Antiqua" w:eastAsia="Calibri" w:hAnsi="Book Antiqua" w:cs="Arial"/>
          <w:i/>
          <w:iCs/>
          <w:sz w:val="24"/>
          <w:szCs w:val="24"/>
        </w:rPr>
      </w:pPr>
    </w:p>
    <w:p w14:paraId="4E54CBD7" w14:textId="163847B8" w:rsidR="00E651AE" w:rsidRDefault="00E651AE" w:rsidP="00D00CB4">
      <w:p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Como se observa del citado artículo del Tribunal de Familia hacia la Sala Segunda se trasladan las siguientes competencias</w:t>
      </w:r>
      <w:r w:rsidR="00035934">
        <w:rPr>
          <w:rFonts w:ascii="Book Antiqua" w:eastAsia="Calibri" w:hAnsi="Book Antiqua" w:cs="Arial"/>
          <w:b/>
          <w:bCs/>
          <w:sz w:val="24"/>
          <w:szCs w:val="24"/>
        </w:rPr>
        <w:t>:</w:t>
      </w:r>
    </w:p>
    <w:p w14:paraId="08242840" w14:textId="77777777" w:rsidR="00494ADF" w:rsidRPr="00EE77E3" w:rsidRDefault="00494ADF" w:rsidP="00D00CB4">
      <w:pPr>
        <w:spacing w:after="0" w:line="276" w:lineRule="auto"/>
        <w:jc w:val="both"/>
        <w:rPr>
          <w:rFonts w:ascii="Book Antiqua" w:eastAsia="Calibri" w:hAnsi="Book Antiqua" w:cs="Arial"/>
          <w:b/>
          <w:bCs/>
          <w:sz w:val="24"/>
          <w:szCs w:val="24"/>
        </w:rPr>
      </w:pPr>
    </w:p>
    <w:p w14:paraId="69A71DE8" w14:textId="77777777" w:rsidR="00E651AE" w:rsidRPr="00EE77E3" w:rsidRDefault="00E651AE">
      <w:pPr>
        <w:pStyle w:val="Prrafodelista"/>
        <w:numPr>
          <w:ilvl w:val="0"/>
          <w:numId w:val="37"/>
        </w:num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 xml:space="preserve">Conocimiento de los </w:t>
      </w:r>
      <w:r w:rsidR="00D00CB4" w:rsidRPr="00EE77E3">
        <w:rPr>
          <w:rFonts w:ascii="Book Antiqua" w:eastAsia="Calibri" w:hAnsi="Book Antiqua" w:cs="Arial"/>
          <w:b/>
          <w:bCs/>
          <w:sz w:val="24"/>
          <w:szCs w:val="24"/>
        </w:rPr>
        <w:t>recursos de procesos de restitución internacional de personas menores de edad</w:t>
      </w:r>
      <w:r w:rsidRPr="00EE77E3">
        <w:rPr>
          <w:rFonts w:ascii="Book Antiqua" w:eastAsia="Calibri" w:hAnsi="Book Antiqua" w:cs="Arial"/>
          <w:b/>
          <w:bCs/>
          <w:sz w:val="24"/>
          <w:szCs w:val="24"/>
        </w:rPr>
        <w:t>.</w:t>
      </w:r>
    </w:p>
    <w:p w14:paraId="4566BF09" w14:textId="25965B97" w:rsidR="008B7405" w:rsidRPr="00EE77E3" w:rsidRDefault="00E651AE">
      <w:pPr>
        <w:pStyle w:val="Prrafodelista"/>
        <w:numPr>
          <w:ilvl w:val="0"/>
          <w:numId w:val="37"/>
        </w:num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Conocimiento de</w:t>
      </w:r>
      <w:r w:rsidR="002F4EFD" w:rsidRPr="00EE77E3">
        <w:rPr>
          <w:rFonts w:ascii="Book Antiqua" w:eastAsia="Calibri" w:hAnsi="Book Antiqua" w:cs="Arial"/>
          <w:b/>
          <w:bCs/>
          <w:sz w:val="24"/>
          <w:szCs w:val="24"/>
        </w:rPr>
        <w:t xml:space="preserve"> los conflictos de competencia territorial</w:t>
      </w:r>
      <w:r w:rsidRPr="00EE77E3">
        <w:rPr>
          <w:rFonts w:ascii="Book Antiqua" w:eastAsia="Calibri" w:hAnsi="Book Antiqua" w:cs="Arial"/>
          <w:b/>
          <w:bCs/>
          <w:sz w:val="24"/>
          <w:szCs w:val="24"/>
        </w:rPr>
        <w:t xml:space="preserve"> entre Juzgados de Familia. </w:t>
      </w:r>
    </w:p>
    <w:p w14:paraId="26E64DF0" w14:textId="77777777" w:rsidR="00035934" w:rsidRDefault="00035934" w:rsidP="00D00CB4">
      <w:pPr>
        <w:spacing w:after="0" w:line="276" w:lineRule="auto"/>
        <w:jc w:val="both"/>
        <w:rPr>
          <w:rFonts w:ascii="Book Antiqua" w:eastAsia="Calibri" w:hAnsi="Book Antiqua" w:cs="Arial"/>
          <w:sz w:val="24"/>
          <w:szCs w:val="24"/>
        </w:rPr>
      </w:pPr>
    </w:p>
    <w:p w14:paraId="62415B73" w14:textId="6C48AA68" w:rsidR="008B7405" w:rsidRDefault="00035934" w:rsidP="00D00CB4">
      <w:pPr>
        <w:spacing w:after="0" w:line="276" w:lineRule="auto"/>
        <w:jc w:val="both"/>
        <w:rPr>
          <w:rFonts w:ascii="Book Antiqua" w:eastAsia="Calibri" w:hAnsi="Book Antiqua" w:cs="Arial"/>
          <w:sz w:val="24"/>
          <w:szCs w:val="24"/>
        </w:rPr>
      </w:pPr>
      <w:r w:rsidRPr="000012B5">
        <w:rPr>
          <w:rFonts w:ascii="Book Antiqua" w:eastAsia="Calibri" w:hAnsi="Book Antiqua" w:cs="Arial"/>
          <w:sz w:val="24"/>
          <w:szCs w:val="24"/>
        </w:rPr>
        <w:t>El impacto de esta decisión Legislativa en el servicio a la persona usuaria se detallará más adelante en este informe.</w:t>
      </w:r>
    </w:p>
    <w:p w14:paraId="3ABE36CA" w14:textId="77777777" w:rsidR="00035934" w:rsidRDefault="00035934" w:rsidP="00D00CB4">
      <w:pPr>
        <w:spacing w:after="0" w:line="276" w:lineRule="auto"/>
        <w:jc w:val="both"/>
        <w:rPr>
          <w:rFonts w:ascii="Book Antiqua" w:eastAsia="Calibri" w:hAnsi="Book Antiqua" w:cs="Arial"/>
          <w:sz w:val="24"/>
          <w:szCs w:val="24"/>
        </w:rPr>
      </w:pPr>
    </w:p>
    <w:p w14:paraId="19AA05FF" w14:textId="2E48C983" w:rsidR="00D00CB4" w:rsidRDefault="008B7405"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w:t>
      </w:r>
      <w:r w:rsidR="00D00CB4" w:rsidRPr="00D00CB4">
        <w:rPr>
          <w:rFonts w:ascii="Book Antiqua" w:eastAsia="Calibri" w:hAnsi="Book Antiqua" w:cs="Arial"/>
          <w:sz w:val="24"/>
          <w:szCs w:val="24"/>
        </w:rPr>
        <w:t xml:space="preserve">or </w:t>
      </w:r>
      <w:r w:rsidR="00802294">
        <w:rPr>
          <w:rFonts w:ascii="Book Antiqua" w:eastAsia="Calibri" w:hAnsi="Book Antiqua" w:cs="Arial"/>
          <w:sz w:val="24"/>
          <w:szCs w:val="24"/>
        </w:rPr>
        <w:t>otra</w:t>
      </w:r>
      <w:r w:rsidR="00D00CB4" w:rsidRPr="00D00CB4">
        <w:rPr>
          <w:rFonts w:ascii="Book Antiqua" w:eastAsia="Calibri" w:hAnsi="Book Antiqua" w:cs="Arial"/>
          <w:sz w:val="24"/>
          <w:szCs w:val="24"/>
        </w:rPr>
        <w:t xml:space="preserve"> parte</w:t>
      </w:r>
      <w:r w:rsidR="00802294">
        <w:rPr>
          <w:rFonts w:ascii="Book Antiqua" w:eastAsia="Calibri" w:hAnsi="Book Antiqua" w:cs="Arial"/>
          <w:sz w:val="24"/>
          <w:szCs w:val="24"/>
        </w:rPr>
        <w:t xml:space="preserve">, la competencia de la Sala Segunda desde 2018 creció, </w:t>
      </w:r>
      <w:r w:rsidR="00EE77E3">
        <w:rPr>
          <w:rFonts w:ascii="Book Antiqua" w:eastAsia="Calibri" w:hAnsi="Book Antiqua" w:cs="Arial"/>
          <w:sz w:val="24"/>
          <w:szCs w:val="24"/>
        </w:rPr>
        <w:t>al conocer los asuntos de</w:t>
      </w:r>
      <w:r w:rsidR="00D00CB4" w:rsidRPr="00D00CB4">
        <w:rPr>
          <w:rFonts w:ascii="Book Antiqua" w:eastAsia="Calibri" w:hAnsi="Book Antiqua" w:cs="Arial"/>
          <w:sz w:val="24"/>
          <w:szCs w:val="24"/>
        </w:rPr>
        <w:t xml:space="preserve"> </w:t>
      </w:r>
      <w:r>
        <w:rPr>
          <w:rFonts w:ascii="Book Antiqua" w:eastAsia="Calibri" w:hAnsi="Book Antiqua" w:cs="Arial"/>
          <w:sz w:val="24"/>
          <w:szCs w:val="24"/>
        </w:rPr>
        <w:t>A</w:t>
      </w:r>
      <w:r w:rsidR="00D00CB4" w:rsidRPr="00D00CB4">
        <w:rPr>
          <w:rFonts w:ascii="Book Antiqua" w:eastAsia="Calibri" w:hAnsi="Book Antiqua" w:cs="Arial"/>
          <w:sz w:val="24"/>
          <w:szCs w:val="24"/>
        </w:rPr>
        <w:t xml:space="preserve">uxilio </w:t>
      </w:r>
      <w:r>
        <w:rPr>
          <w:rFonts w:ascii="Book Antiqua" w:eastAsia="Calibri" w:hAnsi="Book Antiqua" w:cs="Arial"/>
          <w:sz w:val="24"/>
          <w:szCs w:val="24"/>
        </w:rPr>
        <w:t>J</w:t>
      </w:r>
      <w:r w:rsidR="00D00CB4" w:rsidRPr="00D00CB4">
        <w:rPr>
          <w:rFonts w:ascii="Book Antiqua" w:eastAsia="Calibri" w:hAnsi="Book Antiqua" w:cs="Arial"/>
          <w:sz w:val="24"/>
          <w:szCs w:val="24"/>
        </w:rPr>
        <w:t>udicial internacional y el reconocimiento y eficacia de sentencias y laudos extranjeros</w:t>
      </w:r>
      <w:r w:rsidR="00EE77E3">
        <w:rPr>
          <w:rFonts w:ascii="Book Antiqua" w:eastAsia="Calibri" w:hAnsi="Book Antiqua" w:cs="Arial"/>
          <w:sz w:val="24"/>
          <w:szCs w:val="24"/>
        </w:rPr>
        <w:t xml:space="preserve">, en materia de Familia. También de las restantes materias de su competencia, que </w:t>
      </w:r>
      <w:r w:rsidR="00D00CB4" w:rsidRPr="00D00CB4">
        <w:rPr>
          <w:rFonts w:ascii="Book Antiqua" w:eastAsia="Calibri" w:hAnsi="Book Antiqua" w:cs="Arial"/>
          <w:sz w:val="24"/>
          <w:szCs w:val="24"/>
        </w:rPr>
        <w:t xml:space="preserve">son tramitados de forma centralizada por la Sala Segunda desde 8 de octubre de 2018 con la entrada en vigencia de la Ley 9342 </w:t>
      </w:r>
      <w:r w:rsidR="00D00CB4" w:rsidRPr="00D00CB4">
        <w:rPr>
          <w:rFonts w:ascii="Book Antiqua" w:eastAsia="Calibri" w:hAnsi="Book Antiqua" w:cs="Arial"/>
          <w:i/>
          <w:iCs/>
          <w:sz w:val="24"/>
          <w:szCs w:val="24"/>
        </w:rPr>
        <w:t>“Código Procesal Civil”</w:t>
      </w:r>
      <w:r w:rsidR="00D00CB4" w:rsidRPr="00D00CB4">
        <w:rPr>
          <w:rFonts w:ascii="Book Antiqua" w:eastAsia="Calibri" w:hAnsi="Book Antiqua" w:cs="Arial"/>
          <w:sz w:val="24"/>
          <w:szCs w:val="24"/>
        </w:rPr>
        <w:t xml:space="preserve"> y la reforma al artículo 55 de la Ley Orgánica del Poder Judicial.</w:t>
      </w:r>
    </w:p>
    <w:p w14:paraId="3967702C" w14:textId="77777777" w:rsidR="00035934" w:rsidRDefault="00035934" w:rsidP="00D00CB4">
      <w:pPr>
        <w:spacing w:after="0" w:line="276" w:lineRule="auto"/>
        <w:jc w:val="both"/>
        <w:rPr>
          <w:rFonts w:ascii="Book Antiqua" w:eastAsia="Calibri" w:hAnsi="Book Antiqua" w:cs="Arial"/>
          <w:sz w:val="24"/>
          <w:szCs w:val="24"/>
        </w:rPr>
      </w:pPr>
    </w:p>
    <w:p w14:paraId="2E6FD01E" w14:textId="20A7CAA1" w:rsidR="004435B4" w:rsidRPr="001D0C10" w:rsidRDefault="004435B4" w:rsidP="00D00CB4">
      <w:pPr>
        <w:spacing w:after="0" w:line="276" w:lineRule="auto"/>
        <w:jc w:val="both"/>
        <w:rPr>
          <w:rFonts w:ascii="Book Antiqua" w:eastAsia="Calibri" w:hAnsi="Book Antiqua" w:cs="Arial"/>
          <w:sz w:val="24"/>
          <w:szCs w:val="24"/>
          <w:u w:val="single"/>
        </w:rPr>
      </w:pPr>
      <w:r w:rsidRPr="001D0C10">
        <w:rPr>
          <w:rFonts w:ascii="Book Antiqua" w:eastAsia="Calibri" w:hAnsi="Book Antiqua" w:cs="Arial"/>
          <w:sz w:val="24"/>
          <w:szCs w:val="24"/>
          <w:u w:val="single"/>
        </w:rPr>
        <w:t>A partir de</w:t>
      </w:r>
      <w:r w:rsidR="00F06CFB">
        <w:rPr>
          <w:rFonts w:ascii="Book Antiqua" w:eastAsia="Calibri" w:hAnsi="Book Antiqua" w:cs="Arial"/>
          <w:sz w:val="24"/>
          <w:szCs w:val="24"/>
          <w:u w:val="single"/>
        </w:rPr>
        <w:t>l 8 de</w:t>
      </w:r>
      <w:r w:rsidRPr="001D0C10">
        <w:rPr>
          <w:rFonts w:ascii="Book Antiqua" w:eastAsia="Calibri" w:hAnsi="Book Antiqua" w:cs="Arial"/>
          <w:sz w:val="24"/>
          <w:szCs w:val="24"/>
          <w:u w:val="single"/>
        </w:rPr>
        <w:t xml:space="preserve"> octubre</w:t>
      </w:r>
      <w:r w:rsidR="00F06CFB">
        <w:rPr>
          <w:rFonts w:ascii="Book Antiqua" w:eastAsia="Calibri" w:hAnsi="Book Antiqua" w:cs="Arial"/>
          <w:sz w:val="24"/>
          <w:szCs w:val="24"/>
          <w:u w:val="single"/>
        </w:rPr>
        <w:t xml:space="preserve"> de</w:t>
      </w:r>
      <w:r w:rsidRPr="001D0C10">
        <w:rPr>
          <w:rFonts w:ascii="Book Antiqua" w:eastAsia="Calibri" w:hAnsi="Book Antiqua" w:cs="Arial"/>
          <w:sz w:val="24"/>
          <w:szCs w:val="24"/>
          <w:u w:val="single"/>
        </w:rPr>
        <w:t xml:space="preserve"> 20</w:t>
      </w:r>
      <w:r w:rsidR="008B7405">
        <w:rPr>
          <w:rFonts w:ascii="Book Antiqua" w:eastAsia="Calibri" w:hAnsi="Book Antiqua" w:cs="Arial"/>
          <w:sz w:val="24"/>
          <w:szCs w:val="24"/>
          <w:u w:val="single"/>
        </w:rPr>
        <w:t>18</w:t>
      </w:r>
      <w:r w:rsidR="00F06CFB">
        <w:rPr>
          <w:rFonts w:ascii="Book Antiqua" w:eastAsia="Calibri" w:hAnsi="Book Antiqua" w:cs="Arial"/>
          <w:sz w:val="24"/>
          <w:szCs w:val="24"/>
          <w:u w:val="single"/>
        </w:rPr>
        <w:t>,</w:t>
      </w:r>
      <w:r w:rsidR="008B7405">
        <w:rPr>
          <w:rFonts w:ascii="Book Antiqua" w:eastAsia="Calibri" w:hAnsi="Book Antiqua" w:cs="Arial"/>
          <w:sz w:val="24"/>
          <w:szCs w:val="24"/>
          <w:u w:val="single"/>
        </w:rPr>
        <w:t xml:space="preserve"> la Sala Segunda inició </w:t>
      </w:r>
      <w:r w:rsidRPr="001D0C10">
        <w:rPr>
          <w:rFonts w:ascii="Book Antiqua" w:eastAsia="Calibri" w:hAnsi="Book Antiqua" w:cs="Arial"/>
          <w:sz w:val="24"/>
          <w:szCs w:val="24"/>
          <w:u w:val="single"/>
        </w:rPr>
        <w:t>con la recepción de asuntos nuevos</w:t>
      </w:r>
      <w:r w:rsidR="008B7405">
        <w:rPr>
          <w:rFonts w:ascii="Book Antiqua" w:eastAsia="Calibri" w:hAnsi="Book Antiqua" w:cs="Arial"/>
          <w:sz w:val="24"/>
          <w:szCs w:val="24"/>
          <w:u w:val="single"/>
        </w:rPr>
        <w:t xml:space="preserve"> de Auxilio Internacional en las materias de su competencia,</w:t>
      </w:r>
      <w:r w:rsidRPr="001D0C10">
        <w:rPr>
          <w:rFonts w:ascii="Book Antiqua" w:eastAsia="Calibri" w:hAnsi="Book Antiqua" w:cs="Arial"/>
          <w:sz w:val="24"/>
          <w:szCs w:val="24"/>
          <w:u w:val="single"/>
        </w:rPr>
        <w:t xml:space="preserve"> </w:t>
      </w:r>
      <w:r w:rsidR="008B7405">
        <w:rPr>
          <w:rFonts w:ascii="Book Antiqua" w:eastAsia="Calibri" w:hAnsi="Book Antiqua" w:cs="Arial"/>
          <w:sz w:val="24"/>
          <w:szCs w:val="24"/>
          <w:u w:val="single"/>
        </w:rPr>
        <w:t xml:space="preserve">y </w:t>
      </w:r>
      <w:r w:rsidRPr="001D0C10">
        <w:rPr>
          <w:rFonts w:ascii="Book Antiqua" w:eastAsia="Calibri" w:hAnsi="Book Antiqua" w:cs="Arial"/>
          <w:sz w:val="24"/>
          <w:szCs w:val="24"/>
          <w:u w:val="single"/>
        </w:rPr>
        <w:t>la Sala Primera mantuvo el circulante</w:t>
      </w:r>
      <w:r w:rsidR="008B7405">
        <w:rPr>
          <w:rFonts w:ascii="Book Antiqua" w:eastAsia="Calibri" w:hAnsi="Book Antiqua" w:cs="Arial"/>
          <w:sz w:val="24"/>
          <w:szCs w:val="24"/>
          <w:u w:val="single"/>
        </w:rPr>
        <w:t xml:space="preserve"> existente</w:t>
      </w:r>
      <w:r w:rsidRPr="001D0C10">
        <w:rPr>
          <w:rFonts w:ascii="Book Antiqua" w:eastAsia="Calibri" w:hAnsi="Book Antiqua" w:cs="Arial"/>
          <w:sz w:val="24"/>
          <w:szCs w:val="24"/>
          <w:u w:val="single"/>
        </w:rPr>
        <w:t>, sin embargo, a partir del voto 90089-21 de la Sala Constitucional del 5 de mayo 2021, se trasladaron a la Sala Segunda</w:t>
      </w:r>
      <w:r w:rsidR="008B7405">
        <w:rPr>
          <w:rFonts w:ascii="Book Antiqua" w:eastAsia="Calibri" w:hAnsi="Book Antiqua" w:cs="Arial"/>
          <w:sz w:val="24"/>
          <w:szCs w:val="24"/>
          <w:u w:val="single"/>
        </w:rPr>
        <w:t xml:space="preserve">, un total de </w:t>
      </w:r>
      <w:r w:rsidRPr="001D0C10">
        <w:rPr>
          <w:rFonts w:ascii="Book Antiqua" w:eastAsia="Calibri" w:hAnsi="Book Antiqua" w:cs="Arial"/>
          <w:sz w:val="24"/>
          <w:szCs w:val="24"/>
          <w:u w:val="single"/>
        </w:rPr>
        <w:t xml:space="preserve">136 casos de </w:t>
      </w:r>
      <w:r w:rsidR="008B7405">
        <w:rPr>
          <w:rFonts w:ascii="Book Antiqua" w:eastAsia="Calibri" w:hAnsi="Book Antiqua" w:cs="Arial"/>
          <w:sz w:val="24"/>
          <w:szCs w:val="24"/>
          <w:u w:val="single"/>
        </w:rPr>
        <w:t>A</w:t>
      </w:r>
      <w:r w:rsidRPr="001D0C10">
        <w:rPr>
          <w:rFonts w:ascii="Book Antiqua" w:eastAsia="Calibri" w:hAnsi="Book Antiqua" w:cs="Arial"/>
          <w:sz w:val="24"/>
          <w:szCs w:val="24"/>
          <w:u w:val="single"/>
        </w:rPr>
        <w:t xml:space="preserve">uxilio internacional existentes en el circulante de la Sala Primera. </w:t>
      </w:r>
    </w:p>
    <w:p w14:paraId="7C3269BD" w14:textId="6E28E0E2" w:rsidR="00952AB0" w:rsidRPr="00D00CB4" w:rsidRDefault="004435B4"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 </w:t>
      </w:r>
    </w:p>
    <w:p w14:paraId="1679D27D" w14:textId="6621D175" w:rsidR="00684AE9" w:rsidRPr="00684AE9" w:rsidRDefault="00684AE9" w:rsidP="0090609F">
      <w:pPr>
        <w:numPr>
          <w:ilvl w:val="0"/>
          <w:numId w:val="6"/>
        </w:numPr>
        <w:tabs>
          <w:tab w:val="left" w:pos="426"/>
        </w:tabs>
        <w:spacing w:after="0" w:line="276" w:lineRule="auto"/>
        <w:ind w:left="0" w:firstLine="0"/>
        <w:jc w:val="both"/>
        <w:rPr>
          <w:rFonts w:ascii="Book Antiqua" w:eastAsia="Calibri" w:hAnsi="Book Antiqua" w:cs="Arial"/>
          <w:b/>
          <w:sz w:val="24"/>
          <w:szCs w:val="24"/>
        </w:rPr>
      </w:pPr>
      <w:r w:rsidRPr="00684AE9">
        <w:rPr>
          <w:rFonts w:ascii="Book Antiqua" w:eastAsia="Calibri" w:hAnsi="Book Antiqua" w:cs="Arial"/>
          <w:b/>
          <w:sz w:val="24"/>
          <w:szCs w:val="24"/>
        </w:rPr>
        <w:t>Competencia del Tribunal de Familia</w:t>
      </w:r>
    </w:p>
    <w:p w14:paraId="7FBC6470" w14:textId="77777777" w:rsidR="00684AE9" w:rsidRDefault="00684AE9" w:rsidP="00684AE9">
      <w:pPr>
        <w:spacing w:after="0" w:line="276" w:lineRule="auto"/>
        <w:jc w:val="both"/>
        <w:rPr>
          <w:rFonts w:ascii="Book Antiqua" w:eastAsia="Calibri" w:hAnsi="Book Antiqua" w:cs="Arial"/>
          <w:sz w:val="24"/>
          <w:szCs w:val="24"/>
        </w:rPr>
      </w:pPr>
    </w:p>
    <w:p w14:paraId="7FF44C29" w14:textId="341AB5C7" w:rsidR="00684AE9" w:rsidRPr="00F74947" w:rsidRDefault="00684AE9" w:rsidP="00684AE9">
      <w:pPr>
        <w:spacing w:after="0" w:line="276" w:lineRule="auto"/>
        <w:jc w:val="both"/>
        <w:rPr>
          <w:rFonts w:ascii="Book Antiqua" w:eastAsia="Calibri" w:hAnsi="Book Antiqua" w:cs="Arial"/>
          <w:sz w:val="24"/>
          <w:szCs w:val="24"/>
        </w:rPr>
      </w:pPr>
      <w:r w:rsidRPr="00F74947">
        <w:rPr>
          <w:rFonts w:ascii="Book Antiqua" w:eastAsia="Calibri" w:hAnsi="Book Antiqua" w:cs="Arial"/>
          <w:sz w:val="24"/>
          <w:szCs w:val="24"/>
        </w:rPr>
        <w:t>El CPF incorpora a la Ley Orgánica del Poder Judicial, Ley 7333, específicamente el artículo 99, las competencias del Tribunal de Familia:</w:t>
      </w:r>
    </w:p>
    <w:p w14:paraId="5A1AC18C" w14:textId="77777777" w:rsidR="00684AE9" w:rsidRDefault="00684AE9" w:rsidP="00684AE9">
      <w:pPr>
        <w:spacing w:after="0" w:line="276" w:lineRule="auto"/>
        <w:jc w:val="both"/>
        <w:rPr>
          <w:rFonts w:ascii="Book Antiqua" w:eastAsia="Calibri" w:hAnsi="Book Antiqua" w:cs="Arial"/>
          <w:sz w:val="24"/>
          <w:szCs w:val="24"/>
        </w:rPr>
      </w:pPr>
    </w:p>
    <w:p w14:paraId="4F7FED0D" w14:textId="77777777" w:rsidR="00684AE9" w:rsidRPr="001D0C10" w:rsidRDefault="00684AE9" w:rsidP="00684AE9">
      <w:pPr>
        <w:spacing w:after="0" w:line="276" w:lineRule="auto"/>
        <w:ind w:left="567" w:right="616"/>
        <w:jc w:val="both"/>
        <w:rPr>
          <w:rFonts w:ascii="Book Antiqua" w:eastAsia="Calibri" w:hAnsi="Book Antiqua" w:cs="Arial"/>
          <w:b/>
          <w:bCs/>
          <w:i/>
          <w:iCs/>
          <w:sz w:val="24"/>
          <w:szCs w:val="24"/>
          <w:u w:val="single"/>
        </w:rPr>
      </w:pPr>
      <w:r w:rsidRPr="001D0C10">
        <w:rPr>
          <w:rFonts w:ascii="Book Antiqua" w:eastAsia="Calibri" w:hAnsi="Book Antiqua" w:cs="Arial"/>
          <w:b/>
          <w:bCs/>
          <w:i/>
          <w:iCs/>
          <w:sz w:val="24"/>
          <w:szCs w:val="24"/>
          <w:u w:val="single"/>
        </w:rPr>
        <w:t>“Los Tribunales de Familia conocerán:</w:t>
      </w:r>
    </w:p>
    <w:p w14:paraId="79B5F9B7" w14:textId="77777777" w:rsidR="00684AE9" w:rsidRPr="00F74947" w:rsidRDefault="00684AE9" w:rsidP="00684AE9">
      <w:pPr>
        <w:spacing w:after="0" w:line="276" w:lineRule="auto"/>
        <w:ind w:left="567" w:right="616"/>
        <w:jc w:val="both"/>
        <w:rPr>
          <w:rFonts w:ascii="Book Antiqua" w:eastAsia="Calibri" w:hAnsi="Book Antiqua" w:cs="Arial"/>
          <w:i/>
          <w:iCs/>
          <w:sz w:val="24"/>
          <w:szCs w:val="24"/>
        </w:rPr>
      </w:pPr>
      <w:r w:rsidRPr="00F74947">
        <w:rPr>
          <w:rFonts w:ascii="Book Antiqua" w:eastAsia="Calibri" w:hAnsi="Book Antiqua" w:cs="Arial"/>
          <w:i/>
          <w:iCs/>
          <w:sz w:val="24"/>
          <w:szCs w:val="24"/>
        </w:rPr>
        <w:t>1) De forma colegiada de tres jueces, lo siguiente:</w:t>
      </w:r>
    </w:p>
    <w:p w14:paraId="5539D432"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F74947">
        <w:rPr>
          <w:rFonts w:ascii="Book Antiqua" w:eastAsia="Calibri" w:hAnsi="Book Antiqua" w:cs="Arial"/>
          <w:i/>
          <w:iCs/>
          <w:sz w:val="24"/>
          <w:szCs w:val="24"/>
        </w:rPr>
        <w:t xml:space="preserve">a) Los recursos de apelación de sentencias definitivas de los procesos conocidos en los juzgados de Familia, juzgados de Niñez y Adolescencia y juzgados de </w:t>
      </w:r>
      <w:r w:rsidRPr="00845957">
        <w:rPr>
          <w:rFonts w:ascii="Book Antiqua" w:eastAsia="Calibri" w:hAnsi="Book Antiqua" w:cs="Arial"/>
          <w:i/>
          <w:iCs/>
          <w:sz w:val="24"/>
          <w:szCs w:val="24"/>
        </w:rPr>
        <w:t>Violencia Doméstica y Protección Cautelar, salvo las sentencias finales de los procesos de restitución internacional de personas menores de edad.</w:t>
      </w:r>
    </w:p>
    <w:p w14:paraId="268E5F9A" w14:textId="7707027D" w:rsidR="00684AE9" w:rsidRPr="00845957" w:rsidRDefault="00684AE9" w:rsidP="00684AE9">
      <w:pPr>
        <w:shd w:val="clear" w:color="auto" w:fill="BDD6EE" w:themeFill="accent5" w:themeFillTint="66"/>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b) Los conflictos de competencia material suscitados entre juzgados de Familia</w:t>
      </w:r>
      <w:r w:rsidRPr="00BC185D">
        <w:rPr>
          <w:rFonts w:ascii="Book Antiqua" w:eastAsia="Calibri" w:hAnsi="Book Antiqua" w:cs="Arial"/>
          <w:i/>
          <w:iCs/>
          <w:sz w:val="24"/>
          <w:szCs w:val="24"/>
          <w:vertAlign w:val="superscript"/>
        </w:rPr>
        <w:footnoteReference w:id="7"/>
      </w:r>
      <w:r w:rsidRPr="00845957">
        <w:rPr>
          <w:rFonts w:ascii="Book Antiqua" w:eastAsia="Calibri" w:hAnsi="Book Antiqua" w:cs="Arial"/>
          <w:i/>
          <w:iCs/>
          <w:sz w:val="24"/>
          <w:szCs w:val="24"/>
        </w:rPr>
        <w:t>, juzgados de Niñez y Adolescencia o juzgados de Violencia Doméstica y Protección Cautelar.</w:t>
      </w:r>
    </w:p>
    <w:p w14:paraId="3EF65DD4"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2) De forma unipersonal, lo siguiente:</w:t>
      </w:r>
    </w:p>
    <w:p w14:paraId="0C7A616A"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a) Los recursos de apelación de resoluciones interlocutorias de los procesos conocidos en los juzgados de Familia, juzgados de Niñez y Adolescencia o juzgados de Violencia Doméstica y Protección Cautelar.</w:t>
      </w:r>
    </w:p>
    <w:p w14:paraId="4DF7D95A" w14:textId="77777777" w:rsidR="00684AE9" w:rsidRPr="00845957" w:rsidRDefault="00684AE9" w:rsidP="00684AE9">
      <w:pPr>
        <w:shd w:val="clear" w:color="auto" w:fill="BDD6EE" w:themeFill="accent5" w:themeFillTint="66"/>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b) Los conflictos de competencia territorial entre juzgados de Familia, entre juzgados de Niñez y Adolescencia o entre juzgados de Violencia Doméstica y Protección Cautelar</w:t>
      </w:r>
      <w:r w:rsidRPr="00BC185D">
        <w:rPr>
          <w:rFonts w:ascii="Book Antiqua" w:eastAsia="Calibri" w:hAnsi="Book Antiqua" w:cs="Arial"/>
          <w:i/>
          <w:iCs/>
          <w:sz w:val="24"/>
          <w:szCs w:val="24"/>
          <w:vertAlign w:val="superscript"/>
        </w:rPr>
        <w:footnoteReference w:id="8"/>
      </w:r>
      <w:r w:rsidRPr="00845957">
        <w:rPr>
          <w:rFonts w:ascii="Book Antiqua" w:eastAsia="Calibri" w:hAnsi="Book Antiqua" w:cs="Arial"/>
          <w:i/>
          <w:iCs/>
          <w:sz w:val="24"/>
          <w:szCs w:val="24"/>
        </w:rPr>
        <w:t>.</w:t>
      </w:r>
    </w:p>
    <w:p w14:paraId="385A343A"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c) Los impedimentos, las excusas y las recusaciones de uno o varios de sus miembros propietarios o suplentes.</w:t>
      </w:r>
    </w:p>
    <w:p w14:paraId="77926970" w14:textId="77777777" w:rsidR="00684AE9"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 xml:space="preserve">d) Los demás asuntos que determine la ley.” </w:t>
      </w:r>
      <w:r w:rsidRPr="00845957">
        <w:rPr>
          <w:rFonts w:ascii="Book Antiqua" w:eastAsia="Calibri" w:hAnsi="Book Antiqua" w:cs="Arial"/>
        </w:rPr>
        <w:t>(Lo resaltado en celeste no es del original).</w:t>
      </w:r>
    </w:p>
    <w:p w14:paraId="46E3DBC2" w14:textId="77777777" w:rsidR="00684AE9" w:rsidRPr="00F74947" w:rsidRDefault="00684AE9" w:rsidP="00684AE9">
      <w:pPr>
        <w:spacing w:after="0" w:line="276" w:lineRule="auto"/>
        <w:ind w:left="567" w:right="616"/>
        <w:jc w:val="both"/>
        <w:rPr>
          <w:rFonts w:ascii="Book Antiqua" w:eastAsia="Calibri" w:hAnsi="Book Antiqua" w:cs="Arial"/>
          <w:i/>
          <w:iCs/>
          <w:sz w:val="24"/>
          <w:szCs w:val="24"/>
        </w:rPr>
      </w:pPr>
    </w:p>
    <w:p w14:paraId="2E7274E0" w14:textId="77777777" w:rsidR="00684AE9" w:rsidRPr="00F74947" w:rsidRDefault="00684AE9" w:rsidP="00684AE9">
      <w:pPr>
        <w:spacing w:after="0" w:line="276" w:lineRule="auto"/>
        <w:jc w:val="both"/>
        <w:rPr>
          <w:rFonts w:ascii="Book Antiqua" w:eastAsia="Calibri" w:hAnsi="Book Antiqua" w:cs="Arial"/>
          <w:sz w:val="24"/>
          <w:szCs w:val="24"/>
        </w:rPr>
      </w:pPr>
      <w:r w:rsidRPr="00F74947">
        <w:rPr>
          <w:rFonts w:ascii="Book Antiqua" w:eastAsia="Calibri" w:hAnsi="Book Antiqua" w:cs="Arial"/>
          <w:sz w:val="24"/>
          <w:szCs w:val="24"/>
        </w:rPr>
        <w:t>En cuanto a las implicaciones del CPF sobre la labor del Tribunal de Familia, se identificaron los siguientes efectos en su carga laboral:</w:t>
      </w:r>
    </w:p>
    <w:p w14:paraId="77FA6F37" w14:textId="77777777" w:rsidR="00684AE9" w:rsidRDefault="00684AE9" w:rsidP="00684AE9">
      <w:pPr>
        <w:spacing w:after="0" w:line="276" w:lineRule="auto"/>
        <w:jc w:val="both"/>
        <w:rPr>
          <w:rFonts w:ascii="Book Antiqua" w:eastAsia="Calibri" w:hAnsi="Book Antiqua" w:cs="Arial"/>
          <w:sz w:val="24"/>
          <w:szCs w:val="24"/>
        </w:rPr>
      </w:pPr>
    </w:p>
    <w:p w14:paraId="5D8999DF" w14:textId="44E41149" w:rsidR="00684AE9" w:rsidRDefault="00684AE9">
      <w:pPr>
        <w:numPr>
          <w:ilvl w:val="0"/>
          <w:numId w:val="40"/>
        </w:numPr>
        <w:spacing w:after="0" w:line="276" w:lineRule="auto"/>
        <w:contextualSpacing/>
        <w:jc w:val="both"/>
        <w:rPr>
          <w:rFonts w:ascii="Book Antiqua" w:eastAsia="Calibri" w:hAnsi="Book Antiqua" w:cs="Arial"/>
          <w:sz w:val="24"/>
          <w:szCs w:val="24"/>
          <w:lang w:eastAsia="es-CR"/>
        </w:rPr>
      </w:pPr>
      <w:r w:rsidRPr="00F74947">
        <w:rPr>
          <w:rFonts w:ascii="Book Antiqua" w:eastAsia="Calibri" w:hAnsi="Book Antiqua" w:cs="Arial"/>
          <w:sz w:val="24"/>
          <w:szCs w:val="24"/>
          <w:lang w:eastAsia="es-CR"/>
        </w:rPr>
        <w:t>Una disminución en los recursos de apelación en los procesos de restitución internacional de personas menores de edad, los cuales en adelante pasarán a conocimiento de la Sala Segunda</w:t>
      </w:r>
      <w:r w:rsidR="000F7924">
        <w:rPr>
          <w:rFonts w:ascii="Book Antiqua" w:eastAsia="Calibri" w:hAnsi="Book Antiqua" w:cs="Arial"/>
          <w:sz w:val="24"/>
          <w:szCs w:val="24"/>
          <w:lang w:eastAsia="es-CR"/>
        </w:rPr>
        <w:t xml:space="preserve"> (artículo 55 bis, inciso 2).</w:t>
      </w:r>
    </w:p>
    <w:p w14:paraId="66527423" w14:textId="5AC39965" w:rsidR="000F7924" w:rsidRPr="00F74947" w:rsidRDefault="000F7924">
      <w:pPr>
        <w:numPr>
          <w:ilvl w:val="0"/>
          <w:numId w:val="40"/>
        </w:num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Una disminución en la entrada, por los conflictos de competencia territorial entre 2 juzgados de Familia, que pasaran a ser competencia de la Sala Segunda (artículo 55 bis, inciso 3).</w:t>
      </w:r>
    </w:p>
    <w:p w14:paraId="38EC5724" w14:textId="77777777" w:rsidR="000F7924" w:rsidRDefault="00684AE9">
      <w:pPr>
        <w:numPr>
          <w:ilvl w:val="0"/>
          <w:numId w:val="40"/>
        </w:numPr>
        <w:spacing w:after="0" w:line="276" w:lineRule="auto"/>
        <w:contextualSpacing/>
        <w:jc w:val="both"/>
        <w:rPr>
          <w:rFonts w:ascii="Book Antiqua" w:eastAsia="Calibri" w:hAnsi="Book Antiqua" w:cs="Arial"/>
          <w:sz w:val="24"/>
          <w:szCs w:val="24"/>
          <w:lang w:eastAsia="es-CR"/>
        </w:rPr>
      </w:pPr>
      <w:r w:rsidRPr="00F74947">
        <w:rPr>
          <w:rFonts w:ascii="Book Antiqua" w:eastAsia="Calibri" w:hAnsi="Book Antiqua" w:cs="Arial"/>
          <w:sz w:val="24"/>
          <w:szCs w:val="24"/>
          <w:lang w:eastAsia="es-CR"/>
        </w:rPr>
        <w:t>Un descenso en las apelaciones</w:t>
      </w:r>
      <w:r w:rsidR="000F7924">
        <w:rPr>
          <w:rFonts w:ascii="Book Antiqua" w:eastAsia="Calibri" w:hAnsi="Book Antiqua" w:cs="Arial"/>
          <w:sz w:val="24"/>
          <w:szCs w:val="24"/>
          <w:lang w:eastAsia="es-CR"/>
        </w:rPr>
        <w:t xml:space="preserve">, por </w:t>
      </w:r>
      <w:r w:rsidRPr="00F74947">
        <w:rPr>
          <w:rFonts w:ascii="Book Antiqua" w:eastAsia="Calibri" w:hAnsi="Book Antiqua" w:cs="Arial"/>
          <w:sz w:val="24"/>
          <w:szCs w:val="24"/>
          <w:lang w:eastAsia="es-CR"/>
        </w:rPr>
        <w:t>los procesos que dejará de conocer el Poder Judicial</w:t>
      </w:r>
      <w:r w:rsidR="000F7924">
        <w:rPr>
          <w:rFonts w:ascii="Book Antiqua" w:eastAsia="Calibri" w:hAnsi="Book Antiqua" w:cs="Arial"/>
          <w:sz w:val="24"/>
          <w:szCs w:val="24"/>
          <w:lang w:eastAsia="es-CR"/>
        </w:rPr>
        <w:t xml:space="preserve">: </w:t>
      </w:r>
      <w:r w:rsidRPr="00F74947">
        <w:rPr>
          <w:rFonts w:ascii="Book Antiqua" w:eastAsia="Calibri" w:hAnsi="Book Antiqua" w:cs="Arial"/>
          <w:sz w:val="24"/>
          <w:szCs w:val="24"/>
          <w:lang w:eastAsia="es-CR"/>
        </w:rPr>
        <w:t>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r w:rsidR="000F7924">
        <w:rPr>
          <w:rFonts w:ascii="Book Antiqua" w:eastAsia="Calibri" w:hAnsi="Book Antiqua" w:cs="Arial"/>
          <w:sz w:val="24"/>
          <w:szCs w:val="24"/>
          <w:lang w:eastAsia="es-CR"/>
        </w:rPr>
        <w:t>.</w:t>
      </w:r>
    </w:p>
    <w:p w14:paraId="0C0318F8" w14:textId="249F3712" w:rsidR="00684AE9" w:rsidRPr="000F7924" w:rsidRDefault="00684AE9">
      <w:pPr>
        <w:numPr>
          <w:ilvl w:val="0"/>
          <w:numId w:val="40"/>
        </w:numPr>
        <w:spacing w:after="0" w:line="276" w:lineRule="auto"/>
        <w:contextualSpacing/>
        <w:jc w:val="both"/>
        <w:rPr>
          <w:rFonts w:ascii="Book Antiqua" w:eastAsia="Calibri" w:hAnsi="Book Antiqua" w:cs="Arial"/>
          <w:sz w:val="24"/>
          <w:szCs w:val="24"/>
          <w:lang w:eastAsia="es-CR"/>
        </w:rPr>
      </w:pPr>
      <w:r w:rsidRPr="000F7924">
        <w:rPr>
          <w:rFonts w:ascii="Book Antiqua" w:eastAsia="Calibri" w:hAnsi="Book Antiqua" w:cs="Arial"/>
          <w:sz w:val="24"/>
          <w:szCs w:val="24"/>
          <w:lang w:eastAsia="es-CR"/>
        </w:rPr>
        <w:t xml:space="preserve"> Un eventual aumento en las apelaciones provenientes de las sentencias dictadas por los </w:t>
      </w:r>
      <w:r w:rsidR="000F7924">
        <w:rPr>
          <w:rFonts w:ascii="Book Antiqua" w:eastAsia="Calibri" w:hAnsi="Book Antiqua" w:cs="Arial"/>
          <w:sz w:val="24"/>
          <w:szCs w:val="24"/>
          <w:lang w:eastAsia="es-CR"/>
        </w:rPr>
        <w:t>J</w:t>
      </w:r>
      <w:r w:rsidRPr="000F7924">
        <w:rPr>
          <w:rFonts w:ascii="Book Antiqua" w:eastAsia="Calibri" w:hAnsi="Book Antiqua" w:cs="Arial"/>
          <w:sz w:val="24"/>
          <w:szCs w:val="24"/>
          <w:lang w:eastAsia="es-CR"/>
        </w:rPr>
        <w:t xml:space="preserve">uzgados </w:t>
      </w:r>
      <w:r w:rsidR="000F7924">
        <w:rPr>
          <w:rFonts w:ascii="Book Antiqua" w:eastAsia="Calibri" w:hAnsi="Book Antiqua" w:cs="Arial"/>
          <w:sz w:val="24"/>
          <w:szCs w:val="24"/>
          <w:lang w:eastAsia="es-CR"/>
        </w:rPr>
        <w:t>Contra la V</w:t>
      </w:r>
      <w:r w:rsidRPr="000F7924">
        <w:rPr>
          <w:rFonts w:ascii="Book Antiqua" w:eastAsia="Calibri" w:hAnsi="Book Antiqua" w:cs="Arial"/>
          <w:sz w:val="24"/>
          <w:szCs w:val="24"/>
          <w:lang w:eastAsia="es-CR"/>
        </w:rPr>
        <w:t xml:space="preserve">iolencia </w:t>
      </w:r>
      <w:r w:rsidR="000F7924">
        <w:rPr>
          <w:rFonts w:ascii="Book Antiqua" w:eastAsia="Calibri" w:hAnsi="Book Antiqua" w:cs="Arial"/>
          <w:sz w:val="24"/>
          <w:szCs w:val="24"/>
          <w:lang w:eastAsia="es-CR"/>
        </w:rPr>
        <w:t>D</w:t>
      </w:r>
      <w:r w:rsidRPr="000F7924">
        <w:rPr>
          <w:rFonts w:ascii="Book Antiqua" w:eastAsia="Calibri" w:hAnsi="Book Antiqua" w:cs="Arial"/>
          <w:sz w:val="24"/>
          <w:szCs w:val="24"/>
          <w:lang w:eastAsia="es-CR"/>
        </w:rPr>
        <w:t xml:space="preserve">oméstica y </w:t>
      </w:r>
      <w:r w:rsidR="000F7924">
        <w:rPr>
          <w:rFonts w:ascii="Book Antiqua" w:eastAsia="Calibri" w:hAnsi="Book Antiqua" w:cs="Arial"/>
          <w:sz w:val="24"/>
          <w:szCs w:val="24"/>
          <w:lang w:eastAsia="es-CR"/>
        </w:rPr>
        <w:t>P</w:t>
      </w:r>
      <w:r w:rsidRPr="000F7924">
        <w:rPr>
          <w:rFonts w:ascii="Book Antiqua" w:eastAsia="Calibri" w:hAnsi="Book Antiqua" w:cs="Arial"/>
          <w:sz w:val="24"/>
          <w:szCs w:val="24"/>
          <w:lang w:eastAsia="es-CR"/>
        </w:rPr>
        <w:t>rotección cautelar, producto de la creación del proceso de protección cautelar para personas con discapacidad donde el presunto agresor no pertenece al núcleo intrafamiliar.</w:t>
      </w:r>
    </w:p>
    <w:p w14:paraId="6DE18AEE" w14:textId="77777777" w:rsidR="00684AE9" w:rsidRDefault="00684AE9" w:rsidP="00684AE9">
      <w:pPr>
        <w:spacing w:after="0" w:line="276" w:lineRule="auto"/>
        <w:jc w:val="both"/>
        <w:rPr>
          <w:rFonts w:ascii="Book Antiqua" w:eastAsia="Calibri" w:hAnsi="Book Antiqua" w:cs="Arial"/>
          <w:sz w:val="24"/>
          <w:szCs w:val="24"/>
        </w:rPr>
      </w:pPr>
    </w:p>
    <w:p w14:paraId="5F9CE15C" w14:textId="169CBFE1" w:rsidR="00D00CB4" w:rsidRPr="00D00CB4" w:rsidRDefault="00D00CB4"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D00CB4">
        <w:rPr>
          <w:rFonts w:ascii="Book Antiqua" w:eastAsia="Calibri" w:hAnsi="Book Antiqua" w:cs="Arial"/>
          <w:b/>
          <w:sz w:val="24"/>
          <w:szCs w:val="24"/>
        </w:rPr>
        <w:t xml:space="preserve">Competencia de Juzgados de Niñez y Adolescencia. </w:t>
      </w:r>
      <w:r w:rsidRPr="00D00CB4">
        <w:rPr>
          <w:rFonts w:ascii="Book Antiqua" w:eastAsia="Calibri" w:hAnsi="Book Antiqua" w:cs="Arial"/>
          <w:bCs/>
          <w:sz w:val="24"/>
          <w:szCs w:val="24"/>
        </w:rPr>
        <w:t>El CPF incorpora la adición del artículo 106 bis a la Ley Orgánica del Poder Judicial, donde se le conferiría a los Juzgados de Niñez y Adolescencia nuevas competencias, según se observa:</w:t>
      </w:r>
    </w:p>
    <w:p w14:paraId="3764DADE" w14:textId="713D58CF" w:rsidR="00D00CB4" w:rsidRDefault="00D00CB4" w:rsidP="009C01E1">
      <w:pPr>
        <w:spacing w:line="276" w:lineRule="auto"/>
        <w:jc w:val="both"/>
        <w:rPr>
          <w:rFonts w:ascii="Book Antiqua" w:hAnsi="Book Antiqua"/>
          <w:sz w:val="24"/>
          <w:szCs w:val="24"/>
        </w:rPr>
      </w:pPr>
    </w:p>
    <w:p w14:paraId="59DE197F"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 xml:space="preserve">“Artículo 106 bis- Juzgados de Niñez y Adolescencia </w:t>
      </w:r>
    </w:p>
    <w:p w14:paraId="388509A2"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Los juzgados de Niñez y Adolescencia conocerán de:</w:t>
      </w:r>
    </w:p>
    <w:p w14:paraId="62CF664A"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499407F0"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2) Las diligencias de protección cautelar referidas a personas menores de edad.</w:t>
      </w:r>
    </w:p>
    <w:p w14:paraId="4F0160F9"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3) Los procesos relativos a la adopción de personas menores de edad y su oposición.</w:t>
      </w:r>
    </w:p>
    <w:p w14:paraId="02F201AF"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4) Los asuntos de petición unilateral de nombramiento de personas depositarias para personas menores de edad y de nombramiento de personas tutoras para personas menores de edad.</w:t>
      </w:r>
    </w:p>
    <w:p w14:paraId="19374628"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5) La diligencia de comunicación que establece el artículo 32 de la Ley N.º 7739, Código de la Niñez y la Adolescencia, de 6 de enero de 1998.</w:t>
      </w:r>
    </w:p>
    <w:p w14:paraId="788B2D1E" w14:textId="41D7FE99" w:rsid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6) Los procedimientos de restitución internacional de personas menores de edad, de adopción internacional y los demás de aplicación de convenios internacionales relativos a materia de niñez y adolescencia.</w:t>
      </w:r>
    </w:p>
    <w:p w14:paraId="78ACB2F7" w14:textId="77777777" w:rsidR="00882B69" w:rsidRDefault="00882B69" w:rsidP="00D00CB4">
      <w:pPr>
        <w:spacing w:after="0" w:line="276" w:lineRule="auto"/>
        <w:ind w:left="567" w:right="616"/>
        <w:jc w:val="both"/>
        <w:rPr>
          <w:rFonts w:ascii="Book Antiqua" w:hAnsi="Book Antiqua"/>
          <w:i/>
          <w:iCs/>
          <w:sz w:val="24"/>
          <w:szCs w:val="24"/>
        </w:rPr>
      </w:pPr>
    </w:p>
    <w:p w14:paraId="1E772C31" w14:textId="77777777" w:rsidR="00AB18B7" w:rsidRPr="00391382" w:rsidRDefault="00AB18B7" w:rsidP="00AB18B7">
      <w:pPr>
        <w:spacing w:after="0" w:line="276" w:lineRule="auto"/>
        <w:ind w:left="567" w:right="616"/>
        <w:jc w:val="both"/>
        <w:rPr>
          <w:rFonts w:ascii="Book Antiqua" w:hAnsi="Book Antiqua"/>
          <w:i/>
          <w:iCs/>
          <w:sz w:val="24"/>
          <w:szCs w:val="24"/>
        </w:rPr>
      </w:pPr>
      <w:r w:rsidRPr="00391382">
        <w:rPr>
          <w:rFonts w:ascii="Book Antiqua" w:hAnsi="Book Antiqua"/>
          <w:i/>
          <w:iCs/>
          <w:sz w:val="24"/>
          <w:szCs w:val="24"/>
        </w:rPr>
        <w:t>Los procedimientos establecidos en el inciso 6) deberán ser conocidos, exclusivamente, en los juzgados de Niñez y Adolescencia del Primer Circuito Judicial de San José.</w:t>
      </w:r>
    </w:p>
    <w:p w14:paraId="5CE705A0" w14:textId="77777777" w:rsidR="00AB18B7" w:rsidRPr="00391382" w:rsidRDefault="00AB18B7" w:rsidP="00AB18B7">
      <w:pPr>
        <w:spacing w:after="0" w:line="276" w:lineRule="auto"/>
        <w:ind w:left="567" w:right="616"/>
        <w:jc w:val="both"/>
        <w:rPr>
          <w:rFonts w:ascii="Book Antiqua" w:hAnsi="Book Antiqua"/>
          <w:i/>
          <w:iCs/>
          <w:sz w:val="24"/>
          <w:szCs w:val="24"/>
        </w:rPr>
      </w:pPr>
      <w:r w:rsidRPr="00391382">
        <w:rPr>
          <w:rFonts w:ascii="MS Gothic" w:eastAsia="MS Gothic" w:hAnsi="MS Gothic" w:cs="MS Gothic" w:hint="eastAsia"/>
          <w:i/>
          <w:iCs/>
          <w:sz w:val="24"/>
          <w:szCs w:val="24"/>
        </w:rPr>
        <w:t xml:space="preserve">　</w:t>
      </w:r>
    </w:p>
    <w:p w14:paraId="25CFC350" w14:textId="77777777" w:rsidR="00AB18B7" w:rsidRPr="00AB18B7" w:rsidRDefault="00AB18B7" w:rsidP="00AB18B7">
      <w:pPr>
        <w:spacing w:after="0" w:line="276" w:lineRule="auto"/>
        <w:ind w:left="567" w:right="616"/>
        <w:jc w:val="both"/>
        <w:rPr>
          <w:rFonts w:ascii="Book Antiqua" w:hAnsi="Book Antiqua"/>
          <w:i/>
          <w:iCs/>
          <w:sz w:val="24"/>
          <w:szCs w:val="24"/>
        </w:rPr>
      </w:pPr>
      <w:r w:rsidRPr="00391382">
        <w:rPr>
          <w:rFonts w:ascii="Book Antiqua" w:hAnsi="Book Antiqua"/>
          <w:i/>
          <w:iCs/>
          <w:sz w:val="24"/>
          <w:szCs w:val="24"/>
        </w:rPr>
        <w:t>En los lugares en los cuales no exista este despacho, la competencia de estas materias corresponderá al Juzgado de Familia."</w:t>
      </w:r>
    </w:p>
    <w:p w14:paraId="496B23E7" w14:textId="77777777" w:rsidR="00AB18B7" w:rsidRDefault="00AB18B7" w:rsidP="00D00CB4">
      <w:pPr>
        <w:spacing w:after="0" w:line="276" w:lineRule="auto"/>
        <w:jc w:val="both"/>
        <w:rPr>
          <w:rFonts w:ascii="Book Antiqua" w:eastAsia="Calibri" w:hAnsi="Book Antiqua" w:cs="Arial"/>
          <w:sz w:val="24"/>
          <w:szCs w:val="24"/>
        </w:rPr>
      </w:pPr>
    </w:p>
    <w:p w14:paraId="1FF8A48C" w14:textId="5E93EC24" w:rsidR="00D00CB4" w:rsidRDefault="00D00CB4" w:rsidP="00D00CB4">
      <w:pPr>
        <w:spacing w:after="0" w:line="276" w:lineRule="auto"/>
        <w:jc w:val="both"/>
        <w:rPr>
          <w:rFonts w:ascii="Book Antiqua" w:eastAsia="Calibri" w:hAnsi="Book Antiqua" w:cs="Arial"/>
          <w:sz w:val="24"/>
          <w:szCs w:val="24"/>
        </w:rPr>
      </w:pPr>
      <w:r w:rsidRPr="00F90275">
        <w:rPr>
          <w:rFonts w:ascii="Book Antiqua" w:eastAsia="Calibri" w:hAnsi="Book Antiqua" w:cs="Arial"/>
          <w:sz w:val="24"/>
          <w:szCs w:val="24"/>
        </w:rPr>
        <w:t xml:space="preserve">Por tanto, se establece que </w:t>
      </w:r>
      <w:r w:rsidR="00DA1B2F" w:rsidRPr="00F90275">
        <w:rPr>
          <w:rFonts w:ascii="Book Antiqua" w:eastAsia="Calibri" w:hAnsi="Book Antiqua" w:cs="Arial"/>
          <w:sz w:val="24"/>
          <w:szCs w:val="24"/>
        </w:rPr>
        <w:t>e</w:t>
      </w:r>
      <w:r w:rsidRPr="00F90275">
        <w:rPr>
          <w:rFonts w:ascii="Book Antiqua" w:eastAsia="Calibri" w:hAnsi="Book Antiqua" w:cs="Arial"/>
          <w:sz w:val="24"/>
          <w:szCs w:val="24"/>
        </w:rPr>
        <w:t>l Juzgado</w:t>
      </w:r>
      <w:r w:rsidR="00DA1B2F" w:rsidRPr="00F90275">
        <w:rPr>
          <w:rFonts w:ascii="Book Antiqua" w:eastAsia="Calibri" w:hAnsi="Book Antiqua" w:cs="Arial"/>
          <w:sz w:val="24"/>
          <w:szCs w:val="24"/>
        </w:rPr>
        <w:t xml:space="preserve"> de Familia, </w:t>
      </w:r>
      <w:r w:rsidRPr="00F90275">
        <w:rPr>
          <w:rFonts w:ascii="Book Antiqua" w:eastAsia="Calibri" w:hAnsi="Book Antiqua" w:cs="Arial"/>
          <w:sz w:val="24"/>
          <w:szCs w:val="24"/>
        </w:rPr>
        <w:t xml:space="preserve">de Niñez y Adolescencia del Primer Circuito Judicial de San José, será el responsable </w:t>
      </w:r>
      <w:r w:rsidR="00DA1B2F" w:rsidRPr="00F90275">
        <w:rPr>
          <w:rFonts w:ascii="Book Antiqua" w:eastAsia="Calibri" w:hAnsi="Book Antiqua" w:cs="Arial"/>
          <w:sz w:val="24"/>
          <w:szCs w:val="24"/>
        </w:rPr>
        <w:t xml:space="preserve">de </w:t>
      </w:r>
      <w:r w:rsidRPr="00F90275">
        <w:rPr>
          <w:rFonts w:ascii="Book Antiqua" w:eastAsia="Calibri" w:hAnsi="Book Antiqua" w:cs="Arial"/>
          <w:sz w:val="24"/>
          <w:szCs w:val="24"/>
        </w:rPr>
        <w:t>conocer de manera exclusiva todos los procesos de restitución internacional de personas menores de edad, de adopción internacional y los demás de aplicación de convenios internacionales relativos a materia de niñez y adolescencia.</w:t>
      </w:r>
      <w:r w:rsidRPr="00D00CB4">
        <w:rPr>
          <w:rFonts w:ascii="Book Antiqua" w:eastAsia="Calibri" w:hAnsi="Book Antiqua" w:cs="Arial"/>
          <w:sz w:val="24"/>
          <w:szCs w:val="24"/>
        </w:rPr>
        <w:t xml:space="preserve"> </w:t>
      </w:r>
    </w:p>
    <w:p w14:paraId="6BD71178" w14:textId="77777777" w:rsidR="008218E9" w:rsidRDefault="008218E9" w:rsidP="00D00CB4">
      <w:pPr>
        <w:spacing w:after="0" w:line="276" w:lineRule="auto"/>
        <w:jc w:val="both"/>
        <w:rPr>
          <w:rFonts w:ascii="Book Antiqua" w:eastAsia="Calibri" w:hAnsi="Book Antiqua" w:cs="Arial"/>
          <w:sz w:val="24"/>
          <w:szCs w:val="24"/>
        </w:rPr>
      </w:pPr>
    </w:p>
    <w:p w14:paraId="40439E8B" w14:textId="193B8373" w:rsidR="00952AB0" w:rsidRPr="00A211C5" w:rsidRDefault="00FA77C7" w:rsidP="00D00CB4">
      <w:pPr>
        <w:spacing w:after="0" w:line="276" w:lineRule="auto"/>
        <w:jc w:val="both"/>
        <w:rPr>
          <w:rFonts w:ascii="Book Antiqua" w:eastAsia="Calibri" w:hAnsi="Book Antiqua" w:cs="Arial"/>
          <w:sz w:val="24"/>
          <w:szCs w:val="24"/>
        </w:rPr>
      </w:pPr>
      <w:r w:rsidRPr="00A211C5">
        <w:rPr>
          <w:rFonts w:ascii="Book Antiqua" w:eastAsia="Calibri" w:hAnsi="Book Antiqua" w:cs="Arial"/>
          <w:sz w:val="24"/>
          <w:szCs w:val="24"/>
        </w:rPr>
        <w:t xml:space="preserve">Como parte del seguimiento, </w:t>
      </w:r>
      <w:r w:rsidR="00654F75" w:rsidRPr="00A211C5">
        <w:rPr>
          <w:rFonts w:ascii="Book Antiqua" w:eastAsia="Calibri" w:hAnsi="Book Antiqua" w:cs="Arial"/>
          <w:sz w:val="24"/>
          <w:szCs w:val="24"/>
        </w:rPr>
        <w:t xml:space="preserve">se confeccionó un informe </w:t>
      </w:r>
      <w:r w:rsidR="00A211C5" w:rsidRPr="00A211C5">
        <w:rPr>
          <w:rFonts w:ascii="Book Antiqua" w:eastAsia="Calibri" w:hAnsi="Book Antiqua" w:cs="Arial"/>
          <w:sz w:val="24"/>
          <w:szCs w:val="24"/>
        </w:rPr>
        <w:t xml:space="preserve">de seguimiento </w:t>
      </w:r>
      <w:r w:rsidR="00654F75" w:rsidRPr="00A211C5">
        <w:rPr>
          <w:rFonts w:ascii="Book Antiqua" w:eastAsia="Calibri" w:hAnsi="Book Antiqua" w:cs="Arial"/>
          <w:sz w:val="24"/>
          <w:szCs w:val="24"/>
        </w:rPr>
        <w:t>(en revisión por la jefatura) y se parametrizó</w:t>
      </w:r>
      <w:r w:rsidRPr="00A211C5">
        <w:rPr>
          <w:rFonts w:ascii="Book Antiqua" w:eastAsia="Calibri" w:hAnsi="Book Antiqua" w:cs="Arial"/>
          <w:sz w:val="24"/>
          <w:szCs w:val="24"/>
        </w:rPr>
        <w:t xml:space="preserve"> la </w:t>
      </w:r>
      <w:r w:rsidR="00654F75" w:rsidRPr="00A211C5">
        <w:rPr>
          <w:rFonts w:ascii="Book Antiqua" w:eastAsia="Calibri" w:hAnsi="Book Antiqua" w:cs="Arial"/>
          <w:sz w:val="24"/>
          <w:szCs w:val="24"/>
        </w:rPr>
        <w:t xml:space="preserve">matriz </w:t>
      </w:r>
      <w:r w:rsidRPr="00A211C5">
        <w:rPr>
          <w:rFonts w:ascii="Book Antiqua" w:eastAsia="Calibri" w:hAnsi="Book Antiqua" w:cs="Arial"/>
          <w:sz w:val="24"/>
          <w:szCs w:val="24"/>
        </w:rPr>
        <w:t xml:space="preserve">de indicadores </w:t>
      </w:r>
      <w:r w:rsidR="00654F75" w:rsidRPr="00A211C5">
        <w:rPr>
          <w:rFonts w:ascii="Book Antiqua" w:eastAsia="Calibri" w:hAnsi="Book Antiqua" w:cs="Arial"/>
          <w:sz w:val="24"/>
          <w:szCs w:val="24"/>
        </w:rPr>
        <w:t xml:space="preserve">de gestión de </w:t>
      </w:r>
      <w:r w:rsidRPr="00A211C5">
        <w:rPr>
          <w:rFonts w:ascii="Book Antiqua" w:eastAsia="Calibri" w:hAnsi="Book Antiqua" w:cs="Arial"/>
          <w:sz w:val="24"/>
          <w:szCs w:val="24"/>
        </w:rPr>
        <w:t xml:space="preserve">este Juzgado. </w:t>
      </w:r>
      <w:r w:rsidRPr="00A211C5">
        <w:rPr>
          <w:rFonts w:ascii="Book Antiqua" w:eastAsia="Calibri" w:hAnsi="Book Antiqua" w:cs="Arial"/>
          <w:b/>
          <w:bCs/>
          <w:sz w:val="24"/>
          <w:szCs w:val="24"/>
        </w:rPr>
        <w:t xml:space="preserve">Referencia interna: </w:t>
      </w:r>
      <w:r w:rsidR="00B76836" w:rsidRPr="00A211C5">
        <w:rPr>
          <w:rFonts w:ascii="Book Antiqua" w:eastAsia="Calibri" w:hAnsi="Book Antiqua" w:cs="Arial"/>
          <w:b/>
          <w:bCs/>
          <w:sz w:val="24"/>
          <w:szCs w:val="24"/>
        </w:rPr>
        <w:t>1741-20.</w:t>
      </w:r>
      <w:r w:rsidR="00252DA2" w:rsidRPr="00A211C5">
        <w:rPr>
          <w:rFonts w:ascii="Book Antiqua" w:eastAsia="Calibri" w:hAnsi="Book Antiqua" w:cs="Arial"/>
          <w:b/>
          <w:bCs/>
          <w:sz w:val="24"/>
          <w:szCs w:val="24"/>
        </w:rPr>
        <w:t xml:space="preserve"> </w:t>
      </w:r>
      <w:r w:rsidR="00654F75" w:rsidRPr="00A211C5">
        <w:rPr>
          <w:rFonts w:ascii="Book Antiqua" w:eastAsia="Calibri" w:hAnsi="Book Antiqua" w:cs="Arial"/>
          <w:sz w:val="24"/>
          <w:szCs w:val="24"/>
        </w:rPr>
        <w:t>Además,</w:t>
      </w:r>
      <w:r w:rsidR="00252DA2" w:rsidRPr="00A211C5">
        <w:rPr>
          <w:rFonts w:ascii="Book Antiqua" w:eastAsia="Calibri" w:hAnsi="Book Antiqua" w:cs="Arial"/>
          <w:sz w:val="24"/>
          <w:szCs w:val="24"/>
        </w:rPr>
        <w:t xml:space="preserve"> </w:t>
      </w:r>
      <w:r w:rsidR="00A14DBB" w:rsidRPr="00A211C5">
        <w:rPr>
          <w:rFonts w:ascii="Book Antiqua" w:eastAsia="Calibri" w:hAnsi="Book Antiqua" w:cs="Arial"/>
          <w:sz w:val="24"/>
          <w:szCs w:val="24"/>
        </w:rPr>
        <w:t>en relación con este</w:t>
      </w:r>
      <w:r w:rsidR="00654F75" w:rsidRPr="00A211C5">
        <w:rPr>
          <w:rFonts w:ascii="Book Antiqua" w:eastAsia="Calibri" w:hAnsi="Book Antiqua" w:cs="Arial"/>
          <w:sz w:val="24"/>
          <w:szCs w:val="24"/>
        </w:rPr>
        <w:t xml:space="preserve"> informe, se </w:t>
      </w:r>
      <w:r w:rsidR="00A14DBB" w:rsidRPr="00A211C5">
        <w:rPr>
          <w:rFonts w:ascii="Book Antiqua" w:eastAsia="Calibri" w:hAnsi="Book Antiqua" w:cs="Arial"/>
          <w:sz w:val="24"/>
          <w:szCs w:val="24"/>
        </w:rPr>
        <w:t xml:space="preserve">analizaron </w:t>
      </w:r>
      <w:r w:rsidR="00380ACA" w:rsidRPr="00A211C5">
        <w:rPr>
          <w:rFonts w:ascii="Book Antiqua" w:eastAsia="Calibri" w:hAnsi="Book Antiqua" w:cs="Arial"/>
          <w:sz w:val="24"/>
          <w:szCs w:val="24"/>
        </w:rPr>
        <w:t>las cargas</w:t>
      </w:r>
      <w:r w:rsidR="00252DA2" w:rsidRPr="00A211C5">
        <w:rPr>
          <w:rFonts w:ascii="Book Antiqua" w:eastAsia="Calibri" w:hAnsi="Book Antiqua" w:cs="Arial"/>
          <w:sz w:val="24"/>
          <w:szCs w:val="24"/>
        </w:rPr>
        <w:t xml:space="preserve"> de trabajo de esa oficina</w:t>
      </w:r>
      <w:r w:rsidR="00952AB0" w:rsidRPr="00A211C5">
        <w:rPr>
          <w:rFonts w:ascii="Book Antiqua" w:eastAsia="Calibri" w:hAnsi="Book Antiqua" w:cs="Arial"/>
          <w:sz w:val="24"/>
          <w:szCs w:val="24"/>
        </w:rPr>
        <w:t xml:space="preserve"> </w:t>
      </w:r>
      <w:r w:rsidR="00654F75" w:rsidRPr="00A211C5">
        <w:rPr>
          <w:rFonts w:ascii="Book Antiqua" w:eastAsia="Calibri" w:hAnsi="Book Antiqua" w:cs="Arial"/>
          <w:sz w:val="24"/>
          <w:szCs w:val="24"/>
        </w:rPr>
        <w:t xml:space="preserve">para determinar </w:t>
      </w:r>
      <w:r w:rsidR="00952AB0" w:rsidRPr="00A211C5">
        <w:rPr>
          <w:rFonts w:ascii="Book Antiqua" w:eastAsia="Calibri" w:hAnsi="Book Antiqua" w:cs="Arial"/>
          <w:sz w:val="24"/>
          <w:szCs w:val="24"/>
        </w:rPr>
        <w:t xml:space="preserve">la posibilidad de especializar un recurso en adopciones. </w:t>
      </w:r>
      <w:r w:rsidR="00952AB0" w:rsidRPr="00A211C5">
        <w:rPr>
          <w:rFonts w:ascii="Book Antiqua" w:eastAsia="Calibri" w:hAnsi="Book Antiqua" w:cs="Arial"/>
          <w:b/>
          <w:bCs/>
          <w:sz w:val="24"/>
          <w:szCs w:val="24"/>
        </w:rPr>
        <w:t>Referencia interna 1916-2021.</w:t>
      </w:r>
    </w:p>
    <w:p w14:paraId="6B5534B9" w14:textId="45FD374F" w:rsidR="00FA77C7" w:rsidRPr="001D0C10" w:rsidRDefault="00952AB0" w:rsidP="00D00CB4">
      <w:pPr>
        <w:spacing w:after="0" w:line="276" w:lineRule="auto"/>
        <w:jc w:val="both"/>
        <w:rPr>
          <w:rFonts w:ascii="Book Antiqua" w:eastAsia="Calibri" w:hAnsi="Book Antiqua" w:cs="Arial"/>
          <w:b/>
          <w:bCs/>
          <w:sz w:val="24"/>
          <w:szCs w:val="24"/>
        </w:rPr>
      </w:pPr>
      <w:r w:rsidRPr="00A211C5">
        <w:rPr>
          <w:rFonts w:ascii="Book Antiqua" w:eastAsia="Calibri" w:hAnsi="Book Antiqua" w:cs="Arial"/>
          <w:sz w:val="24"/>
          <w:szCs w:val="24"/>
        </w:rPr>
        <w:t>También</w:t>
      </w:r>
      <w:r w:rsidR="00A14DBB" w:rsidRPr="00A211C5">
        <w:rPr>
          <w:rFonts w:ascii="Book Antiqua" w:eastAsia="Calibri" w:hAnsi="Book Antiqua" w:cs="Arial"/>
          <w:sz w:val="24"/>
          <w:szCs w:val="24"/>
        </w:rPr>
        <w:t>, se valoró dentro del informe</w:t>
      </w:r>
      <w:r w:rsidR="00252DA2" w:rsidRPr="00A211C5">
        <w:rPr>
          <w:rFonts w:ascii="Book Antiqua" w:eastAsia="Calibri" w:hAnsi="Book Antiqua" w:cs="Arial"/>
          <w:sz w:val="24"/>
          <w:szCs w:val="24"/>
        </w:rPr>
        <w:t xml:space="preserve"> </w:t>
      </w:r>
      <w:r w:rsidR="00A14DBB" w:rsidRPr="00A211C5">
        <w:rPr>
          <w:rFonts w:ascii="Book Antiqua" w:eastAsia="Calibri" w:hAnsi="Book Antiqua" w:cs="Arial"/>
          <w:sz w:val="24"/>
          <w:szCs w:val="24"/>
        </w:rPr>
        <w:t>de seguimiento,</w:t>
      </w:r>
      <w:r w:rsidR="00252DA2" w:rsidRPr="00A211C5">
        <w:rPr>
          <w:rFonts w:ascii="Book Antiqua" w:eastAsia="Calibri" w:hAnsi="Book Antiqua" w:cs="Arial"/>
          <w:sz w:val="24"/>
          <w:szCs w:val="24"/>
        </w:rPr>
        <w:t xml:space="preserve"> la asignación definitiva de la plaza de Auxiliar de Servicios Generales </w:t>
      </w:r>
      <w:r w:rsidR="00A14DBB" w:rsidRPr="00A211C5">
        <w:rPr>
          <w:rFonts w:ascii="Book Antiqua" w:eastAsia="Calibri" w:hAnsi="Book Antiqua" w:cs="Arial"/>
          <w:sz w:val="24"/>
          <w:szCs w:val="24"/>
        </w:rPr>
        <w:t xml:space="preserve">que </w:t>
      </w:r>
      <w:r w:rsidR="00252DA2" w:rsidRPr="00A211C5">
        <w:rPr>
          <w:rFonts w:ascii="Book Antiqua" w:eastAsia="Calibri" w:hAnsi="Book Antiqua" w:cs="Arial"/>
          <w:sz w:val="24"/>
          <w:szCs w:val="24"/>
        </w:rPr>
        <w:t>actualmente compart</w:t>
      </w:r>
      <w:r w:rsidR="00A14DBB" w:rsidRPr="00A211C5">
        <w:rPr>
          <w:rFonts w:ascii="Book Antiqua" w:eastAsia="Calibri" w:hAnsi="Book Antiqua" w:cs="Arial"/>
          <w:sz w:val="24"/>
          <w:szCs w:val="24"/>
        </w:rPr>
        <w:t>en</w:t>
      </w:r>
      <w:r w:rsidR="00252DA2" w:rsidRPr="00A211C5">
        <w:rPr>
          <w:rFonts w:ascii="Book Antiqua" w:eastAsia="Calibri" w:hAnsi="Book Antiqua" w:cs="Arial"/>
          <w:sz w:val="24"/>
          <w:szCs w:val="24"/>
        </w:rPr>
        <w:t xml:space="preserve"> el Juzgado de Niñez y el Juzgado Contra la Violencia del Primer Circuito Judicial de San Jos</w:t>
      </w:r>
      <w:r w:rsidR="002E0698" w:rsidRPr="00A211C5">
        <w:rPr>
          <w:rFonts w:ascii="Book Antiqua" w:eastAsia="Calibri" w:hAnsi="Book Antiqua" w:cs="Arial"/>
          <w:sz w:val="24"/>
          <w:szCs w:val="24"/>
        </w:rPr>
        <w:t>é</w:t>
      </w:r>
      <w:r w:rsidR="00252DA2" w:rsidRPr="00A211C5">
        <w:rPr>
          <w:rFonts w:ascii="Book Antiqua" w:eastAsia="Calibri" w:hAnsi="Book Antiqua" w:cs="Arial"/>
          <w:sz w:val="24"/>
          <w:szCs w:val="24"/>
        </w:rPr>
        <w:t>.</w:t>
      </w:r>
      <w:r w:rsidR="00252DA2" w:rsidRPr="00A211C5">
        <w:rPr>
          <w:rFonts w:ascii="Book Antiqua" w:eastAsia="Calibri" w:hAnsi="Book Antiqua" w:cs="Arial"/>
          <w:b/>
          <w:bCs/>
          <w:sz w:val="24"/>
          <w:szCs w:val="24"/>
        </w:rPr>
        <w:t xml:space="preserve"> Referencia interna: </w:t>
      </w:r>
      <w:r w:rsidRPr="00A211C5">
        <w:rPr>
          <w:rFonts w:ascii="Book Antiqua" w:eastAsia="Calibri" w:hAnsi="Book Antiqua" w:cs="Arial"/>
          <w:b/>
          <w:bCs/>
          <w:sz w:val="24"/>
          <w:szCs w:val="24"/>
        </w:rPr>
        <w:t>1687-2021.</w:t>
      </w:r>
    </w:p>
    <w:p w14:paraId="26CDABB4" w14:textId="77777777" w:rsidR="000012B5" w:rsidRDefault="000012B5" w:rsidP="009C01E1">
      <w:pPr>
        <w:spacing w:line="276" w:lineRule="auto"/>
        <w:jc w:val="both"/>
        <w:rPr>
          <w:rFonts w:ascii="Book Antiqua" w:hAnsi="Book Antiqua"/>
          <w:sz w:val="24"/>
          <w:szCs w:val="24"/>
        </w:rPr>
      </w:pPr>
    </w:p>
    <w:p w14:paraId="6AACAB08" w14:textId="77777777" w:rsidR="00D00CB4" w:rsidRPr="00D00CB4" w:rsidRDefault="00D00CB4" w:rsidP="0090609F">
      <w:pPr>
        <w:numPr>
          <w:ilvl w:val="0"/>
          <w:numId w:val="6"/>
        </w:numPr>
        <w:tabs>
          <w:tab w:val="left" w:pos="426"/>
        </w:tabs>
        <w:spacing w:after="0" w:line="276" w:lineRule="auto"/>
        <w:ind w:left="0" w:firstLine="0"/>
        <w:jc w:val="both"/>
        <w:rPr>
          <w:rFonts w:ascii="Book Antiqua" w:eastAsia="Calibri" w:hAnsi="Book Antiqua" w:cs="Arial"/>
          <w:sz w:val="24"/>
        </w:rPr>
      </w:pPr>
      <w:r w:rsidRPr="00D00CB4">
        <w:rPr>
          <w:rFonts w:ascii="Book Antiqua" w:eastAsia="Calibri" w:hAnsi="Book Antiqua" w:cs="Arial"/>
          <w:b/>
          <w:sz w:val="24"/>
          <w:szCs w:val="24"/>
        </w:rPr>
        <w:t>Ampliación competencias de los actuales Juzgados de Violencia Doméstica</w:t>
      </w:r>
      <w:r w:rsidRPr="00D00CB4">
        <w:rPr>
          <w:rFonts w:ascii="Book Antiqua" w:eastAsia="Calibri" w:hAnsi="Book Antiqua" w:cs="Arial"/>
          <w:sz w:val="24"/>
        </w:rPr>
        <w:t xml:space="preserve"> </w:t>
      </w:r>
    </w:p>
    <w:p w14:paraId="2DFE8F8D" w14:textId="77777777" w:rsidR="008218E9" w:rsidRDefault="008218E9" w:rsidP="000A33F2">
      <w:pPr>
        <w:tabs>
          <w:tab w:val="left" w:pos="426"/>
        </w:tabs>
        <w:spacing w:line="276" w:lineRule="auto"/>
        <w:jc w:val="both"/>
        <w:rPr>
          <w:rFonts w:ascii="Book Antiqua" w:eastAsia="Calibri" w:hAnsi="Book Antiqua" w:cs="Arial"/>
          <w:sz w:val="24"/>
          <w:szCs w:val="24"/>
        </w:rPr>
      </w:pPr>
    </w:p>
    <w:p w14:paraId="046B3C3A" w14:textId="34C6141E" w:rsidR="00D00CB4" w:rsidRPr="00D00CB4" w:rsidRDefault="00D00CB4" w:rsidP="000A33F2">
      <w:pPr>
        <w:tabs>
          <w:tab w:val="left" w:pos="426"/>
        </w:tabs>
        <w:spacing w:line="276" w:lineRule="auto"/>
        <w:jc w:val="both"/>
        <w:rPr>
          <w:rFonts w:ascii="Book Antiqua" w:eastAsia="Calibri" w:hAnsi="Book Antiqua" w:cs="Arial"/>
          <w:sz w:val="24"/>
          <w:szCs w:val="24"/>
        </w:rPr>
      </w:pPr>
      <w:r w:rsidRPr="00D00CB4">
        <w:rPr>
          <w:rFonts w:ascii="Book Antiqua" w:eastAsia="Calibri" w:hAnsi="Book Antiqua" w:cs="Arial"/>
          <w:sz w:val="24"/>
          <w:szCs w:val="24"/>
        </w:rPr>
        <w:t>Se prevé un posible incremento en la entrada en los Juzgados que atienden Violencia Doméstica por 2 razones:</w:t>
      </w:r>
    </w:p>
    <w:p w14:paraId="0E771FEF" w14:textId="77777777" w:rsidR="000A33F2" w:rsidRDefault="00D00CB4" w:rsidP="000A33F2">
      <w:pPr>
        <w:tabs>
          <w:tab w:val="left" w:pos="426"/>
        </w:tabs>
        <w:spacing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Primero, deberán conocer los nuevos procesos de protección cautelar de violencia intrafamiliar, personas adultas mayores y personas con discapacidad, pero se desconoce cuál sería su alcance. </w:t>
      </w:r>
    </w:p>
    <w:p w14:paraId="61EFBDE7" w14:textId="600E9AF7" w:rsidR="00D00CB4" w:rsidRPr="000A33F2" w:rsidRDefault="00D00CB4" w:rsidP="000A33F2">
      <w:pPr>
        <w:tabs>
          <w:tab w:val="left" w:pos="426"/>
        </w:tabs>
        <w:spacing w:line="276" w:lineRule="auto"/>
        <w:jc w:val="both"/>
        <w:rPr>
          <w:rFonts w:ascii="Book Antiqua" w:eastAsia="Calibri" w:hAnsi="Book Antiqua" w:cs="Arial"/>
          <w:sz w:val="24"/>
          <w:szCs w:val="24"/>
        </w:rPr>
      </w:pPr>
      <w:r w:rsidRPr="000A33F2">
        <w:rPr>
          <w:rFonts w:ascii="Book Antiqua" w:eastAsia="Calibri" w:hAnsi="Book Antiqua" w:cs="Arial"/>
          <w:sz w:val="24"/>
          <w:szCs w:val="24"/>
        </w:rPr>
        <w:t>El artículo 121 bis del CPF indica que los Juzgados de Violencia Doméstica y de Protección Cautelar conocerán de:</w:t>
      </w:r>
    </w:p>
    <w:p w14:paraId="43369217"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1) Todo lo relativo a los procesos de protección cautelar de violencia intrafamiliar, personas adultas mayores y personas con discapacidad.</w:t>
      </w:r>
    </w:p>
    <w:p w14:paraId="1F8F566C"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2) Los demás asuntos que estipule la ley.</w:t>
      </w:r>
    </w:p>
    <w:p w14:paraId="58F32D72"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2D7D15CC" w14:textId="77777777" w:rsidR="000A33F2" w:rsidRDefault="000A33F2" w:rsidP="000A33F2">
      <w:pPr>
        <w:spacing w:after="0" w:line="276" w:lineRule="auto"/>
        <w:jc w:val="both"/>
        <w:rPr>
          <w:rFonts w:ascii="Book Antiqua" w:eastAsia="Calibri" w:hAnsi="Book Antiqua" w:cs="Arial"/>
          <w:sz w:val="24"/>
          <w:szCs w:val="24"/>
        </w:rPr>
      </w:pPr>
    </w:p>
    <w:p w14:paraId="3E89265D" w14:textId="19820EC3"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Segundo: Deberán conocer los procesos de Violencia Doméstica contra personas adultas mayores, aunque la persona imputada no sea su familiar.</w:t>
      </w:r>
    </w:p>
    <w:p w14:paraId="2E919288" w14:textId="77777777" w:rsidR="000A33F2" w:rsidRPr="000A33F2" w:rsidRDefault="000A33F2" w:rsidP="000A33F2">
      <w:pPr>
        <w:spacing w:after="0" w:line="276" w:lineRule="auto"/>
        <w:jc w:val="both"/>
        <w:rPr>
          <w:rFonts w:ascii="Book Antiqua" w:eastAsia="Calibri" w:hAnsi="Book Antiqua" w:cs="Arial"/>
          <w:sz w:val="24"/>
          <w:szCs w:val="24"/>
        </w:rPr>
      </w:pPr>
    </w:p>
    <w:p w14:paraId="21AF2F98" w14:textId="77777777"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Según lo indicado por el Lic. Cristian Martínez Hernández, Juez Gestor en la materia, actualmente los procesos de Violencia Doméstica en donde media una relación de familiaridad se tramitan en los Juzgados de Violencia y en los que no existe esa relación o se trate de otro tipo de situaciones en donde se encuentre una persona adulta mayor como denunciante o parte ofendida (problemas vecinales); se tramitan en los Juzgados Contravencionales del país.  </w:t>
      </w:r>
    </w:p>
    <w:p w14:paraId="58C198EF" w14:textId="77777777" w:rsidR="000A33F2" w:rsidRPr="000A33F2" w:rsidRDefault="000A33F2" w:rsidP="000A33F2">
      <w:pPr>
        <w:spacing w:after="0" w:line="276" w:lineRule="auto"/>
        <w:jc w:val="both"/>
        <w:rPr>
          <w:rFonts w:ascii="Book Antiqua" w:eastAsia="Calibri" w:hAnsi="Book Antiqua" w:cs="Arial"/>
          <w:sz w:val="24"/>
          <w:szCs w:val="24"/>
        </w:rPr>
      </w:pPr>
    </w:p>
    <w:p w14:paraId="1614E3F1" w14:textId="6F2B5D95" w:rsid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Por lo que se prevé una disminución en la entrada de asuntos en materia de Faltas y Contravenciones y un incremento en materia de Violencia Doméstica. </w:t>
      </w:r>
    </w:p>
    <w:p w14:paraId="6DB2220D" w14:textId="77777777" w:rsidR="00B76836" w:rsidRDefault="00B76836" w:rsidP="000A33F2">
      <w:pPr>
        <w:spacing w:after="0" w:line="276" w:lineRule="auto"/>
        <w:jc w:val="both"/>
        <w:rPr>
          <w:rFonts w:ascii="Book Antiqua" w:eastAsia="Calibri" w:hAnsi="Book Antiqua" w:cs="Arial"/>
          <w:sz w:val="24"/>
          <w:szCs w:val="24"/>
        </w:rPr>
      </w:pPr>
    </w:p>
    <w:p w14:paraId="01C75DB2" w14:textId="384DF5A9" w:rsidR="00AF1FB0" w:rsidRDefault="00AF1FB0" w:rsidP="000A33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Se construyo un modelo de</w:t>
      </w:r>
      <w:r w:rsidR="00B76836">
        <w:rPr>
          <w:rFonts w:ascii="Book Antiqua" w:eastAsia="Calibri" w:hAnsi="Book Antiqua" w:cs="Arial"/>
          <w:sz w:val="24"/>
          <w:szCs w:val="24"/>
        </w:rPr>
        <w:t xml:space="preserve"> Violencia Doméstica, </w:t>
      </w:r>
      <w:r>
        <w:rPr>
          <w:rFonts w:ascii="Book Antiqua" w:eastAsia="Calibri" w:hAnsi="Book Antiqua" w:cs="Arial"/>
          <w:sz w:val="24"/>
          <w:szCs w:val="24"/>
        </w:rPr>
        <w:t xml:space="preserve">el cual se comunicó a la Secretaria General de la Corte el 30 de noviembre de 2022 mediante oficio </w:t>
      </w:r>
      <w:r w:rsidRPr="00AF1FB0">
        <w:rPr>
          <w:rFonts w:ascii="Book Antiqua" w:eastAsia="Calibri" w:hAnsi="Book Antiqua" w:cs="Arial"/>
          <w:sz w:val="24"/>
          <w:szCs w:val="24"/>
        </w:rPr>
        <w:t>1170-PLA-MI(NPL)-2022</w:t>
      </w:r>
      <w:r w:rsidR="00DF1BDF">
        <w:rPr>
          <w:rFonts w:ascii="Book Antiqua" w:eastAsia="Calibri" w:hAnsi="Book Antiqua" w:cs="Arial"/>
          <w:sz w:val="24"/>
          <w:szCs w:val="24"/>
        </w:rPr>
        <w:t xml:space="preserve"> </w:t>
      </w:r>
      <w:r>
        <w:rPr>
          <w:rFonts w:ascii="Book Antiqua" w:eastAsia="Calibri" w:hAnsi="Book Antiqua" w:cs="Arial"/>
          <w:sz w:val="24"/>
          <w:szCs w:val="24"/>
        </w:rPr>
        <w:t xml:space="preserve">el cual está pendiente de aprobación por parte del órgano superior. Una vez aprobado se replicará ese modelo en los Juzgados Especializados del país y se </w:t>
      </w:r>
      <w:r w:rsidR="002E0698">
        <w:rPr>
          <w:rFonts w:ascii="Book Antiqua" w:eastAsia="Calibri" w:hAnsi="Book Antiqua" w:cs="Arial"/>
          <w:sz w:val="24"/>
          <w:szCs w:val="24"/>
        </w:rPr>
        <w:t>ajustará</w:t>
      </w:r>
      <w:r>
        <w:rPr>
          <w:rFonts w:ascii="Book Antiqua" w:eastAsia="Calibri" w:hAnsi="Book Antiqua" w:cs="Arial"/>
          <w:sz w:val="24"/>
          <w:szCs w:val="24"/>
        </w:rPr>
        <w:t xml:space="preserve"> para los despachos mixtos en lo que corresponda. </w:t>
      </w:r>
    </w:p>
    <w:p w14:paraId="478C4A5E" w14:textId="77777777" w:rsidR="00AF1FB0" w:rsidRDefault="00AF1FB0" w:rsidP="000A33F2">
      <w:pPr>
        <w:spacing w:after="0" w:line="276" w:lineRule="auto"/>
        <w:jc w:val="both"/>
        <w:rPr>
          <w:rFonts w:ascii="Book Antiqua" w:eastAsia="Calibri" w:hAnsi="Book Antiqua" w:cs="Arial"/>
          <w:sz w:val="24"/>
          <w:szCs w:val="24"/>
        </w:rPr>
      </w:pPr>
    </w:p>
    <w:p w14:paraId="1357CAC2" w14:textId="36FCACE6" w:rsidR="00AF1FB0" w:rsidRDefault="00AF1FB0" w:rsidP="00AF1FB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También fueron ajustados los parámetros e indicadores de los PISAV, lo cual quedo consignado en el informe de cierre del abordaje de esas oficinas, oficio </w:t>
      </w:r>
      <w:r w:rsidR="00DF1BDF" w:rsidRPr="00DF1BDF">
        <w:rPr>
          <w:rFonts w:ascii="Book Antiqua" w:eastAsia="Calibri" w:hAnsi="Book Antiqua" w:cs="Arial"/>
          <w:sz w:val="24"/>
          <w:szCs w:val="24"/>
        </w:rPr>
        <w:t>1126-PLA-MI (NP)-2022</w:t>
      </w:r>
      <w:r w:rsidR="00DF1BDF">
        <w:rPr>
          <w:rFonts w:ascii="Book Antiqua" w:eastAsia="Calibri" w:hAnsi="Book Antiqua" w:cs="Arial"/>
          <w:sz w:val="24"/>
          <w:szCs w:val="24"/>
        </w:rPr>
        <w:t xml:space="preserve">, remitido a la Secretaría General de la Corte el </w:t>
      </w:r>
      <w:r w:rsidR="00DF1BDF" w:rsidRPr="00DF1BDF">
        <w:rPr>
          <w:rFonts w:ascii="Book Antiqua" w:eastAsia="Calibri" w:hAnsi="Book Antiqua" w:cs="Arial"/>
          <w:sz w:val="24"/>
          <w:szCs w:val="24"/>
        </w:rPr>
        <w:t>22 de noviembre del 2022</w:t>
      </w:r>
      <w:r w:rsidR="00DF1BDF">
        <w:rPr>
          <w:rFonts w:ascii="Book Antiqua" w:eastAsia="Calibri" w:hAnsi="Book Antiqua" w:cs="Arial"/>
          <w:sz w:val="24"/>
          <w:szCs w:val="24"/>
        </w:rPr>
        <w:t>.</w:t>
      </w:r>
    </w:p>
    <w:p w14:paraId="3A79433B" w14:textId="77777777" w:rsidR="000A33F2" w:rsidRPr="000A33F2" w:rsidRDefault="000A33F2" w:rsidP="000A33F2">
      <w:pPr>
        <w:spacing w:after="0" w:line="276" w:lineRule="auto"/>
        <w:ind w:right="616"/>
        <w:jc w:val="both"/>
        <w:rPr>
          <w:rFonts w:ascii="Book Antiqua" w:eastAsia="Calibri" w:hAnsi="Book Antiqua" w:cs="Arial"/>
          <w:i/>
          <w:iCs/>
          <w:sz w:val="24"/>
          <w:szCs w:val="24"/>
        </w:rPr>
      </w:pPr>
    </w:p>
    <w:p w14:paraId="6D91C0B0" w14:textId="77777777" w:rsidR="000A33F2" w:rsidRPr="000A33F2" w:rsidRDefault="000A33F2"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0A33F2">
        <w:rPr>
          <w:rFonts w:ascii="Book Antiqua" w:eastAsia="Calibri" w:hAnsi="Book Antiqua" w:cs="Arial"/>
          <w:b/>
          <w:sz w:val="24"/>
          <w:szCs w:val="24"/>
        </w:rPr>
        <w:t xml:space="preserve">Derogación de la Ley de Pensiones Alimentarias. </w:t>
      </w:r>
      <w:r w:rsidRPr="000A33F2">
        <w:rPr>
          <w:rFonts w:ascii="Book Antiqua" w:eastAsia="Calibri" w:hAnsi="Book Antiqua" w:cs="Arial"/>
          <w:bCs/>
          <w:sz w:val="24"/>
          <w:szCs w:val="24"/>
        </w:rPr>
        <w:t>El CPF establece la derogatoria en su totalidad de la Ley 7654 del 19 de diciembre de 1996 (la actual Ley de Pensiones Alimentarias).</w:t>
      </w:r>
    </w:p>
    <w:p w14:paraId="0B9A2371" w14:textId="77777777"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Esto significa que a partir de la entrada en vigencia del CPF, los procesos de Pensiones Alimentarias dejarán de tramitarse con la ley especial vigente y se regirían por la normativa procesal del CPF.</w:t>
      </w:r>
    </w:p>
    <w:p w14:paraId="334E5123" w14:textId="77777777" w:rsidR="000A33F2" w:rsidRPr="000A33F2" w:rsidRDefault="000A33F2" w:rsidP="000A33F2">
      <w:pPr>
        <w:spacing w:after="0" w:line="276" w:lineRule="auto"/>
        <w:jc w:val="both"/>
        <w:rPr>
          <w:rFonts w:ascii="Book Antiqua" w:eastAsia="Calibri" w:hAnsi="Book Antiqua" w:cs="Arial"/>
          <w:sz w:val="24"/>
          <w:szCs w:val="24"/>
        </w:rPr>
      </w:pPr>
    </w:p>
    <w:p w14:paraId="68610038" w14:textId="5AA70D72" w:rsidR="000A33F2" w:rsidRDefault="000A33F2" w:rsidP="0090609F">
      <w:pPr>
        <w:numPr>
          <w:ilvl w:val="0"/>
          <w:numId w:val="6"/>
        </w:numPr>
        <w:spacing w:after="0" w:line="276" w:lineRule="auto"/>
        <w:ind w:left="426" w:hanging="426"/>
        <w:contextualSpacing/>
        <w:jc w:val="both"/>
        <w:rPr>
          <w:rFonts w:ascii="Book Antiqua" w:eastAsia="Calibri" w:hAnsi="Book Antiqua" w:cs="Arial"/>
          <w:sz w:val="24"/>
          <w:szCs w:val="24"/>
          <w:lang w:eastAsia="es-CR"/>
        </w:rPr>
      </w:pPr>
      <w:r w:rsidRPr="000A33F2">
        <w:rPr>
          <w:rFonts w:ascii="Book Antiqua" w:eastAsia="Calibri" w:hAnsi="Book Antiqua" w:cs="Arial"/>
          <w:b/>
          <w:bCs/>
          <w:sz w:val="24"/>
          <w:szCs w:val="24"/>
          <w:lang w:eastAsia="es-CR"/>
        </w:rPr>
        <w:t>Juzgados de Familia por Ministerio de Ley.</w:t>
      </w:r>
      <w:r w:rsidRPr="000A33F2">
        <w:rPr>
          <w:rFonts w:ascii="Book Antiqua" w:eastAsia="Calibri" w:hAnsi="Book Antiqua" w:cs="Arial"/>
          <w:sz w:val="24"/>
          <w:szCs w:val="24"/>
          <w:lang w:eastAsia="es-CR"/>
        </w:rPr>
        <w:t xml:space="preserve"> El CPF adiciona a la Ley Orgánica del Poder Judicial el artículo 119 bis que dispone la creación de Juzgados de Familia por Ministerio de Ley para conocer los asuntos sumarios de Familia. </w:t>
      </w:r>
    </w:p>
    <w:p w14:paraId="45336D02" w14:textId="77777777" w:rsidR="005241AA" w:rsidRPr="005241AA" w:rsidRDefault="005241AA" w:rsidP="005241AA">
      <w:pPr>
        <w:autoSpaceDE w:val="0"/>
        <w:autoSpaceDN w:val="0"/>
        <w:adjustRightInd w:val="0"/>
        <w:spacing w:line="276" w:lineRule="auto"/>
        <w:ind w:right="616"/>
        <w:rPr>
          <w:rFonts w:ascii="Book Antiqua" w:hAnsi="Book Antiqua" w:cs="*Arial-6183-Identity-H"/>
          <w:i/>
          <w:iCs/>
          <w:color w:val="0D0D0D"/>
          <w:sz w:val="24"/>
          <w:szCs w:val="24"/>
        </w:rPr>
      </w:pPr>
    </w:p>
    <w:p w14:paraId="72614690" w14:textId="62A3E920" w:rsidR="005241AA" w:rsidRPr="005241AA" w:rsidRDefault="005241AA" w:rsidP="002F4EFD">
      <w:pPr>
        <w:autoSpaceDE w:val="0"/>
        <w:autoSpaceDN w:val="0"/>
        <w:adjustRightInd w:val="0"/>
        <w:spacing w:line="276" w:lineRule="auto"/>
        <w:ind w:right="616" w:firstLine="709"/>
        <w:rPr>
          <w:rFonts w:ascii="Book Antiqua" w:hAnsi="Book Antiqua" w:cs="*Arial-6183-Identity-H"/>
          <w:b/>
          <w:bCs/>
          <w:i/>
          <w:iCs/>
          <w:color w:val="0D0D0D"/>
          <w:sz w:val="24"/>
          <w:szCs w:val="24"/>
        </w:rPr>
      </w:pPr>
      <w:r w:rsidRPr="005241AA">
        <w:rPr>
          <w:rFonts w:ascii="Book Antiqua" w:hAnsi="Book Antiqua" w:cs="*Arial-6183-Identity-H"/>
          <w:i/>
          <w:iCs/>
          <w:color w:val="0D0D0D"/>
          <w:sz w:val="24"/>
          <w:szCs w:val="24"/>
        </w:rPr>
        <w:t>“</w:t>
      </w:r>
      <w:r w:rsidRPr="005241AA">
        <w:rPr>
          <w:rFonts w:ascii="Book Antiqua" w:hAnsi="Book Antiqua" w:cs="*Arial-6183-Identity-H"/>
          <w:b/>
          <w:bCs/>
          <w:i/>
          <w:iCs/>
          <w:color w:val="0D0D0D"/>
          <w:sz w:val="24"/>
          <w:szCs w:val="24"/>
        </w:rPr>
        <w:t>Artículo 119 bis- Juzgados de Familia por ministerio de ley</w:t>
      </w:r>
    </w:p>
    <w:p w14:paraId="55BBC3E7" w14:textId="77777777" w:rsidR="005241AA" w:rsidRPr="000A33F2" w:rsidRDefault="005241AA" w:rsidP="005241AA">
      <w:pPr>
        <w:spacing w:after="0" w:line="276" w:lineRule="auto"/>
        <w:contextualSpacing/>
        <w:jc w:val="both"/>
        <w:rPr>
          <w:rFonts w:ascii="Book Antiqua" w:eastAsia="Calibri" w:hAnsi="Book Antiqua" w:cs="Arial"/>
          <w:sz w:val="24"/>
          <w:szCs w:val="24"/>
          <w:lang w:eastAsia="es-CR"/>
        </w:rPr>
      </w:pPr>
    </w:p>
    <w:p w14:paraId="69A69789"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183-Identity-H"/>
          <w:i/>
          <w:iCs/>
          <w:color w:val="0D0D0D"/>
          <w:sz w:val="24"/>
          <w:szCs w:val="24"/>
        </w:rPr>
      </w:pPr>
      <w:r w:rsidRPr="005241AA">
        <w:rPr>
          <w:rFonts w:ascii="Book Antiqua" w:eastAsia="Calibri" w:hAnsi="Book Antiqua" w:cs="*Arial-6183-Identity-H"/>
          <w:i/>
          <w:iCs/>
          <w:color w:val="0D0D0D"/>
          <w:sz w:val="24"/>
          <w:szCs w:val="24"/>
        </w:rPr>
        <w:t>En los lugares que determine la Corte Suprema de Justicia, por no existir Juzgado</w:t>
      </w:r>
    </w:p>
    <w:p w14:paraId="37105C74"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183-Identity-H"/>
          <w:i/>
          <w:iCs/>
          <w:color w:val="0D0D0D"/>
          <w:sz w:val="24"/>
          <w:szCs w:val="24"/>
        </w:rPr>
      </w:pPr>
      <w:r w:rsidRPr="005241AA">
        <w:rPr>
          <w:rFonts w:ascii="Book Antiqua" w:eastAsia="Calibri" w:hAnsi="Book Antiqua" w:cs="*Arial-6183-Identity-H"/>
          <w:i/>
          <w:iCs/>
          <w:color w:val="0D0D0D"/>
          <w:sz w:val="24"/>
          <w:szCs w:val="24"/>
        </w:rPr>
        <w:t>de Familia, la tramitación de los siguientes asuntos podrá ser conocidos en primera instancia por los juzgados contravencionales que se designen:</w:t>
      </w:r>
    </w:p>
    <w:p w14:paraId="09B7A76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A0A0A"/>
          <w:sz w:val="24"/>
          <w:szCs w:val="24"/>
        </w:rPr>
      </w:pPr>
      <w:r w:rsidRPr="005241AA">
        <w:rPr>
          <w:rFonts w:ascii="Book Antiqua" w:eastAsia="Calibri" w:hAnsi="Book Antiqua" w:cs="*Arial-6208-Identity-H"/>
          <w:i/>
          <w:iCs/>
          <w:color w:val="0A0A0A"/>
          <w:sz w:val="24"/>
          <w:szCs w:val="24"/>
        </w:rPr>
        <w:t>1)Los procesos resolutivos familiares y su ejecución, cuya resolución final no produce cosa juzgada material, salvo la suspensión de los atributos de la responsabilidad parental.</w:t>
      </w:r>
    </w:p>
    <w:p w14:paraId="659D1AE3"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C0C0C"/>
          <w:sz w:val="24"/>
          <w:szCs w:val="24"/>
        </w:rPr>
      </w:pPr>
      <w:r w:rsidRPr="005241AA">
        <w:rPr>
          <w:rFonts w:ascii="Book Antiqua" w:eastAsia="Calibri" w:hAnsi="Book Antiqua" w:cs="*Arial-6208-Identity-H"/>
          <w:i/>
          <w:iCs/>
          <w:color w:val="0C0C0C"/>
          <w:sz w:val="24"/>
          <w:szCs w:val="24"/>
        </w:rPr>
        <w:t>2) Las diligencias de protección cautelar referidas a personas menores de edad.</w:t>
      </w:r>
    </w:p>
    <w:p w14:paraId="571D70D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3) Los asuntos de petición unilateral.</w:t>
      </w:r>
    </w:p>
    <w:p w14:paraId="1F7E19E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 xml:space="preserve">4) La diligencia de comunicación que establece el artículo 32 de la Ley N.º 7739, </w:t>
      </w:r>
      <w:r w:rsidRPr="005241AA">
        <w:rPr>
          <w:rFonts w:ascii="Book Antiqua" w:eastAsia="Calibri" w:hAnsi="Book Antiqua" w:cs="*Arial-6208-Identity-H"/>
          <w:i/>
          <w:iCs/>
          <w:color w:val="0C0C0C"/>
          <w:sz w:val="24"/>
          <w:szCs w:val="24"/>
        </w:rPr>
        <w:t>Código de la Niñez y la Adolescencia, de 6 de enero de 1998.</w:t>
      </w:r>
    </w:p>
    <w:p w14:paraId="43B3B4AA" w14:textId="77777777" w:rsidR="005241AA" w:rsidRPr="005241AA" w:rsidRDefault="005241AA" w:rsidP="005241AA">
      <w:pPr>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5) Los demás asuntos que estipule la ley.”.</w:t>
      </w:r>
    </w:p>
    <w:p w14:paraId="5B699BC3" w14:textId="77777777" w:rsidR="005241AA" w:rsidRDefault="005241AA" w:rsidP="005241AA">
      <w:pPr>
        <w:spacing w:after="0" w:line="276" w:lineRule="auto"/>
        <w:jc w:val="both"/>
        <w:rPr>
          <w:rFonts w:ascii="Book Antiqua" w:eastAsia="Calibri" w:hAnsi="Book Antiqua" w:cs="Arial"/>
          <w:sz w:val="24"/>
        </w:rPr>
      </w:pPr>
    </w:p>
    <w:p w14:paraId="67A531C1" w14:textId="4636FFB8" w:rsidR="005241AA" w:rsidRPr="00F90275" w:rsidRDefault="005241AA" w:rsidP="005241AA">
      <w:pPr>
        <w:spacing w:after="0" w:line="276" w:lineRule="auto"/>
        <w:jc w:val="both"/>
        <w:rPr>
          <w:rFonts w:ascii="Book Antiqua" w:eastAsia="Calibri" w:hAnsi="Book Antiqua" w:cs="Arial"/>
          <w:sz w:val="24"/>
        </w:rPr>
      </w:pPr>
      <w:r w:rsidRPr="00F90275">
        <w:rPr>
          <w:rFonts w:ascii="Book Antiqua" w:eastAsia="Calibri" w:hAnsi="Book Antiqua" w:cs="Arial"/>
          <w:sz w:val="24"/>
        </w:rPr>
        <w:t xml:space="preserve">Sobre este tema, se contempla dentro de los entregables del Proyecto de Implementación del CPF, un estudio adicional con la propuesta de creación de estos Juzgados por Ministerio de </w:t>
      </w:r>
      <w:r w:rsidR="00952AB0">
        <w:rPr>
          <w:rFonts w:ascii="Book Antiqua" w:eastAsia="Calibri" w:hAnsi="Book Antiqua" w:cs="Arial"/>
          <w:sz w:val="24"/>
        </w:rPr>
        <w:t>L</w:t>
      </w:r>
      <w:r w:rsidRPr="00F90275">
        <w:rPr>
          <w:rFonts w:ascii="Book Antiqua" w:eastAsia="Calibri" w:hAnsi="Book Antiqua" w:cs="Arial"/>
          <w:sz w:val="24"/>
        </w:rPr>
        <w:t>ey en los actuales Juzgados Contravencionales.</w:t>
      </w:r>
    </w:p>
    <w:p w14:paraId="4772AEE7" w14:textId="77777777" w:rsidR="005241AA" w:rsidRPr="00F90275" w:rsidRDefault="005241AA" w:rsidP="005241AA">
      <w:pPr>
        <w:spacing w:after="0" w:line="276" w:lineRule="auto"/>
        <w:jc w:val="both"/>
        <w:rPr>
          <w:rFonts w:ascii="Book Antiqua" w:eastAsia="Calibri" w:hAnsi="Book Antiqua" w:cs="Arial"/>
          <w:sz w:val="24"/>
        </w:rPr>
      </w:pPr>
    </w:p>
    <w:p w14:paraId="15AC9C14" w14:textId="0CE68318" w:rsidR="005241AA" w:rsidRPr="005241AA" w:rsidRDefault="005241AA" w:rsidP="005241AA">
      <w:pPr>
        <w:spacing w:after="0" w:line="276" w:lineRule="auto"/>
        <w:jc w:val="both"/>
        <w:rPr>
          <w:rFonts w:ascii="Book Antiqua" w:eastAsia="Calibri" w:hAnsi="Book Antiqua" w:cs="Arial"/>
          <w:sz w:val="24"/>
        </w:rPr>
      </w:pPr>
      <w:r w:rsidRPr="00F90275">
        <w:rPr>
          <w:rFonts w:ascii="Book Antiqua" w:eastAsia="Calibri" w:hAnsi="Book Antiqua" w:cs="Arial"/>
          <w:sz w:val="24"/>
        </w:rPr>
        <w:t>Este estudio se estima será remitido a Corte Plena para aprobación en el primer semestre 2022</w:t>
      </w:r>
      <w:r w:rsidR="002D0A74">
        <w:rPr>
          <w:rFonts w:ascii="Book Antiqua" w:eastAsia="Calibri" w:hAnsi="Book Antiqua" w:cs="Arial"/>
          <w:sz w:val="24"/>
        </w:rPr>
        <w:t xml:space="preserve">. </w:t>
      </w:r>
      <w:r w:rsidR="002D0A74" w:rsidRPr="001D0C10">
        <w:rPr>
          <w:rFonts w:ascii="Book Antiqua" w:eastAsia="Calibri" w:hAnsi="Book Antiqua" w:cs="Arial"/>
          <w:b/>
          <w:bCs/>
          <w:sz w:val="24"/>
        </w:rPr>
        <w:t>Referencia interna: 1681-2021</w:t>
      </w:r>
      <w:r w:rsidRPr="001D0C10">
        <w:rPr>
          <w:rFonts w:ascii="Book Antiqua" w:eastAsia="Calibri" w:hAnsi="Book Antiqua" w:cs="Arial"/>
          <w:b/>
          <w:bCs/>
          <w:sz w:val="24"/>
        </w:rPr>
        <w:t>.</w:t>
      </w:r>
    </w:p>
    <w:p w14:paraId="19EC5BAC" w14:textId="77777777" w:rsidR="005241AA" w:rsidRPr="005241AA" w:rsidRDefault="005241AA" w:rsidP="005241AA">
      <w:pPr>
        <w:spacing w:after="0" w:line="276" w:lineRule="auto"/>
        <w:jc w:val="both"/>
        <w:rPr>
          <w:rFonts w:ascii="Book Antiqua" w:eastAsia="Calibri" w:hAnsi="Book Antiqua" w:cs="Arial"/>
          <w:sz w:val="24"/>
        </w:rPr>
      </w:pPr>
    </w:p>
    <w:p w14:paraId="198F2C3B" w14:textId="77777777" w:rsidR="005241AA" w:rsidRPr="005241AA" w:rsidRDefault="005241AA" w:rsidP="0090609F">
      <w:pPr>
        <w:numPr>
          <w:ilvl w:val="0"/>
          <w:numId w:val="6"/>
        </w:numPr>
        <w:spacing w:after="0" w:line="276" w:lineRule="auto"/>
        <w:ind w:left="426" w:hanging="426"/>
        <w:contextualSpacing/>
        <w:jc w:val="both"/>
        <w:rPr>
          <w:rFonts w:ascii="Book Antiqua" w:eastAsia="Calibri" w:hAnsi="Book Antiqua" w:cs="Arial"/>
          <w:sz w:val="24"/>
          <w:szCs w:val="24"/>
          <w:lang w:eastAsia="es-CR"/>
        </w:rPr>
      </w:pPr>
      <w:r w:rsidRPr="005241AA">
        <w:rPr>
          <w:rFonts w:ascii="Book Antiqua" w:eastAsia="Calibri" w:hAnsi="Book Antiqua" w:cs="Arial"/>
          <w:b/>
          <w:bCs/>
          <w:sz w:val="24"/>
          <w:szCs w:val="24"/>
          <w:lang w:eastAsia="es-CR"/>
        </w:rPr>
        <w:t>Fondo para el pago transitorio de la obligación alimentaria.</w:t>
      </w:r>
      <w:r w:rsidRPr="005241AA">
        <w:rPr>
          <w:rFonts w:ascii="Book Antiqua" w:eastAsia="Calibri" w:hAnsi="Book Antiqua" w:cs="Arial"/>
          <w:sz w:val="24"/>
          <w:szCs w:val="24"/>
          <w:lang w:eastAsia="es-CR"/>
        </w:rPr>
        <w:t xml:space="preserve"> El artículo 286 dispone la creación de un fondo para el pago transitorio de la obligación alimentaria. </w:t>
      </w:r>
    </w:p>
    <w:p w14:paraId="03621DD6" w14:textId="77777777" w:rsidR="005241AA" w:rsidRDefault="005241AA" w:rsidP="005241AA">
      <w:pPr>
        <w:pStyle w:val="Prrafodelista"/>
        <w:spacing w:line="276" w:lineRule="auto"/>
        <w:ind w:right="616"/>
        <w:rPr>
          <w:rFonts w:cs="Arial"/>
          <w:i/>
          <w:iCs/>
          <w:sz w:val="24"/>
          <w:szCs w:val="24"/>
        </w:rPr>
      </w:pPr>
    </w:p>
    <w:p w14:paraId="68EF6213" w14:textId="49F2D1A9"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w:t>
      </w:r>
      <w:r w:rsidRPr="005241AA">
        <w:rPr>
          <w:rFonts w:ascii="Book Antiqua" w:hAnsi="Book Antiqua" w:cs="Arial"/>
          <w:b/>
          <w:bCs/>
          <w:i/>
          <w:iCs/>
          <w:sz w:val="24"/>
          <w:szCs w:val="24"/>
        </w:rPr>
        <w:t xml:space="preserve">Artículo 286- </w:t>
      </w:r>
      <w:bookmarkStart w:id="9" w:name="_Hlk62560647"/>
      <w:r w:rsidRPr="005241AA">
        <w:rPr>
          <w:rFonts w:ascii="Book Antiqua" w:hAnsi="Book Antiqua" w:cs="Arial"/>
          <w:b/>
          <w:bCs/>
          <w:i/>
          <w:iCs/>
          <w:sz w:val="24"/>
          <w:szCs w:val="24"/>
        </w:rPr>
        <w:t>Fondo para el pago transitorio de la obligación alimentaria</w:t>
      </w:r>
      <w:bookmarkEnd w:id="9"/>
      <w:r w:rsidRPr="005241AA">
        <w:rPr>
          <w:rFonts w:ascii="Book Antiqua" w:hAnsi="Book Antiqua" w:cs="Arial"/>
          <w:b/>
          <w:bCs/>
          <w:i/>
          <w:iCs/>
          <w:sz w:val="24"/>
          <w:szCs w:val="24"/>
        </w:rPr>
        <w:t>.</w:t>
      </w:r>
      <w:r w:rsidRPr="005241AA">
        <w:rPr>
          <w:rFonts w:ascii="Book Antiqua" w:hAnsi="Book Antiqua"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42927474"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p>
    <w:p w14:paraId="078A6228"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62E44E1A" w14:textId="77777777" w:rsidR="005241AA" w:rsidRPr="005241AA" w:rsidRDefault="005241AA" w:rsidP="00391C8F">
      <w:pPr>
        <w:pStyle w:val="Prrafodelista"/>
        <w:spacing w:line="276" w:lineRule="auto"/>
        <w:ind w:right="616"/>
        <w:rPr>
          <w:rFonts w:cs="Arial"/>
          <w:i/>
          <w:iCs/>
          <w:sz w:val="24"/>
          <w:szCs w:val="24"/>
        </w:rPr>
      </w:pPr>
    </w:p>
    <w:p w14:paraId="5F513889" w14:textId="77631ACA" w:rsid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El porcentaje indicado en el párrafo anterior deberá aplicarse sobre la totalidad de los recursos existentes al momento de entrar en vigencia la presente ley, y su giro se hará por única vez.</w:t>
      </w:r>
    </w:p>
    <w:p w14:paraId="3007B1BE"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p>
    <w:p w14:paraId="3A030D64" w14:textId="5C12FBC2"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4BF878A" w14:textId="77777777" w:rsidR="005241AA" w:rsidRPr="005241AA" w:rsidRDefault="005241AA" w:rsidP="001D0C10">
      <w:pPr>
        <w:spacing w:after="0" w:line="276" w:lineRule="auto"/>
        <w:ind w:left="720" w:right="616"/>
        <w:jc w:val="both"/>
        <w:rPr>
          <w:rFonts w:ascii="Book Antiqua" w:eastAsia="Calibri" w:hAnsi="Book Antiqua" w:cs="Arial"/>
          <w:i/>
          <w:iCs/>
          <w:sz w:val="24"/>
          <w:szCs w:val="24"/>
        </w:rPr>
      </w:pPr>
      <w:r w:rsidRPr="005241AA">
        <w:rPr>
          <w:rFonts w:ascii="Book Antiqua" w:eastAsia="Calibri" w:hAnsi="Book Antiqua"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p>
    <w:p w14:paraId="52BF8CC1" w14:textId="77777777" w:rsidR="005241AA" w:rsidRPr="005241AA" w:rsidRDefault="005241AA" w:rsidP="005241AA">
      <w:pPr>
        <w:spacing w:after="0" w:line="276" w:lineRule="auto"/>
        <w:jc w:val="both"/>
        <w:rPr>
          <w:rFonts w:ascii="Book Antiqua" w:eastAsia="Calibri" w:hAnsi="Book Antiqua" w:cs="Arial"/>
          <w:sz w:val="24"/>
          <w:szCs w:val="24"/>
        </w:rPr>
      </w:pPr>
    </w:p>
    <w:p w14:paraId="4DBC474B" w14:textId="77777777" w:rsidR="005241AA" w:rsidRPr="005241AA" w:rsidRDefault="005241AA" w:rsidP="002D0A74">
      <w:pPr>
        <w:spacing w:after="0" w:line="276" w:lineRule="auto"/>
        <w:jc w:val="both"/>
        <w:rPr>
          <w:rFonts w:ascii="Book Antiqua" w:eastAsia="Calibri" w:hAnsi="Book Antiqua" w:cs="Arial"/>
          <w:sz w:val="24"/>
          <w:szCs w:val="24"/>
        </w:rPr>
      </w:pPr>
      <w:r w:rsidRPr="005241AA">
        <w:rPr>
          <w:rFonts w:ascii="Book Antiqua" w:eastAsia="Calibri" w:hAnsi="Book Antiqua" w:cs="Arial"/>
          <w:sz w:val="24"/>
          <w:szCs w:val="24"/>
        </w:rPr>
        <w:t xml:space="preserve">Respecto a la operativización del fondo, la Dirección de Planificación emitió el oficio 1937-PLA-EV-2020 el cual fue aprobado por el Consejo Superior en sesión 119-2020 celebrada el 15 de diciembre de 2020, artículo LXVI. </w:t>
      </w:r>
    </w:p>
    <w:p w14:paraId="4B07DE0A" w14:textId="77777777" w:rsidR="005241AA" w:rsidRPr="005241AA" w:rsidRDefault="005241AA" w:rsidP="005241AA">
      <w:pPr>
        <w:spacing w:after="0" w:line="276" w:lineRule="auto"/>
        <w:jc w:val="both"/>
        <w:rPr>
          <w:rFonts w:ascii="Book Antiqua" w:eastAsia="Calibri" w:hAnsi="Book Antiqua" w:cs="Arial"/>
          <w:sz w:val="24"/>
          <w:szCs w:val="24"/>
        </w:rPr>
      </w:pPr>
    </w:p>
    <w:p w14:paraId="2D41F550" w14:textId="77777777" w:rsidR="000B64CF" w:rsidRPr="001D0C10" w:rsidRDefault="000B64CF" w:rsidP="000B64CF">
      <w:pPr>
        <w:spacing w:after="0" w:line="240" w:lineRule="auto"/>
        <w:ind w:left="567" w:right="616"/>
        <w:jc w:val="both"/>
        <w:rPr>
          <w:rFonts w:ascii="Book Antiqua" w:eastAsia="Calibri" w:hAnsi="Book Antiqua" w:cs="Arial"/>
          <w:i/>
          <w:iCs/>
        </w:rPr>
      </w:pPr>
      <w:r w:rsidRPr="001D0C10">
        <w:rPr>
          <w:rFonts w:ascii="Book Antiqua" w:eastAsia="Calibri" w:hAnsi="Book Antiqua" w:cs="Arial"/>
          <w:i/>
          <w:iCs/>
        </w:rPr>
        <w:t xml:space="preserve">“Se acordó: </w:t>
      </w:r>
      <w:r w:rsidRPr="001D0C10">
        <w:rPr>
          <w:rFonts w:ascii="Book Antiqua" w:eastAsia="Calibri" w:hAnsi="Book Antiqua" w:cs="Arial"/>
          <w:b/>
          <w:bCs/>
          <w:i/>
          <w:iCs/>
        </w:rPr>
        <w:t>1.)</w:t>
      </w:r>
      <w:r w:rsidRPr="001D0C10">
        <w:rPr>
          <w:rFonts w:ascii="Book Antiqua" w:eastAsia="Calibri" w:hAnsi="Book Antiqua" w:cs="Arial"/>
          <w:i/>
          <w:iCs/>
        </w:rPr>
        <w:t xml:space="preserve">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w:t>
      </w:r>
      <w:r w:rsidRPr="001D0C10">
        <w:rPr>
          <w:rFonts w:ascii="Book Antiqua" w:eastAsia="Calibri" w:hAnsi="Book Antiqua" w:cs="Arial"/>
          <w:b/>
          <w:bCs/>
          <w:i/>
          <w:iCs/>
        </w:rPr>
        <w:t>2.)</w:t>
      </w:r>
      <w:r w:rsidRPr="001D0C10">
        <w:rPr>
          <w:rFonts w:ascii="Book Antiqua" w:eastAsia="Calibri" w:hAnsi="Book Antiqua" w:cs="Arial"/>
          <w:i/>
          <w:iCs/>
        </w:rPr>
        <w:t xml:space="preserve"> Acoger en todos sus extremos las recomendaciones supra, en consecuencia: a.) Ordenar las coordinaciones necesarias a los entes responsables, a saber,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F827BDB" w14:textId="77777777" w:rsidR="000B64CF" w:rsidRPr="001D0C10" w:rsidRDefault="000B64CF" w:rsidP="000B64CF">
      <w:pPr>
        <w:spacing w:after="0" w:line="240" w:lineRule="auto"/>
        <w:ind w:left="567" w:right="616"/>
        <w:jc w:val="both"/>
        <w:rPr>
          <w:rFonts w:ascii="Book Antiqua" w:eastAsia="Calibri" w:hAnsi="Book Antiqua" w:cs="Arial"/>
          <w:i/>
          <w:iCs/>
        </w:rPr>
      </w:pPr>
    </w:p>
    <w:p w14:paraId="5CD307EA" w14:textId="1269A155" w:rsidR="000B64CF" w:rsidRPr="001D0C10" w:rsidRDefault="000B64CF" w:rsidP="000B64CF">
      <w:pPr>
        <w:spacing w:after="0" w:line="240" w:lineRule="auto"/>
        <w:ind w:left="567" w:right="616"/>
        <w:jc w:val="both"/>
        <w:rPr>
          <w:rFonts w:ascii="Book Antiqua" w:eastAsia="Calibri" w:hAnsi="Book Antiqua" w:cs="Arial"/>
          <w:i/>
          <w:iCs/>
        </w:rPr>
      </w:pPr>
      <w:r w:rsidRPr="001D0C10">
        <w:rPr>
          <w:rFonts w:ascii="Book Antiqua" w:eastAsia="Calibri" w:hAnsi="Book Antiqua" w:cs="Arial"/>
          <w:i/>
          <w:iCs/>
        </w:rPr>
        <w:t> La Dirección de Planificación tomará nota para los fines consiguientes.”.</w:t>
      </w:r>
    </w:p>
    <w:p w14:paraId="795F0208" w14:textId="5A0E0895" w:rsidR="002D0A74" w:rsidRDefault="002D0A74" w:rsidP="002D0A74">
      <w:pPr>
        <w:spacing w:after="0" w:line="240" w:lineRule="auto"/>
        <w:ind w:right="616"/>
        <w:jc w:val="both"/>
        <w:rPr>
          <w:rFonts w:ascii="Book Antiqua" w:eastAsia="Calibri" w:hAnsi="Book Antiqua" w:cs="Arial"/>
          <w:i/>
          <w:iCs/>
          <w:sz w:val="24"/>
          <w:szCs w:val="24"/>
        </w:rPr>
      </w:pPr>
    </w:p>
    <w:p w14:paraId="524AF9E7" w14:textId="46FD0318" w:rsidR="002D0A74" w:rsidRDefault="002D0A74" w:rsidP="002D0A74">
      <w:pPr>
        <w:spacing w:after="0" w:line="276" w:lineRule="auto"/>
        <w:ind w:right="49"/>
        <w:jc w:val="both"/>
        <w:rPr>
          <w:rFonts w:ascii="Book Antiqua" w:eastAsia="Calibri" w:hAnsi="Book Antiqua" w:cs="Arial"/>
          <w:sz w:val="24"/>
          <w:szCs w:val="24"/>
        </w:rPr>
      </w:pPr>
      <w:r w:rsidRPr="001D0C10">
        <w:rPr>
          <w:rFonts w:ascii="Book Antiqua" w:eastAsia="Calibri" w:hAnsi="Book Antiqua" w:cs="Arial"/>
          <w:sz w:val="24"/>
          <w:szCs w:val="24"/>
        </w:rPr>
        <w:t xml:space="preserve">Igualmente, se reiteró la necesidad de reglamentar este artículo mediante </w:t>
      </w:r>
      <w:r w:rsidR="007F45F6">
        <w:rPr>
          <w:rFonts w:ascii="Book Antiqua" w:eastAsia="Calibri" w:hAnsi="Book Antiqua" w:cs="Arial"/>
          <w:sz w:val="24"/>
          <w:szCs w:val="24"/>
        </w:rPr>
        <w:t xml:space="preserve">informe de la Dirección de Planificación </w:t>
      </w:r>
      <w:r w:rsidRPr="001D0C10">
        <w:rPr>
          <w:rFonts w:ascii="Book Antiqua" w:eastAsia="Calibri" w:hAnsi="Book Antiqua" w:cs="Arial"/>
          <w:sz w:val="24"/>
          <w:szCs w:val="24"/>
        </w:rPr>
        <w:t xml:space="preserve">979-PLA-MI-2021 </w:t>
      </w:r>
      <w:r w:rsidR="007F45F6">
        <w:rPr>
          <w:rFonts w:ascii="Book Antiqua" w:eastAsia="Calibri" w:hAnsi="Book Antiqua" w:cs="Arial"/>
          <w:sz w:val="24"/>
          <w:szCs w:val="24"/>
        </w:rPr>
        <w:t>del</w:t>
      </w:r>
      <w:r w:rsidRPr="001D0C10">
        <w:rPr>
          <w:rFonts w:ascii="Book Antiqua" w:eastAsia="Calibri" w:hAnsi="Book Antiqua" w:cs="Arial"/>
          <w:sz w:val="24"/>
          <w:szCs w:val="24"/>
        </w:rPr>
        <w:t xml:space="preserve"> 30 de agosto del 2021</w:t>
      </w:r>
      <w:r>
        <w:rPr>
          <w:rFonts w:ascii="Book Antiqua" w:eastAsia="Calibri" w:hAnsi="Book Antiqua" w:cs="Arial"/>
          <w:sz w:val="24"/>
          <w:szCs w:val="24"/>
        </w:rPr>
        <w:t xml:space="preserve">, aprobado por el Consejo Superior en sesión </w:t>
      </w:r>
      <w:r w:rsidRPr="002D0A74">
        <w:rPr>
          <w:rFonts w:ascii="Book Antiqua" w:eastAsia="Calibri" w:hAnsi="Book Antiqua" w:cs="Arial"/>
          <w:sz w:val="24"/>
          <w:szCs w:val="24"/>
        </w:rPr>
        <w:t>79-2021 celebrada el 9 de setiembre de 2021,</w:t>
      </w:r>
      <w:r>
        <w:rPr>
          <w:rFonts w:ascii="Book Antiqua" w:eastAsia="Calibri" w:hAnsi="Book Antiqua" w:cs="Arial"/>
          <w:sz w:val="24"/>
          <w:szCs w:val="24"/>
        </w:rPr>
        <w:t xml:space="preserve"> artículo </w:t>
      </w:r>
      <w:r w:rsidRPr="002D0A74">
        <w:rPr>
          <w:rFonts w:ascii="Book Antiqua" w:eastAsia="Calibri" w:hAnsi="Book Antiqua" w:cs="Arial"/>
          <w:sz w:val="24"/>
          <w:szCs w:val="24"/>
        </w:rPr>
        <w:t>XXXIX</w:t>
      </w:r>
      <w:r>
        <w:rPr>
          <w:rFonts w:ascii="Book Antiqua" w:eastAsia="Calibri" w:hAnsi="Book Antiqua" w:cs="Arial"/>
          <w:sz w:val="24"/>
          <w:szCs w:val="24"/>
        </w:rPr>
        <w:t xml:space="preserve">. </w:t>
      </w:r>
    </w:p>
    <w:p w14:paraId="2FBF305A" w14:textId="239B0232" w:rsidR="002D0A74" w:rsidRDefault="002D0A74" w:rsidP="002D0A74">
      <w:pPr>
        <w:spacing w:after="0" w:line="276" w:lineRule="auto"/>
        <w:ind w:right="49"/>
        <w:jc w:val="both"/>
        <w:rPr>
          <w:rFonts w:ascii="Book Antiqua" w:eastAsia="Calibri" w:hAnsi="Book Antiqua" w:cs="Arial"/>
          <w:sz w:val="24"/>
          <w:szCs w:val="24"/>
        </w:rPr>
      </w:pPr>
    </w:p>
    <w:p w14:paraId="0CB0026C" w14:textId="44B9A67F" w:rsidR="002D0A74" w:rsidRPr="001D0C10" w:rsidRDefault="005D01AA" w:rsidP="001D0C10">
      <w:pPr>
        <w:tabs>
          <w:tab w:val="left" w:pos="3375"/>
        </w:tabs>
        <w:ind w:left="567" w:right="616"/>
        <w:jc w:val="both"/>
        <w:rPr>
          <w:rFonts w:ascii="Book Antiqua" w:hAnsi="Book Antiqua"/>
          <w:b/>
          <w:bCs/>
          <w:i/>
          <w:iCs/>
        </w:rPr>
      </w:pPr>
      <w:r w:rsidRPr="001D0C10">
        <w:rPr>
          <w:rFonts w:ascii="Book Antiqua" w:eastAsia="Calibri" w:hAnsi="Book Antiqua" w:cs="Arial"/>
          <w:i/>
          <w:iCs/>
        </w:rPr>
        <w:t>“</w:t>
      </w:r>
      <w:r w:rsidRPr="001D0C10">
        <w:rPr>
          <w:rFonts w:ascii="Book Antiqua" w:eastAsia="Calibri" w:hAnsi="Book Antiqua"/>
          <w:b/>
          <w:i/>
          <w:iCs/>
        </w:rPr>
        <w:t xml:space="preserve">Se acordó: </w:t>
      </w:r>
      <w:r w:rsidRPr="001D0C10">
        <w:rPr>
          <w:rFonts w:ascii="Book Antiqua" w:eastAsia="Calibri" w:hAnsi="Book Antiqua"/>
          <w:bCs/>
          <w:i/>
          <w:iCs/>
        </w:rPr>
        <w:t>Tener por recibido el oficio N°</w:t>
      </w:r>
      <w:r w:rsidRPr="001D0C10">
        <w:rPr>
          <w:rFonts w:ascii="Book Antiqua" w:eastAsia="Calibri" w:hAnsi="Book Antiqua"/>
          <w:b/>
          <w:i/>
          <w:iCs/>
        </w:rPr>
        <w:t xml:space="preserve"> </w:t>
      </w:r>
      <w:r w:rsidRPr="001D0C10">
        <w:rPr>
          <w:rFonts w:ascii="Book Antiqua" w:hAnsi="Book Antiqua"/>
          <w:i/>
          <w:iCs/>
          <w:lang w:eastAsia="es-ES"/>
        </w:rPr>
        <w:t xml:space="preserve">979-PLA-MI-2021 DEL 30 de agosto del 2021, suscrito por el </w:t>
      </w:r>
      <w:r w:rsidRPr="001D0C10">
        <w:rPr>
          <w:rFonts w:ascii="Book Antiqua" w:hAnsi="Book Antiqua"/>
          <w:i/>
          <w:iCs/>
        </w:rPr>
        <w:t xml:space="preserve">Ingeniero Dixon Li Morales, Jefe interino del Proceso Ejecución de las Operaciones de la Dirección de Planificación, </w:t>
      </w:r>
      <w:r w:rsidRPr="001D0C10">
        <w:rPr>
          <w:rFonts w:ascii="Book Antiqua" w:hAnsi="Book Antiqua"/>
          <w:i/>
          <w:iCs/>
          <w:lang w:eastAsia="es-ES"/>
        </w:rPr>
        <w:t xml:space="preserve">y hacerlo de conocimiento de la </w:t>
      </w:r>
      <w:r w:rsidRPr="001D0C10">
        <w:rPr>
          <w:rFonts w:ascii="Book Antiqua" w:hAnsi="Book Antiqua"/>
          <w:i/>
          <w:iCs/>
          <w:lang w:eastAsia="es-CR"/>
        </w:rPr>
        <w:t xml:space="preserve">Comisión de Familia, Niñez y Adolescencia, </w:t>
      </w:r>
      <w:r w:rsidRPr="001D0C10">
        <w:rPr>
          <w:rFonts w:ascii="Book Antiqua" w:hAnsi="Book Antiqua"/>
          <w:i/>
          <w:iCs/>
          <w:lang w:eastAsia="es-ES"/>
        </w:rPr>
        <w:t xml:space="preserve">las Direcciones </w:t>
      </w:r>
      <w:r w:rsidRPr="001D0C10">
        <w:rPr>
          <w:rFonts w:ascii="Book Antiqua" w:hAnsi="Book Antiqua"/>
          <w:i/>
          <w:iCs/>
          <w:lang w:eastAsia="es-CR"/>
        </w:rPr>
        <w:t>Jurídica, Ejecutiva y el Departamento Financiero Contable, para que valoren la posibilidad de elaborar en conjunto la reglamentación pertinente para operativizar el referido artículo, en caso de que la reforma al mismo (que eventualmente se presente) no sea aprobada por la Asamblea Legislativa antes del 01 de octubre 2022.</w:t>
      </w:r>
      <w:r w:rsidRPr="001D0C10">
        <w:rPr>
          <w:rFonts w:ascii="Book Antiqua" w:hAnsi="Book Antiqua"/>
          <w:b/>
          <w:i/>
          <w:iCs/>
        </w:rPr>
        <w:t>”</w:t>
      </w:r>
    </w:p>
    <w:p w14:paraId="26E377F3" w14:textId="77777777" w:rsidR="000B64CF" w:rsidRPr="000B64CF" w:rsidRDefault="000B64CF" w:rsidP="000B64CF">
      <w:pPr>
        <w:spacing w:after="0" w:line="276" w:lineRule="auto"/>
        <w:jc w:val="both"/>
        <w:rPr>
          <w:rFonts w:ascii="Book Antiqua" w:eastAsia="Calibri" w:hAnsi="Book Antiqua" w:cs="Arial"/>
          <w:sz w:val="24"/>
          <w:szCs w:val="24"/>
        </w:rPr>
      </w:pPr>
    </w:p>
    <w:p w14:paraId="5CE722FB" w14:textId="77777777" w:rsidR="006762A3" w:rsidRPr="006762A3" w:rsidRDefault="006762A3" w:rsidP="006762A3">
      <w:pPr>
        <w:pStyle w:val="Prrafodelista"/>
        <w:keepNext/>
        <w:keepLines/>
        <w:numPr>
          <w:ilvl w:val="0"/>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C84B5F7" w14:textId="43D1A657" w:rsidR="00D71E0B" w:rsidRPr="006762A3" w:rsidRDefault="00D71E0B" w:rsidP="006A4BA6">
      <w:pPr>
        <w:pStyle w:val="Ttulo2"/>
      </w:pPr>
      <w:r w:rsidRPr="00AE2766">
        <w:t>Despachos y oficinas</w:t>
      </w:r>
      <w:r w:rsidR="003A2362" w:rsidRPr="00AE2766">
        <w:t xml:space="preserve"> judiciales involucradas</w:t>
      </w:r>
    </w:p>
    <w:p w14:paraId="573DE79C" w14:textId="77777777" w:rsidR="00AE2766" w:rsidRDefault="00AE2766" w:rsidP="003A2362">
      <w:pPr>
        <w:spacing w:after="0" w:line="276" w:lineRule="auto"/>
        <w:jc w:val="both"/>
        <w:rPr>
          <w:rFonts w:ascii="Book Antiqua" w:eastAsia="Calibri" w:hAnsi="Book Antiqua" w:cs="Arial"/>
          <w:sz w:val="24"/>
          <w:szCs w:val="24"/>
        </w:rPr>
      </w:pPr>
    </w:p>
    <w:p w14:paraId="301CE304" w14:textId="15E0A158" w:rsid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Se establece que el CPF tendrá incidencia directa sobre algunos despachos y oficinas judiciales que conforman los tres ámbitos de acción institucionales (Jurisdiccional, Auxiliar de justicia y Administrativo). A continuación, se enumeran las dependencias judiciales involucradas en la normativa procesal.</w:t>
      </w:r>
    </w:p>
    <w:p w14:paraId="659A66D0" w14:textId="6F671C17" w:rsidR="004C2BEA" w:rsidRDefault="004C2BEA" w:rsidP="003A2362">
      <w:pPr>
        <w:spacing w:after="0" w:line="276" w:lineRule="auto"/>
        <w:jc w:val="both"/>
        <w:rPr>
          <w:rFonts w:ascii="Book Antiqua" w:eastAsia="Calibri" w:hAnsi="Book Antiqua" w:cs="Arial"/>
          <w:sz w:val="24"/>
          <w:szCs w:val="24"/>
        </w:rPr>
      </w:pPr>
    </w:p>
    <w:p w14:paraId="2EC83CFB" w14:textId="38F04DAD" w:rsidR="003A2362" w:rsidRPr="006762A3" w:rsidRDefault="003A2362" w:rsidP="006A4BA6">
      <w:pPr>
        <w:pStyle w:val="Ttulo2"/>
      </w:pPr>
      <w:r w:rsidRPr="006762A3">
        <w:t>Ámbito Jurisdiccional</w:t>
      </w:r>
    </w:p>
    <w:p w14:paraId="52D8395B" w14:textId="77777777" w:rsidR="003A2362" w:rsidRPr="003A2362" w:rsidRDefault="003A2362" w:rsidP="003A2362">
      <w:pPr>
        <w:spacing w:after="0" w:line="240" w:lineRule="auto"/>
        <w:jc w:val="both"/>
        <w:rPr>
          <w:rFonts w:ascii="Book Antiqua" w:eastAsia="Calibri" w:hAnsi="Book Antiqua" w:cs="Arial"/>
          <w:lang w:val="es-ES_tradnl"/>
        </w:rPr>
      </w:pPr>
    </w:p>
    <w:p w14:paraId="73A5A081"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la ley 7130 “</w:t>
      </w:r>
      <w:r w:rsidRPr="003A2362">
        <w:rPr>
          <w:rFonts w:ascii="Book Antiqua" w:eastAsia="Calibri" w:hAnsi="Book Antiqua" w:cs="Arial"/>
          <w:i/>
          <w:iCs/>
          <w:sz w:val="24"/>
          <w:szCs w:val="24"/>
        </w:rPr>
        <w:t>Código Procesal Civil”.</w:t>
      </w:r>
      <w:r w:rsidRPr="003A2362">
        <w:rPr>
          <w:rFonts w:ascii="Book Antiqua" w:eastAsia="Calibri" w:hAnsi="Book Antiqua" w:cs="Arial"/>
          <w:sz w:val="24"/>
          <w:szCs w:val="24"/>
        </w:rPr>
        <w:t xml:space="preserve"> </w:t>
      </w:r>
    </w:p>
    <w:p w14:paraId="340B5B4B" w14:textId="77777777" w:rsidR="003A2362" w:rsidRPr="003A2362" w:rsidRDefault="003A2362" w:rsidP="003A2362">
      <w:pPr>
        <w:spacing w:after="0" w:line="276" w:lineRule="auto"/>
        <w:jc w:val="both"/>
        <w:rPr>
          <w:rFonts w:ascii="Book Antiqua" w:eastAsia="Calibri" w:hAnsi="Book Antiqua" w:cs="Arial"/>
          <w:sz w:val="24"/>
          <w:szCs w:val="24"/>
        </w:rPr>
      </w:pPr>
    </w:p>
    <w:p w14:paraId="32BA0B69"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Asimismo, el CPF incluye a los juzgados de Violencia Doméstica al incorporar la protección cautelar como un nuevo tipo de proceso dentro de sus competencias vigentes.</w:t>
      </w:r>
    </w:p>
    <w:p w14:paraId="265499B5" w14:textId="77777777" w:rsidR="003A2362" w:rsidRPr="003A2362" w:rsidRDefault="003A2362" w:rsidP="003A2362">
      <w:pPr>
        <w:spacing w:after="0" w:line="276" w:lineRule="auto"/>
        <w:jc w:val="both"/>
        <w:rPr>
          <w:rFonts w:ascii="Book Antiqua" w:eastAsia="Calibri" w:hAnsi="Book Antiqua" w:cs="Arial"/>
          <w:sz w:val="24"/>
          <w:szCs w:val="24"/>
        </w:rPr>
      </w:pPr>
    </w:p>
    <w:p w14:paraId="16997113"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 xml:space="preserve">En términos generales, los despachos judiciales involucrados en esas tres materias serían:  </w:t>
      </w:r>
    </w:p>
    <w:p w14:paraId="07856969" w14:textId="4CEED6DC" w:rsidR="003A2362" w:rsidRPr="003A2362" w:rsidRDefault="003A2362" w:rsidP="003A236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A2362">
        <w:rPr>
          <w:rFonts w:ascii="Book Antiqua" w:eastAsia="Calibri" w:hAnsi="Book Antiqua" w:cs="Arial"/>
          <w:b/>
          <w:bCs/>
          <w:color w:val="1F497D"/>
          <w:szCs w:val="24"/>
          <w:lang w:val="es-ES" w:eastAsia="es-ES"/>
        </w:rPr>
        <w:t xml:space="preserve">Cuadro </w:t>
      </w:r>
      <w:r w:rsidRPr="003A2362">
        <w:rPr>
          <w:rFonts w:ascii="Book Antiqua" w:eastAsia="Calibri" w:hAnsi="Book Antiqua" w:cs="Arial"/>
          <w:b/>
          <w:bCs/>
          <w:color w:val="1F497D"/>
          <w:szCs w:val="24"/>
          <w:lang w:val="es-ES" w:eastAsia="es-ES"/>
        </w:rPr>
        <w:fldChar w:fldCharType="begin"/>
      </w:r>
      <w:r w:rsidRPr="003A2362">
        <w:rPr>
          <w:rFonts w:ascii="Book Antiqua" w:eastAsia="Calibri" w:hAnsi="Book Antiqua" w:cs="Arial"/>
          <w:b/>
          <w:bCs/>
          <w:color w:val="1F497D"/>
          <w:szCs w:val="24"/>
          <w:lang w:val="es-ES" w:eastAsia="es-ES"/>
        </w:rPr>
        <w:instrText xml:space="preserve"> SEQ Cuadro \* ARABIC </w:instrText>
      </w:r>
      <w:r w:rsidRPr="003A2362">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w:t>
      </w:r>
      <w:r w:rsidRPr="003A2362">
        <w:rPr>
          <w:rFonts w:ascii="Book Antiqua" w:eastAsia="Calibri" w:hAnsi="Book Antiqua" w:cs="Arial"/>
          <w:b/>
          <w:bCs/>
          <w:color w:val="1F497D"/>
          <w:szCs w:val="24"/>
          <w:lang w:val="es-ES" w:eastAsia="es-ES"/>
        </w:rPr>
        <w:fldChar w:fldCharType="end"/>
      </w:r>
      <w:r w:rsidRPr="003A2362">
        <w:rPr>
          <w:rFonts w:ascii="Book Antiqua" w:eastAsia="Calibri" w:hAnsi="Book Antiqua" w:cs="Arial"/>
          <w:b/>
          <w:bCs/>
          <w:color w:val="1F497D"/>
          <w:szCs w:val="24"/>
          <w:lang w:val="es-ES" w:eastAsia="es-ES"/>
        </w:rPr>
        <w:t xml:space="preserve"> </w:t>
      </w:r>
    </w:p>
    <w:p w14:paraId="3DBEE68B" w14:textId="77777777" w:rsidR="003A2362" w:rsidRPr="003A2362" w:rsidRDefault="003A2362" w:rsidP="003A236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A2362">
        <w:rPr>
          <w:rFonts w:ascii="Book Antiqua" w:eastAsia="Calibri" w:hAnsi="Book Antiqua" w:cs="Arial"/>
          <w:b/>
          <w:bCs/>
          <w:color w:val="1F497D"/>
          <w:szCs w:val="24"/>
          <w:lang w:val="es-ES" w:eastAsia="es-ES"/>
        </w:rPr>
        <w:t>Cantidad de despachos jurisdiccionales involucrados en el Código Procesal de Familia</w:t>
      </w:r>
    </w:p>
    <w:tbl>
      <w:tblPr>
        <w:tblW w:w="5000" w:type="pct"/>
        <w:tblCellMar>
          <w:left w:w="70" w:type="dxa"/>
          <w:right w:w="70" w:type="dxa"/>
        </w:tblCellMar>
        <w:tblLook w:val="04A0" w:firstRow="1" w:lastRow="0" w:firstColumn="1" w:lastColumn="0" w:noHBand="0" w:noVBand="1"/>
      </w:tblPr>
      <w:tblGrid>
        <w:gridCol w:w="3205"/>
        <w:gridCol w:w="1765"/>
        <w:gridCol w:w="2296"/>
        <w:gridCol w:w="1552"/>
      </w:tblGrid>
      <w:tr w:rsidR="009407D2" w:rsidRPr="009407D2" w14:paraId="5CD53D32" w14:textId="77777777" w:rsidTr="009407D2">
        <w:trPr>
          <w:trHeight w:val="940"/>
        </w:trPr>
        <w:tc>
          <w:tcPr>
            <w:tcW w:w="1817"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D459033"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bookmarkStart w:id="10" w:name="OLE_LINK10"/>
            <w:bookmarkStart w:id="11" w:name="OLE_LINK9" w:colFirst="2" w:colLast="3"/>
            <w:r w:rsidRPr="009407D2">
              <w:rPr>
                <w:rFonts w:ascii="Book Antiqua" w:eastAsia="Times New Roman" w:hAnsi="Book Antiqua" w:cs="Calibri"/>
                <w:b/>
                <w:bCs/>
                <w:color w:val="FFFFFF"/>
                <w:sz w:val="24"/>
                <w:szCs w:val="24"/>
                <w:lang w:eastAsia="es-CR"/>
              </w:rPr>
              <w:t>Materia</w:t>
            </w:r>
          </w:p>
        </w:tc>
        <w:tc>
          <w:tcPr>
            <w:tcW w:w="1001" w:type="pct"/>
            <w:tcBorders>
              <w:top w:val="single" w:sz="8" w:space="0" w:color="auto"/>
              <w:left w:val="nil"/>
              <w:bottom w:val="single" w:sz="8" w:space="0" w:color="auto"/>
              <w:right w:val="single" w:sz="8" w:space="0" w:color="auto"/>
            </w:tcBorders>
            <w:shd w:val="clear" w:color="000000" w:fill="002060"/>
            <w:vAlign w:val="center"/>
            <w:hideMark/>
          </w:tcPr>
          <w:p w14:paraId="70B9EAFD"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bookmarkStart w:id="12" w:name="RANGE!C3"/>
            <w:r w:rsidRPr="009407D2">
              <w:rPr>
                <w:rFonts w:ascii="Book Antiqua" w:eastAsia="Times New Roman" w:hAnsi="Book Antiqua" w:cs="Calibri"/>
                <w:b/>
                <w:bCs/>
                <w:color w:val="FFFFFF"/>
                <w:sz w:val="24"/>
                <w:szCs w:val="24"/>
                <w:lang w:eastAsia="es-CR"/>
              </w:rPr>
              <w:t>Especializados</w:t>
            </w:r>
            <w:bookmarkEnd w:id="12"/>
          </w:p>
        </w:tc>
        <w:tc>
          <w:tcPr>
            <w:tcW w:w="1302" w:type="pct"/>
            <w:tcBorders>
              <w:top w:val="single" w:sz="8" w:space="0" w:color="auto"/>
              <w:left w:val="nil"/>
              <w:bottom w:val="single" w:sz="8" w:space="0" w:color="auto"/>
              <w:right w:val="single" w:sz="8" w:space="0" w:color="auto"/>
            </w:tcBorders>
            <w:shd w:val="clear" w:color="000000" w:fill="002060"/>
            <w:vAlign w:val="center"/>
            <w:hideMark/>
          </w:tcPr>
          <w:p w14:paraId="2778E36C"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Mixtos y Contravencionales</w:t>
            </w:r>
          </w:p>
        </w:tc>
        <w:tc>
          <w:tcPr>
            <w:tcW w:w="880" w:type="pct"/>
            <w:tcBorders>
              <w:top w:val="single" w:sz="8" w:space="0" w:color="auto"/>
              <w:left w:val="nil"/>
              <w:bottom w:val="single" w:sz="8" w:space="0" w:color="auto"/>
              <w:right w:val="single" w:sz="8" w:space="0" w:color="auto"/>
            </w:tcBorders>
            <w:shd w:val="clear" w:color="000000" w:fill="002060"/>
            <w:vAlign w:val="center"/>
            <w:hideMark/>
          </w:tcPr>
          <w:p w14:paraId="63B97548"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Total</w:t>
            </w:r>
          </w:p>
        </w:tc>
      </w:tr>
      <w:tr w:rsidR="009407D2" w:rsidRPr="009407D2" w14:paraId="1332E3DD" w14:textId="77777777" w:rsidTr="009407D2">
        <w:trPr>
          <w:trHeight w:val="320"/>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7B999288"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Familia</w:t>
            </w:r>
          </w:p>
        </w:tc>
        <w:tc>
          <w:tcPr>
            <w:tcW w:w="1001" w:type="pct"/>
            <w:tcBorders>
              <w:top w:val="nil"/>
              <w:left w:val="nil"/>
              <w:bottom w:val="single" w:sz="8" w:space="0" w:color="auto"/>
              <w:right w:val="single" w:sz="8" w:space="0" w:color="auto"/>
            </w:tcBorders>
            <w:shd w:val="clear" w:color="auto" w:fill="auto"/>
            <w:vAlign w:val="center"/>
            <w:hideMark/>
          </w:tcPr>
          <w:p w14:paraId="4D9776C6"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14</w:t>
            </w:r>
          </w:p>
        </w:tc>
        <w:tc>
          <w:tcPr>
            <w:tcW w:w="1302" w:type="pct"/>
            <w:tcBorders>
              <w:top w:val="nil"/>
              <w:left w:val="nil"/>
              <w:bottom w:val="single" w:sz="8" w:space="0" w:color="auto"/>
              <w:right w:val="single" w:sz="8" w:space="0" w:color="auto"/>
            </w:tcBorders>
            <w:shd w:val="clear" w:color="auto" w:fill="auto"/>
            <w:vAlign w:val="center"/>
            <w:hideMark/>
          </w:tcPr>
          <w:p w14:paraId="46B45E13"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17*</w:t>
            </w:r>
          </w:p>
        </w:tc>
        <w:tc>
          <w:tcPr>
            <w:tcW w:w="880" w:type="pct"/>
            <w:tcBorders>
              <w:top w:val="nil"/>
              <w:left w:val="nil"/>
              <w:bottom w:val="single" w:sz="8" w:space="0" w:color="auto"/>
              <w:right w:val="single" w:sz="8" w:space="0" w:color="auto"/>
            </w:tcBorders>
            <w:shd w:val="clear" w:color="auto" w:fill="auto"/>
            <w:vAlign w:val="center"/>
            <w:hideMark/>
          </w:tcPr>
          <w:p w14:paraId="1089D812" w14:textId="6FAF2E71"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3</w:t>
            </w:r>
            <w:r w:rsidR="003B2DF1">
              <w:rPr>
                <w:rFonts w:ascii="Book Antiqua" w:eastAsia="Times New Roman" w:hAnsi="Book Antiqua" w:cs="Calibri"/>
                <w:color w:val="000000"/>
                <w:sz w:val="24"/>
                <w:szCs w:val="24"/>
                <w:lang w:eastAsia="es-CR"/>
              </w:rPr>
              <w:t>1</w:t>
            </w:r>
          </w:p>
        </w:tc>
      </w:tr>
      <w:tr w:rsidR="009407D2" w:rsidRPr="009407D2" w14:paraId="785ED168" w14:textId="77777777" w:rsidTr="001D0C10">
        <w:trPr>
          <w:trHeight w:val="372"/>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225C470A"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Violencia Doméstica</w:t>
            </w:r>
          </w:p>
        </w:tc>
        <w:tc>
          <w:tcPr>
            <w:tcW w:w="1001" w:type="pct"/>
            <w:tcBorders>
              <w:top w:val="nil"/>
              <w:left w:val="nil"/>
              <w:bottom w:val="single" w:sz="8" w:space="0" w:color="auto"/>
              <w:right w:val="single" w:sz="8" w:space="0" w:color="auto"/>
            </w:tcBorders>
            <w:shd w:val="clear" w:color="auto" w:fill="auto"/>
            <w:vAlign w:val="center"/>
            <w:hideMark/>
          </w:tcPr>
          <w:p w14:paraId="491E157C"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12</w:t>
            </w:r>
          </w:p>
        </w:tc>
        <w:tc>
          <w:tcPr>
            <w:tcW w:w="1302" w:type="pct"/>
            <w:tcBorders>
              <w:top w:val="nil"/>
              <w:left w:val="nil"/>
              <w:bottom w:val="single" w:sz="8" w:space="0" w:color="auto"/>
              <w:right w:val="single" w:sz="8" w:space="0" w:color="auto"/>
            </w:tcBorders>
            <w:shd w:val="clear" w:color="auto" w:fill="auto"/>
            <w:vAlign w:val="center"/>
            <w:hideMark/>
          </w:tcPr>
          <w:p w14:paraId="222B217F"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62</w:t>
            </w:r>
          </w:p>
        </w:tc>
        <w:tc>
          <w:tcPr>
            <w:tcW w:w="880" w:type="pct"/>
            <w:tcBorders>
              <w:top w:val="nil"/>
              <w:left w:val="nil"/>
              <w:bottom w:val="single" w:sz="8" w:space="0" w:color="auto"/>
              <w:right w:val="single" w:sz="8" w:space="0" w:color="auto"/>
            </w:tcBorders>
            <w:shd w:val="clear" w:color="auto" w:fill="auto"/>
            <w:vAlign w:val="center"/>
            <w:hideMark/>
          </w:tcPr>
          <w:p w14:paraId="6BB0CABE"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74</w:t>
            </w:r>
          </w:p>
        </w:tc>
      </w:tr>
      <w:tr w:rsidR="009407D2" w:rsidRPr="009407D2" w14:paraId="288F9529" w14:textId="77777777" w:rsidTr="001D0C10">
        <w:trPr>
          <w:trHeight w:val="406"/>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689482AF"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Pensiones Alimentarias</w:t>
            </w:r>
          </w:p>
        </w:tc>
        <w:tc>
          <w:tcPr>
            <w:tcW w:w="1001" w:type="pct"/>
            <w:tcBorders>
              <w:top w:val="nil"/>
              <w:left w:val="nil"/>
              <w:bottom w:val="single" w:sz="8" w:space="0" w:color="auto"/>
              <w:right w:val="single" w:sz="8" w:space="0" w:color="auto"/>
            </w:tcBorders>
            <w:shd w:val="clear" w:color="auto" w:fill="auto"/>
            <w:vAlign w:val="center"/>
            <w:hideMark/>
          </w:tcPr>
          <w:p w14:paraId="24664FD0"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12</w:t>
            </w:r>
          </w:p>
        </w:tc>
        <w:tc>
          <w:tcPr>
            <w:tcW w:w="1302" w:type="pct"/>
            <w:tcBorders>
              <w:top w:val="nil"/>
              <w:left w:val="nil"/>
              <w:bottom w:val="single" w:sz="8" w:space="0" w:color="auto"/>
              <w:right w:val="single" w:sz="8" w:space="0" w:color="auto"/>
            </w:tcBorders>
            <w:shd w:val="clear" w:color="auto" w:fill="auto"/>
            <w:vAlign w:val="center"/>
            <w:hideMark/>
          </w:tcPr>
          <w:p w14:paraId="0410A90C"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64</w:t>
            </w:r>
          </w:p>
        </w:tc>
        <w:tc>
          <w:tcPr>
            <w:tcW w:w="880" w:type="pct"/>
            <w:tcBorders>
              <w:top w:val="nil"/>
              <w:left w:val="nil"/>
              <w:bottom w:val="single" w:sz="8" w:space="0" w:color="auto"/>
              <w:right w:val="single" w:sz="8" w:space="0" w:color="auto"/>
            </w:tcBorders>
            <w:shd w:val="clear" w:color="auto" w:fill="auto"/>
            <w:vAlign w:val="center"/>
            <w:hideMark/>
          </w:tcPr>
          <w:p w14:paraId="0E31D39B"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76</w:t>
            </w:r>
          </w:p>
        </w:tc>
      </w:tr>
      <w:tr w:rsidR="009407D2" w:rsidRPr="009407D2" w14:paraId="6F299D9E" w14:textId="77777777" w:rsidTr="009407D2">
        <w:trPr>
          <w:trHeight w:val="320"/>
        </w:trPr>
        <w:tc>
          <w:tcPr>
            <w:tcW w:w="1817" w:type="pct"/>
            <w:tcBorders>
              <w:top w:val="nil"/>
              <w:left w:val="single" w:sz="8" w:space="0" w:color="auto"/>
              <w:bottom w:val="single" w:sz="8" w:space="0" w:color="auto"/>
              <w:right w:val="single" w:sz="8" w:space="0" w:color="auto"/>
            </w:tcBorders>
            <w:shd w:val="clear" w:color="000000" w:fill="808080"/>
            <w:noWrap/>
            <w:vAlign w:val="center"/>
            <w:hideMark/>
          </w:tcPr>
          <w:p w14:paraId="275A140C" w14:textId="77777777" w:rsidR="009407D2" w:rsidRPr="009407D2" w:rsidRDefault="009407D2" w:rsidP="009407D2">
            <w:pPr>
              <w:spacing w:after="0" w:line="240" w:lineRule="auto"/>
              <w:jc w:val="right"/>
              <w:rPr>
                <w:rFonts w:ascii="Book Antiqua" w:eastAsia="Times New Roman" w:hAnsi="Book Antiqua" w:cs="Calibri"/>
                <w:b/>
                <w:bCs/>
                <w:color w:val="FFFFFF"/>
                <w:sz w:val="24"/>
                <w:szCs w:val="24"/>
                <w:lang w:eastAsia="es-CR"/>
              </w:rPr>
            </w:pPr>
            <w:bookmarkStart w:id="13" w:name="_Hlk97267091"/>
            <w:r w:rsidRPr="009407D2">
              <w:rPr>
                <w:rFonts w:ascii="Book Antiqua" w:eastAsia="Times New Roman" w:hAnsi="Book Antiqua" w:cs="Calibri"/>
                <w:b/>
                <w:bCs/>
                <w:color w:val="FFFFFF"/>
                <w:sz w:val="24"/>
                <w:szCs w:val="24"/>
                <w:lang w:eastAsia="es-CR"/>
              </w:rPr>
              <w:t>Total</w:t>
            </w:r>
          </w:p>
        </w:tc>
        <w:tc>
          <w:tcPr>
            <w:tcW w:w="1001" w:type="pct"/>
            <w:tcBorders>
              <w:top w:val="nil"/>
              <w:left w:val="nil"/>
              <w:bottom w:val="single" w:sz="8" w:space="0" w:color="auto"/>
              <w:right w:val="single" w:sz="8" w:space="0" w:color="auto"/>
            </w:tcBorders>
            <w:shd w:val="clear" w:color="000000" w:fill="808080"/>
            <w:noWrap/>
            <w:vAlign w:val="center"/>
            <w:hideMark/>
          </w:tcPr>
          <w:p w14:paraId="45BFD525"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38</w:t>
            </w:r>
          </w:p>
        </w:tc>
        <w:tc>
          <w:tcPr>
            <w:tcW w:w="1302" w:type="pct"/>
            <w:tcBorders>
              <w:top w:val="nil"/>
              <w:left w:val="nil"/>
              <w:bottom w:val="single" w:sz="8" w:space="0" w:color="auto"/>
              <w:right w:val="single" w:sz="8" w:space="0" w:color="auto"/>
            </w:tcBorders>
            <w:shd w:val="clear" w:color="000000" w:fill="808080"/>
            <w:noWrap/>
            <w:vAlign w:val="center"/>
            <w:hideMark/>
          </w:tcPr>
          <w:p w14:paraId="6B60BC8A"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143</w:t>
            </w:r>
          </w:p>
        </w:tc>
        <w:tc>
          <w:tcPr>
            <w:tcW w:w="880" w:type="pct"/>
            <w:tcBorders>
              <w:top w:val="nil"/>
              <w:left w:val="nil"/>
              <w:bottom w:val="single" w:sz="8" w:space="0" w:color="auto"/>
              <w:right w:val="single" w:sz="8" w:space="0" w:color="auto"/>
            </w:tcBorders>
            <w:shd w:val="clear" w:color="000000" w:fill="808080"/>
            <w:noWrap/>
            <w:vAlign w:val="center"/>
            <w:hideMark/>
          </w:tcPr>
          <w:p w14:paraId="792DDAA3"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181</w:t>
            </w:r>
            <w:bookmarkEnd w:id="10"/>
          </w:p>
        </w:tc>
      </w:tr>
    </w:tbl>
    <w:p w14:paraId="32180160" w14:textId="77777777" w:rsidR="004C2BEA" w:rsidRDefault="009407D2" w:rsidP="004C2BEA">
      <w:pPr>
        <w:spacing w:after="0" w:line="240" w:lineRule="auto"/>
        <w:jc w:val="both"/>
        <w:rPr>
          <w:rFonts w:ascii="Book Antiqua" w:eastAsia="Calibri" w:hAnsi="Book Antiqua" w:cs="Arial"/>
          <w:i/>
          <w:iCs/>
          <w:sz w:val="20"/>
          <w:szCs w:val="20"/>
        </w:rPr>
      </w:pPr>
      <w:bookmarkStart w:id="14" w:name="_Hlk93930185"/>
      <w:bookmarkEnd w:id="11"/>
      <w:r w:rsidRPr="002E0698">
        <w:rPr>
          <w:rFonts w:ascii="Book Antiqua" w:hAnsi="Book Antiqua"/>
          <w:b/>
          <w:bCs/>
          <w:i/>
          <w:iCs/>
          <w:sz w:val="20"/>
          <w:szCs w:val="20"/>
        </w:rPr>
        <w:t>Fuente:</w:t>
      </w:r>
      <w:r w:rsidRPr="007D4541">
        <w:rPr>
          <w:rFonts w:ascii="Book Antiqua" w:hAnsi="Book Antiqua"/>
          <w:i/>
          <w:iCs/>
          <w:sz w:val="20"/>
          <w:szCs w:val="20"/>
        </w:rPr>
        <w:t xml:space="preserve"> </w:t>
      </w:r>
      <w:r w:rsidRPr="007D4541">
        <w:rPr>
          <w:rFonts w:ascii="Book Antiqua" w:eastAsia="Calibri" w:hAnsi="Book Antiqua" w:cs="Arial"/>
          <w:i/>
          <w:iCs/>
          <w:sz w:val="20"/>
          <w:szCs w:val="20"/>
        </w:rPr>
        <w:t>Subproceso de Modernización Institucional</w:t>
      </w:r>
      <w:r w:rsidR="001B35A8">
        <w:rPr>
          <w:rFonts w:ascii="Book Antiqua" w:eastAsia="Calibri" w:hAnsi="Book Antiqua" w:cs="Arial"/>
          <w:i/>
          <w:iCs/>
          <w:sz w:val="20"/>
          <w:szCs w:val="20"/>
        </w:rPr>
        <w:t>.</w:t>
      </w:r>
      <w:bookmarkEnd w:id="13"/>
      <w:bookmarkEnd w:id="14"/>
    </w:p>
    <w:p w14:paraId="468AB930" w14:textId="4701EDEB" w:rsidR="007D4541" w:rsidRDefault="007D4541" w:rsidP="004C2BEA">
      <w:pPr>
        <w:spacing w:after="0" w:line="240" w:lineRule="auto"/>
        <w:jc w:val="both"/>
        <w:rPr>
          <w:rFonts w:ascii="Book Antiqua" w:eastAsia="Calibri" w:hAnsi="Book Antiqua" w:cs="Arial"/>
          <w:i/>
          <w:iCs/>
          <w:sz w:val="20"/>
          <w:szCs w:val="20"/>
        </w:rPr>
      </w:pPr>
      <w:r>
        <w:rPr>
          <w:rFonts w:ascii="Book Antiqua" w:eastAsia="Calibri" w:hAnsi="Book Antiqua" w:cs="Arial"/>
          <w:i/>
          <w:iCs/>
          <w:sz w:val="20"/>
          <w:szCs w:val="20"/>
        </w:rPr>
        <w:t>*Se incluye la Sala Segunda y el Tribunal de Familia</w:t>
      </w:r>
      <w:r w:rsidR="004C2BEA">
        <w:rPr>
          <w:rFonts w:ascii="Book Antiqua" w:eastAsia="Calibri" w:hAnsi="Book Antiqua" w:cs="Arial"/>
          <w:i/>
          <w:iCs/>
          <w:sz w:val="20"/>
          <w:szCs w:val="20"/>
        </w:rPr>
        <w:t>.</w:t>
      </w:r>
    </w:p>
    <w:p w14:paraId="30112A49" w14:textId="77777777" w:rsidR="004C2BEA" w:rsidRPr="007D4541" w:rsidRDefault="004C2BEA" w:rsidP="004C2BEA">
      <w:pPr>
        <w:spacing w:after="0" w:line="240" w:lineRule="auto"/>
        <w:jc w:val="both"/>
        <w:rPr>
          <w:rFonts w:ascii="Book Antiqua" w:hAnsi="Book Antiqua"/>
          <w:i/>
          <w:iCs/>
          <w:sz w:val="20"/>
          <w:szCs w:val="20"/>
        </w:rPr>
      </w:pPr>
    </w:p>
    <w:p w14:paraId="1BB56A76" w14:textId="647BB2F7" w:rsidR="0000734D" w:rsidRPr="0000734D" w:rsidRDefault="0000734D" w:rsidP="0000734D">
      <w:pPr>
        <w:spacing w:after="0" w:line="276" w:lineRule="auto"/>
        <w:jc w:val="both"/>
        <w:rPr>
          <w:rFonts w:ascii="Book Antiqua" w:eastAsia="Calibri" w:hAnsi="Book Antiqua" w:cs="Arial"/>
          <w:sz w:val="24"/>
          <w:szCs w:val="24"/>
        </w:rPr>
      </w:pPr>
      <w:r w:rsidRPr="0000734D">
        <w:rPr>
          <w:rFonts w:ascii="Book Antiqua" w:eastAsia="Calibri" w:hAnsi="Book Antiqua" w:cs="Arial"/>
          <w:sz w:val="24"/>
          <w:szCs w:val="24"/>
        </w:rPr>
        <w:t>De los 181 despachos</w:t>
      </w:r>
      <w:r>
        <w:rPr>
          <w:rFonts w:ascii="Book Antiqua" w:eastAsia="Calibri" w:hAnsi="Book Antiqua" w:cs="Arial"/>
          <w:sz w:val="24"/>
          <w:szCs w:val="24"/>
        </w:rPr>
        <w:t>,</w:t>
      </w:r>
      <w:r w:rsidRPr="0000734D">
        <w:rPr>
          <w:rFonts w:ascii="Book Antiqua" w:eastAsia="Calibri" w:hAnsi="Book Antiqua" w:cs="Arial"/>
          <w:sz w:val="24"/>
          <w:szCs w:val="24"/>
        </w:rPr>
        <w:t xml:space="preserve"> se debe aclarar que se identifican 6</w:t>
      </w:r>
      <w:r w:rsidR="00486439">
        <w:rPr>
          <w:rFonts w:ascii="Book Antiqua" w:eastAsia="Calibri" w:hAnsi="Book Antiqua" w:cs="Arial"/>
          <w:sz w:val="24"/>
          <w:szCs w:val="24"/>
        </w:rPr>
        <w:t>3</w:t>
      </w:r>
      <w:r w:rsidRPr="0000734D">
        <w:rPr>
          <w:rFonts w:ascii="Book Antiqua" w:eastAsia="Calibri" w:hAnsi="Book Antiqua" w:cs="Arial"/>
          <w:sz w:val="24"/>
          <w:szCs w:val="24"/>
        </w:rPr>
        <w:t xml:space="preserve"> despachos con competencia en dos materias, ya sea Familia y Violencia Doméstica, o bien Pensiones Alimentarias y Violencia Doméstica. Por lo anterior, al excluirlos del dato global, se obtiene que en la realidad la totalidad de despachos judiciales implicados en el Código Procesal de </w:t>
      </w:r>
      <w:r w:rsidR="00E354F4" w:rsidRPr="0000734D">
        <w:rPr>
          <w:rFonts w:ascii="Book Antiqua" w:eastAsia="Calibri" w:hAnsi="Book Antiqua" w:cs="Arial"/>
          <w:sz w:val="24"/>
          <w:szCs w:val="24"/>
        </w:rPr>
        <w:t>Familia</w:t>
      </w:r>
      <w:r w:rsidRPr="0000734D">
        <w:rPr>
          <w:rFonts w:ascii="Book Antiqua" w:eastAsia="Calibri" w:hAnsi="Book Antiqua" w:cs="Arial"/>
          <w:sz w:val="24"/>
          <w:szCs w:val="24"/>
        </w:rPr>
        <w:t xml:space="preserve"> se estima en 11</w:t>
      </w:r>
      <w:r w:rsidR="008D6914">
        <w:rPr>
          <w:rFonts w:ascii="Book Antiqua" w:eastAsia="Calibri" w:hAnsi="Book Antiqua" w:cs="Arial"/>
          <w:sz w:val="24"/>
          <w:szCs w:val="24"/>
        </w:rPr>
        <w:t>8</w:t>
      </w:r>
      <w:r w:rsidRPr="0000734D">
        <w:rPr>
          <w:rFonts w:ascii="Book Antiqua" w:eastAsia="Calibri" w:hAnsi="Book Antiqua" w:cs="Arial"/>
          <w:sz w:val="24"/>
          <w:szCs w:val="24"/>
        </w:rPr>
        <w:t xml:space="preserve"> juzgados. </w:t>
      </w:r>
    </w:p>
    <w:p w14:paraId="18E92F00" w14:textId="1B2E9192" w:rsidR="00CB12BF" w:rsidRPr="00380ACA" w:rsidRDefault="0000734D" w:rsidP="00380ACA">
      <w:pPr>
        <w:spacing w:after="0" w:line="276" w:lineRule="auto"/>
        <w:jc w:val="both"/>
        <w:rPr>
          <w:rFonts w:ascii="Book Antiqua" w:eastAsia="Calibri" w:hAnsi="Book Antiqua" w:cs="Arial"/>
          <w:sz w:val="24"/>
          <w:szCs w:val="24"/>
        </w:rPr>
      </w:pPr>
      <w:r w:rsidRPr="0000734D">
        <w:rPr>
          <w:rFonts w:ascii="Book Antiqua" w:eastAsia="Calibri" w:hAnsi="Book Antiqua" w:cs="Arial"/>
          <w:sz w:val="24"/>
          <w:szCs w:val="24"/>
        </w:rPr>
        <w:t>En el siguiente cuadro se muestran los 11</w:t>
      </w:r>
      <w:r w:rsidR="008D6914">
        <w:rPr>
          <w:rFonts w:ascii="Book Antiqua" w:eastAsia="Calibri" w:hAnsi="Book Antiqua" w:cs="Arial"/>
          <w:sz w:val="24"/>
          <w:szCs w:val="24"/>
        </w:rPr>
        <w:t>8</w:t>
      </w:r>
      <w:r w:rsidRPr="0000734D">
        <w:rPr>
          <w:rFonts w:ascii="Book Antiqua" w:eastAsia="Calibri" w:hAnsi="Book Antiqua" w:cs="Arial"/>
          <w:sz w:val="24"/>
          <w:szCs w:val="24"/>
        </w:rPr>
        <w:t xml:space="preserve"> despachos de Familia, Violencia Doméstica y Pensiones Alimentarias en el país, incluyendo los Juzgados Contravencionales, ya que en el caso que en la zona no haya despacho de Familia, o Violencia Doméstica estos asumirían el caso. </w:t>
      </w:r>
    </w:p>
    <w:p w14:paraId="0172BF78" w14:textId="4277B890" w:rsid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 xml:space="preserve">Cuadro </w:t>
      </w:r>
      <w:r w:rsidRPr="00B11504">
        <w:rPr>
          <w:rFonts w:ascii="Book Antiqua" w:eastAsia="Calibri" w:hAnsi="Book Antiqua" w:cs="Arial"/>
          <w:b/>
          <w:bCs/>
          <w:color w:val="1F497D"/>
          <w:szCs w:val="24"/>
          <w:lang w:val="es-ES" w:eastAsia="es-ES"/>
        </w:rPr>
        <w:fldChar w:fldCharType="begin"/>
      </w:r>
      <w:r w:rsidRPr="00B11504">
        <w:rPr>
          <w:rFonts w:ascii="Book Antiqua" w:eastAsia="Calibri" w:hAnsi="Book Antiqua" w:cs="Arial"/>
          <w:b/>
          <w:bCs/>
          <w:color w:val="1F497D"/>
          <w:szCs w:val="24"/>
          <w:lang w:val="es-ES" w:eastAsia="es-ES"/>
        </w:rPr>
        <w:instrText xml:space="preserve"> SEQ Cuadro \* ARABIC </w:instrText>
      </w:r>
      <w:r w:rsidRPr="00B11504">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w:t>
      </w:r>
      <w:r w:rsidRPr="00B11504">
        <w:rPr>
          <w:rFonts w:ascii="Book Antiqua" w:eastAsia="Calibri" w:hAnsi="Book Antiqua" w:cs="Arial"/>
          <w:b/>
          <w:bCs/>
          <w:color w:val="1F497D"/>
          <w:szCs w:val="24"/>
          <w:lang w:val="es-ES" w:eastAsia="es-ES"/>
        </w:rPr>
        <w:fldChar w:fldCharType="end"/>
      </w:r>
      <w:r w:rsidRPr="00B11504">
        <w:rPr>
          <w:rFonts w:ascii="Book Antiqua" w:eastAsia="Calibri" w:hAnsi="Book Antiqua" w:cs="Arial"/>
          <w:b/>
          <w:bCs/>
          <w:color w:val="1F497D"/>
          <w:szCs w:val="24"/>
          <w:lang w:val="es-ES" w:eastAsia="es-ES"/>
        </w:rPr>
        <w:t xml:space="preserve"> </w:t>
      </w:r>
    </w:p>
    <w:p w14:paraId="46529B26" w14:textId="77777777" w:rsidR="00B11504" w:rsidRP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 xml:space="preserve">Despachos jurisdiccionales involucrados en el </w:t>
      </w:r>
    </w:p>
    <w:p w14:paraId="6A16E641" w14:textId="77777777" w:rsidR="00B11504" w:rsidRP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Código Procesal de Familia según Circuito al que pertenecen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5"/>
        <w:gridCol w:w="2225"/>
        <w:gridCol w:w="2493"/>
        <w:gridCol w:w="2595"/>
      </w:tblGrid>
      <w:tr w:rsidR="00364499" w:rsidRPr="00832B59" w14:paraId="55630DC1" w14:textId="77777777" w:rsidTr="00612E7C">
        <w:trPr>
          <w:trHeight w:val="57"/>
        </w:trPr>
        <w:tc>
          <w:tcPr>
            <w:tcW w:w="858" w:type="pct"/>
            <w:vMerge w:val="restart"/>
            <w:shd w:val="clear" w:color="000000" w:fill="002060"/>
            <w:vAlign w:val="center"/>
            <w:hideMark/>
          </w:tcPr>
          <w:p w14:paraId="3FE7B3E8"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Circuito</w:t>
            </w:r>
          </w:p>
        </w:tc>
        <w:tc>
          <w:tcPr>
            <w:tcW w:w="4142" w:type="pct"/>
            <w:gridSpan w:val="3"/>
            <w:shd w:val="clear" w:color="000000" w:fill="002060"/>
            <w:vAlign w:val="center"/>
            <w:hideMark/>
          </w:tcPr>
          <w:p w14:paraId="36EDA1C0"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r>
      <w:tr w:rsidR="00364499" w:rsidRPr="00832B59" w14:paraId="79A69152" w14:textId="77777777" w:rsidTr="00612E7C">
        <w:trPr>
          <w:trHeight w:val="57"/>
        </w:trPr>
        <w:tc>
          <w:tcPr>
            <w:tcW w:w="858" w:type="pct"/>
            <w:vMerge/>
            <w:vAlign w:val="center"/>
            <w:hideMark/>
          </w:tcPr>
          <w:p w14:paraId="54137822" w14:textId="77777777" w:rsidR="00364499" w:rsidRPr="001D0C10" w:rsidRDefault="00364499" w:rsidP="001D0C10">
            <w:pPr>
              <w:spacing w:after="0" w:line="240" w:lineRule="auto"/>
              <w:jc w:val="center"/>
              <w:rPr>
                <w:rFonts w:ascii="Book Antiqua" w:eastAsia="Times New Roman" w:hAnsi="Book Antiqua" w:cs="Calibri"/>
                <w:b/>
                <w:bCs/>
                <w:color w:val="FFFFFF"/>
                <w:sz w:val="18"/>
                <w:szCs w:val="18"/>
                <w:lang w:eastAsia="es-CR"/>
              </w:rPr>
            </w:pPr>
          </w:p>
        </w:tc>
        <w:tc>
          <w:tcPr>
            <w:tcW w:w="1260" w:type="pct"/>
            <w:shd w:val="clear" w:color="000000" w:fill="002060"/>
            <w:vAlign w:val="center"/>
            <w:hideMark/>
          </w:tcPr>
          <w:p w14:paraId="09F49416"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Familia</w:t>
            </w:r>
          </w:p>
        </w:tc>
        <w:tc>
          <w:tcPr>
            <w:tcW w:w="1412" w:type="pct"/>
            <w:shd w:val="clear" w:color="000000" w:fill="002060"/>
            <w:vAlign w:val="center"/>
            <w:hideMark/>
          </w:tcPr>
          <w:p w14:paraId="06E1BA68"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Violencia Doméstica</w:t>
            </w:r>
          </w:p>
        </w:tc>
        <w:tc>
          <w:tcPr>
            <w:tcW w:w="1469" w:type="pct"/>
            <w:shd w:val="clear" w:color="000000" w:fill="002060"/>
            <w:vAlign w:val="center"/>
            <w:hideMark/>
          </w:tcPr>
          <w:p w14:paraId="1CB8D3EB"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Pensiones Alimentarias</w:t>
            </w:r>
          </w:p>
        </w:tc>
      </w:tr>
      <w:tr w:rsidR="00364499" w:rsidRPr="00832B59" w14:paraId="12AAD2C3" w14:textId="77777777" w:rsidTr="00612E7C">
        <w:trPr>
          <w:trHeight w:val="57"/>
        </w:trPr>
        <w:tc>
          <w:tcPr>
            <w:tcW w:w="858" w:type="pct"/>
            <w:vMerge w:val="restart"/>
            <w:shd w:val="clear" w:color="auto" w:fill="auto"/>
            <w:vAlign w:val="center"/>
            <w:hideMark/>
          </w:tcPr>
          <w:p w14:paraId="0621E46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San José</w:t>
            </w:r>
          </w:p>
        </w:tc>
        <w:tc>
          <w:tcPr>
            <w:tcW w:w="1260" w:type="pct"/>
            <w:shd w:val="clear" w:color="auto" w:fill="auto"/>
            <w:vAlign w:val="center"/>
            <w:hideMark/>
          </w:tcPr>
          <w:p w14:paraId="5D44601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1.Tribunal de Familia</w:t>
            </w:r>
          </w:p>
        </w:tc>
        <w:tc>
          <w:tcPr>
            <w:tcW w:w="1412" w:type="pct"/>
            <w:vMerge w:val="restart"/>
            <w:shd w:val="clear" w:color="auto" w:fill="auto"/>
            <w:vAlign w:val="center"/>
            <w:hideMark/>
          </w:tcPr>
          <w:p w14:paraId="23274B4B" w14:textId="47E38CE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vMerge w:val="restart"/>
            <w:shd w:val="clear" w:color="auto" w:fill="auto"/>
            <w:vAlign w:val="center"/>
            <w:hideMark/>
          </w:tcPr>
          <w:p w14:paraId="3580362B" w14:textId="7FA1ADA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1C338E99" w14:textId="77777777" w:rsidTr="00612E7C">
        <w:trPr>
          <w:trHeight w:val="57"/>
        </w:trPr>
        <w:tc>
          <w:tcPr>
            <w:tcW w:w="858" w:type="pct"/>
            <w:vMerge/>
            <w:vAlign w:val="center"/>
            <w:hideMark/>
          </w:tcPr>
          <w:p w14:paraId="3E642CB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2414A3A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Sala Segunda</w:t>
            </w:r>
          </w:p>
        </w:tc>
        <w:tc>
          <w:tcPr>
            <w:tcW w:w="1412" w:type="pct"/>
            <w:vMerge/>
            <w:vAlign w:val="center"/>
            <w:hideMark/>
          </w:tcPr>
          <w:p w14:paraId="46D70D7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1469" w:type="pct"/>
            <w:vMerge/>
            <w:vAlign w:val="center"/>
            <w:hideMark/>
          </w:tcPr>
          <w:p w14:paraId="432C793A"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r>
      <w:tr w:rsidR="00364499" w:rsidRPr="00832B59" w14:paraId="54598196" w14:textId="77777777" w:rsidTr="00612E7C">
        <w:trPr>
          <w:trHeight w:val="57"/>
        </w:trPr>
        <w:tc>
          <w:tcPr>
            <w:tcW w:w="858" w:type="pct"/>
            <w:vMerge/>
            <w:vAlign w:val="center"/>
            <w:hideMark/>
          </w:tcPr>
          <w:p w14:paraId="00F245F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6973126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2.Juzgado Primero de Familia de San José</w:t>
            </w:r>
          </w:p>
        </w:tc>
        <w:tc>
          <w:tcPr>
            <w:tcW w:w="1412" w:type="pct"/>
            <w:shd w:val="clear" w:color="auto" w:fill="auto"/>
            <w:vAlign w:val="center"/>
            <w:hideMark/>
          </w:tcPr>
          <w:p w14:paraId="7E952AE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3.Juzgado Violencia Doméstica I Circ. Jud. San José</w:t>
            </w:r>
          </w:p>
        </w:tc>
        <w:tc>
          <w:tcPr>
            <w:tcW w:w="1469" w:type="pct"/>
            <w:shd w:val="clear" w:color="auto" w:fill="auto"/>
            <w:vAlign w:val="center"/>
            <w:hideMark/>
          </w:tcPr>
          <w:p w14:paraId="3B9B6AB5" w14:textId="78906FF4"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4.Juzgado Pensiones Alimentarias I Circ. Jud. San José</w:t>
            </w:r>
          </w:p>
        </w:tc>
      </w:tr>
      <w:tr w:rsidR="00364499" w:rsidRPr="00832B59" w14:paraId="643BE93D" w14:textId="77777777" w:rsidTr="00612E7C">
        <w:trPr>
          <w:trHeight w:val="57"/>
        </w:trPr>
        <w:tc>
          <w:tcPr>
            <w:tcW w:w="858" w:type="pct"/>
            <w:vMerge/>
            <w:vAlign w:val="center"/>
            <w:hideMark/>
          </w:tcPr>
          <w:p w14:paraId="08CD3D8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44BEE678"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5.Juzgado Segundo de Familia de San José</w:t>
            </w:r>
          </w:p>
        </w:tc>
        <w:tc>
          <w:tcPr>
            <w:tcW w:w="1412" w:type="pct"/>
            <w:shd w:val="clear" w:color="auto" w:fill="auto"/>
            <w:vAlign w:val="center"/>
            <w:hideMark/>
          </w:tcPr>
          <w:p w14:paraId="6A9C75CA" w14:textId="5823E723"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1469" w:type="pct"/>
            <w:shd w:val="clear" w:color="auto" w:fill="auto"/>
            <w:vAlign w:val="center"/>
            <w:hideMark/>
          </w:tcPr>
          <w:p w14:paraId="0F5FAB51" w14:textId="74672186"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r>
      <w:tr w:rsidR="00364499" w:rsidRPr="00832B59" w14:paraId="2FF6F49E" w14:textId="77777777" w:rsidTr="00612E7C">
        <w:trPr>
          <w:trHeight w:val="57"/>
        </w:trPr>
        <w:tc>
          <w:tcPr>
            <w:tcW w:w="858" w:type="pct"/>
            <w:vMerge/>
            <w:vAlign w:val="center"/>
            <w:hideMark/>
          </w:tcPr>
          <w:p w14:paraId="696FA67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7B5142B8"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 Juzgado de Familia, de Niñez y Adolescencia</w:t>
            </w:r>
          </w:p>
        </w:tc>
        <w:tc>
          <w:tcPr>
            <w:tcW w:w="1412" w:type="pct"/>
            <w:shd w:val="clear" w:color="auto" w:fill="auto"/>
            <w:vAlign w:val="center"/>
            <w:hideMark/>
          </w:tcPr>
          <w:p w14:paraId="77798ED7" w14:textId="337DFC87"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1469" w:type="pct"/>
            <w:shd w:val="clear" w:color="auto" w:fill="auto"/>
            <w:vAlign w:val="center"/>
            <w:hideMark/>
          </w:tcPr>
          <w:p w14:paraId="0D69D401" w14:textId="034DA1C9"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r>
      <w:tr w:rsidR="00364499" w:rsidRPr="00832B59" w14:paraId="4980AC66" w14:textId="77777777" w:rsidTr="00612E7C">
        <w:trPr>
          <w:trHeight w:val="57"/>
        </w:trPr>
        <w:tc>
          <w:tcPr>
            <w:tcW w:w="858" w:type="pct"/>
            <w:vMerge/>
            <w:vAlign w:val="center"/>
            <w:hideMark/>
          </w:tcPr>
          <w:p w14:paraId="30132B7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auto" w:fill="auto"/>
            <w:vAlign w:val="center"/>
            <w:hideMark/>
          </w:tcPr>
          <w:p w14:paraId="6A77347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7.Juzgado Civil, Trabajo y Familia de Puriscal</w:t>
            </w:r>
          </w:p>
        </w:tc>
        <w:tc>
          <w:tcPr>
            <w:tcW w:w="1469" w:type="pct"/>
            <w:shd w:val="clear" w:color="auto" w:fill="auto"/>
            <w:vAlign w:val="center"/>
            <w:hideMark/>
          </w:tcPr>
          <w:p w14:paraId="7A23C670"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8.Juzgado Contravencional Puriscal</w:t>
            </w:r>
          </w:p>
        </w:tc>
      </w:tr>
      <w:tr w:rsidR="00364499" w:rsidRPr="00832B59" w14:paraId="7DD5E361" w14:textId="77777777" w:rsidTr="00612E7C">
        <w:trPr>
          <w:trHeight w:val="57"/>
        </w:trPr>
        <w:tc>
          <w:tcPr>
            <w:tcW w:w="858" w:type="pct"/>
            <w:vMerge/>
            <w:vAlign w:val="center"/>
            <w:hideMark/>
          </w:tcPr>
          <w:p w14:paraId="6862ACA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2C877112" w14:textId="54444E38"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63097B8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9.Juzgado Pensiones y Violencia Doméstica Escazú</w:t>
            </w:r>
          </w:p>
        </w:tc>
      </w:tr>
      <w:tr w:rsidR="00364499" w:rsidRPr="00832B59" w14:paraId="5A1A94EE" w14:textId="77777777" w:rsidTr="00612E7C">
        <w:trPr>
          <w:trHeight w:val="57"/>
        </w:trPr>
        <w:tc>
          <w:tcPr>
            <w:tcW w:w="858" w:type="pct"/>
            <w:vMerge/>
            <w:vAlign w:val="center"/>
            <w:hideMark/>
          </w:tcPr>
          <w:p w14:paraId="1180F6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1B7F51DF" w14:textId="5B79AF02"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E7498E5" w14:textId="663BC973"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10.Juzgado Contravencional Santa Ana</w:t>
            </w:r>
          </w:p>
        </w:tc>
      </w:tr>
      <w:tr w:rsidR="00364499" w:rsidRPr="00832B59" w14:paraId="3473FC42" w14:textId="77777777" w:rsidTr="00612E7C">
        <w:trPr>
          <w:trHeight w:val="57"/>
        </w:trPr>
        <w:tc>
          <w:tcPr>
            <w:tcW w:w="858" w:type="pct"/>
            <w:vMerge/>
            <w:vAlign w:val="center"/>
            <w:hideMark/>
          </w:tcPr>
          <w:p w14:paraId="48D0658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7DD39134" w14:textId="1EAC25EF"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38767BB1" w14:textId="4D37FD8B"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11.Juzgado Contravencional Mora</w:t>
            </w:r>
          </w:p>
        </w:tc>
      </w:tr>
      <w:tr w:rsidR="00364499" w:rsidRPr="00832B59" w14:paraId="75582619" w14:textId="77777777" w:rsidTr="00612E7C">
        <w:trPr>
          <w:trHeight w:val="57"/>
        </w:trPr>
        <w:tc>
          <w:tcPr>
            <w:tcW w:w="858" w:type="pct"/>
            <w:vMerge/>
            <w:vAlign w:val="center"/>
            <w:hideMark/>
          </w:tcPr>
          <w:p w14:paraId="60A14A5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26ADC7B2" w14:textId="78068E6A"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3D2B43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12.Juzgado Contravencional Turrubares</w:t>
            </w:r>
          </w:p>
        </w:tc>
      </w:tr>
      <w:tr w:rsidR="00364499" w:rsidRPr="00832B59" w14:paraId="76E8B8C3" w14:textId="77777777" w:rsidTr="00612E7C">
        <w:trPr>
          <w:trHeight w:val="57"/>
        </w:trPr>
        <w:tc>
          <w:tcPr>
            <w:tcW w:w="858" w:type="pct"/>
            <w:shd w:val="clear" w:color="000000" w:fill="D9E1F2"/>
            <w:vAlign w:val="center"/>
            <w:hideMark/>
          </w:tcPr>
          <w:p w14:paraId="51BA8CF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San José</w:t>
            </w:r>
          </w:p>
        </w:tc>
        <w:tc>
          <w:tcPr>
            <w:tcW w:w="1260" w:type="pct"/>
            <w:shd w:val="clear" w:color="000000" w:fill="D9E1F2"/>
            <w:vAlign w:val="center"/>
            <w:hideMark/>
          </w:tcPr>
          <w:p w14:paraId="7CBF7BC8"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13.Juzgado Familia II Circ. Jud. San José</w:t>
            </w:r>
          </w:p>
        </w:tc>
        <w:tc>
          <w:tcPr>
            <w:tcW w:w="1412" w:type="pct"/>
            <w:shd w:val="clear" w:color="000000" w:fill="D9E1F2"/>
            <w:vAlign w:val="center"/>
            <w:hideMark/>
          </w:tcPr>
          <w:p w14:paraId="58FC987F" w14:textId="40D70C7A"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14.Juzgado Violencia Doméstica II Circ. Jud. San José (Goicoechea)</w:t>
            </w:r>
            <w:r w:rsidR="004066A7">
              <w:rPr>
                <w:rFonts w:ascii="Book Antiqua" w:eastAsia="Times New Roman" w:hAnsi="Book Antiqua" w:cs="Calibri"/>
                <w:color w:val="000000"/>
                <w:sz w:val="18"/>
                <w:szCs w:val="18"/>
                <w:lang w:eastAsia="es-CR"/>
              </w:rPr>
              <w:t xml:space="preserve"> y Turno extraordinario</w:t>
            </w:r>
          </w:p>
        </w:tc>
        <w:tc>
          <w:tcPr>
            <w:tcW w:w="1469" w:type="pct"/>
            <w:shd w:val="clear" w:color="000000" w:fill="D9E1F2"/>
            <w:vAlign w:val="center"/>
            <w:hideMark/>
          </w:tcPr>
          <w:p w14:paraId="6D732F41" w14:textId="7202E942"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15.Juzgado Pensiones Alimentarias II Circ. Jud. San José (Goicoechea)</w:t>
            </w:r>
            <w:r w:rsidR="004066A7">
              <w:rPr>
                <w:rFonts w:ascii="Book Antiqua" w:eastAsia="Times New Roman" w:hAnsi="Book Antiqua" w:cs="Calibri"/>
                <w:color w:val="000000"/>
                <w:sz w:val="18"/>
                <w:szCs w:val="18"/>
                <w:lang w:eastAsia="es-CR"/>
              </w:rPr>
              <w:t xml:space="preserve"> </w:t>
            </w:r>
          </w:p>
        </w:tc>
      </w:tr>
      <w:tr w:rsidR="00364499" w:rsidRPr="00832B59" w14:paraId="33A0DC78" w14:textId="77777777" w:rsidTr="00612E7C">
        <w:trPr>
          <w:trHeight w:val="57"/>
        </w:trPr>
        <w:tc>
          <w:tcPr>
            <w:tcW w:w="858" w:type="pct"/>
            <w:vMerge w:val="restart"/>
            <w:shd w:val="clear" w:color="auto" w:fill="auto"/>
            <w:vAlign w:val="center"/>
            <w:hideMark/>
          </w:tcPr>
          <w:p w14:paraId="5904FD4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III Circuito Judicial de San José</w:t>
            </w:r>
          </w:p>
        </w:tc>
        <w:tc>
          <w:tcPr>
            <w:tcW w:w="1260" w:type="pct"/>
            <w:shd w:val="clear" w:color="auto" w:fill="auto"/>
            <w:vAlign w:val="center"/>
            <w:hideMark/>
          </w:tcPr>
          <w:p w14:paraId="2F74C6E3"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16.Juzgado de Trabajo y Familia de Hatillo, San Seb. y Alajuelita</w:t>
            </w:r>
          </w:p>
        </w:tc>
        <w:tc>
          <w:tcPr>
            <w:tcW w:w="1412" w:type="pct"/>
            <w:shd w:val="clear" w:color="auto" w:fill="auto"/>
            <w:vAlign w:val="center"/>
            <w:hideMark/>
          </w:tcPr>
          <w:p w14:paraId="2DFEBA3F"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17.Juzgado Violencia Doméstica Hatillo, San Sebas. y Alajuelita</w:t>
            </w:r>
          </w:p>
        </w:tc>
        <w:tc>
          <w:tcPr>
            <w:tcW w:w="1469" w:type="pct"/>
            <w:shd w:val="clear" w:color="auto" w:fill="auto"/>
            <w:vAlign w:val="center"/>
            <w:hideMark/>
          </w:tcPr>
          <w:p w14:paraId="203BDD2D"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18.Juzgado Contravencional Hatillo</w:t>
            </w:r>
          </w:p>
        </w:tc>
      </w:tr>
      <w:tr w:rsidR="00364499" w:rsidRPr="00832B59" w14:paraId="3C241735" w14:textId="77777777" w:rsidTr="00612E7C">
        <w:trPr>
          <w:trHeight w:val="57"/>
        </w:trPr>
        <w:tc>
          <w:tcPr>
            <w:tcW w:w="858" w:type="pct"/>
            <w:vMerge/>
            <w:vAlign w:val="center"/>
            <w:hideMark/>
          </w:tcPr>
          <w:p w14:paraId="3D36A84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74E1BC72" w14:textId="2E927F4E"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1412" w:type="pct"/>
            <w:shd w:val="clear" w:color="auto" w:fill="auto"/>
            <w:vAlign w:val="center"/>
            <w:hideMark/>
          </w:tcPr>
          <w:p w14:paraId="130764C4" w14:textId="452AA47C"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1469" w:type="pct"/>
            <w:shd w:val="clear" w:color="auto" w:fill="auto"/>
            <w:vAlign w:val="center"/>
            <w:hideMark/>
          </w:tcPr>
          <w:p w14:paraId="1DB176B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19.Juzgado Contravencional San Sebastián</w:t>
            </w:r>
          </w:p>
        </w:tc>
      </w:tr>
      <w:tr w:rsidR="00364499" w:rsidRPr="00832B59" w14:paraId="1952104B" w14:textId="77777777" w:rsidTr="00612E7C">
        <w:trPr>
          <w:trHeight w:val="57"/>
        </w:trPr>
        <w:tc>
          <w:tcPr>
            <w:tcW w:w="858" w:type="pct"/>
            <w:vMerge/>
            <w:vAlign w:val="center"/>
            <w:hideMark/>
          </w:tcPr>
          <w:p w14:paraId="4F9B261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0E113865" w14:textId="0FF4F806"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1412" w:type="pct"/>
            <w:shd w:val="clear" w:color="auto" w:fill="auto"/>
            <w:vAlign w:val="center"/>
            <w:hideMark/>
          </w:tcPr>
          <w:p w14:paraId="45AD2DB8" w14:textId="43DBC2E4"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1469" w:type="pct"/>
            <w:shd w:val="clear" w:color="auto" w:fill="auto"/>
            <w:vAlign w:val="center"/>
            <w:hideMark/>
          </w:tcPr>
          <w:p w14:paraId="1FBFBA1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20.Juzgado Contravencional Alajuelita</w:t>
            </w:r>
          </w:p>
        </w:tc>
      </w:tr>
      <w:tr w:rsidR="00364499" w:rsidRPr="00832B59" w14:paraId="26CF7828" w14:textId="77777777" w:rsidTr="00612E7C">
        <w:trPr>
          <w:trHeight w:val="57"/>
        </w:trPr>
        <w:tc>
          <w:tcPr>
            <w:tcW w:w="858" w:type="pct"/>
            <w:vMerge/>
            <w:vAlign w:val="center"/>
            <w:hideMark/>
          </w:tcPr>
          <w:p w14:paraId="7C47D93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6B654096"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21.Juzgado Familia III Circ. Jud. De San José (Desamparados)</w:t>
            </w:r>
          </w:p>
        </w:tc>
        <w:tc>
          <w:tcPr>
            <w:tcW w:w="1412" w:type="pct"/>
            <w:shd w:val="clear" w:color="auto" w:fill="auto"/>
            <w:vAlign w:val="center"/>
            <w:hideMark/>
          </w:tcPr>
          <w:p w14:paraId="266BB57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22.Juzgado Violencia Doméstica III Circ. Jud. San José (Desamparados)</w:t>
            </w:r>
          </w:p>
        </w:tc>
        <w:tc>
          <w:tcPr>
            <w:tcW w:w="1469" w:type="pct"/>
            <w:shd w:val="clear" w:color="auto" w:fill="auto"/>
            <w:vAlign w:val="center"/>
            <w:hideMark/>
          </w:tcPr>
          <w:p w14:paraId="0D1CD978"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23.Juzgado Pensiones Alimentarias III Circ. Jud. San José (Desamparados)</w:t>
            </w:r>
          </w:p>
        </w:tc>
      </w:tr>
      <w:tr w:rsidR="00364499" w:rsidRPr="00832B59" w14:paraId="6B3CAA1B" w14:textId="77777777" w:rsidTr="00612E7C">
        <w:trPr>
          <w:trHeight w:val="57"/>
        </w:trPr>
        <w:tc>
          <w:tcPr>
            <w:tcW w:w="858" w:type="pct"/>
            <w:vMerge/>
            <w:vAlign w:val="center"/>
            <w:hideMark/>
          </w:tcPr>
          <w:p w14:paraId="00416CC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68F6C464" w14:textId="60D06DF5"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5DD90FB6"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24.Juzgado Pensiones y Violencia Doméstica Pavas (PISAV)</w:t>
            </w:r>
          </w:p>
        </w:tc>
      </w:tr>
      <w:tr w:rsidR="00364499" w:rsidRPr="00832B59" w14:paraId="4B733AA1" w14:textId="77777777" w:rsidTr="00612E7C">
        <w:trPr>
          <w:trHeight w:val="57"/>
        </w:trPr>
        <w:tc>
          <w:tcPr>
            <w:tcW w:w="858" w:type="pct"/>
            <w:vMerge/>
            <w:vAlign w:val="center"/>
            <w:hideMark/>
          </w:tcPr>
          <w:p w14:paraId="1156CAB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49ABA087" w14:textId="371734A2"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583A30E9"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25.Juzgado Contravencional Aserrí</w:t>
            </w:r>
          </w:p>
        </w:tc>
      </w:tr>
      <w:tr w:rsidR="00364499" w:rsidRPr="00832B59" w14:paraId="20850831" w14:textId="77777777" w:rsidTr="00612E7C">
        <w:trPr>
          <w:trHeight w:val="57"/>
        </w:trPr>
        <w:tc>
          <w:tcPr>
            <w:tcW w:w="858" w:type="pct"/>
            <w:vMerge/>
            <w:vAlign w:val="center"/>
            <w:hideMark/>
          </w:tcPr>
          <w:p w14:paraId="1E9D001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081A3945" w14:textId="104B0285"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113D2A5"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26.Juzgado Contravencional Acosta</w:t>
            </w:r>
          </w:p>
        </w:tc>
      </w:tr>
      <w:tr w:rsidR="00364499" w:rsidRPr="00832B59" w14:paraId="29E4EB94" w14:textId="77777777" w:rsidTr="00612E7C">
        <w:trPr>
          <w:trHeight w:val="57"/>
        </w:trPr>
        <w:tc>
          <w:tcPr>
            <w:tcW w:w="858" w:type="pct"/>
            <w:vMerge w:val="restart"/>
            <w:shd w:val="clear" w:color="000000" w:fill="D9E1F2"/>
            <w:vAlign w:val="center"/>
            <w:hideMark/>
          </w:tcPr>
          <w:p w14:paraId="2A980A3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Alajuela</w:t>
            </w:r>
          </w:p>
        </w:tc>
        <w:tc>
          <w:tcPr>
            <w:tcW w:w="1260" w:type="pct"/>
            <w:shd w:val="clear" w:color="000000" w:fill="D9E1F2"/>
            <w:vAlign w:val="center"/>
            <w:hideMark/>
          </w:tcPr>
          <w:p w14:paraId="25CC54E5"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27.Juzgado Familia del I Circ. Jud. de Alajuela</w:t>
            </w:r>
          </w:p>
        </w:tc>
        <w:tc>
          <w:tcPr>
            <w:tcW w:w="1412" w:type="pct"/>
            <w:shd w:val="clear" w:color="000000" w:fill="D9E1F2"/>
            <w:vAlign w:val="center"/>
            <w:hideMark/>
          </w:tcPr>
          <w:p w14:paraId="2AE18D2A"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28.Juzgado Violencia Doméstica I Circ. Jud. Alajuela</w:t>
            </w:r>
          </w:p>
        </w:tc>
        <w:tc>
          <w:tcPr>
            <w:tcW w:w="1469" w:type="pct"/>
            <w:shd w:val="clear" w:color="000000" w:fill="D9E1F2"/>
            <w:vAlign w:val="center"/>
            <w:hideMark/>
          </w:tcPr>
          <w:p w14:paraId="29F15209" w14:textId="28AC6FBA"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29.Juzgado Pensiones Alimentarias I Circ. Jud. Alajuela</w:t>
            </w:r>
          </w:p>
        </w:tc>
      </w:tr>
      <w:tr w:rsidR="00364499" w:rsidRPr="00832B59" w14:paraId="38985A37" w14:textId="77777777" w:rsidTr="00612E7C">
        <w:trPr>
          <w:trHeight w:val="57"/>
        </w:trPr>
        <w:tc>
          <w:tcPr>
            <w:tcW w:w="858" w:type="pct"/>
            <w:vMerge/>
            <w:vAlign w:val="center"/>
            <w:hideMark/>
          </w:tcPr>
          <w:p w14:paraId="4E2E4B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61042971" w14:textId="7A46EA04"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77B6BDB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30.Juzgado Contravencional Poás</w:t>
            </w:r>
          </w:p>
        </w:tc>
      </w:tr>
      <w:tr w:rsidR="00364499" w:rsidRPr="00832B59" w14:paraId="1DBBD68C" w14:textId="77777777" w:rsidTr="00612E7C">
        <w:trPr>
          <w:trHeight w:val="57"/>
        </w:trPr>
        <w:tc>
          <w:tcPr>
            <w:tcW w:w="858" w:type="pct"/>
            <w:vMerge/>
            <w:vAlign w:val="center"/>
            <w:hideMark/>
          </w:tcPr>
          <w:p w14:paraId="47C9AFE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1F6DBBB6" w14:textId="0D8C852E"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4FC6EE96"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31.Juzgado Contravencional Atenas</w:t>
            </w:r>
          </w:p>
        </w:tc>
      </w:tr>
      <w:tr w:rsidR="00364499" w:rsidRPr="00832B59" w14:paraId="1A95D23E" w14:textId="77777777" w:rsidTr="00612E7C">
        <w:trPr>
          <w:trHeight w:val="57"/>
        </w:trPr>
        <w:tc>
          <w:tcPr>
            <w:tcW w:w="858" w:type="pct"/>
            <w:vMerge/>
            <w:vAlign w:val="center"/>
            <w:hideMark/>
          </w:tcPr>
          <w:p w14:paraId="4A227B7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27E796CB" w14:textId="62DDF493"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7A90A84F"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32.Juzgado Contravencional San Mateo</w:t>
            </w:r>
          </w:p>
        </w:tc>
      </w:tr>
      <w:tr w:rsidR="00364499" w:rsidRPr="00832B59" w14:paraId="4028B8CC" w14:textId="77777777" w:rsidTr="00612E7C">
        <w:trPr>
          <w:trHeight w:val="57"/>
        </w:trPr>
        <w:tc>
          <w:tcPr>
            <w:tcW w:w="858" w:type="pct"/>
            <w:vMerge/>
            <w:vAlign w:val="center"/>
            <w:hideMark/>
          </w:tcPr>
          <w:p w14:paraId="00AF4B9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5FF3F376" w14:textId="77FC9473"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2CCFEFA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33.Juzgado Contravencional Orotina</w:t>
            </w:r>
          </w:p>
        </w:tc>
      </w:tr>
      <w:tr w:rsidR="00364499" w:rsidRPr="00832B59" w14:paraId="0DD6894D" w14:textId="77777777" w:rsidTr="00612E7C">
        <w:trPr>
          <w:trHeight w:val="57"/>
        </w:trPr>
        <w:tc>
          <w:tcPr>
            <w:tcW w:w="858" w:type="pct"/>
            <w:vMerge w:val="restart"/>
            <w:shd w:val="clear" w:color="auto" w:fill="auto"/>
            <w:vAlign w:val="center"/>
            <w:hideMark/>
          </w:tcPr>
          <w:p w14:paraId="7546449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Alajuela</w:t>
            </w:r>
          </w:p>
        </w:tc>
        <w:tc>
          <w:tcPr>
            <w:tcW w:w="1260" w:type="pct"/>
            <w:shd w:val="clear" w:color="auto" w:fill="auto"/>
            <w:vAlign w:val="center"/>
            <w:hideMark/>
          </w:tcPr>
          <w:p w14:paraId="23C371CA"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34.Juzgado Familia del II Circ. Jud. de Alajuela (San Carlos)</w:t>
            </w:r>
          </w:p>
        </w:tc>
        <w:tc>
          <w:tcPr>
            <w:tcW w:w="1412" w:type="pct"/>
            <w:shd w:val="clear" w:color="auto" w:fill="auto"/>
            <w:vAlign w:val="center"/>
            <w:hideMark/>
          </w:tcPr>
          <w:p w14:paraId="1BF106C3"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35.Juzgado Violencia Doméstica II Circ. Jud. Alajuela (San Carlos)</w:t>
            </w:r>
          </w:p>
        </w:tc>
        <w:tc>
          <w:tcPr>
            <w:tcW w:w="1469" w:type="pct"/>
            <w:shd w:val="clear" w:color="auto" w:fill="auto"/>
            <w:vAlign w:val="center"/>
            <w:hideMark/>
          </w:tcPr>
          <w:p w14:paraId="089D190C"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36.Juzgado Contravencional y Pens. Alimen. II Circ. Jud. Alajuela (San Carlos)</w:t>
            </w:r>
          </w:p>
        </w:tc>
      </w:tr>
      <w:tr w:rsidR="00364499" w:rsidRPr="00832B59" w14:paraId="5B673C75" w14:textId="77777777" w:rsidTr="00612E7C">
        <w:trPr>
          <w:trHeight w:val="57"/>
        </w:trPr>
        <w:tc>
          <w:tcPr>
            <w:tcW w:w="858" w:type="pct"/>
            <w:vMerge/>
            <w:vAlign w:val="center"/>
            <w:hideMark/>
          </w:tcPr>
          <w:p w14:paraId="7A5DFB5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auto" w:fill="auto"/>
            <w:vAlign w:val="center"/>
            <w:hideMark/>
          </w:tcPr>
          <w:p w14:paraId="027FB3BD"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37.Juzgado Civil, Trabajo y Familia del II Circuito Judicial de Alajuela sede Upala</w:t>
            </w:r>
          </w:p>
        </w:tc>
        <w:tc>
          <w:tcPr>
            <w:tcW w:w="1469" w:type="pct"/>
            <w:shd w:val="clear" w:color="auto" w:fill="auto"/>
            <w:vAlign w:val="center"/>
            <w:hideMark/>
          </w:tcPr>
          <w:p w14:paraId="781F14A0"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38.Juzgado Contravencional Upala</w:t>
            </w:r>
          </w:p>
        </w:tc>
      </w:tr>
      <w:tr w:rsidR="00364499" w:rsidRPr="00832B59" w14:paraId="704D7380" w14:textId="77777777" w:rsidTr="00612E7C">
        <w:trPr>
          <w:trHeight w:val="57"/>
        </w:trPr>
        <w:tc>
          <w:tcPr>
            <w:tcW w:w="858" w:type="pct"/>
            <w:vMerge/>
            <w:vAlign w:val="center"/>
            <w:hideMark/>
          </w:tcPr>
          <w:p w14:paraId="2287288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362981BB" w14:textId="2FD7F2F2"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162A47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39.Juzgado Contravencional Los Chiles</w:t>
            </w:r>
          </w:p>
        </w:tc>
      </w:tr>
      <w:tr w:rsidR="00364499" w:rsidRPr="00832B59" w14:paraId="406C7CEB" w14:textId="77777777" w:rsidTr="00612E7C">
        <w:trPr>
          <w:trHeight w:val="57"/>
        </w:trPr>
        <w:tc>
          <w:tcPr>
            <w:tcW w:w="858" w:type="pct"/>
            <w:vMerge/>
            <w:vAlign w:val="center"/>
            <w:hideMark/>
          </w:tcPr>
          <w:p w14:paraId="6654EDE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6337D996" w14:textId="0A8FE870"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0A3367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40.Juzgado Contravencional Guatuso</w:t>
            </w:r>
          </w:p>
        </w:tc>
      </w:tr>
      <w:tr w:rsidR="00364499" w:rsidRPr="00832B59" w14:paraId="24BDB187" w14:textId="77777777" w:rsidTr="00612E7C">
        <w:trPr>
          <w:trHeight w:val="57"/>
        </w:trPr>
        <w:tc>
          <w:tcPr>
            <w:tcW w:w="858" w:type="pct"/>
            <w:vMerge/>
            <w:vAlign w:val="center"/>
            <w:hideMark/>
          </w:tcPr>
          <w:p w14:paraId="1D0124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4FE4259D" w14:textId="4DD4BED8"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E83E38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41.Juzgado Contravencional La Fortuna</w:t>
            </w:r>
          </w:p>
        </w:tc>
      </w:tr>
      <w:tr w:rsidR="00364499" w:rsidRPr="00832B59" w14:paraId="16A40FB5" w14:textId="77777777" w:rsidTr="00612E7C">
        <w:trPr>
          <w:trHeight w:val="57"/>
        </w:trPr>
        <w:tc>
          <w:tcPr>
            <w:tcW w:w="858" w:type="pct"/>
            <w:vMerge w:val="restart"/>
            <w:shd w:val="clear" w:color="000000" w:fill="D9E1F2"/>
            <w:vAlign w:val="center"/>
            <w:hideMark/>
          </w:tcPr>
          <w:p w14:paraId="1C50541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III Circuito Judicial de Alajuela</w:t>
            </w:r>
          </w:p>
        </w:tc>
        <w:tc>
          <w:tcPr>
            <w:tcW w:w="2672" w:type="pct"/>
            <w:gridSpan w:val="2"/>
            <w:shd w:val="clear" w:color="000000" w:fill="D9E1F2"/>
            <w:vAlign w:val="center"/>
            <w:hideMark/>
          </w:tcPr>
          <w:p w14:paraId="50B7049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42.Juzgado de Familia y Viol. Doméstica Grecia</w:t>
            </w:r>
          </w:p>
        </w:tc>
        <w:tc>
          <w:tcPr>
            <w:tcW w:w="1469" w:type="pct"/>
            <w:shd w:val="clear" w:color="000000" w:fill="D9E1F2"/>
            <w:vAlign w:val="center"/>
            <w:hideMark/>
          </w:tcPr>
          <w:p w14:paraId="1837257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43.Juzgado de Cobro, Contravencional Grecia</w:t>
            </w:r>
          </w:p>
        </w:tc>
      </w:tr>
      <w:tr w:rsidR="00364499" w:rsidRPr="00832B59" w14:paraId="2A78A92C" w14:textId="77777777" w:rsidTr="00612E7C">
        <w:trPr>
          <w:trHeight w:val="57"/>
        </w:trPr>
        <w:tc>
          <w:tcPr>
            <w:tcW w:w="858" w:type="pct"/>
            <w:vMerge/>
            <w:vAlign w:val="center"/>
            <w:hideMark/>
          </w:tcPr>
          <w:p w14:paraId="2EFB5A5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000000" w:fill="D9E1F2"/>
            <w:vAlign w:val="center"/>
            <w:hideMark/>
          </w:tcPr>
          <w:p w14:paraId="7BC4747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44.Juzgado Familia y Viol. Dom. III Circ. Jud. Alajuela (San Ramón)</w:t>
            </w:r>
          </w:p>
        </w:tc>
        <w:tc>
          <w:tcPr>
            <w:tcW w:w="1469" w:type="pct"/>
            <w:shd w:val="clear" w:color="000000" w:fill="D9E1F2"/>
            <w:vAlign w:val="center"/>
            <w:hideMark/>
          </w:tcPr>
          <w:p w14:paraId="3AB41AE5"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45.Juzgado Contr. y Pens. Alimen. III Circ. Jud. Alajuela (San Ramón)</w:t>
            </w:r>
          </w:p>
        </w:tc>
      </w:tr>
      <w:tr w:rsidR="00364499" w:rsidRPr="00832B59" w14:paraId="6AC5E3E0" w14:textId="77777777" w:rsidTr="00612E7C">
        <w:trPr>
          <w:trHeight w:val="57"/>
        </w:trPr>
        <w:tc>
          <w:tcPr>
            <w:tcW w:w="858" w:type="pct"/>
            <w:vMerge/>
            <w:vAlign w:val="center"/>
            <w:hideMark/>
          </w:tcPr>
          <w:p w14:paraId="71FEB8A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53FDC271" w14:textId="75AA3A1C"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49194DA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46.Juzgado Contravencional Zarcero</w:t>
            </w:r>
          </w:p>
        </w:tc>
      </w:tr>
      <w:tr w:rsidR="00364499" w:rsidRPr="00832B59" w14:paraId="19A25E81" w14:textId="77777777" w:rsidTr="00612E7C">
        <w:trPr>
          <w:trHeight w:val="57"/>
        </w:trPr>
        <w:tc>
          <w:tcPr>
            <w:tcW w:w="858" w:type="pct"/>
            <w:vMerge/>
            <w:vAlign w:val="center"/>
            <w:hideMark/>
          </w:tcPr>
          <w:p w14:paraId="44C3F62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2CC6C754" w14:textId="1E84359E"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60D9ABD8"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47.Juzgado Contravencional Valverde Vega</w:t>
            </w:r>
          </w:p>
        </w:tc>
      </w:tr>
      <w:tr w:rsidR="00364499" w:rsidRPr="00832B59" w14:paraId="54AF229E" w14:textId="77777777" w:rsidTr="00612E7C">
        <w:trPr>
          <w:trHeight w:val="57"/>
        </w:trPr>
        <w:tc>
          <w:tcPr>
            <w:tcW w:w="858" w:type="pct"/>
            <w:vMerge/>
            <w:vAlign w:val="center"/>
            <w:hideMark/>
          </w:tcPr>
          <w:p w14:paraId="051036F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5A192267" w14:textId="5109A22C"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1149BB9D"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48.Juzgado Contravencional Naranjo</w:t>
            </w:r>
          </w:p>
        </w:tc>
      </w:tr>
      <w:tr w:rsidR="00364499" w:rsidRPr="00832B59" w14:paraId="151B81B4" w14:textId="77777777" w:rsidTr="00612E7C">
        <w:trPr>
          <w:trHeight w:val="57"/>
        </w:trPr>
        <w:tc>
          <w:tcPr>
            <w:tcW w:w="858" w:type="pct"/>
            <w:vMerge/>
            <w:vAlign w:val="center"/>
            <w:hideMark/>
          </w:tcPr>
          <w:p w14:paraId="5DCFE42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0B70CDCB" w14:textId="799F5F87"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0193908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49.Juzgado Contravencional Palmares</w:t>
            </w:r>
          </w:p>
        </w:tc>
      </w:tr>
      <w:tr w:rsidR="00364499" w:rsidRPr="00832B59" w14:paraId="2C9431F9" w14:textId="77777777" w:rsidTr="00612E7C">
        <w:trPr>
          <w:trHeight w:val="57"/>
        </w:trPr>
        <w:tc>
          <w:tcPr>
            <w:tcW w:w="858" w:type="pct"/>
            <w:vMerge w:val="restart"/>
            <w:shd w:val="clear" w:color="auto" w:fill="auto"/>
            <w:vAlign w:val="center"/>
            <w:hideMark/>
          </w:tcPr>
          <w:p w14:paraId="5B4B8BE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Cartago</w:t>
            </w:r>
          </w:p>
        </w:tc>
        <w:tc>
          <w:tcPr>
            <w:tcW w:w="1260" w:type="pct"/>
            <w:shd w:val="clear" w:color="auto" w:fill="auto"/>
            <w:vAlign w:val="center"/>
            <w:hideMark/>
          </w:tcPr>
          <w:p w14:paraId="7C42835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50.Juzgado Familia Cartago</w:t>
            </w:r>
          </w:p>
        </w:tc>
        <w:tc>
          <w:tcPr>
            <w:tcW w:w="1412" w:type="pct"/>
            <w:shd w:val="clear" w:color="auto" w:fill="auto"/>
            <w:vAlign w:val="center"/>
            <w:hideMark/>
          </w:tcPr>
          <w:p w14:paraId="1EB5196A"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51.Juzgado Violencia Doméstica Cartago</w:t>
            </w:r>
          </w:p>
        </w:tc>
        <w:tc>
          <w:tcPr>
            <w:tcW w:w="1469" w:type="pct"/>
            <w:shd w:val="clear" w:color="auto" w:fill="auto"/>
            <w:vAlign w:val="center"/>
            <w:hideMark/>
          </w:tcPr>
          <w:p w14:paraId="249CC09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52.Juzgado Pensiones Alimentarias Cartago</w:t>
            </w:r>
          </w:p>
        </w:tc>
      </w:tr>
      <w:tr w:rsidR="00364499" w:rsidRPr="00832B59" w14:paraId="764A955A" w14:textId="77777777" w:rsidTr="00612E7C">
        <w:trPr>
          <w:trHeight w:val="57"/>
        </w:trPr>
        <w:tc>
          <w:tcPr>
            <w:tcW w:w="858" w:type="pct"/>
            <w:vMerge/>
            <w:vAlign w:val="center"/>
            <w:hideMark/>
          </w:tcPr>
          <w:p w14:paraId="4C4DF93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auto" w:fill="auto"/>
            <w:vAlign w:val="center"/>
            <w:hideMark/>
          </w:tcPr>
          <w:p w14:paraId="665FACEB"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53.Juzgado Fam. Pen. Juv. y Viol. Domést. Turrialba</w:t>
            </w:r>
          </w:p>
        </w:tc>
        <w:tc>
          <w:tcPr>
            <w:tcW w:w="1469" w:type="pct"/>
            <w:shd w:val="clear" w:color="auto" w:fill="auto"/>
            <w:vAlign w:val="center"/>
            <w:hideMark/>
          </w:tcPr>
          <w:p w14:paraId="7F7994B3"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54.Juzgado Contravencional Turrialba</w:t>
            </w:r>
          </w:p>
        </w:tc>
      </w:tr>
      <w:tr w:rsidR="00364499" w:rsidRPr="00832B59" w14:paraId="121C8517" w14:textId="77777777" w:rsidTr="00612E7C">
        <w:trPr>
          <w:trHeight w:val="57"/>
        </w:trPr>
        <w:tc>
          <w:tcPr>
            <w:tcW w:w="858" w:type="pct"/>
            <w:vMerge/>
            <w:vAlign w:val="center"/>
            <w:hideMark/>
          </w:tcPr>
          <w:p w14:paraId="2650A77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7F3641BF" w14:textId="7220AD4F"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5F852655"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55.Juzgado Pensiones y Violencia Doméstica La Unión (PISAV)</w:t>
            </w:r>
          </w:p>
        </w:tc>
      </w:tr>
      <w:tr w:rsidR="00364499" w:rsidRPr="00832B59" w14:paraId="3876E032" w14:textId="77777777" w:rsidTr="00612E7C">
        <w:trPr>
          <w:trHeight w:val="57"/>
        </w:trPr>
        <w:tc>
          <w:tcPr>
            <w:tcW w:w="858" w:type="pct"/>
            <w:vMerge/>
            <w:vAlign w:val="center"/>
            <w:hideMark/>
          </w:tcPr>
          <w:p w14:paraId="6B2A80A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58962A1C" w14:textId="6AA5A5DC"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13DA4AD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56.Juzgado Contravencional Tarrazú, Dota y León Cortés</w:t>
            </w:r>
          </w:p>
        </w:tc>
      </w:tr>
      <w:tr w:rsidR="00364499" w:rsidRPr="00832B59" w14:paraId="780367B5" w14:textId="77777777" w:rsidTr="00612E7C">
        <w:trPr>
          <w:trHeight w:val="57"/>
        </w:trPr>
        <w:tc>
          <w:tcPr>
            <w:tcW w:w="858" w:type="pct"/>
            <w:vMerge/>
            <w:vAlign w:val="center"/>
            <w:hideMark/>
          </w:tcPr>
          <w:p w14:paraId="4383A4D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2C56F125" w14:textId="6FD8D3FE"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1E6DDEA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57.Juzgado Contravencional Paraíso</w:t>
            </w:r>
          </w:p>
        </w:tc>
      </w:tr>
      <w:tr w:rsidR="00364499" w:rsidRPr="00832B59" w14:paraId="11A01211" w14:textId="77777777" w:rsidTr="00612E7C">
        <w:trPr>
          <w:trHeight w:val="57"/>
        </w:trPr>
        <w:tc>
          <w:tcPr>
            <w:tcW w:w="858" w:type="pct"/>
            <w:vMerge/>
            <w:vAlign w:val="center"/>
            <w:hideMark/>
          </w:tcPr>
          <w:p w14:paraId="35AE900D"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04D921F6" w14:textId="6C49A6C4"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18F888AD"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58.Juzgado Contravencional Alvarado</w:t>
            </w:r>
          </w:p>
        </w:tc>
      </w:tr>
      <w:tr w:rsidR="00364499" w:rsidRPr="00832B59" w14:paraId="40E1DD6E" w14:textId="77777777" w:rsidTr="00612E7C">
        <w:trPr>
          <w:trHeight w:val="57"/>
        </w:trPr>
        <w:tc>
          <w:tcPr>
            <w:tcW w:w="858" w:type="pct"/>
            <w:vMerge/>
            <w:vAlign w:val="center"/>
            <w:hideMark/>
          </w:tcPr>
          <w:p w14:paraId="44E1D90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274F22D4" w14:textId="608F91D5"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21F7F795"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59.Juzgado Contravencional Jiménez</w:t>
            </w:r>
          </w:p>
        </w:tc>
      </w:tr>
      <w:tr w:rsidR="00364499" w:rsidRPr="00832B59" w14:paraId="18A28302" w14:textId="77777777" w:rsidTr="00612E7C">
        <w:trPr>
          <w:trHeight w:val="57"/>
        </w:trPr>
        <w:tc>
          <w:tcPr>
            <w:tcW w:w="858" w:type="pct"/>
            <w:vMerge w:val="restart"/>
            <w:shd w:val="clear" w:color="000000" w:fill="D9E1F2"/>
            <w:vAlign w:val="center"/>
            <w:hideMark/>
          </w:tcPr>
          <w:p w14:paraId="33F897A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Heredia</w:t>
            </w:r>
          </w:p>
        </w:tc>
        <w:tc>
          <w:tcPr>
            <w:tcW w:w="1260" w:type="pct"/>
            <w:shd w:val="clear" w:color="000000" w:fill="D9E1F2"/>
            <w:vAlign w:val="center"/>
            <w:hideMark/>
          </w:tcPr>
          <w:p w14:paraId="62DFDC6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60.Juzgado Familia Heredia</w:t>
            </w:r>
          </w:p>
        </w:tc>
        <w:tc>
          <w:tcPr>
            <w:tcW w:w="1412" w:type="pct"/>
            <w:shd w:val="clear" w:color="000000" w:fill="D9E1F2"/>
            <w:vAlign w:val="center"/>
            <w:hideMark/>
          </w:tcPr>
          <w:p w14:paraId="41184938"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61.Juzgado Violencia Doméstica Heredia</w:t>
            </w:r>
          </w:p>
        </w:tc>
        <w:tc>
          <w:tcPr>
            <w:tcW w:w="1469" w:type="pct"/>
            <w:shd w:val="clear" w:color="000000" w:fill="D9E1F2"/>
            <w:vAlign w:val="center"/>
            <w:hideMark/>
          </w:tcPr>
          <w:p w14:paraId="5BBDBA5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62.Juzgado Pensiones Alimentarias Heredia</w:t>
            </w:r>
          </w:p>
        </w:tc>
      </w:tr>
      <w:tr w:rsidR="00364499" w:rsidRPr="00832B59" w14:paraId="612F54A1" w14:textId="77777777" w:rsidTr="00612E7C">
        <w:trPr>
          <w:trHeight w:val="57"/>
        </w:trPr>
        <w:tc>
          <w:tcPr>
            <w:tcW w:w="858" w:type="pct"/>
            <w:vMerge/>
            <w:vAlign w:val="center"/>
            <w:hideMark/>
          </w:tcPr>
          <w:p w14:paraId="2D88B0A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000000" w:fill="D9E1F2"/>
            <w:vAlign w:val="center"/>
            <w:hideMark/>
          </w:tcPr>
          <w:p w14:paraId="6FEECB9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63.Juzgado Civil, Trabajo, Familia, Penal Juvenil y Violencia Doméstica Sarapiquí</w:t>
            </w:r>
          </w:p>
        </w:tc>
        <w:tc>
          <w:tcPr>
            <w:tcW w:w="1469" w:type="pct"/>
            <w:shd w:val="clear" w:color="000000" w:fill="D9E1F2"/>
            <w:vAlign w:val="center"/>
            <w:hideMark/>
          </w:tcPr>
          <w:p w14:paraId="37054B8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64.Juzgado Pensiones Alimentarias Sarapiquí</w:t>
            </w:r>
          </w:p>
        </w:tc>
      </w:tr>
      <w:tr w:rsidR="00364499" w:rsidRPr="00832B59" w14:paraId="624301C4" w14:textId="77777777" w:rsidTr="00612E7C">
        <w:trPr>
          <w:trHeight w:val="57"/>
        </w:trPr>
        <w:tc>
          <w:tcPr>
            <w:tcW w:w="858" w:type="pct"/>
            <w:vMerge/>
            <w:vAlign w:val="center"/>
            <w:hideMark/>
          </w:tcPr>
          <w:p w14:paraId="6FCE957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63496639" w14:textId="7EDA701E"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11E3911F"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65.Juzgado Pensiones y Violencia Doméstica San Joaquín de Flores (PISAV)</w:t>
            </w:r>
          </w:p>
        </w:tc>
      </w:tr>
      <w:tr w:rsidR="00364499" w:rsidRPr="00832B59" w14:paraId="3F2E7271" w14:textId="77777777" w:rsidTr="00612E7C">
        <w:trPr>
          <w:trHeight w:val="57"/>
        </w:trPr>
        <w:tc>
          <w:tcPr>
            <w:tcW w:w="858" w:type="pct"/>
            <w:vMerge/>
            <w:vAlign w:val="center"/>
            <w:hideMark/>
          </w:tcPr>
          <w:p w14:paraId="3FA79C3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1C1FAB11" w14:textId="1D0C23A4"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05F2658C"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66.Juzgado Contravencional Sto. Domingo</w:t>
            </w:r>
          </w:p>
        </w:tc>
      </w:tr>
      <w:tr w:rsidR="00364499" w:rsidRPr="00832B59" w14:paraId="1D824501" w14:textId="77777777" w:rsidTr="00612E7C">
        <w:trPr>
          <w:trHeight w:val="57"/>
        </w:trPr>
        <w:tc>
          <w:tcPr>
            <w:tcW w:w="858" w:type="pct"/>
            <w:vMerge/>
            <w:vAlign w:val="center"/>
            <w:hideMark/>
          </w:tcPr>
          <w:p w14:paraId="73E936E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54ED5F84" w14:textId="75BFFE0D"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31762BFD"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67.Juzgado Contravencional San Rafael</w:t>
            </w:r>
          </w:p>
        </w:tc>
      </w:tr>
      <w:tr w:rsidR="00364499" w:rsidRPr="00832B59" w14:paraId="1E142FF5" w14:textId="77777777" w:rsidTr="00612E7C">
        <w:trPr>
          <w:trHeight w:val="57"/>
        </w:trPr>
        <w:tc>
          <w:tcPr>
            <w:tcW w:w="858" w:type="pct"/>
            <w:vMerge/>
            <w:vAlign w:val="center"/>
            <w:hideMark/>
          </w:tcPr>
          <w:p w14:paraId="299E04C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2E299F08" w14:textId="618230C2"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0DC6C8DB"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68.Juzgado Contravencional San Isidro</w:t>
            </w:r>
          </w:p>
        </w:tc>
      </w:tr>
      <w:tr w:rsidR="00364499" w:rsidRPr="00832B59" w14:paraId="4D0C8183" w14:textId="77777777" w:rsidTr="00612E7C">
        <w:trPr>
          <w:trHeight w:val="57"/>
        </w:trPr>
        <w:tc>
          <w:tcPr>
            <w:tcW w:w="858" w:type="pct"/>
            <w:vMerge w:val="restart"/>
            <w:shd w:val="clear" w:color="auto" w:fill="auto"/>
            <w:vAlign w:val="center"/>
            <w:hideMark/>
          </w:tcPr>
          <w:p w14:paraId="07809EE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Guanacaste</w:t>
            </w:r>
          </w:p>
        </w:tc>
        <w:tc>
          <w:tcPr>
            <w:tcW w:w="2672" w:type="pct"/>
            <w:gridSpan w:val="2"/>
            <w:shd w:val="clear" w:color="auto" w:fill="auto"/>
            <w:vAlign w:val="center"/>
            <w:hideMark/>
          </w:tcPr>
          <w:p w14:paraId="6C5CAFAC"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69.Juzgado de Familia y Viol. Dom. I Circ. Jud. Guanacaste (Liberia)</w:t>
            </w:r>
          </w:p>
        </w:tc>
        <w:tc>
          <w:tcPr>
            <w:tcW w:w="1469" w:type="pct"/>
            <w:shd w:val="clear" w:color="auto" w:fill="auto"/>
            <w:vAlign w:val="center"/>
            <w:hideMark/>
          </w:tcPr>
          <w:p w14:paraId="3ACC5CAF"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70.Juzgado Contravencional y Pensiones Alimentarias I Circ. Jud. Guanacaste (Liberia)</w:t>
            </w:r>
          </w:p>
        </w:tc>
      </w:tr>
      <w:tr w:rsidR="00364499" w:rsidRPr="00832B59" w14:paraId="5AA66870" w14:textId="77777777" w:rsidTr="00612E7C">
        <w:trPr>
          <w:trHeight w:val="57"/>
        </w:trPr>
        <w:tc>
          <w:tcPr>
            <w:tcW w:w="858" w:type="pct"/>
            <w:vMerge/>
            <w:vAlign w:val="center"/>
            <w:hideMark/>
          </w:tcPr>
          <w:p w14:paraId="73D153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auto" w:fill="auto"/>
            <w:vAlign w:val="center"/>
            <w:hideMark/>
          </w:tcPr>
          <w:p w14:paraId="407F6E0A" w14:textId="42DCCD03"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w:t>
            </w:r>
            <w:r w:rsidR="00084BE8" w:rsidRPr="001D0C10">
              <w:rPr>
                <w:rFonts w:ascii="Book Antiqua" w:eastAsia="Times New Roman" w:hAnsi="Book Antiqua" w:cs="Calibri"/>
                <w:color w:val="000000"/>
                <w:sz w:val="18"/>
                <w:szCs w:val="18"/>
                <w:lang w:eastAsia="es-CR"/>
              </w:rPr>
              <w:t>1</w:t>
            </w:r>
            <w:r w:rsidRPr="001D0C10">
              <w:rPr>
                <w:rFonts w:ascii="Book Antiqua" w:eastAsia="Times New Roman" w:hAnsi="Book Antiqua" w:cs="Calibri"/>
                <w:color w:val="000000"/>
                <w:sz w:val="18"/>
                <w:szCs w:val="18"/>
                <w:lang w:eastAsia="es-CR"/>
              </w:rPr>
              <w:t>.Juzgado Fam. Penal Juv. y Viol. Domést. Cañas</w:t>
            </w:r>
          </w:p>
        </w:tc>
        <w:tc>
          <w:tcPr>
            <w:tcW w:w="1469" w:type="pct"/>
            <w:shd w:val="clear" w:color="auto" w:fill="auto"/>
            <w:vAlign w:val="center"/>
            <w:hideMark/>
          </w:tcPr>
          <w:p w14:paraId="73AD4E6C"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72.Juzgado Contravencional Cañas</w:t>
            </w:r>
          </w:p>
        </w:tc>
      </w:tr>
      <w:tr w:rsidR="00364499" w:rsidRPr="00832B59" w14:paraId="02D1BB6A" w14:textId="77777777" w:rsidTr="00612E7C">
        <w:trPr>
          <w:trHeight w:val="57"/>
        </w:trPr>
        <w:tc>
          <w:tcPr>
            <w:tcW w:w="858" w:type="pct"/>
            <w:vMerge/>
            <w:vAlign w:val="center"/>
            <w:hideMark/>
          </w:tcPr>
          <w:p w14:paraId="3D017D6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7D34EE1F" w14:textId="5A955C04"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2A01850"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73.Juzgado Contravencional Bagaces</w:t>
            </w:r>
          </w:p>
        </w:tc>
      </w:tr>
      <w:tr w:rsidR="00364499" w:rsidRPr="00832B59" w14:paraId="1E3B6BF9" w14:textId="77777777" w:rsidTr="00612E7C">
        <w:trPr>
          <w:trHeight w:val="57"/>
        </w:trPr>
        <w:tc>
          <w:tcPr>
            <w:tcW w:w="858" w:type="pct"/>
            <w:vMerge/>
            <w:vAlign w:val="center"/>
            <w:hideMark/>
          </w:tcPr>
          <w:p w14:paraId="430F78D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439BDE2C" w14:textId="2EF7E19E"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4DA71773"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74.Juzgado Contravencional de La Cruz</w:t>
            </w:r>
          </w:p>
        </w:tc>
      </w:tr>
      <w:tr w:rsidR="00364499" w:rsidRPr="00832B59" w14:paraId="50F6A8D0" w14:textId="77777777" w:rsidTr="00612E7C">
        <w:trPr>
          <w:trHeight w:val="57"/>
        </w:trPr>
        <w:tc>
          <w:tcPr>
            <w:tcW w:w="858" w:type="pct"/>
            <w:vMerge/>
            <w:vAlign w:val="center"/>
            <w:hideMark/>
          </w:tcPr>
          <w:p w14:paraId="68A9F71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5B78F9B5" w14:textId="76972DE8"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4B10721D"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75.Juzgado Contravencional de Tilarán</w:t>
            </w:r>
          </w:p>
        </w:tc>
      </w:tr>
      <w:tr w:rsidR="00364499" w:rsidRPr="00832B59" w14:paraId="7AE04053" w14:textId="77777777" w:rsidTr="00612E7C">
        <w:trPr>
          <w:trHeight w:val="57"/>
        </w:trPr>
        <w:tc>
          <w:tcPr>
            <w:tcW w:w="858" w:type="pct"/>
            <w:vMerge/>
            <w:vAlign w:val="center"/>
            <w:hideMark/>
          </w:tcPr>
          <w:p w14:paraId="21B70B1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0630DE1A" w14:textId="20C91060"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1BC54B23"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76.Juzgado Contravencional Abangares</w:t>
            </w:r>
          </w:p>
        </w:tc>
      </w:tr>
      <w:tr w:rsidR="00364499" w:rsidRPr="00832B59" w14:paraId="36B11F3E" w14:textId="77777777" w:rsidTr="00612E7C">
        <w:trPr>
          <w:trHeight w:val="57"/>
        </w:trPr>
        <w:tc>
          <w:tcPr>
            <w:tcW w:w="858" w:type="pct"/>
            <w:vMerge w:val="restart"/>
            <w:shd w:val="clear" w:color="000000" w:fill="D9E1F2"/>
            <w:vAlign w:val="center"/>
            <w:hideMark/>
          </w:tcPr>
          <w:p w14:paraId="08109C5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Guanacaste</w:t>
            </w:r>
          </w:p>
        </w:tc>
        <w:tc>
          <w:tcPr>
            <w:tcW w:w="2672" w:type="pct"/>
            <w:gridSpan w:val="2"/>
            <w:shd w:val="clear" w:color="000000" w:fill="D9E1F2"/>
            <w:vAlign w:val="center"/>
            <w:hideMark/>
          </w:tcPr>
          <w:p w14:paraId="004AE74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77.Juzgado Familia y Violencia Doméstica II Circ. Jud. Guanacaste (Nicoya)</w:t>
            </w:r>
          </w:p>
        </w:tc>
        <w:tc>
          <w:tcPr>
            <w:tcW w:w="1469" w:type="pct"/>
            <w:shd w:val="clear" w:color="000000" w:fill="D9E1F2"/>
            <w:vAlign w:val="center"/>
            <w:hideMark/>
          </w:tcPr>
          <w:p w14:paraId="5496C28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78.Juzgado Pens. Alimen. II Circ. Jud. Guanacaste (Nicoya)</w:t>
            </w:r>
          </w:p>
        </w:tc>
      </w:tr>
      <w:tr w:rsidR="00364499" w:rsidRPr="00832B59" w14:paraId="1A1D8656" w14:textId="77777777" w:rsidTr="00612E7C">
        <w:trPr>
          <w:trHeight w:val="57"/>
        </w:trPr>
        <w:tc>
          <w:tcPr>
            <w:tcW w:w="858" w:type="pct"/>
            <w:vMerge/>
            <w:vAlign w:val="center"/>
            <w:hideMark/>
          </w:tcPr>
          <w:p w14:paraId="440854D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000000" w:fill="D9E1F2"/>
            <w:vAlign w:val="center"/>
            <w:hideMark/>
          </w:tcPr>
          <w:p w14:paraId="0EAC2C6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79.Juzgado de Familia y Violencia Doméstica Santa Cruz</w:t>
            </w:r>
          </w:p>
        </w:tc>
        <w:tc>
          <w:tcPr>
            <w:tcW w:w="1469" w:type="pct"/>
            <w:shd w:val="clear" w:color="000000" w:fill="D9E1F2"/>
            <w:vAlign w:val="center"/>
            <w:hideMark/>
          </w:tcPr>
          <w:p w14:paraId="7E3032E5"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80.Juzgado Contravencional y Pensiones Alimentarias Santa Cruz</w:t>
            </w:r>
          </w:p>
        </w:tc>
      </w:tr>
      <w:tr w:rsidR="00364499" w:rsidRPr="00832B59" w14:paraId="3132D33B" w14:textId="77777777" w:rsidTr="00612E7C">
        <w:trPr>
          <w:trHeight w:val="57"/>
        </w:trPr>
        <w:tc>
          <w:tcPr>
            <w:tcW w:w="858" w:type="pct"/>
            <w:vMerge/>
            <w:vAlign w:val="center"/>
            <w:hideMark/>
          </w:tcPr>
          <w:p w14:paraId="79B750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089A4416" w14:textId="5C85E659"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2132B41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81.Juzgado Contravencional Nandayure</w:t>
            </w:r>
          </w:p>
        </w:tc>
      </w:tr>
      <w:tr w:rsidR="00364499" w:rsidRPr="00832B59" w14:paraId="0BDA525A" w14:textId="77777777" w:rsidTr="00612E7C">
        <w:trPr>
          <w:trHeight w:val="57"/>
        </w:trPr>
        <w:tc>
          <w:tcPr>
            <w:tcW w:w="858" w:type="pct"/>
            <w:vMerge/>
            <w:vAlign w:val="center"/>
            <w:hideMark/>
          </w:tcPr>
          <w:p w14:paraId="05DE5D3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3EAAFE91" w14:textId="17E2DC5F"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40F4D69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82.Juzgado Contravencional Carrillo</w:t>
            </w:r>
          </w:p>
        </w:tc>
      </w:tr>
      <w:tr w:rsidR="00364499" w:rsidRPr="00832B59" w14:paraId="25759A13" w14:textId="77777777" w:rsidTr="00612E7C">
        <w:trPr>
          <w:trHeight w:val="57"/>
        </w:trPr>
        <w:tc>
          <w:tcPr>
            <w:tcW w:w="858" w:type="pct"/>
            <w:vMerge/>
            <w:vAlign w:val="center"/>
            <w:hideMark/>
          </w:tcPr>
          <w:p w14:paraId="5196103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04F855A3" w14:textId="752CDB89"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45FA114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83.Juzgado Contravencional Hojancha</w:t>
            </w:r>
          </w:p>
        </w:tc>
      </w:tr>
      <w:tr w:rsidR="00364499" w:rsidRPr="00832B59" w14:paraId="2971DE69" w14:textId="77777777" w:rsidTr="00612E7C">
        <w:trPr>
          <w:trHeight w:val="57"/>
        </w:trPr>
        <w:tc>
          <w:tcPr>
            <w:tcW w:w="858" w:type="pct"/>
            <w:vMerge/>
            <w:vAlign w:val="center"/>
            <w:hideMark/>
          </w:tcPr>
          <w:p w14:paraId="2BA497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6445B63B" w14:textId="54EF0B5B"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616CE3F3"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84.Juzgado Contravencional Jicaral</w:t>
            </w:r>
          </w:p>
        </w:tc>
      </w:tr>
      <w:tr w:rsidR="00364499" w:rsidRPr="00832B59" w14:paraId="419C3095" w14:textId="77777777" w:rsidTr="00612E7C">
        <w:trPr>
          <w:trHeight w:val="57"/>
        </w:trPr>
        <w:tc>
          <w:tcPr>
            <w:tcW w:w="858" w:type="pct"/>
            <w:vMerge w:val="restart"/>
            <w:shd w:val="clear" w:color="auto" w:fill="auto"/>
            <w:vAlign w:val="center"/>
            <w:hideMark/>
          </w:tcPr>
          <w:p w14:paraId="106E22A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Puntarenas</w:t>
            </w:r>
          </w:p>
        </w:tc>
        <w:tc>
          <w:tcPr>
            <w:tcW w:w="1260" w:type="pct"/>
            <w:shd w:val="clear" w:color="auto" w:fill="auto"/>
            <w:vAlign w:val="center"/>
            <w:hideMark/>
          </w:tcPr>
          <w:p w14:paraId="6C346FE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85.Juzgado Familia Puntarenas</w:t>
            </w:r>
          </w:p>
        </w:tc>
        <w:tc>
          <w:tcPr>
            <w:tcW w:w="1412" w:type="pct"/>
            <w:shd w:val="clear" w:color="auto" w:fill="auto"/>
            <w:vAlign w:val="center"/>
            <w:hideMark/>
          </w:tcPr>
          <w:p w14:paraId="32B6E2B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86.Juzgado Violencia Doméstica Puntarenas</w:t>
            </w:r>
          </w:p>
        </w:tc>
        <w:tc>
          <w:tcPr>
            <w:tcW w:w="1469" w:type="pct"/>
            <w:shd w:val="clear" w:color="auto" w:fill="auto"/>
            <w:vAlign w:val="center"/>
            <w:hideMark/>
          </w:tcPr>
          <w:p w14:paraId="2D236310"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87.Juzgado Pensiones Alimentarias Puntarenas</w:t>
            </w:r>
          </w:p>
        </w:tc>
      </w:tr>
      <w:tr w:rsidR="00364499" w:rsidRPr="00832B59" w14:paraId="4255F926" w14:textId="77777777" w:rsidTr="00612E7C">
        <w:trPr>
          <w:trHeight w:val="57"/>
        </w:trPr>
        <w:tc>
          <w:tcPr>
            <w:tcW w:w="858" w:type="pct"/>
            <w:vMerge/>
            <w:vAlign w:val="center"/>
            <w:hideMark/>
          </w:tcPr>
          <w:p w14:paraId="2000A0D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auto" w:fill="auto"/>
            <w:vAlign w:val="center"/>
            <w:hideMark/>
          </w:tcPr>
          <w:p w14:paraId="53263FDA"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88.Juzgado de Familia, Penal Juvenil y Violencia Doméstica de Quepos</w:t>
            </w:r>
          </w:p>
        </w:tc>
        <w:tc>
          <w:tcPr>
            <w:tcW w:w="1469" w:type="pct"/>
            <w:shd w:val="clear" w:color="auto" w:fill="auto"/>
            <w:vAlign w:val="center"/>
            <w:hideMark/>
          </w:tcPr>
          <w:p w14:paraId="7D6C646F"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89.Juzgado Contravencional Quepos</w:t>
            </w:r>
          </w:p>
        </w:tc>
      </w:tr>
      <w:tr w:rsidR="00364499" w:rsidRPr="00832B59" w14:paraId="09AEB5FA" w14:textId="77777777" w:rsidTr="00612E7C">
        <w:trPr>
          <w:trHeight w:val="57"/>
        </w:trPr>
        <w:tc>
          <w:tcPr>
            <w:tcW w:w="858" w:type="pct"/>
            <w:vMerge/>
            <w:vAlign w:val="center"/>
            <w:hideMark/>
          </w:tcPr>
          <w:p w14:paraId="7744065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07B401CA" w14:textId="7193942C"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1FB54F4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90.Juzgado Contravencional Parrita</w:t>
            </w:r>
          </w:p>
        </w:tc>
      </w:tr>
      <w:tr w:rsidR="00364499" w:rsidRPr="00832B59" w14:paraId="37AB01E9" w14:textId="77777777" w:rsidTr="00612E7C">
        <w:trPr>
          <w:trHeight w:val="57"/>
        </w:trPr>
        <w:tc>
          <w:tcPr>
            <w:tcW w:w="858" w:type="pct"/>
            <w:vMerge/>
            <w:vAlign w:val="center"/>
            <w:hideMark/>
          </w:tcPr>
          <w:p w14:paraId="0E87FC3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11E4370F" w14:textId="45A84E53"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B20E2D5"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91.Juzgado Contravencional Esparza</w:t>
            </w:r>
          </w:p>
        </w:tc>
      </w:tr>
      <w:tr w:rsidR="00364499" w:rsidRPr="00832B59" w14:paraId="192237AB" w14:textId="77777777" w:rsidTr="00612E7C">
        <w:trPr>
          <w:trHeight w:val="57"/>
        </w:trPr>
        <w:tc>
          <w:tcPr>
            <w:tcW w:w="858" w:type="pct"/>
            <w:vMerge/>
            <w:vAlign w:val="center"/>
            <w:hideMark/>
          </w:tcPr>
          <w:p w14:paraId="36751D4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45F16AF6" w14:textId="64D1A72F"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59A1395B"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92.Juzgado Contravencional Montes de Oro</w:t>
            </w:r>
          </w:p>
        </w:tc>
      </w:tr>
      <w:tr w:rsidR="00364499" w:rsidRPr="00832B59" w14:paraId="25735CE3" w14:textId="77777777" w:rsidTr="00612E7C">
        <w:trPr>
          <w:trHeight w:val="57"/>
        </w:trPr>
        <w:tc>
          <w:tcPr>
            <w:tcW w:w="858" w:type="pct"/>
            <w:vMerge/>
            <w:vAlign w:val="center"/>
            <w:hideMark/>
          </w:tcPr>
          <w:p w14:paraId="50BE6C4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344C620B" w14:textId="5A079887"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715A04B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93.Juzgado Contravencional Garabito</w:t>
            </w:r>
          </w:p>
        </w:tc>
      </w:tr>
      <w:tr w:rsidR="00364499" w:rsidRPr="00832B59" w14:paraId="1D8D5482" w14:textId="77777777" w:rsidTr="00612E7C">
        <w:trPr>
          <w:trHeight w:val="57"/>
        </w:trPr>
        <w:tc>
          <w:tcPr>
            <w:tcW w:w="858" w:type="pct"/>
            <w:vMerge/>
            <w:vAlign w:val="center"/>
            <w:hideMark/>
          </w:tcPr>
          <w:p w14:paraId="55BF2EB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2270939A" w14:textId="707366CE"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53DB425A"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94.Juzgado Contravencional Cóbano</w:t>
            </w:r>
          </w:p>
        </w:tc>
      </w:tr>
      <w:tr w:rsidR="00364499" w:rsidRPr="00832B59" w14:paraId="2906C42E" w14:textId="77777777" w:rsidTr="00612E7C">
        <w:trPr>
          <w:trHeight w:val="57"/>
        </w:trPr>
        <w:tc>
          <w:tcPr>
            <w:tcW w:w="858" w:type="pct"/>
            <w:vMerge/>
            <w:vAlign w:val="center"/>
            <w:hideMark/>
          </w:tcPr>
          <w:p w14:paraId="51EFC29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7608D9A4" w14:textId="163BDF08"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4C927106"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95.Juzgado Contravencional Monteverde</w:t>
            </w:r>
          </w:p>
        </w:tc>
      </w:tr>
      <w:tr w:rsidR="00364499" w:rsidRPr="00832B59" w14:paraId="167A97AD" w14:textId="77777777" w:rsidTr="00612E7C">
        <w:trPr>
          <w:trHeight w:val="57"/>
        </w:trPr>
        <w:tc>
          <w:tcPr>
            <w:tcW w:w="858" w:type="pct"/>
            <w:vMerge w:val="restart"/>
            <w:shd w:val="clear" w:color="000000" w:fill="D9E1F2"/>
            <w:vAlign w:val="center"/>
            <w:hideMark/>
          </w:tcPr>
          <w:p w14:paraId="03A0D9C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Zona Sur</w:t>
            </w:r>
          </w:p>
        </w:tc>
        <w:tc>
          <w:tcPr>
            <w:tcW w:w="1260" w:type="pct"/>
            <w:shd w:val="clear" w:color="000000" w:fill="D9E1F2"/>
            <w:vAlign w:val="center"/>
            <w:hideMark/>
          </w:tcPr>
          <w:p w14:paraId="4CCE67B3"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96.Juzgado Familia del I Circ. Jud. Zona Sur (Pérez Zeledón)</w:t>
            </w:r>
          </w:p>
        </w:tc>
        <w:tc>
          <w:tcPr>
            <w:tcW w:w="1412" w:type="pct"/>
            <w:shd w:val="clear" w:color="000000" w:fill="D9E1F2"/>
            <w:vAlign w:val="center"/>
            <w:hideMark/>
          </w:tcPr>
          <w:p w14:paraId="256D2CC6" w14:textId="11E7E27E"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97.Juzgado Violencia Doméstica I Circ. Jud. Zona Sur (Pérez Zeledón)</w:t>
            </w:r>
          </w:p>
        </w:tc>
        <w:tc>
          <w:tcPr>
            <w:tcW w:w="1469" w:type="pct"/>
            <w:shd w:val="clear" w:color="000000" w:fill="D9E1F2"/>
            <w:vAlign w:val="center"/>
            <w:hideMark/>
          </w:tcPr>
          <w:p w14:paraId="685B6D3C"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98.Juzgado Pensiones Alimentarias I Circ. Jud. Zona Sur (Pérez Zeledón)</w:t>
            </w:r>
          </w:p>
        </w:tc>
      </w:tr>
      <w:tr w:rsidR="00364499" w:rsidRPr="00832B59" w14:paraId="68D7E7C2" w14:textId="77777777" w:rsidTr="00612E7C">
        <w:trPr>
          <w:trHeight w:val="57"/>
        </w:trPr>
        <w:tc>
          <w:tcPr>
            <w:tcW w:w="858" w:type="pct"/>
            <w:vMerge/>
            <w:vAlign w:val="center"/>
            <w:hideMark/>
          </w:tcPr>
          <w:p w14:paraId="78198B8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000000" w:fill="D9E1F2"/>
            <w:vAlign w:val="center"/>
            <w:hideMark/>
          </w:tcPr>
          <w:p w14:paraId="0709D4E5"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99.Juzgado Civil, Trabajo y Familia Buenos Aires</w:t>
            </w:r>
          </w:p>
        </w:tc>
        <w:tc>
          <w:tcPr>
            <w:tcW w:w="1469" w:type="pct"/>
            <w:shd w:val="clear" w:color="000000" w:fill="D9E1F2"/>
            <w:vAlign w:val="center"/>
            <w:hideMark/>
          </w:tcPr>
          <w:p w14:paraId="1F39009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100.Juzgado Contravencional Buenos Aires</w:t>
            </w:r>
          </w:p>
        </w:tc>
      </w:tr>
      <w:tr w:rsidR="00364499" w:rsidRPr="00832B59" w14:paraId="6B9C556A" w14:textId="77777777" w:rsidTr="00612E7C">
        <w:trPr>
          <w:trHeight w:val="57"/>
        </w:trPr>
        <w:tc>
          <w:tcPr>
            <w:tcW w:w="858" w:type="pct"/>
            <w:vMerge w:val="restart"/>
            <w:shd w:val="clear" w:color="auto" w:fill="auto"/>
            <w:vAlign w:val="center"/>
            <w:hideMark/>
          </w:tcPr>
          <w:p w14:paraId="3DE2EDF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Zona Sur</w:t>
            </w:r>
          </w:p>
        </w:tc>
        <w:tc>
          <w:tcPr>
            <w:tcW w:w="2672" w:type="pct"/>
            <w:gridSpan w:val="2"/>
            <w:shd w:val="clear" w:color="auto" w:fill="auto"/>
            <w:vAlign w:val="center"/>
            <w:hideMark/>
          </w:tcPr>
          <w:p w14:paraId="45CF290B"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101.Juzgado Familia y Violencia Doméstica II Circ. Jud. Zona Sur (Corredores)</w:t>
            </w:r>
          </w:p>
        </w:tc>
        <w:tc>
          <w:tcPr>
            <w:tcW w:w="1469" w:type="pct"/>
            <w:shd w:val="clear" w:color="auto" w:fill="auto"/>
            <w:vAlign w:val="center"/>
            <w:hideMark/>
          </w:tcPr>
          <w:p w14:paraId="3766537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102.Juzgado Contravencional II Circ. Jud. Zona Sur (Corredores)</w:t>
            </w:r>
          </w:p>
        </w:tc>
      </w:tr>
      <w:tr w:rsidR="00364499" w:rsidRPr="00832B59" w14:paraId="0A423EB9" w14:textId="77777777" w:rsidTr="00612E7C">
        <w:trPr>
          <w:trHeight w:val="57"/>
        </w:trPr>
        <w:tc>
          <w:tcPr>
            <w:tcW w:w="858" w:type="pct"/>
            <w:vMerge/>
            <w:vAlign w:val="center"/>
            <w:hideMark/>
          </w:tcPr>
          <w:p w14:paraId="6785C04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auto" w:fill="auto"/>
            <w:vAlign w:val="center"/>
            <w:hideMark/>
          </w:tcPr>
          <w:p w14:paraId="112DB4D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103.Juzgado de Familia y Violencia Doméstica de Golfito</w:t>
            </w:r>
          </w:p>
        </w:tc>
        <w:tc>
          <w:tcPr>
            <w:tcW w:w="1469" w:type="pct"/>
            <w:shd w:val="clear" w:color="auto" w:fill="auto"/>
            <w:vAlign w:val="center"/>
            <w:hideMark/>
          </w:tcPr>
          <w:p w14:paraId="217E6DAD" w14:textId="5E913B01"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104.Juzgado Contravencional Golfito</w:t>
            </w:r>
          </w:p>
        </w:tc>
      </w:tr>
      <w:tr w:rsidR="00364499" w:rsidRPr="00832B59" w14:paraId="1E921308" w14:textId="77777777" w:rsidTr="00612E7C">
        <w:trPr>
          <w:trHeight w:val="57"/>
        </w:trPr>
        <w:tc>
          <w:tcPr>
            <w:tcW w:w="858" w:type="pct"/>
            <w:vMerge/>
            <w:vAlign w:val="center"/>
            <w:hideMark/>
          </w:tcPr>
          <w:p w14:paraId="2A6CED8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shd w:val="clear" w:color="auto" w:fill="auto"/>
            <w:vAlign w:val="center"/>
            <w:hideMark/>
          </w:tcPr>
          <w:p w14:paraId="2FE09E2C"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105.Juzgado Civil, Trabajo y Familia Osa</w:t>
            </w:r>
          </w:p>
        </w:tc>
        <w:tc>
          <w:tcPr>
            <w:tcW w:w="1469" w:type="pct"/>
            <w:shd w:val="clear" w:color="auto" w:fill="auto"/>
            <w:vAlign w:val="center"/>
            <w:hideMark/>
          </w:tcPr>
          <w:p w14:paraId="5720C0D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106.Juzgado Contravencional de Osa</w:t>
            </w:r>
          </w:p>
        </w:tc>
      </w:tr>
      <w:tr w:rsidR="00364499" w:rsidRPr="00832B59" w14:paraId="170A7B12" w14:textId="77777777" w:rsidTr="00612E7C">
        <w:trPr>
          <w:trHeight w:val="57"/>
        </w:trPr>
        <w:tc>
          <w:tcPr>
            <w:tcW w:w="858" w:type="pct"/>
            <w:vMerge/>
            <w:vAlign w:val="center"/>
            <w:hideMark/>
          </w:tcPr>
          <w:p w14:paraId="64F0CC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04D31C7A" w14:textId="07E8B22D"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31F820AE" w14:textId="050816E2"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107.Juzgado de Cobro y Contravencional de Golfito, Sede Puerto Jiménez</w:t>
            </w:r>
          </w:p>
        </w:tc>
      </w:tr>
      <w:tr w:rsidR="00364499" w:rsidRPr="00832B59" w14:paraId="5807C8C0" w14:textId="77777777" w:rsidTr="00612E7C">
        <w:trPr>
          <w:trHeight w:val="57"/>
        </w:trPr>
        <w:tc>
          <w:tcPr>
            <w:tcW w:w="858" w:type="pct"/>
            <w:vMerge/>
            <w:vAlign w:val="center"/>
            <w:hideMark/>
          </w:tcPr>
          <w:p w14:paraId="08201C7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52EF9F52" w14:textId="226287DD"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4DBFF431"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108.Juzgado Contravencional de Coto Brus</w:t>
            </w:r>
          </w:p>
        </w:tc>
      </w:tr>
      <w:tr w:rsidR="00364499" w:rsidRPr="00832B59" w14:paraId="524439ED" w14:textId="77777777" w:rsidTr="00612E7C">
        <w:trPr>
          <w:trHeight w:val="57"/>
        </w:trPr>
        <w:tc>
          <w:tcPr>
            <w:tcW w:w="858" w:type="pct"/>
            <w:vMerge w:val="restart"/>
            <w:shd w:val="clear" w:color="000000" w:fill="D9E1F2"/>
            <w:vAlign w:val="center"/>
            <w:hideMark/>
          </w:tcPr>
          <w:p w14:paraId="3DAD5C7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Zona Atlántica</w:t>
            </w:r>
          </w:p>
        </w:tc>
        <w:tc>
          <w:tcPr>
            <w:tcW w:w="1260" w:type="pct"/>
            <w:shd w:val="clear" w:color="000000" w:fill="D9E1F2"/>
            <w:vAlign w:val="center"/>
            <w:hideMark/>
          </w:tcPr>
          <w:p w14:paraId="3EC2397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109.Juzgado Familia del I Circ. Jud. Zona Atlántica</w:t>
            </w:r>
          </w:p>
        </w:tc>
        <w:tc>
          <w:tcPr>
            <w:tcW w:w="1412" w:type="pct"/>
            <w:shd w:val="clear" w:color="000000" w:fill="D9E1F2"/>
            <w:vAlign w:val="center"/>
            <w:hideMark/>
          </w:tcPr>
          <w:p w14:paraId="3C22A4EE"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110.Juzgado de Violencia Doméstica del I Circ. Jud. de la Zona Atlántica (Limón)</w:t>
            </w:r>
          </w:p>
        </w:tc>
        <w:tc>
          <w:tcPr>
            <w:tcW w:w="1469" w:type="pct"/>
            <w:shd w:val="clear" w:color="000000" w:fill="D9E1F2"/>
            <w:vAlign w:val="center"/>
            <w:hideMark/>
          </w:tcPr>
          <w:p w14:paraId="181E0220" w14:textId="3902DFC2"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111.Juzgado Pensiones Alimentarias I Circ. Jud. Zona Atlántica (Limón)</w:t>
            </w:r>
          </w:p>
        </w:tc>
      </w:tr>
      <w:tr w:rsidR="00364499" w:rsidRPr="00832B59" w14:paraId="2629A3FC" w14:textId="77777777" w:rsidTr="00612E7C">
        <w:trPr>
          <w:trHeight w:val="57"/>
        </w:trPr>
        <w:tc>
          <w:tcPr>
            <w:tcW w:w="858" w:type="pct"/>
            <w:vMerge/>
            <w:vAlign w:val="center"/>
            <w:hideMark/>
          </w:tcPr>
          <w:p w14:paraId="1E6F0AB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24FA2116" w14:textId="3E4EF157"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2AD41B57"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112.Juzgado Contravencional Bribrí</w:t>
            </w:r>
          </w:p>
        </w:tc>
      </w:tr>
      <w:tr w:rsidR="00364499" w:rsidRPr="00832B59" w14:paraId="47287D8D" w14:textId="77777777" w:rsidTr="00612E7C">
        <w:trPr>
          <w:trHeight w:val="57"/>
        </w:trPr>
        <w:tc>
          <w:tcPr>
            <w:tcW w:w="858" w:type="pct"/>
            <w:vMerge/>
            <w:vAlign w:val="center"/>
            <w:hideMark/>
          </w:tcPr>
          <w:p w14:paraId="2684CA0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000000" w:fill="D9E1F2"/>
            <w:vAlign w:val="center"/>
            <w:hideMark/>
          </w:tcPr>
          <w:p w14:paraId="4F47FD7C" w14:textId="758D649A"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000000" w:fill="D9E1F2"/>
            <w:vAlign w:val="center"/>
            <w:hideMark/>
          </w:tcPr>
          <w:p w14:paraId="17D450B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113.Juzgado Contravencional Matina</w:t>
            </w:r>
          </w:p>
        </w:tc>
      </w:tr>
      <w:tr w:rsidR="00364499" w:rsidRPr="00832B59" w14:paraId="6C1EFE95" w14:textId="77777777" w:rsidTr="00612E7C">
        <w:trPr>
          <w:trHeight w:val="57"/>
        </w:trPr>
        <w:tc>
          <w:tcPr>
            <w:tcW w:w="858" w:type="pct"/>
            <w:vMerge w:val="restart"/>
            <w:shd w:val="clear" w:color="auto" w:fill="auto"/>
            <w:vAlign w:val="center"/>
            <w:hideMark/>
          </w:tcPr>
          <w:p w14:paraId="77656F9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Zona Atlántica</w:t>
            </w:r>
          </w:p>
        </w:tc>
        <w:tc>
          <w:tcPr>
            <w:tcW w:w="1260" w:type="pct"/>
            <w:shd w:val="clear" w:color="auto" w:fill="auto"/>
            <w:vAlign w:val="center"/>
            <w:hideMark/>
          </w:tcPr>
          <w:p w14:paraId="09773792"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114.Juzgado Familia II Circ. Jud. Zona Atlántica (Pococí)</w:t>
            </w:r>
          </w:p>
        </w:tc>
        <w:tc>
          <w:tcPr>
            <w:tcW w:w="1412" w:type="pct"/>
            <w:shd w:val="clear" w:color="auto" w:fill="auto"/>
            <w:vAlign w:val="center"/>
            <w:hideMark/>
          </w:tcPr>
          <w:p w14:paraId="3D9BA099"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115.Juzgado Violencia Doméstica II Circ. Jud. de la Zona Atlántica (Pococí)</w:t>
            </w:r>
          </w:p>
        </w:tc>
        <w:tc>
          <w:tcPr>
            <w:tcW w:w="1469" w:type="pct"/>
            <w:shd w:val="clear" w:color="auto" w:fill="auto"/>
            <w:vAlign w:val="center"/>
            <w:hideMark/>
          </w:tcPr>
          <w:p w14:paraId="166CEF2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116.Juzgado Pensiones Alimentarias II Circ. Jud. Zona Atlántica (Pococí)</w:t>
            </w:r>
          </w:p>
        </w:tc>
      </w:tr>
      <w:tr w:rsidR="00364499" w:rsidRPr="00832B59" w14:paraId="72B14F4C" w14:textId="77777777" w:rsidTr="00612E7C">
        <w:trPr>
          <w:trHeight w:val="57"/>
        </w:trPr>
        <w:tc>
          <w:tcPr>
            <w:tcW w:w="858" w:type="pct"/>
            <w:vMerge/>
            <w:vAlign w:val="center"/>
            <w:hideMark/>
          </w:tcPr>
          <w:p w14:paraId="7C19976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7CD26597" w14:textId="4C596B85"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2E9058F4"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117.Juzgado Pensiones y Violencia Doméstica Siquirres</w:t>
            </w:r>
          </w:p>
        </w:tc>
      </w:tr>
      <w:tr w:rsidR="00364499" w:rsidRPr="00832B59" w14:paraId="725AA795" w14:textId="77777777" w:rsidTr="00612E7C">
        <w:trPr>
          <w:trHeight w:val="57"/>
        </w:trPr>
        <w:tc>
          <w:tcPr>
            <w:tcW w:w="858" w:type="pct"/>
            <w:vMerge/>
            <w:vAlign w:val="center"/>
            <w:hideMark/>
          </w:tcPr>
          <w:p w14:paraId="173BFB7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shd w:val="clear" w:color="auto" w:fill="auto"/>
            <w:vAlign w:val="center"/>
            <w:hideMark/>
          </w:tcPr>
          <w:p w14:paraId="732ACA96" w14:textId="1D7EA5A9" w:rsidR="00364499" w:rsidRPr="001D0C10" w:rsidRDefault="00364499" w:rsidP="00612E7C">
            <w:pPr>
              <w:spacing w:after="0" w:line="240" w:lineRule="auto"/>
              <w:rPr>
                <w:rFonts w:ascii="Book Antiqua" w:eastAsia="Times New Roman" w:hAnsi="Book Antiqua" w:cs="Calibri"/>
                <w:color w:val="000000"/>
                <w:sz w:val="18"/>
                <w:szCs w:val="18"/>
                <w:lang w:eastAsia="es-CR"/>
              </w:rPr>
            </w:pPr>
          </w:p>
        </w:tc>
        <w:tc>
          <w:tcPr>
            <w:tcW w:w="2881" w:type="pct"/>
            <w:gridSpan w:val="2"/>
            <w:shd w:val="clear" w:color="auto" w:fill="auto"/>
            <w:vAlign w:val="center"/>
            <w:hideMark/>
          </w:tcPr>
          <w:p w14:paraId="4BAACBD6" w14:textId="77777777" w:rsidR="00364499" w:rsidRPr="001D0C10" w:rsidRDefault="00364499" w:rsidP="00612E7C">
            <w:pPr>
              <w:spacing w:after="0" w:line="240" w:lineRule="auto"/>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118.Juzgado Contravencional Guácimo</w:t>
            </w:r>
          </w:p>
        </w:tc>
      </w:tr>
    </w:tbl>
    <w:p w14:paraId="7AFCAE4C" w14:textId="0438E099" w:rsidR="00364499" w:rsidRDefault="00364499" w:rsidP="00364499">
      <w:pPr>
        <w:spacing w:line="276" w:lineRule="auto"/>
        <w:jc w:val="both"/>
        <w:rPr>
          <w:rFonts w:ascii="Book Antiqua" w:eastAsia="Calibri" w:hAnsi="Book Antiqua" w:cs="Arial"/>
          <w:i/>
          <w:iCs/>
          <w:sz w:val="20"/>
          <w:szCs w:val="20"/>
        </w:rPr>
      </w:pPr>
      <w:r w:rsidRPr="002E0698">
        <w:rPr>
          <w:rFonts w:ascii="Book Antiqua" w:hAnsi="Book Antiqua"/>
          <w:b/>
          <w:bCs/>
          <w:i/>
          <w:iCs/>
          <w:sz w:val="20"/>
          <w:szCs w:val="20"/>
        </w:rPr>
        <w:t>Fuente:</w:t>
      </w:r>
      <w:r w:rsidRPr="007D4541">
        <w:rPr>
          <w:rFonts w:ascii="Book Antiqua" w:hAnsi="Book Antiqua"/>
          <w:i/>
          <w:iCs/>
          <w:sz w:val="20"/>
          <w:szCs w:val="20"/>
        </w:rPr>
        <w:t xml:space="preserve"> </w:t>
      </w:r>
      <w:r w:rsidRPr="007D4541">
        <w:rPr>
          <w:rFonts w:ascii="Book Antiqua" w:eastAsia="Calibri" w:hAnsi="Book Antiqua" w:cs="Arial"/>
          <w:i/>
          <w:iCs/>
          <w:sz w:val="20"/>
          <w:szCs w:val="20"/>
        </w:rPr>
        <w:t>Subproceso de Modernización Institucional</w:t>
      </w:r>
      <w:r w:rsidR="000130F6">
        <w:rPr>
          <w:rFonts w:ascii="Book Antiqua" w:eastAsia="Calibri" w:hAnsi="Book Antiqua" w:cs="Arial"/>
          <w:i/>
          <w:iCs/>
          <w:sz w:val="20"/>
          <w:szCs w:val="20"/>
        </w:rPr>
        <w:t>.</w:t>
      </w:r>
    </w:p>
    <w:p w14:paraId="6EAEE3B9" w14:textId="77777777" w:rsidR="004066A7" w:rsidRDefault="004066A7" w:rsidP="009C01E1">
      <w:pPr>
        <w:spacing w:line="276" w:lineRule="auto"/>
        <w:jc w:val="both"/>
        <w:rPr>
          <w:rFonts w:ascii="Book Antiqua" w:hAnsi="Book Antiqua"/>
          <w:sz w:val="24"/>
          <w:szCs w:val="24"/>
        </w:rPr>
      </w:pPr>
    </w:p>
    <w:p w14:paraId="549A9D5D" w14:textId="3433A009" w:rsidR="002D59AC" w:rsidRPr="006762A3" w:rsidRDefault="002D59AC" w:rsidP="006A4BA6">
      <w:pPr>
        <w:pStyle w:val="Ttulo2"/>
      </w:pPr>
      <w:r w:rsidRPr="006762A3">
        <w:t>Ámbito Auxiliar de Justicia</w:t>
      </w:r>
    </w:p>
    <w:p w14:paraId="4A93E2BC" w14:textId="77777777" w:rsidR="002D59AC" w:rsidRPr="002D59AC" w:rsidRDefault="002D59AC" w:rsidP="002D59AC">
      <w:pPr>
        <w:spacing w:after="0" w:line="240" w:lineRule="auto"/>
        <w:jc w:val="both"/>
        <w:rPr>
          <w:rFonts w:ascii="Book Antiqua" w:eastAsia="Calibri" w:hAnsi="Book Antiqua" w:cs="Arial"/>
          <w:lang w:val="es-ES_tradnl"/>
        </w:rPr>
      </w:pPr>
    </w:p>
    <w:p w14:paraId="266E19FE" w14:textId="0268354F" w:rsidR="002D59AC" w:rsidRDefault="002D59AC" w:rsidP="006154CF">
      <w:pPr>
        <w:spacing w:after="0" w:line="276" w:lineRule="auto"/>
        <w:jc w:val="both"/>
        <w:rPr>
          <w:rFonts w:ascii="Book Antiqua" w:eastAsia="Calibri" w:hAnsi="Book Antiqua" w:cs="Arial"/>
          <w:sz w:val="24"/>
          <w:szCs w:val="24"/>
        </w:rPr>
      </w:pPr>
      <w:r w:rsidRPr="002D59AC">
        <w:rPr>
          <w:rFonts w:ascii="Book Antiqua" w:eastAsia="Calibri" w:hAnsi="Book Antiqua" w:cs="Arial"/>
          <w:sz w:val="24"/>
          <w:szCs w:val="24"/>
        </w:rPr>
        <w:t xml:space="preserve">A la </w:t>
      </w:r>
      <w:bookmarkStart w:id="15" w:name="_Hlk34910649"/>
      <w:r w:rsidRPr="002D59AC">
        <w:rPr>
          <w:rFonts w:ascii="Book Antiqua" w:eastAsia="Calibri" w:hAnsi="Book Antiqua" w:cs="Arial"/>
          <w:sz w:val="24"/>
          <w:szCs w:val="24"/>
        </w:rPr>
        <w:t>fecha la Defensa Pública cuenta con 45 oficinas distribuidas en los 15 circuitos judiciales del país</w:t>
      </w:r>
      <w:bookmarkEnd w:id="15"/>
      <w:r w:rsidRPr="002D59AC">
        <w:rPr>
          <w:rFonts w:ascii="Book Antiqua" w:eastAsia="Calibri" w:hAnsi="Book Antiqua" w:cs="Arial"/>
          <w:sz w:val="24"/>
          <w:szCs w:val="24"/>
        </w:rPr>
        <w:t>, según datos aportados por la Administración de esa dependencia.</w:t>
      </w:r>
    </w:p>
    <w:p w14:paraId="72D1D06B" w14:textId="079BC4A7" w:rsidR="00A038A5" w:rsidRDefault="00A038A5" w:rsidP="002D59AC">
      <w:pPr>
        <w:spacing w:after="0" w:line="276" w:lineRule="auto"/>
        <w:jc w:val="both"/>
        <w:rPr>
          <w:rFonts w:ascii="Book Antiqua" w:eastAsia="Calibri" w:hAnsi="Book Antiqua" w:cs="Arial"/>
          <w:sz w:val="24"/>
          <w:szCs w:val="24"/>
        </w:rPr>
      </w:pPr>
    </w:p>
    <w:p w14:paraId="4B6C908D" w14:textId="77777777" w:rsidR="006154CF" w:rsidRPr="006154CF" w:rsidRDefault="006154CF" w:rsidP="006154CF">
      <w:pPr>
        <w:spacing w:after="0" w:line="276" w:lineRule="auto"/>
        <w:jc w:val="both"/>
        <w:rPr>
          <w:rFonts w:ascii="Book Antiqua" w:eastAsia="Calibri" w:hAnsi="Book Antiqua" w:cs="Arial"/>
          <w:sz w:val="24"/>
          <w:szCs w:val="24"/>
        </w:rPr>
      </w:pPr>
      <w:r w:rsidRPr="006154CF">
        <w:rPr>
          <w:rFonts w:ascii="Book Antiqua" w:eastAsia="Calibri" w:hAnsi="Book Antiqua" w:cs="Arial"/>
          <w:sz w:val="24"/>
          <w:szCs w:val="24"/>
        </w:rPr>
        <w:t>Respecto a la Defensa Pública en materia de Pensiones Alimentarias (incluida la población indígena</w:t>
      </w:r>
      <w:r w:rsidRPr="006154CF">
        <w:rPr>
          <w:rFonts w:ascii="Book Antiqua" w:eastAsia="Calibri" w:hAnsi="Book Antiqua" w:cs="Arial"/>
          <w:sz w:val="24"/>
          <w:szCs w:val="24"/>
          <w:vertAlign w:val="superscript"/>
        </w:rPr>
        <w:footnoteReference w:id="9"/>
      </w:r>
      <w:r w:rsidRPr="006154CF">
        <w:rPr>
          <w:rFonts w:ascii="Book Antiqua" w:eastAsia="Calibri" w:hAnsi="Book Antiqua" w:cs="Arial"/>
          <w:sz w:val="24"/>
          <w:szCs w:val="24"/>
        </w:rPr>
        <w:t xml:space="preserve"> y la asignación de plazas que pudiera eventualmente hacer la Defensa en Tarrazú) la Corte Plena en sesión 31-2020 celebrada el 2 de junio del 2020, artículo II aprobó la inclusión en el presupuesto extraordinario 2021 de la Institución 33 plazas</w:t>
      </w:r>
      <w:r w:rsidRPr="006154CF">
        <w:rPr>
          <w:rFonts w:ascii="Book Antiqua" w:eastAsia="Calibri" w:hAnsi="Book Antiqua" w:cs="Arial"/>
          <w:sz w:val="24"/>
          <w:szCs w:val="24"/>
          <w:vertAlign w:val="superscript"/>
        </w:rPr>
        <w:footnoteReference w:id="10"/>
      </w:r>
      <w:r w:rsidRPr="006154CF">
        <w:rPr>
          <w:rFonts w:ascii="Book Antiqua" w:eastAsia="Calibri" w:hAnsi="Book Antiqua" w:cs="Arial"/>
          <w:sz w:val="24"/>
          <w:szCs w:val="24"/>
        </w:rPr>
        <w:t xml:space="preserve"> de Defensora o Defensor Público:</w:t>
      </w:r>
    </w:p>
    <w:p w14:paraId="7DD3F08A" w14:textId="77777777" w:rsidR="006154CF" w:rsidRPr="002D59AC" w:rsidRDefault="006154CF" w:rsidP="002D59AC">
      <w:pPr>
        <w:spacing w:after="0" w:line="276" w:lineRule="auto"/>
        <w:jc w:val="both"/>
        <w:rPr>
          <w:rFonts w:ascii="Book Antiqua" w:eastAsia="Calibri" w:hAnsi="Book Antiqua" w:cs="Arial"/>
          <w:sz w:val="24"/>
          <w:szCs w:val="24"/>
        </w:rPr>
      </w:pPr>
    </w:p>
    <w:p w14:paraId="7082D020" w14:textId="474CED82" w:rsidR="00A038A5" w:rsidRDefault="00A038A5" w:rsidP="00E8070C">
      <w:pPr>
        <w:spacing w:after="0" w:line="276" w:lineRule="auto"/>
        <w:ind w:left="567" w:right="616"/>
        <w:jc w:val="both"/>
        <w:rPr>
          <w:rFonts w:ascii="Book Antiqua" w:eastAsia="Calibri" w:hAnsi="Book Antiqua" w:cs="Arial"/>
          <w:i/>
          <w:iCs/>
          <w:sz w:val="24"/>
          <w:szCs w:val="24"/>
        </w:rPr>
      </w:pPr>
      <w:r w:rsidRPr="00E8070C">
        <w:rPr>
          <w:rFonts w:ascii="Book Antiqua" w:eastAsia="Calibri" w:hAnsi="Book Antiqua" w:cs="Arial"/>
          <w:i/>
          <w:iCs/>
          <w:sz w:val="24"/>
          <w:szCs w:val="24"/>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6D40642C" w14:textId="77777777" w:rsidR="00AE2CD7" w:rsidRDefault="00AE2CD7" w:rsidP="00E8070C">
      <w:pPr>
        <w:spacing w:after="0" w:line="276" w:lineRule="auto"/>
        <w:ind w:left="567" w:right="616"/>
        <w:jc w:val="both"/>
        <w:rPr>
          <w:rFonts w:ascii="Book Antiqua" w:eastAsia="Calibri" w:hAnsi="Book Antiqua" w:cs="Arial"/>
          <w:i/>
          <w:iCs/>
          <w:sz w:val="24"/>
          <w:szCs w:val="24"/>
        </w:rPr>
      </w:pPr>
    </w:p>
    <w:p w14:paraId="3BD3CC2F" w14:textId="77777777" w:rsidR="00AE2CD7" w:rsidRPr="00E8070C" w:rsidRDefault="00AE2CD7" w:rsidP="00AE2CD7">
      <w:pPr>
        <w:spacing w:after="0" w:line="276" w:lineRule="auto"/>
        <w:ind w:left="567" w:right="616"/>
        <w:jc w:val="both"/>
        <w:rPr>
          <w:rFonts w:ascii="Book Antiqua" w:eastAsia="Calibri" w:hAnsi="Book Antiqua" w:cs="Arial"/>
          <w:i/>
          <w:iCs/>
          <w:sz w:val="24"/>
          <w:szCs w:val="24"/>
        </w:rPr>
      </w:pPr>
      <w:r w:rsidRPr="00E8070C">
        <w:rPr>
          <w:rFonts w:ascii="Book Antiqua" w:eastAsia="Calibri" w:hAnsi="Book Antiqua" w:cs="Arial"/>
          <w:i/>
          <w:iCs/>
          <w:sz w:val="24"/>
          <w:szCs w:val="24"/>
        </w:rPr>
        <w:t>La Dirección de Planificación tomará nota para los fines consiguientes. Se declara acuerdo firme.”.</w:t>
      </w:r>
    </w:p>
    <w:p w14:paraId="51F8F6BC" w14:textId="77777777" w:rsidR="000A2DEC" w:rsidRDefault="000A2DEC" w:rsidP="00AC01CE">
      <w:pPr>
        <w:spacing w:after="0" w:line="276" w:lineRule="auto"/>
        <w:jc w:val="both"/>
        <w:rPr>
          <w:rFonts w:ascii="Book Antiqua" w:eastAsia="Calibri" w:hAnsi="Book Antiqua" w:cs="Arial"/>
          <w:sz w:val="24"/>
          <w:szCs w:val="24"/>
        </w:rPr>
      </w:pPr>
    </w:p>
    <w:p w14:paraId="7EE42D9D" w14:textId="4008E896" w:rsidR="00AC01CE" w:rsidRPr="001D0C10" w:rsidRDefault="000A2DEC" w:rsidP="00AC01CE">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Para el 2022</w:t>
      </w:r>
      <w:r w:rsidR="00222593">
        <w:rPr>
          <w:rFonts w:ascii="Book Antiqua" w:eastAsia="Calibri" w:hAnsi="Book Antiqua" w:cs="Arial"/>
          <w:b/>
          <w:bCs/>
          <w:sz w:val="24"/>
          <w:szCs w:val="24"/>
        </w:rPr>
        <w:t>,</w:t>
      </w:r>
      <w:r w:rsidRPr="001D0C10">
        <w:rPr>
          <w:rFonts w:ascii="Book Antiqua" w:eastAsia="Calibri" w:hAnsi="Book Antiqua" w:cs="Arial"/>
          <w:b/>
          <w:bCs/>
          <w:sz w:val="24"/>
          <w:szCs w:val="24"/>
        </w:rPr>
        <w:t xml:space="preserve"> igualmente se mantuvo esta necesidad de plazas, sin embargo el Ministerio de Haciendo incorporó en el proyecto de presupuesto 2022, solamente 17 plazas (15 ordinarias y 2 para personas de pueblos indígenas). Este recurso adicional conforme a lo indicado en el informe 389-PLA-RH-MI-2021 debe ser considerado por la Defensa Pública para </w:t>
      </w:r>
      <w:r w:rsidR="00AC01CE" w:rsidRPr="001D0C10">
        <w:rPr>
          <w:rFonts w:ascii="Book Antiqua" w:eastAsia="Calibri" w:hAnsi="Book Antiqua" w:cs="Arial"/>
          <w:b/>
          <w:bCs/>
          <w:sz w:val="24"/>
          <w:szCs w:val="24"/>
        </w:rPr>
        <w:t>solventar</w:t>
      </w:r>
      <w:r w:rsidRPr="001D0C10">
        <w:rPr>
          <w:rFonts w:ascii="Book Antiqua" w:eastAsia="Calibri" w:hAnsi="Book Antiqua" w:cs="Arial"/>
          <w:b/>
          <w:bCs/>
          <w:sz w:val="24"/>
          <w:szCs w:val="24"/>
        </w:rPr>
        <w:t xml:space="preserve"> </w:t>
      </w:r>
      <w:r w:rsidR="00AC01CE" w:rsidRPr="001D0C10">
        <w:rPr>
          <w:rFonts w:ascii="Book Antiqua" w:eastAsia="Calibri" w:hAnsi="Book Antiqua" w:cs="Arial"/>
          <w:b/>
          <w:bCs/>
          <w:sz w:val="24"/>
          <w:szCs w:val="24"/>
        </w:rPr>
        <w:t xml:space="preserve">la necesidad planteada por la </w:t>
      </w:r>
      <w:r w:rsidR="00222593" w:rsidRPr="001D0C10">
        <w:rPr>
          <w:rFonts w:ascii="Book Antiqua" w:eastAsia="Calibri" w:hAnsi="Book Antiqua" w:cs="Arial"/>
          <w:b/>
          <w:bCs/>
          <w:sz w:val="24"/>
          <w:szCs w:val="24"/>
        </w:rPr>
        <w:t xml:space="preserve">misma </w:t>
      </w:r>
      <w:r w:rsidR="00AC01CE" w:rsidRPr="001D0C10">
        <w:rPr>
          <w:rFonts w:ascii="Book Antiqua" w:eastAsia="Calibri" w:hAnsi="Book Antiqua" w:cs="Arial"/>
          <w:b/>
          <w:bCs/>
          <w:sz w:val="24"/>
          <w:szCs w:val="24"/>
        </w:rPr>
        <w:t>Defensa Pública</w:t>
      </w:r>
      <w:r w:rsidR="00222593" w:rsidRPr="001D0C10">
        <w:rPr>
          <w:rFonts w:ascii="Book Antiqua" w:eastAsia="Calibri" w:hAnsi="Book Antiqua" w:cs="Arial"/>
          <w:b/>
          <w:bCs/>
          <w:sz w:val="24"/>
          <w:szCs w:val="24"/>
        </w:rPr>
        <w:t>,</w:t>
      </w:r>
      <w:r w:rsidR="00AC01CE" w:rsidRPr="001D0C10">
        <w:rPr>
          <w:rFonts w:ascii="Book Antiqua" w:eastAsia="Calibri" w:hAnsi="Book Antiqua" w:cs="Arial"/>
          <w:b/>
          <w:bCs/>
          <w:sz w:val="24"/>
          <w:szCs w:val="24"/>
        </w:rPr>
        <w:t xml:space="preserve"> mediante oficio JEFDP-06-2020 (</w:t>
      </w:r>
      <w:r w:rsidR="00AC01CE" w:rsidRPr="00222593">
        <w:rPr>
          <w:rFonts w:ascii="Book Antiqua" w:eastAsia="Calibri" w:hAnsi="Book Antiqua" w:cs="Arial"/>
          <w:b/>
          <w:bCs/>
          <w:i/>
          <w:iCs/>
          <w:sz w:val="24"/>
          <w:szCs w:val="24"/>
        </w:rPr>
        <w:t>referencia interna 53-2020):</w:t>
      </w:r>
    </w:p>
    <w:p w14:paraId="72DF62F4" w14:textId="77777777" w:rsidR="00AC01CE" w:rsidRPr="00E8070C" w:rsidRDefault="00AC01CE" w:rsidP="00E8070C">
      <w:pPr>
        <w:spacing w:after="0" w:line="276" w:lineRule="auto"/>
        <w:ind w:left="567" w:right="616"/>
        <w:jc w:val="both"/>
        <w:rPr>
          <w:rFonts w:ascii="Book Antiqua" w:eastAsia="Calibri" w:hAnsi="Book Antiqua" w:cs="Arial"/>
          <w:i/>
          <w:iCs/>
          <w:sz w:val="24"/>
          <w:szCs w:val="24"/>
        </w:rPr>
      </w:pPr>
    </w:p>
    <w:p w14:paraId="5B6FD739" w14:textId="77777777" w:rsidR="00AD17CA" w:rsidRP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i/>
          <w:iCs/>
        </w:rPr>
        <w:t>“</w:t>
      </w:r>
      <w:r w:rsidRPr="00AD17CA">
        <w:rPr>
          <w:rFonts w:ascii="Book Antiqua" w:eastAsia="Calibri" w:hAnsi="Book Antiqua"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45CC1F42" w14:textId="77777777" w:rsid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bCs/>
          <w:i/>
          <w:iCs/>
          <w:color w:val="000000"/>
          <w:kern w:val="3"/>
          <w:lang w:val="es-ES" w:bidi="hi-IN"/>
        </w:rPr>
        <w:t xml:space="preserve"> </w:t>
      </w:r>
    </w:p>
    <w:p w14:paraId="68A25D7B" w14:textId="52D8DD50" w:rsidR="00AD17CA" w:rsidRP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bCs/>
          <w:i/>
          <w:iCs/>
          <w:color w:val="000000"/>
          <w:kern w:val="3"/>
          <w:lang w:val="es-ES" w:bidi="hi-IN"/>
        </w:rPr>
        <w:t xml:space="preserve">En virtud de </w:t>
      </w:r>
      <w:r w:rsidR="000847EB" w:rsidRPr="00AD17CA">
        <w:rPr>
          <w:rFonts w:ascii="Book Antiqua" w:eastAsia="Calibri" w:hAnsi="Book Antiqua" w:cs="Arial"/>
          <w:bCs/>
          <w:i/>
          <w:iCs/>
          <w:color w:val="000000"/>
          <w:kern w:val="3"/>
          <w:lang w:val="es-ES" w:bidi="hi-IN"/>
        </w:rPr>
        <w:t>ello, en</w:t>
      </w:r>
      <w:r w:rsidRPr="00AD17CA">
        <w:rPr>
          <w:rFonts w:ascii="Book Antiqua" w:eastAsia="Calibri" w:hAnsi="Book Antiqua" w:cs="Arial"/>
          <w:bCs/>
          <w:i/>
          <w:iCs/>
          <w:color w:val="000000"/>
          <w:kern w:val="3"/>
          <w:lang w:val="es-ES" w:bidi="hi-IN"/>
        </w:rPr>
        <w:t xml:space="preserve"> fecha 16 de diciembre de 2019, se rindió el informe número No. 1516-59-SAEE-2019, cuya recomendación final a la Jefatura de la Defensa Pública refiere:</w:t>
      </w:r>
    </w:p>
    <w:p w14:paraId="01D66D45" w14:textId="77777777" w:rsidR="00055ECF" w:rsidRPr="00055ECF" w:rsidRDefault="00055ECF" w:rsidP="009B71C9">
      <w:pPr>
        <w:tabs>
          <w:tab w:val="left" w:pos="7655"/>
        </w:tabs>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055ECF">
        <w:rPr>
          <w:rFonts w:ascii="Book Antiqua" w:eastAsia="Calibri" w:hAnsi="Book Antiqua" w:cs="Arial"/>
          <w:bCs/>
          <w:i/>
          <w:iCs/>
          <w:color w:val="000000"/>
          <w:kern w:val="3"/>
          <w:lang w:val="es-ES" w:bidi="hi-IN"/>
        </w:rPr>
        <w:tab/>
      </w:r>
    </w:p>
    <w:p w14:paraId="1A2A9D7A" w14:textId="77777777" w:rsidR="00055ECF" w:rsidRPr="00055ECF" w:rsidRDefault="00055ECF" w:rsidP="009B71C9">
      <w:pPr>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 xml:space="preserve">En virtud de lo expuesto y siendo que: </w:t>
      </w:r>
    </w:p>
    <w:p w14:paraId="6FE807A5" w14:textId="77777777" w:rsidR="00055ECF" w:rsidRPr="00055ECF" w:rsidRDefault="00055ECF" w:rsidP="009B71C9">
      <w:pPr>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337A29DF" w14:textId="77777777" w:rsidR="00055ECF" w:rsidRPr="00055ECF" w:rsidRDefault="00055ECF" w:rsidP="000012B5">
      <w:pPr>
        <w:spacing w:before="100" w:beforeAutospacing="1" w:after="100" w:afterAutospacing="1" w:line="276" w:lineRule="auto"/>
        <w:ind w:left="1134" w:right="616"/>
        <w:jc w:val="both"/>
        <w:rPr>
          <w:rFonts w:ascii="Book Antiqua" w:eastAsia="Calibri" w:hAnsi="Book Antiqua" w:cs="Arial"/>
          <w:bCs/>
          <w:i/>
          <w:iCs/>
          <w:color w:val="000000"/>
          <w:kern w:val="3"/>
          <w:lang w:bidi="hi-IN"/>
        </w:rPr>
      </w:pPr>
      <w:r w:rsidRPr="00055ECF">
        <w:rPr>
          <w:rFonts w:ascii="Book Antiqua" w:eastAsia="Calibri" w:hAnsi="Book Antiqua" w:cs="Arial"/>
          <w:bCs/>
          <w:i/>
          <w:iCs/>
          <w:color w:val="000000"/>
          <w:kern w:val="3"/>
          <w:lang w:val="es-ES" w:bidi="hi-IN"/>
        </w:rPr>
        <w:t xml:space="preserve"> 2) Tomando en cuenta </w:t>
      </w:r>
      <w:r w:rsidRPr="00055ECF">
        <w:rPr>
          <w:rFonts w:ascii="Book Antiqua" w:eastAsia="Calibri" w:hAnsi="Book Antiqua" w:cs="Arial"/>
          <w:bCs/>
          <w:i/>
          <w:iCs/>
          <w:color w:val="000000"/>
          <w:kern w:val="3"/>
          <w:lang w:bidi="hi-IN"/>
        </w:rPr>
        <w:t>la recomendación brindada por el Departamento de Auditoría y que su plazo de cumplimiento es inmediato:</w:t>
      </w:r>
    </w:p>
    <w:p w14:paraId="40C58AB7" w14:textId="579571FD" w:rsidR="000012B5" w:rsidRPr="002B12F1" w:rsidRDefault="00055ECF" w:rsidP="002B12F1">
      <w:pPr>
        <w:spacing w:before="100" w:beforeAutospacing="1" w:after="100" w:afterAutospacing="1" w:line="276" w:lineRule="auto"/>
        <w:ind w:left="1134" w:right="616"/>
        <w:jc w:val="both"/>
        <w:rPr>
          <w:rFonts w:ascii="Book Antiqua" w:eastAsia="Calibri" w:hAnsi="Book Antiqua" w:cs="Arial"/>
          <w:bCs/>
          <w:i/>
          <w:iCs/>
          <w:color w:val="000000"/>
          <w:kern w:val="3"/>
          <w:lang w:bidi="hi-IN"/>
        </w:rPr>
      </w:pPr>
      <w:r w:rsidRPr="00055ECF">
        <w:rPr>
          <w:rFonts w:ascii="Book Antiqua" w:eastAsia="Calibri" w:hAnsi="Book Antiqua" w:cs="Arial"/>
          <w:bCs/>
          <w:i/>
          <w:iCs/>
          <w:color w:val="000000"/>
          <w:kern w:val="3"/>
          <w:lang w:bidi="hi-IN"/>
        </w:rPr>
        <w:t>S</w:t>
      </w:r>
      <w:r w:rsidRPr="00055ECF">
        <w:rPr>
          <w:rFonts w:ascii="Book Antiqua" w:eastAsia="Calibri" w:hAnsi="Book Antiqua" w:cs="Arial"/>
          <w:bCs/>
          <w:i/>
          <w:iCs/>
          <w:color w:val="000000"/>
          <w:kern w:val="3"/>
          <w:lang w:val="es-ES" w:bidi="hi-IN"/>
        </w:rPr>
        <w:t>e solicita respetuosamente se realicen los estudios técnicos respectivos para la creación de una plaza de pensiones alimentarias en la Defensa Pública de Tarrazú</w:t>
      </w:r>
      <w:r w:rsidRPr="00055ECF">
        <w:rPr>
          <w:rFonts w:ascii="Book Antiqua" w:eastAsia="Calibri" w:hAnsi="Book Antiqua" w:cs="Arial"/>
          <w:bCs/>
          <w:i/>
          <w:iCs/>
          <w:color w:val="000000"/>
          <w:kern w:val="3"/>
          <w:lang w:bidi="hi-IN"/>
        </w:rPr>
        <w:t xml:space="preserve"> por tratarse de la atención de una materia sensible cuyo servicio está dirigido mayoritariamente a población en situación de vulnerabilidad como son mujeres, personas menores de edad o adultas mayores, personas en situación de </w:t>
      </w:r>
      <w:r w:rsidR="000847EB" w:rsidRPr="00055ECF">
        <w:rPr>
          <w:rFonts w:ascii="Book Antiqua" w:eastAsia="Calibri" w:hAnsi="Book Antiqua" w:cs="Arial"/>
          <w:bCs/>
          <w:i/>
          <w:iCs/>
          <w:color w:val="000000"/>
          <w:kern w:val="3"/>
          <w:lang w:bidi="hi-IN"/>
        </w:rPr>
        <w:t>discapacidad, todas</w:t>
      </w:r>
      <w:r w:rsidRPr="00055ECF">
        <w:rPr>
          <w:rFonts w:ascii="Book Antiqua" w:eastAsia="Calibri" w:hAnsi="Book Antiqua" w:cs="Arial"/>
          <w:bCs/>
          <w:i/>
          <w:iCs/>
          <w:color w:val="000000"/>
          <w:kern w:val="3"/>
          <w:lang w:bidi="hi-IN"/>
        </w:rPr>
        <w:t xml:space="preserve"> con situación de pobreza.”.</w:t>
      </w:r>
    </w:p>
    <w:p w14:paraId="45A69770" w14:textId="7CF175B4" w:rsidR="00222593" w:rsidRDefault="00222593" w:rsidP="001D0C10">
      <w:pPr>
        <w:spacing w:before="100" w:beforeAutospacing="1" w:after="100" w:afterAutospacing="1" w:line="276" w:lineRule="auto"/>
        <w:ind w:right="49"/>
        <w:jc w:val="both"/>
        <w:rPr>
          <w:rFonts w:ascii="Book Antiqua" w:eastAsia="Calibri" w:hAnsi="Book Antiqua" w:cs="Arial"/>
          <w:b/>
          <w:color w:val="000000"/>
          <w:kern w:val="3"/>
          <w:sz w:val="24"/>
          <w:szCs w:val="24"/>
          <w:lang w:bidi="hi-IN"/>
        </w:rPr>
      </w:pPr>
      <w:r w:rsidRPr="00E10EC5">
        <w:rPr>
          <w:rFonts w:ascii="Book Antiqua" w:eastAsia="Calibri" w:hAnsi="Book Antiqua" w:cs="Arial"/>
          <w:b/>
          <w:color w:val="000000"/>
          <w:kern w:val="3"/>
          <w:sz w:val="24"/>
          <w:szCs w:val="24"/>
          <w:lang w:bidi="hi-IN"/>
        </w:rPr>
        <w:t>Para el 202</w:t>
      </w:r>
      <w:r w:rsidR="009B14B9" w:rsidRPr="00E10EC5">
        <w:rPr>
          <w:rFonts w:ascii="Book Antiqua" w:eastAsia="Calibri" w:hAnsi="Book Antiqua" w:cs="Arial"/>
          <w:b/>
          <w:color w:val="000000"/>
          <w:kern w:val="3"/>
          <w:sz w:val="24"/>
          <w:szCs w:val="24"/>
          <w:lang w:bidi="hi-IN"/>
        </w:rPr>
        <w:t>4</w:t>
      </w:r>
      <w:r w:rsidRPr="00E10EC5">
        <w:rPr>
          <w:rFonts w:ascii="Book Antiqua" w:eastAsia="Calibri" w:hAnsi="Book Antiqua" w:cs="Arial"/>
          <w:b/>
          <w:color w:val="000000"/>
          <w:kern w:val="3"/>
          <w:sz w:val="24"/>
          <w:szCs w:val="24"/>
          <w:lang w:bidi="hi-IN"/>
        </w:rPr>
        <w:t>, la incorporación en el presupuesto de las restantes 18 plazas de Defensor Público (35 solicitadas inicialmente por la Defensa Pública – 17 incluidas en el presupuesto 2022), dependerá de lo que apruebe la Corte Plena para este proceso de formulación</w:t>
      </w:r>
      <w:r w:rsidR="00951243" w:rsidRPr="00E10EC5">
        <w:rPr>
          <w:rFonts w:ascii="Book Antiqua" w:eastAsia="Calibri" w:hAnsi="Book Antiqua" w:cs="Arial"/>
          <w:b/>
          <w:color w:val="000000"/>
          <w:kern w:val="3"/>
          <w:sz w:val="24"/>
          <w:szCs w:val="24"/>
          <w:lang w:bidi="hi-IN"/>
        </w:rPr>
        <w:t xml:space="preserve"> y con las 17 plazas que se le inyectaron en el presupuesto del año 2022 deberá priorizar las necesidades detectadas</w:t>
      </w:r>
      <w:r w:rsidR="00445F35" w:rsidRPr="00E10EC5">
        <w:rPr>
          <w:rFonts w:ascii="Book Antiqua" w:eastAsia="Calibri" w:hAnsi="Book Antiqua" w:cs="Arial"/>
          <w:b/>
          <w:color w:val="000000"/>
          <w:kern w:val="3"/>
          <w:sz w:val="24"/>
          <w:szCs w:val="24"/>
          <w:lang w:bidi="hi-IN"/>
        </w:rPr>
        <w:t xml:space="preserve"> </w:t>
      </w:r>
      <w:r w:rsidR="004C2BEA" w:rsidRPr="00E10EC5">
        <w:rPr>
          <w:rFonts w:ascii="Book Antiqua" w:eastAsia="Calibri" w:hAnsi="Book Antiqua" w:cs="Arial"/>
          <w:b/>
          <w:color w:val="000000"/>
          <w:kern w:val="3"/>
          <w:sz w:val="24"/>
          <w:szCs w:val="24"/>
          <w:lang w:bidi="hi-IN"/>
        </w:rPr>
        <w:t xml:space="preserve">por </w:t>
      </w:r>
      <w:r w:rsidR="00445F35" w:rsidRPr="00E10EC5">
        <w:rPr>
          <w:rFonts w:ascii="Book Antiqua" w:eastAsia="Calibri" w:hAnsi="Book Antiqua" w:cs="Arial"/>
          <w:b/>
          <w:color w:val="000000"/>
          <w:kern w:val="3"/>
          <w:sz w:val="24"/>
          <w:szCs w:val="24"/>
          <w:lang w:bidi="hi-IN"/>
        </w:rPr>
        <w:t>la Jefatura de la Defensa Pública</w:t>
      </w:r>
      <w:r w:rsidR="004C2BEA" w:rsidRPr="00E10EC5">
        <w:rPr>
          <w:rFonts w:ascii="Book Antiqua" w:eastAsia="Calibri" w:hAnsi="Book Antiqua" w:cs="Arial"/>
          <w:b/>
          <w:color w:val="000000"/>
          <w:kern w:val="3"/>
          <w:sz w:val="24"/>
          <w:szCs w:val="24"/>
          <w:lang w:bidi="hi-IN"/>
        </w:rPr>
        <w:t>.</w:t>
      </w:r>
    </w:p>
    <w:p w14:paraId="4B287131" w14:textId="77777777" w:rsidR="00BC185D" w:rsidRPr="001D0C10" w:rsidRDefault="00BC185D" w:rsidP="001D0C10">
      <w:pPr>
        <w:spacing w:before="100" w:beforeAutospacing="1" w:after="100" w:afterAutospacing="1" w:line="276" w:lineRule="auto"/>
        <w:ind w:right="49"/>
        <w:jc w:val="both"/>
        <w:rPr>
          <w:rFonts w:ascii="Book Antiqua" w:eastAsia="Calibri" w:hAnsi="Book Antiqua" w:cs="Arial"/>
          <w:b/>
          <w:color w:val="000000"/>
          <w:kern w:val="3"/>
          <w:sz w:val="24"/>
          <w:szCs w:val="24"/>
          <w:lang w:bidi="hi-IN"/>
        </w:rPr>
      </w:pPr>
    </w:p>
    <w:p w14:paraId="4783B4A7" w14:textId="2539ECB6" w:rsidR="00051AAF" w:rsidRPr="006762A3" w:rsidRDefault="00051AAF" w:rsidP="006A4BA6">
      <w:pPr>
        <w:pStyle w:val="Ttulo2"/>
      </w:pPr>
      <w:r w:rsidRPr="006762A3">
        <w:t>Ámbito Administrativo</w:t>
      </w:r>
    </w:p>
    <w:p w14:paraId="3B282111" w14:textId="77777777" w:rsidR="00E51C26" w:rsidRDefault="00E51C26" w:rsidP="008C623E">
      <w:pPr>
        <w:spacing w:after="0" w:line="276" w:lineRule="auto"/>
        <w:jc w:val="both"/>
        <w:rPr>
          <w:rFonts w:ascii="Book Antiqua" w:eastAsia="Calibri" w:hAnsi="Book Antiqua" w:cs="Arial"/>
          <w:sz w:val="24"/>
          <w:szCs w:val="24"/>
        </w:rPr>
      </w:pPr>
    </w:p>
    <w:p w14:paraId="04E0AAEA" w14:textId="0FCB3EC2" w:rsidR="008C623E" w:rsidRPr="008C623E" w:rsidRDefault="008C623E" w:rsidP="008C623E">
      <w:pPr>
        <w:spacing w:after="0" w:line="276" w:lineRule="auto"/>
        <w:jc w:val="both"/>
        <w:rPr>
          <w:rFonts w:ascii="Book Antiqua" w:eastAsia="Calibri" w:hAnsi="Book Antiqua" w:cs="Arial"/>
          <w:sz w:val="24"/>
          <w:szCs w:val="24"/>
        </w:rPr>
      </w:pPr>
      <w:r w:rsidRPr="008C623E">
        <w:rPr>
          <w:rFonts w:ascii="Book Antiqua" w:eastAsia="Calibri" w:hAnsi="Book Antiqua" w:cs="Arial"/>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3A0979E5" w14:textId="77777777" w:rsidR="008C623E" w:rsidRPr="008C623E" w:rsidRDefault="008C623E" w:rsidP="008C623E">
      <w:pPr>
        <w:spacing w:after="0" w:line="276" w:lineRule="auto"/>
        <w:jc w:val="both"/>
        <w:rPr>
          <w:rFonts w:ascii="Book Antiqua" w:eastAsia="Calibri" w:hAnsi="Book Antiqua" w:cs="Arial"/>
          <w:sz w:val="24"/>
          <w:szCs w:val="24"/>
        </w:rPr>
      </w:pPr>
    </w:p>
    <w:p w14:paraId="18962A73" w14:textId="14EFDF09" w:rsidR="008C623E" w:rsidRDefault="008C623E" w:rsidP="008C623E">
      <w:pPr>
        <w:spacing w:after="0" w:line="276" w:lineRule="auto"/>
        <w:jc w:val="both"/>
        <w:rPr>
          <w:rFonts w:ascii="Book Antiqua" w:eastAsia="Calibri" w:hAnsi="Book Antiqua" w:cs="Arial"/>
          <w:sz w:val="24"/>
          <w:szCs w:val="24"/>
        </w:rPr>
      </w:pPr>
      <w:r w:rsidRPr="008C623E">
        <w:rPr>
          <w:rFonts w:ascii="Book Antiqua" w:eastAsia="Calibri" w:hAnsi="Book Antiqua" w:cs="Arial"/>
          <w:sz w:val="24"/>
          <w:szCs w:val="24"/>
        </w:rPr>
        <w:t xml:space="preserve">A la fecha el </w:t>
      </w:r>
      <w:bookmarkStart w:id="16" w:name="_Hlk34905905"/>
      <w:r w:rsidRPr="008C623E">
        <w:rPr>
          <w:rFonts w:ascii="Book Antiqua" w:eastAsia="Calibri" w:hAnsi="Book Antiqua" w:cs="Arial"/>
          <w:sz w:val="24"/>
          <w:szCs w:val="24"/>
        </w:rPr>
        <w:t>Departamento de Trabajo Social y Psicología está conformado por 28 oficinas regionales distribuidas en los 15 circuitos judiciales del país</w:t>
      </w:r>
      <w:bookmarkEnd w:id="16"/>
      <w:r w:rsidRPr="008C623E">
        <w:rPr>
          <w:rFonts w:ascii="Book Antiqua" w:eastAsia="Calibri" w:hAnsi="Book Antiqua" w:cs="Arial"/>
          <w:sz w:val="24"/>
          <w:szCs w:val="24"/>
        </w:rPr>
        <w:t>, según datos aportados por esa dependencia.</w:t>
      </w:r>
      <w:r w:rsidR="00445F35">
        <w:rPr>
          <w:rFonts w:ascii="Book Antiqua" w:eastAsia="Calibri" w:hAnsi="Book Antiqua" w:cs="Arial"/>
          <w:sz w:val="24"/>
          <w:szCs w:val="24"/>
        </w:rPr>
        <w:t xml:space="preserve"> Este </w:t>
      </w:r>
      <w:r w:rsidR="00EA3630">
        <w:rPr>
          <w:rFonts w:ascii="Book Antiqua" w:eastAsia="Calibri" w:hAnsi="Book Antiqua" w:cs="Arial"/>
          <w:sz w:val="24"/>
          <w:szCs w:val="24"/>
        </w:rPr>
        <w:t xml:space="preserve">servicio debe ser analizado profundamente por la Jefatura de este Departamento, ya que los plazos de duración de los mismos, está dilatando la oportuna respuesta de </w:t>
      </w:r>
      <w:r w:rsidR="00D46D9A">
        <w:rPr>
          <w:rFonts w:ascii="Book Antiqua" w:eastAsia="Calibri" w:hAnsi="Book Antiqua" w:cs="Arial"/>
          <w:sz w:val="24"/>
          <w:szCs w:val="24"/>
        </w:rPr>
        <w:t>la resolución de los expedientes judiciales.</w:t>
      </w:r>
    </w:p>
    <w:p w14:paraId="1B2FD589" w14:textId="77777777" w:rsidR="008676B3" w:rsidRPr="008C623E" w:rsidRDefault="008676B3" w:rsidP="008C623E">
      <w:pPr>
        <w:spacing w:after="0" w:line="276" w:lineRule="auto"/>
        <w:jc w:val="both"/>
        <w:rPr>
          <w:rFonts w:ascii="Book Antiqua" w:eastAsia="Calibri" w:hAnsi="Book Antiqua" w:cs="Arial"/>
          <w:sz w:val="24"/>
          <w:szCs w:val="24"/>
        </w:rPr>
      </w:pPr>
    </w:p>
    <w:p w14:paraId="6F75BD53" w14:textId="461718E2" w:rsidR="004A387E" w:rsidRPr="00982DA9" w:rsidRDefault="004A387E">
      <w:pPr>
        <w:pStyle w:val="Ttulo1"/>
        <w:numPr>
          <w:ilvl w:val="0"/>
          <w:numId w:val="22"/>
        </w:numPr>
        <w:spacing w:line="276" w:lineRule="auto"/>
      </w:pPr>
      <w:r w:rsidRPr="00982DA9">
        <w:t xml:space="preserve">Información </w:t>
      </w:r>
      <w:r>
        <w:t>r</w:t>
      </w:r>
      <w:r w:rsidRPr="00982DA9">
        <w:t>elevante materia Familia</w:t>
      </w:r>
    </w:p>
    <w:p w14:paraId="5C45E6E4" w14:textId="7B6505AA" w:rsidR="001D6E3C" w:rsidRPr="000130F6" w:rsidRDefault="001D6E3C" w:rsidP="000130F6">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0130F6">
        <w:rPr>
          <w:rFonts w:ascii="Book Antiqua" w:eastAsiaTheme="majorEastAsia" w:hAnsi="Book Antiqua" w:cstheme="majorBidi"/>
          <w:b/>
          <w:color w:val="1F3864" w:themeColor="accent1" w:themeShade="80"/>
          <w:sz w:val="24"/>
          <w:lang w:val="es-ES"/>
        </w:rPr>
        <w:t>Análisis estadístico Juzgados Especializados de Familia</w:t>
      </w:r>
    </w:p>
    <w:p w14:paraId="6016CA0E" w14:textId="77777777" w:rsidR="000130F6" w:rsidRDefault="000130F6" w:rsidP="00711214">
      <w:pPr>
        <w:spacing w:line="276" w:lineRule="auto"/>
        <w:jc w:val="both"/>
        <w:rPr>
          <w:rFonts w:ascii="Book Antiqua" w:eastAsia="Calibri" w:hAnsi="Book Antiqua" w:cs="Arial"/>
          <w:sz w:val="24"/>
          <w:szCs w:val="24"/>
        </w:rPr>
      </w:pPr>
    </w:p>
    <w:p w14:paraId="7668808E" w14:textId="4303F329" w:rsidR="009A42B7" w:rsidRPr="009A42B7" w:rsidRDefault="009A42B7" w:rsidP="00711214">
      <w:pPr>
        <w:spacing w:line="276" w:lineRule="auto"/>
        <w:jc w:val="both"/>
        <w:rPr>
          <w:rFonts w:ascii="Book Antiqua" w:eastAsia="Calibri" w:hAnsi="Book Antiqua" w:cs="Arial"/>
          <w:sz w:val="24"/>
          <w:szCs w:val="24"/>
        </w:rPr>
      </w:pPr>
      <w:r w:rsidRPr="009A42B7">
        <w:rPr>
          <w:rFonts w:ascii="Book Antiqua" w:eastAsia="Calibri" w:hAnsi="Book Antiqua" w:cs="Arial"/>
          <w:sz w:val="24"/>
          <w:szCs w:val="24"/>
        </w:rPr>
        <w:t>A continuación, se muestra el detalle estadístico de los Juzgados Especializados de Familia del país del periodo 201</w:t>
      </w:r>
      <w:r w:rsidR="004A387E">
        <w:rPr>
          <w:rFonts w:ascii="Book Antiqua" w:eastAsia="Calibri" w:hAnsi="Book Antiqua" w:cs="Arial"/>
          <w:sz w:val="24"/>
          <w:szCs w:val="24"/>
        </w:rPr>
        <w:t>7</w:t>
      </w:r>
      <w:r w:rsidRPr="009A42B7">
        <w:rPr>
          <w:rFonts w:ascii="Book Antiqua" w:eastAsia="Calibri" w:hAnsi="Book Antiqua" w:cs="Arial"/>
          <w:sz w:val="24"/>
          <w:szCs w:val="24"/>
        </w:rPr>
        <w:t>-20</w:t>
      </w:r>
      <w:r w:rsidR="004A387E">
        <w:rPr>
          <w:rFonts w:ascii="Book Antiqua" w:eastAsia="Calibri" w:hAnsi="Book Antiqua" w:cs="Arial"/>
          <w:sz w:val="24"/>
          <w:szCs w:val="24"/>
        </w:rPr>
        <w:t>2</w:t>
      </w:r>
      <w:r w:rsidR="00262766">
        <w:rPr>
          <w:rFonts w:ascii="Book Antiqua" w:eastAsia="Calibri" w:hAnsi="Book Antiqua" w:cs="Arial"/>
          <w:sz w:val="24"/>
          <w:szCs w:val="24"/>
        </w:rPr>
        <w:t>2</w:t>
      </w:r>
      <w:r w:rsidRPr="009A42B7">
        <w:rPr>
          <w:rFonts w:ascii="Book Antiqua" w:eastAsia="Calibri" w:hAnsi="Book Antiqua" w:cs="Arial"/>
          <w:sz w:val="24"/>
          <w:szCs w:val="24"/>
        </w:rPr>
        <w:t xml:space="preserve">. </w:t>
      </w:r>
      <w:r w:rsidR="00E1622B">
        <w:rPr>
          <w:rFonts w:ascii="Book Antiqua" w:eastAsia="Calibri" w:hAnsi="Book Antiqua" w:cs="Arial"/>
          <w:sz w:val="24"/>
          <w:szCs w:val="24"/>
        </w:rPr>
        <w:t>S</w:t>
      </w:r>
      <w:r w:rsidRPr="009A42B7">
        <w:rPr>
          <w:rFonts w:ascii="Book Antiqua" w:eastAsia="Calibri" w:hAnsi="Book Antiqua" w:cs="Arial"/>
          <w:sz w:val="24"/>
          <w:szCs w:val="24"/>
        </w:rPr>
        <w:t xml:space="preserve">e considera el 2020 para efectos de estimaciones, un periodo atípico, cuyo comportamiento no refleja la normalidad de las oficinas debido a la emergencia nacional por la pandemia por Covid-19. </w:t>
      </w:r>
    </w:p>
    <w:p w14:paraId="79B94968" w14:textId="21DADCC6" w:rsidR="007F3BF9" w:rsidRDefault="007F3BF9" w:rsidP="007F3BF9">
      <w:pPr>
        <w:spacing w:after="0" w:line="240" w:lineRule="auto"/>
        <w:jc w:val="both"/>
        <w:rPr>
          <w:rFonts w:ascii="Book Antiqua" w:eastAsia="Calibri" w:hAnsi="Book Antiqua" w:cs="Arial"/>
          <w:lang w:val="es-ES_tradnl"/>
        </w:rPr>
      </w:pPr>
    </w:p>
    <w:p w14:paraId="2AA7A667" w14:textId="77777777" w:rsidR="004A387E" w:rsidRPr="008D6799" w:rsidRDefault="004A387E" w:rsidP="008D6799">
      <w:pPr>
        <w:spacing w:after="0" w:line="276" w:lineRule="auto"/>
        <w:jc w:val="both"/>
        <w:rPr>
          <w:rFonts w:ascii="Book Antiqua" w:eastAsia="Calibri" w:hAnsi="Book Antiqua" w:cs="Arial"/>
          <w:b/>
          <w:bCs/>
          <w:sz w:val="24"/>
          <w:szCs w:val="24"/>
        </w:rPr>
      </w:pPr>
      <w:r w:rsidRPr="00A529E1">
        <w:rPr>
          <w:rFonts w:ascii="Book Antiqua" w:eastAsia="Calibri" w:hAnsi="Book Antiqua" w:cs="Arial"/>
          <w:b/>
          <w:bCs/>
          <w:sz w:val="24"/>
          <w:szCs w:val="24"/>
        </w:rPr>
        <w:t>Análisis de la entrada, salida y circulante final</w:t>
      </w:r>
    </w:p>
    <w:p w14:paraId="64544C61" w14:textId="77777777" w:rsidR="004A387E" w:rsidRPr="007F3BF9" w:rsidRDefault="004A387E" w:rsidP="007F3BF9">
      <w:pPr>
        <w:spacing w:after="0" w:line="240" w:lineRule="auto"/>
        <w:jc w:val="both"/>
        <w:rPr>
          <w:rFonts w:ascii="Book Antiqua" w:eastAsia="Calibri" w:hAnsi="Book Antiqua" w:cs="Arial"/>
          <w:lang w:val="es-ES_tradnl"/>
        </w:rPr>
      </w:pPr>
    </w:p>
    <w:p w14:paraId="782458D2" w14:textId="7737B195" w:rsidR="00C16293" w:rsidRPr="00C16293" w:rsidRDefault="00C16293" w:rsidP="00C16293">
      <w:pPr>
        <w:spacing w:after="0" w:line="276" w:lineRule="auto"/>
        <w:jc w:val="both"/>
        <w:rPr>
          <w:rFonts w:ascii="Book Antiqua" w:eastAsia="Calibri" w:hAnsi="Book Antiqua" w:cs="Arial"/>
          <w:sz w:val="24"/>
          <w:szCs w:val="24"/>
        </w:rPr>
      </w:pPr>
      <w:r w:rsidRPr="00C16293">
        <w:rPr>
          <w:rFonts w:ascii="Book Antiqua" w:eastAsia="Calibri" w:hAnsi="Book Antiqua" w:cs="Arial"/>
          <w:sz w:val="24"/>
          <w:szCs w:val="24"/>
        </w:rPr>
        <w:t>En los siguientes gráficos se muestran las variables estadísticas de la entrada, salida y circulante final de los Juzgados Especializados de Familia a nivel nacional, durante el periodo del 201</w:t>
      </w:r>
      <w:r w:rsidR="003C0616">
        <w:rPr>
          <w:rFonts w:ascii="Book Antiqua" w:eastAsia="Calibri" w:hAnsi="Book Antiqua" w:cs="Arial"/>
          <w:sz w:val="24"/>
          <w:szCs w:val="24"/>
        </w:rPr>
        <w:t>7</w:t>
      </w:r>
      <w:r w:rsidRPr="00C16293">
        <w:rPr>
          <w:rFonts w:ascii="Book Antiqua" w:eastAsia="Calibri" w:hAnsi="Book Antiqua" w:cs="Arial"/>
          <w:sz w:val="24"/>
          <w:szCs w:val="24"/>
        </w:rPr>
        <w:t xml:space="preserve"> al 20</w:t>
      </w:r>
      <w:r w:rsidR="003C0616">
        <w:rPr>
          <w:rFonts w:ascii="Book Antiqua" w:eastAsia="Calibri" w:hAnsi="Book Antiqua" w:cs="Arial"/>
          <w:sz w:val="24"/>
          <w:szCs w:val="24"/>
        </w:rPr>
        <w:t>2</w:t>
      </w:r>
      <w:r w:rsidR="000C2758">
        <w:rPr>
          <w:rFonts w:ascii="Book Antiqua" w:eastAsia="Calibri" w:hAnsi="Book Antiqua" w:cs="Arial"/>
          <w:sz w:val="24"/>
          <w:szCs w:val="24"/>
        </w:rPr>
        <w:t>2</w:t>
      </w:r>
      <w:r w:rsidRPr="00C16293">
        <w:rPr>
          <w:rFonts w:ascii="Book Antiqua" w:eastAsia="Calibri" w:hAnsi="Book Antiqua" w:cs="Arial"/>
          <w:sz w:val="24"/>
          <w:szCs w:val="24"/>
        </w:rPr>
        <w:t>.</w:t>
      </w:r>
    </w:p>
    <w:p w14:paraId="49F15C34" w14:textId="57C5A814" w:rsidR="009A42B7" w:rsidRDefault="009A42B7" w:rsidP="008D6799"/>
    <w:p w14:paraId="266AD628" w14:textId="7CBE477C" w:rsidR="00097586" w:rsidRPr="004C2BEA" w:rsidRDefault="00097586" w:rsidP="00097586">
      <w:pPr>
        <w:keepNext/>
        <w:numPr>
          <w:ilvl w:val="12"/>
          <w:numId w:val="0"/>
        </w:numPr>
        <w:spacing w:after="0" w:line="276" w:lineRule="auto"/>
        <w:jc w:val="center"/>
        <w:rPr>
          <w:rFonts w:ascii="Book Antiqua" w:eastAsia="Calibri" w:hAnsi="Book Antiqua" w:cs="Arial"/>
          <w:b/>
          <w:bCs/>
          <w:color w:val="1F497D"/>
          <w:lang w:val="es-ES" w:eastAsia="es-ES"/>
        </w:rPr>
      </w:pPr>
      <w:r w:rsidRPr="004C2BEA">
        <w:rPr>
          <w:rFonts w:ascii="Book Antiqua" w:eastAsia="Calibri" w:hAnsi="Book Antiqua" w:cs="Arial"/>
          <w:b/>
          <w:bCs/>
          <w:color w:val="1F497D"/>
          <w:lang w:val="es-ES" w:eastAsia="es-ES"/>
        </w:rPr>
        <w:t xml:space="preserve">Gráfico </w:t>
      </w:r>
      <w:r w:rsidRPr="004C2BEA">
        <w:rPr>
          <w:rFonts w:ascii="Book Antiqua" w:hAnsi="Book Antiqua"/>
          <w:b/>
          <w:bCs/>
          <w:noProof/>
          <w:color w:val="1F497D"/>
          <w:lang w:val="es-ES" w:eastAsia="es-ES"/>
        </w:rPr>
        <w:fldChar w:fldCharType="begin"/>
      </w:r>
      <w:r w:rsidRPr="004C2BEA">
        <w:rPr>
          <w:rFonts w:ascii="Book Antiqua" w:hAnsi="Book Antiqua"/>
          <w:b/>
          <w:bCs/>
          <w:noProof/>
          <w:color w:val="1F497D"/>
          <w:lang w:val="es-ES" w:eastAsia="es-ES"/>
        </w:rPr>
        <w:instrText xml:space="preserve"> SEQ Gráfico \* ARABIC </w:instrText>
      </w:r>
      <w:r w:rsidRPr="004C2BEA">
        <w:rPr>
          <w:rFonts w:ascii="Book Antiqua" w:hAnsi="Book Antiqua"/>
          <w:b/>
          <w:bCs/>
          <w:noProof/>
          <w:color w:val="1F497D"/>
          <w:lang w:val="es-ES" w:eastAsia="es-ES"/>
        </w:rPr>
        <w:fldChar w:fldCharType="separate"/>
      </w:r>
      <w:r w:rsidR="009B739E" w:rsidRPr="004C2BEA">
        <w:rPr>
          <w:rFonts w:ascii="Book Antiqua" w:hAnsi="Book Antiqua"/>
          <w:b/>
          <w:bCs/>
          <w:noProof/>
          <w:color w:val="1F497D"/>
          <w:lang w:val="es-ES" w:eastAsia="es-ES"/>
        </w:rPr>
        <w:t>1</w:t>
      </w:r>
      <w:r w:rsidRPr="004C2BEA">
        <w:rPr>
          <w:rFonts w:ascii="Book Antiqua" w:hAnsi="Book Antiqua"/>
          <w:b/>
          <w:bCs/>
          <w:noProof/>
          <w:color w:val="1F497D"/>
          <w:lang w:val="es-ES" w:eastAsia="es-ES"/>
        </w:rPr>
        <w:fldChar w:fldCharType="end"/>
      </w:r>
    </w:p>
    <w:p w14:paraId="6BA6904C" w14:textId="798C7121" w:rsidR="00097586" w:rsidRPr="004C2BEA" w:rsidRDefault="00097586" w:rsidP="00097586">
      <w:pPr>
        <w:keepNext/>
        <w:numPr>
          <w:ilvl w:val="12"/>
          <w:numId w:val="0"/>
        </w:numPr>
        <w:spacing w:after="0" w:line="276" w:lineRule="auto"/>
        <w:jc w:val="center"/>
        <w:rPr>
          <w:rFonts w:ascii="Book Antiqua" w:eastAsia="Times New Roman" w:hAnsi="Book Antiqua" w:cs="Arial"/>
          <w:b/>
          <w:bCs/>
          <w:color w:val="1F497D"/>
          <w:lang w:eastAsia="es-ES"/>
        </w:rPr>
      </w:pPr>
      <w:r w:rsidRPr="004C2BEA">
        <w:rPr>
          <w:rFonts w:ascii="Book Antiqua" w:eastAsia="Times New Roman" w:hAnsi="Book Antiqua" w:cs="Arial"/>
          <w:b/>
          <w:bCs/>
          <w:color w:val="1F497D"/>
          <w:lang w:eastAsia="es-ES"/>
        </w:rPr>
        <w:t>Movimiento histórico de la entrada en asuntos nuevos y reentrados en los Juzgados Especializados de la materia de Familia, del 201</w:t>
      </w:r>
      <w:r w:rsidR="002E1F3A" w:rsidRPr="004C2BEA">
        <w:rPr>
          <w:rFonts w:ascii="Book Antiqua" w:eastAsia="Times New Roman" w:hAnsi="Book Antiqua" w:cs="Arial"/>
          <w:b/>
          <w:bCs/>
          <w:color w:val="1F497D"/>
          <w:lang w:eastAsia="es-ES"/>
        </w:rPr>
        <w:t>7</w:t>
      </w:r>
      <w:r w:rsidRPr="004C2BEA">
        <w:rPr>
          <w:rFonts w:ascii="Book Antiqua" w:eastAsia="Times New Roman" w:hAnsi="Book Antiqua" w:cs="Arial"/>
          <w:b/>
          <w:bCs/>
          <w:color w:val="1F497D"/>
          <w:lang w:eastAsia="es-ES"/>
        </w:rPr>
        <w:t xml:space="preserve"> al 20</w:t>
      </w:r>
      <w:r w:rsidR="002E1F3A" w:rsidRPr="004C2BEA">
        <w:rPr>
          <w:rFonts w:ascii="Book Antiqua" w:eastAsia="Times New Roman" w:hAnsi="Book Antiqua" w:cs="Arial"/>
          <w:b/>
          <w:bCs/>
          <w:color w:val="1F497D"/>
          <w:lang w:eastAsia="es-ES"/>
        </w:rPr>
        <w:t>2</w:t>
      </w:r>
      <w:r w:rsidR="000C2758" w:rsidRPr="004C2BEA">
        <w:rPr>
          <w:rFonts w:ascii="Book Antiqua" w:eastAsia="Times New Roman" w:hAnsi="Book Antiqua" w:cs="Arial"/>
          <w:b/>
          <w:bCs/>
          <w:color w:val="1F497D"/>
          <w:lang w:eastAsia="es-ES"/>
        </w:rPr>
        <w:t>2</w:t>
      </w:r>
    </w:p>
    <w:p w14:paraId="58630530" w14:textId="323D1C1F" w:rsidR="009A42B7" w:rsidRDefault="00451611" w:rsidP="00262766">
      <w:pPr>
        <w:spacing w:after="0" w:line="240" w:lineRule="auto"/>
        <w:jc w:val="center"/>
        <w:rPr>
          <w:rFonts w:ascii="Book Antiqua" w:hAnsi="Book Antiqua"/>
          <w:sz w:val="24"/>
          <w:szCs w:val="24"/>
        </w:rPr>
      </w:pPr>
      <w:r>
        <w:rPr>
          <w:noProof/>
        </w:rPr>
        <w:drawing>
          <wp:inline distT="0" distB="0" distL="0" distR="0" wp14:anchorId="6D6C9E6F" wp14:editId="337911C3">
            <wp:extent cx="4572000" cy="2743200"/>
            <wp:effectExtent l="0" t="0" r="0" b="0"/>
            <wp:docPr id="1" name="Gráfico 1">
              <a:extLst xmlns:a="http://schemas.openxmlformats.org/drawingml/2006/main">
                <a:ext uri="{FF2B5EF4-FFF2-40B4-BE49-F238E27FC236}">
                  <a16:creationId xmlns:a16="http://schemas.microsoft.com/office/drawing/2014/main" id="{A1317D0F-EA45-49D5-A748-BCA179A4C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3E3A302" w14:textId="66E1CCAC" w:rsidR="00210718" w:rsidRDefault="00210718" w:rsidP="00262766">
      <w:pPr>
        <w:spacing w:after="0" w:line="240" w:lineRule="auto"/>
        <w:ind w:right="284"/>
        <w:rPr>
          <w:rFonts w:ascii="Book Antiqua" w:hAnsi="Book Antiqua"/>
          <w:i/>
          <w:iCs/>
          <w:sz w:val="20"/>
          <w:szCs w:val="20"/>
        </w:rPr>
      </w:pPr>
      <w:r w:rsidRPr="000C2758">
        <w:rPr>
          <w:rFonts w:ascii="Book Antiqua" w:hAnsi="Book Antiqua"/>
          <w:b/>
          <w:bCs/>
          <w:i/>
          <w:iCs/>
          <w:sz w:val="20"/>
          <w:szCs w:val="20"/>
        </w:rPr>
        <w:t xml:space="preserve"> </w:t>
      </w:r>
      <w:r w:rsidR="003001A9" w:rsidRPr="000C2758">
        <w:rPr>
          <w:rFonts w:ascii="Book Antiqua" w:hAnsi="Book Antiqua"/>
          <w:b/>
          <w:bCs/>
          <w:i/>
          <w:iCs/>
          <w:sz w:val="20"/>
          <w:szCs w:val="20"/>
        </w:rPr>
        <w:t xml:space="preserve">            Fuente:</w:t>
      </w:r>
      <w:r w:rsidR="003001A9" w:rsidRPr="003001A9">
        <w:rPr>
          <w:rFonts w:ascii="Book Antiqua" w:hAnsi="Book Antiqua"/>
          <w:i/>
          <w:iCs/>
          <w:sz w:val="20"/>
          <w:szCs w:val="20"/>
        </w:rPr>
        <w:t xml:space="preserve"> Subproceso de Modernización Institucional, con datos del </w:t>
      </w:r>
      <w:r w:rsidR="004216D9">
        <w:rPr>
          <w:rFonts w:ascii="Book Antiqua" w:hAnsi="Book Antiqua"/>
          <w:i/>
          <w:iCs/>
          <w:sz w:val="20"/>
          <w:szCs w:val="20"/>
        </w:rPr>
        <w:t>Subproceso de Estadística</w:t>
      </w:r>
      <w:r w:rsidR="00B70DFC">
        <w:rPr>
          <w:rFonts w:ascii="Book Antiqua" w:hAnsi="Book Antiqua"/>
          <w:i/>
          <w:iCs/>
          <w:sz w:val="20"/>
          <w:szCs w:val="20"/>
        </w:rPr>
        <w:t xml:space="preserve"> </w:t>
      </w:r>
    </w:p>
    <w:p w14:paraId="606F1045" w14:textId="00A9D6B2" w:rsidR="00262766" w:rsidRDefault="00210718" w:rsidP="00262766">
      <w:pPr>
        <w:spacing w:after="0" w:line="240" w:lineRule="auto"/>
        <w:ind w:left="284" w:right="284"/>
        <w:rPr>
          <w:rFonts w:ascii="Book Antiqua" w:hAnsi="Book Antiqua"/>
          <w:i/>
          <w:iCs/>
          <w:sz w:val="20"/>
          <w:szCs w:val="20"/>
        </w:rPr>
      </w:pPr>
      <w:r>
        <w:rPr>
          <w:rFonts w:ascii="Book Antiqua" w:hAnsi="Book Antiqua"/>
          <w:i/>
          <w:iCs/>
          <w:sz w:val="20"/>
          <w:szCs w:val="20"/>
        </w:rPr>
        <w:t xml:space="preserve">       del 2017</w:t>
      </w:r>
      <w:r w:rsidR="00CA0A0F">
        <w:rPr>
          <w:rFonts w:ascii="Book Antiqua" w:hAnsi="Book Antiqua"/>
          <w:i/>
          <w:iCs/>
          <w:sz w:val="20"/>
          <w:szCs w:val="20"/>
        </w:rPr>
        <w:t xml:space="preserve"> al 202</w:t>
      </w:r>
      <w:r w:rsidR="00262766">
        <w:rPr>
          <w:rFonts w:ascii="Book Antiqua" w:hAnsi="Book Antiqua"/>
          <w:i/>
          <w:iCs/>
          <w:sz w:val="20"/>
          <w:szCs w:val="20"/>
        </w:rPr>
        <w:t xml:space="preserve">2 y consulta del Balance General Interactivo del </w:t>
      </w:r>
      <w:r w:rsidR="00451611">
        <w:rPr>
          <w:rFonts w:ascii="Book Antiqua" w:hAnsi="Book Antiqua"/>
          <w:i/>
          <w:iCs/>
          <w:sz w:val="20"/>
          <w:szCs w:val="20"/>
        </w:rPr>
        <w:t>7</w:t>
      </w:r>
      <w:r w:rsidR="00262766">
        <w:rPr>
          <w:rFonts w:ascii="Book Antiqua" w:hAnsi="Book Antiqua"/>
          <w:i/>
          <w:iCs/>
          <w:sz w:val="20"/>
          <w:szCs w:val="20"/>
        </w:rPr>
        <w:t>/</w:t>
      </w:r>
      <w:r w:rsidR="00451611">
        <w:rPr>
          <w:rFonts w:ascii="Book Antiqua" w:hAnsi="Book Antiqua"/>
          <w:i/>
          <w:iCs/>
          <w:sz w:val="20"/>
          <w:szCs w:val="20"/>
        </w:rPr>
        <w:t>3</w:t>
      </w:r>
      <w:r w:rsidR="00262766">
        <w:rPr>
          <w:rFonts w:ascii="Book Antiqua" w:hAnsi="Book Antiqua"/>
          <w:i/>
          <w:iCs/>
          <w:sz w:val="20"/>
          <w:szCs w:val="20"/>
        </w:rPr>
        <w:t>/2023</w:t>
      </w:r>
      <w:r w:rsidR="00E71E6D">
        <w:rPr>
          <w:rFonts w:ascii="Book Antiqua" w:hAnsi="Book Antiqua"/>
          <w:i/>
          <w:iCs/>
          <w:sz w:val="20"/>
          <w:szCs w:val="20"/>
        </w:rPr>
        <w:t xml:space="preserve">. Los años 2017 y </w:t>
      </w:r>
    </w:p>
    <w:p w14:paraId="1BC88B0A" w14:textId="77777777" w:rsidR="00262766" w:rsidRDefault="00262766" w:rsidP="00262766">
      <w:pPr>
        <w:spacing w:after="0" w:line="240" w:lineRule="auto"/>
        <w:ind w:left="284" w:right="284"/>
        <w:rPr>
          <w:rFonts w:ascii="Book Antiqua" w:hAnsi="Book Antiqua"/>
          <w:i/>
          <w:iCs/>
          <w:sz w:val="20"/>
          <w:szCs w:val="20"/>
        </w:rPr>
      </w:pPr>
      <w:r>
        <w:rPr>
          <w:rFonts w:ascii="Book Antiqua" w:hAnsi="Book Antiqua"/>
          <w:i/>
          <w:iCs/>
          <w:sz w:val="20"/>
          <w:szCs w:val="20"/>
        </w:rPr>
        <w:t xml:space="preserve">      </w:t>
      </w:r>
      <w:r w:rsidR="00E71E6D">
        <w:rPr>
          <w:rFonts w:ascii="Book Antiqua" w:hAnsi="Book Antiqua"/>
          <w:i/>
          <w:iCs/>
          <w:sz w:val="20"/>
          <w:szCs w:val="20"/>
        </w:rPr>
        <w:t xml:space="preserve">2018 </w:t>
      </w:r>
      <w:r w:rsidR="003520A3">
        <w:rPr>
          <w:rFonts w:ascii="Book Antiqua" w:hAnsi="Book Antiqua"/>
          <w:i/>
          <w:iCs/>
          <w:sz w:val="20"/>
          <w:szCs w:val="20"/>
        </w:rPr>
        <w:t>se p</w:t>
      </w:r>
      <w:r w:rsidR="003C05ED">
        <w:rPr>
          <w:rFonts w:ascii="Book Antiqua" w:hAnsi="Book Antiqua"/>
          <w:i/>
          <w:iCs/>
          <w:sz w:val="20"/>
          <w:szCs w:val="20"/>
        </w:rPr>
        <w:t>u</w:t>
      </w:r>
      <w:r w:rsidR="003520A3">
        <w:rPr>
          <w:rFonts w:ascii="Book Antiqua" w:hAnsi="Book Antiqua"/>
          <w:i/>
          <w:iCs/>
          <w:sz w:val="20"/>
          <w:szCs w:val="20"/>
        </w:rPr>
        <w:t>dieron ver afectados</w:t>
      </w:r>
      <w:r>
        <w:rPr>
          <w:rFonts w:ascii="Book Antiqua" w:hAnsi="Book Antiqua"/>
          <w:i/>
          <w:iCs/>
          <w:sz w:val="20"/>
          <w:szCs w:val="20"/>
        </w:rPr>
        <w:t xml:space="preserve"> </w:t>
      </w:r>
      <w:r w:rsidR="003520A3">
        <w:rPr>
          <w:rFonts w:ascii="Book Antiqua" w:hAnsi="Book Antiqua"/>
          <w:i/>
          <w:iCs/>
          <w:sz w:val="20"/>
          <w:szCs w:val="20"/>
        </w:rPr>
        <w:t xml:space="preserve">en la entrada de asuntos por el impacto en la huelga nacional y </w:t>
      </w:r>
    </w:p>
    <w:p w14:paraId="76215B80" w14:textId="53BEFD69" w:rsidR="00EA29BD" w:rsidRDefault="00262766" w:rsidP="00262766">
      <w:pPr>
        <w:spacing w:after="0" w:line="240" w:lineRule="auto"/>
        <w:ind w:left="284" w:right="284"/>
        <w:rPr>
          <w:rFonts w:ascii="Book Antiqua" w:hAnsi="Book Antiqua"/>
          <w:i/>
          <w:iCs/>
          <w:sz w:val="20"/>
          <w:szCs w:val="20"/>
        </w:rPr>
      </w:pPr>
      <w:r>
        <w:rPr>
          <w:rFonts w:ascii="Book Antiqua" w:hAnsi="Book Antiqua"/>
          <w:i/>
          <w:iCs/>
          <w:sz w:val="20"/>
          <w:szCs w:val="20"/>
        </w:rPr>
        <w:t xml:space="preserve">      </w:t>
      </w:r>
      <w:r w:rsidR="00207CC9">
        <w:rPr>
          <w:rFonts w:ascii="Book Antiqua" w:hAnsi="Book Antiqua"/>
          <w:i/>
          <w:iCs/>
          <w:sz w:val="20"/>
          <w:szCs w:val="20"/>
        </w:rPr>
        <w:t xml:space="preserve">el </w:t>
      </w:r>
      <w:r w:rsidR="006C04D3">
        <w:rPr>
          <w:rFonts w:ascii="Book Antiqua" w:hAnsi="Book Antiqua"/>
          <w:i/>
          <w:iCs/>
          <w:sz w:val="20"/>
          <w:szCs w:val="20"/>
        </w:rPr>
        <w:t xml:space="preserve">periodo </w:t>
      </w:r>
      <w:r w:rsidR="0062466A">
        <w:rPr>
          <w:rFonts w:ascii="Book Antiqua" w:hAnsi="Book Antiqua"/>
          <w:i/>
          <w:iCs/>
          <w:sz w:val="20"/>
          <w:szCs w:val="20"/>
        </w:rPr>
        <w:t>2020</w:t>
      </w:r>
      <w:r w:rsidR="000130F6">
        <w:rPr>
          <w:rFonts w:ascii="Book Antiqua" w:hAnsi="Book Antiqua"/>
          <w:i/>
          <w:iCs/>
          <w:sz w:val="20"/>
          <w:szCs w:val="20"/>
        </w:rPr>
        <w:t xml:space="preserve"> </w:t>
      </w:r>
      <w:r w:rsidR="002458B4">
        <w:rPr>
          <w:rFonts w:ascii="Book Antiqua" w:hAnsi="Book Antiqua"/>
          <w:i/>
          <w:iCs/>
          <w:sz w:val="20"/>
          <w:szCs w:val="20"/>
        </w:rPr>
        <w:t>por la pandemia del C</w:t>
      </w:r>
      <w:r w:rsidR="006C04D3">
        <w:rPr>
          <w:rFonts w:ascii="Book Antiqua" w:hAnsi="Book Antiqua"/>
          <w:i/>
          <w:iCs/>
          <w:sz w:val="20"/>
          <w:szCs w:val="20"/>
        </w:rPr>
        <w:t>ovid</w:t>
      </w:r>
      <w:r w:rsidR="002458B4">
        <w:rPr>
          <w:rFonts w:ascii="Book Antiqua" w:hAnsi="Book Antiqua"/>
          <w:i/>
          <w:iCs/>
          <w:sz w:val="20"/>
          <w:szCs w:val="20"/>
        </w:rPr>
        <w:t>-19.</w:t>
      </w:r>
      <w:r w:rsidR="00B62CF6">
        <w:rPr>
          <w:rFonts w:ascii="Book Antiqua" w:hAnsi="Book Antiqua"/>
          <w:i/>
          <w:iCs/>
          <w:sz w:val="20"/>
          <w:szCs w:val="20"/>
        </w:rPr>
        <w:t xml:space="preserve"> </w:t>
      </w:r>
    </w:p>
    <w:p w14:paraId="610C7551" w14:textId="77777777" w:rsidR="0093653B" w:rsidRPr="003001A9" w:rsidRDefault="0093653B" w:rsidP="00262766">
      <w:pPr>
        <w:spacing w:after="0" w:line="240" w:lineRule="auto"/>
        <w:ind w:left="284" w:right="284"/>
        <w:rPr>
          <w:rFonts w:ascii="Book Antiqua" w:hAnsi="Book Antiqua"/>
          <w:i/>
          <w:iCs/>
          <w:sz w:val="20"/>
          <w:szCs w:val="20"/>
        </w:rPr>
      </w:pPr>
    </w:p>
    <w:p w14:paraId="2E226E9D" w14:textId="22A7AA58" w:rsid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De la información del gráfico anterior, se observa que la cantidad </w:t>
      </w:r>
      <w:r w:rsidR="00262766">
        <w:rPr>
          <w:rFonts w:ascii="Book Antiqua" w:eastAsia="Calibri" w:hAnsi="Book Antiqua" w:cs="Arial"/>
          <w:sz w:val="24"/>
          <w:szCs w:val="24"/>
        </w:rPr>
        <w:t xml:space="preserve">en la </w:t>
      </w:r>
      <w:r w:rsidRPr="00F96A81">
        <w:rPr>
          <w:rFonts w:ascii="Book Antiqua" w:eastAsia="Calibri" w:hAnsi="Book Antiqua" w:cs="Arial"/>
          <w:sz w:val="24"/>
          <w:szCs w:val="24"/>
        </w:rPr>
        <w:t>entrada de asuntos nuevos y los reentrados no es constante, el mayor ingreso se presentó en el 20</w:t>
      </w:r>
      <w:r w:rsidR="00145D63">
        <w:rPr>
          <w:rFonts w:ascii="Book Antiqua" w:eastAsia="Calibri" w:hAnsi="Book Antiqua" w:cs="Arial"/>
          <w:sz w:val="24"/>
          <w:szCs w:val="24"/>
        </w:rPr>
        <w:t>2</w:t>
      </w:r>
      <w:r w:rsidRPr="00F96A81">
        <w:rPr>
          <w:rFonts w:ascii="Book Antiqua" w:eastAsia="Calibri" w:hAnsi="Book Antiqua" w:cs="Arial"/>
          <w:sz w:val="24"/>
          <w:szCs w:val="24"/>
        </w:rPr>
        <w:t>1 con 2</w:t>
      </w:r>
      <w:r w:rsidR="002D50A9">
        <w:rPr>
          <w:rFonts w:ascii="Book Antiqua" w:eastAsia="Calibri" w:hAnsi="Book Antiqua" w:cs="Arial"/>
          <w:sz w:val="24"/>
          <w:szCs w:val="24"/>
        </w:rPr>
        <w:t>4</w:t>
      </w:r>
      <w:r w:rsidRPr="00F96A81">
        <w:rPr>
          <w:rFonts w:ascii="Book Antiqua" w:eastAsia="Calibri" w:hAnsi="Book Antiqua" w:cs="Arial"/>
          <w:sz w:val="24"/>
          <w:szCs w:val="24"/>
        </w:rPr>
        <w:t xml:space="preserve"> </w:t>
      </w:r>
      <w:r w:rsidR="002D50A9">
        <w:rPr>
          <w:rFonts w:ascii="Book Antiqua" w:eastAsia="Calibri" w:hAnsi="Book Antiqua" w:cs="Arial"/>
          <w:sz w:val="24"/>
          <w:szCs w:val="24"/>
        </w:rPr>
        <w:t>0</w:t>
      </w:r>
      <w:r w:rsidRPr="00F96A81">
        <w:rPr>
          <w:rFonts w:ascii="Book Antiqua" w:eastAsia="Calibri" w:hAnsi="Book Antiqua" w:cs="Arial"/>
          <w:sz w:val="24"/>
          <w:szCs w:val="24"/>
        </w:rPr>
        <w:t>9</w:t>
      </w:r>
      <w:r w:rsidR="006D0E9B">
        <w:rPr>
          <w:rFonts w:ascii="Book Antiqua" w:eastAsia="Calibri" w:hAnsi="Book Antiqua" w:cs="Arial"/>
          <w:sz w:val="24"/>
          <w:szCs w:val="24"/>
        </w:rPr>
        <w:t>5</w:t>
      </w:r>
      <w:r w:rsidRPr="00F96A81">
        <w:rPr>
          <w:rFonts w:ascii="Book Antiqua" w:eastAsia="Calibri" w:hAnsi="Book Antiqua" w:cs="Arial"/>
          <w:sz w:val="24"/>
          <w:szCs w:val="24"/>
        </w:rPr>
        <w:t xml:space="preserve"> asuntos</w:t>
      </w:r>
      <w:r w:rsidR="00B62CF6">
        <w:rPr>
          <w:rFonts w:ascii="Book Antiqua" w:eastAsia="Calibri" w:hAnsi="Book Antiqua" w:cs="Arial"/>
          <w:sz w:val="24"/>
          <w:szCs w:val="24"/>
        </w:rPr>
        <w:t xml:space="preserve">, lo que evidencia la reactivación de los servicios luego de reportar en 2020 la entrada más baja </w:t>
      </w:r>
      <w:r w:rsidRPr="00F96A81">
        <w:rPr>
          <w:rFonts w:ascii="Book Antiqua" w:eastAsia="Calibri" w:hAnsi="Book Antiqua" w:cs="Arial"/>
          <w:sz w:val="24"/>
          <w:szCs w:val="24"/>
        </w:rPr>
        <w:t>con 2</w:t>
      </w:r>
      <w:r w:rsidR="000C668C">
        <w:rPr>
          <w:rFonts w:ascii="Book Antiqua" w:eastAsia="Calibri" w:hAnsi="Book Antiqua" w:cs="Arial"/>
          <w:sz w:val="24"/>
          <w:szCs w:val="24"/>
        </w:rPr>
        <w:t>0</w:t>
      </w:r>
      <w:r w:rsidRPr="00F96A81">
        <w:rPr>
          <w:rFonts w:ascii="Book Antiqua" w:eastAsia="Calibri" w:hAnsi="Book Antiqua" w:cs="Arial"/>
          <w:sz w:val="24"/>
          <w:szCs w:val="24"/>
        </w:rPr>
        <w:t xml:space="preserve"> </w:t>
      </w:r>
      <w:r w:rsidR="000C668C">
        <w:rPr>
          <w:rFonts w:ascii="Book Antiqua" w:eastAsia="Calibri" w:hAnsi="Book Antiqua" w:cs="Arial"/>
          <w:sz w:val="24"/>
          <w:szCs w:val="24"/>
        </w:rPr>
        <w:t>244</w:t>
      </w:r>
      <w:r w:rsidRPr="00F96A81">
        <w:rPr>
          <w:rFonts w:ascii="Book Antiqua" w:eastAsia="Calibri" w:hAnsi="Book Antiqua" w:cs="Arial"/>
          <w:sz w:val="24"/>
          <w:szCs w:val="24"/>
        </w:rPr>
        <w:t xml:space="preserve"> casos</w:t>
      </w:r>
      <w:r w:rsidR="003A61B0">
        <w:rPr>
          <w:rFonts w:ascii="Book Antiqua" w:eastAsia="Calibri" w:hAnsi="Book Antiqua" w:cs="Arial"/>
          <w:sz w:val="24"/>
          <w:szCs w:val="24"/>
        </w:rPr>
        <w:t>,</w:t>
      </w:r>
      <w:r w:rsidRPr="00F96A81">
        <w:rPr>
          <w:rFonts w:ascii="Book Antiqua" w:eastAsia="Calibri" w:hAnsi="Book Antiqua" w:cs="Arial"/>
          <w:sz w:val="24"/>
          <w:szCs w:val="24"/>
        </w:rPr>
        <w:t xml:space="preserve"> para una diferencia de un </w:t>
      </w:r>
      <w:r w:rsidR="009A486A">
        <w:rPr>
          <w:rFonts w:ascii="Book Antiqua" w:eastAsia="Calibri" w:hAnsi="Book Antiqua" w:cs="Arial"/>
          <w:sz w:val="24"/>
          <w:szCs w:val="24"/>
        </w:rPr>
        <w:t>1</w:t>
      </w:r>
      <w:r w:rsidR="00DA51E4">
        <w:rPr>
          <w:rFonts w:ascii="Book Antiqua" w:eastAsia="Calibri" w:hAnsi="Book Antiqua" w:cs="Arial"/>
          <w:sz w:val="24"/>
          <w:szCs w:val="24"/>
        </w:rPr>
        <w:t>9</w:t>
      </w:r>
      <w:r w:rsidRPr="00F96A81">
        <w:rPr>
          <w:rFonts w:ascii="Book Antiqua" w:eastAsia="Calibri" w:hAnsi="Book Antiqua" w:cs="Arial"/>
          <w:sz w:val="24"/>
          <w:szCs w:val="24"/>
        </w:rPr>
        <w:t xml:space="preserve">% de casos nuevos </w:t>
      </w:r>
      <w:r w:rsidR="00BC6301">
        <w:rPr>
          <w:rFonts w:ascii="Book Antiqua" w:eastAsia="Calibri" w:hAnsi="Book Antiqua" w:cs="Arial"/>
          <w:sz w:val="24"/>
          <w:szCs w:val="24"/>
        </w:rPr>
        <w:t xml:space="preserve">adicionales </w:t>
      </w:r>
      <w:r w:rsidRPr="00F96A81">
        <w:rPr>
          <w:rFonts w:ascii="Book Antiqua" w:eastAsia="Calibri" w:hAnsi="Book Antiqua" w:cs="Arial"/>
          <w:sz w:val="24"/>
          <w:szCs w:val="24"/>
        </w:rPr>
        <w:t>en el 20</w:t>
      </w:r>
      <w:r w:rsidR="0098606F">
        <w:rPr>
          <w:rFonts w:ascii="Book Antiqua" w:eastAsia="Calibri" w:hAnsi="Book Antiqua" w:cs="Arial"/>
          <w:sz w:val="24"/>
          <w:szCs w:val="24"/>
        </w:rPr>
        <w:t>2</w:t>
      </w:r>
      <w:r w:rsidRPr="00F96A81">
        <w:rPr>
          <w:rFonts w:ascii="Book Antiqua" w:eastAsia="Calibri" w:hAnsi="Book Antiqua" w:cs="Arial"/>
          <w:sz w:val="24"/>
          <w:szCs w:val="24"/>
        </w:rPr>
        <w:t>1</w:t>
      </w:r>
      <w:r w:rsidR="00BC6301">
        <w:rPr>
          <w:rFonts w:ascii="Book Antiqua" w:eastAsia="Calibri" w:hAnsi="Book Antiqua" w:cs="Arial"/>
          <w:sz w:val="24"/>
          <w:szCs w:val="24"/>
        </w:rPr>
        <w:t xml:space="preserve"> con respecto al 2020</w:t>
      </w:r>
      <w:r w:rsidR="003A61B0">
        <w:rPr>
          <w:rFonts w:ascii="Book Antiqua" w:eastAsia="Calibri" w:hAnsi="Book Antiqua" w:cs="Arial"/>
          <w:sz w:val="24"/>
          <w:szCs w:val="24"/>
        </w:rPr>
        <w:t>;</w:t>
      </w:r>
      <w:r w:rsidR="00BC6301">
        <w:rPr>
          <w:rFonts w:ascii="Book Antiqua" w:eastAsia="Calibri" w:hAnsi="Book Antiqua" w:cs="Arial"/>
          <w:sz w:val="24"/>
          <w:szCs w:val="24"/>
        </w:rPr>
        <w:t xml:space="preserve"> </w:t>
      </w:r>
      <w:r w:rsidR="007208F1">
        <w:rPr>
          <w:rFonts w:ascii="Book Antiqua" w:eastAsia="Calibri" w:hAnsi="Book Antiqua" w:cs="Arial"/>
          <w:sz w:val="24"/>
          <w:szCs w:val="24"/>
        </w:rPr>
        <w:t xml:space="preserve">se considera </w:t>
      </w:r>
      <w:r w:rsidR="006E226F">
        <w:rPr>
          <w:rFonts w:ascii="Book Antiqua" w:eastAsia="Calibri" w:hAnsi="Book Antiqua" w:cs="Arial"/>
          <w:sz w:val="24"/>
          <w:szCs w:val="24"/>
        </w:rPr>
        <w:t xml:space="preserve">el 2020 un periodo </w:t>
      </w:r>
      <w:r w:rsidR="0071335C" w:rsidRPr="0071335C">
        <w:rPr>
          <w:rFonts w:ascii="Book Antiqua" w:eastAsia="Calibri" w:hAnsi="Book Antiqua" w:cs="Arial"/>
          <w:sz w:val="24"/>
          <w:szCs w:val="24"/>
        </w:rPr>
        <w:t>atípico, dado que su comportamiento no refleja la normalidad de las oficinas debido a la emergencia nacional por la pandemia por Covid-19</w:t>
      </w:r>
      <w:r w:rsidR="00EC2F0B">
        <w:rPr>
          <w:rFonts w:ascii="Book Antiqua" w:eastAsia="Calibri" w:hAnsi="Book Antiqua" w:cs="Arial"/>
          <w:sz w:val="24"/>
          <w:szCs w:val="24"/>
        </w:rPr>
        <w:t>, el resto de los años la entrada estuvo por encima de los 21</w:t>
      </w:r>
      <w:r w:rsidR="00CB5C10">
        <w:rPr>
          <w:rFonts w:ascii="Book Antiqua" w:eastAsia="Calibri" w:hAnsi="Book Antiqua" w:cs="Arial"/>
          <w:sz w:val="24"/>
          <w:szCs w:val="24"/>
        </w:rPr>
        <w:t xml:space="preserve"> </w:t>
      </w:r>
      <w:r w:rsidR="00EC2F0B">
        <w:rPr>
          <w:rFonts w:ascii="Book Antiqua" w:eastAsia="Calibri" w:hAnsi="Book Antiqua" w:cs="Arial"/>
          <w:sz w:val="24"/>
          <w:szCs w:val="24"/>
        </w:rPr>
        <w:t>000 asuntos</w:t>
      </w:r>
      <w:r w:rsidR="003A61B0">
        <w:rPr>
          <w:rFonts w:ascii="Book Antiqua" w:eastAsia="Calibri" w:hAnsi="Book Antiqua" w:cs="Arial"/>
          <w:sz w:val="24"/>
          <w:szCs w:val="24"/>
        </w:rPr>
        <w:t xml:space="preserve">. </w:t>
      </w:r>
      <w:r w:rsidR="003A61B0" w:rsidRPr="003A61B0">
        <w:rPr>
          <w:rFonts w:ascii="Book Antiqua" w:eastAsia="Calibri" w:hAnsi="Book Antiqua" w:cs="Arial"/>
          <w:sz w:val="24"/>
          <w:szCs w:val="24"/>
        </w:rPr>
        <w:t xml:space="preserve">Sin embargo, al comparar el 2022 con su antecesor el 2021, se observa una disminución </w:t>
      </w:r>
      <w:r w:rsidR="003A61B0" w:rsidRPr="00AD1C1E">
        <w:rPr>
          <w:rFonts w:ascii="Book Antiqua" w:eastAsia="Calibri" w:hAnsi="Book Antiqua" w:cs="Arial"/>
          <w:sz w:val="24"/>
          <w:szCs w:val="24"/>
        </w:rPr>
        <w:t xml:space="preserve">de </w:t>
      </w:r>
      <w:r w:rsidR="00FC767A">
        <w:rPr>
          <w:rFonts w:ascii="Book Antiqua" w:eastAsia="Calibri" w:hAnsi="Book Antiqua" w:cs="Arial"/>
          <w:sz w:val="24"/>
          <w:szCs w:val="24"/>
        </w:rPr>
        <w:t>3</w:t>
      </w:r>
      <w:r w:rsidR="003A61B0" w:rsidRPr="00AD1C1E">
        <w:rPr>
          <w:rFonts w:ascii="Book Antiqua" w:eastAsia="Calibri" w:hAnsi="Book Antiqua" w:cs="Arial"/>
          <w:sz w:val="24"/>
          <w:szCs w:val="24"/>
        </w:rPr>
        <w:t>8</w:t>
      </w:r>
      <w:r w:rsidR="00FC767A">
        <w:rPr>
          <w:rFonts w:ascii="Book Antiqua" w:eastAsia="Calibri" w:hAnsi="Book Antiqua" w:cs="Arial"/>
          <w:sz w:val="24"/>
          <w:szCs w:val="24"/>
        </w:rPr>
        <w:t>0</w:t>
      </w:r>
      <w:r w:rsidR="003A61B0" w:rsidRPr="00AD1C1E">
        <w:rPr>
          <w:rFonts w:ascii="Book Antiqua" w:eastAsia="Calibri" w:hAnsi="Book Antiqua" w:cs="Arial"/>
          <w:sz w:val="24"/>
          <w:szCs w:val="24"/>
        </w:rPr>
        <w:t xml:space="preserve"> (</w:t>
      </w:r>
      <w:r w:rsidR="00FC767A">
        <w:rPr>
          <w:rFonts w:ascii="Book Antiqua" w:eastAsia="Calibri" w:hAnsi="Book Antiqua" w:cs="Arial"/>
          <w:sz w:val="24"/>
          <w:szCs w:val="24"/>
        </w:rPr>
        <w:t>2</w:t>
      </w:r>
      <w:r w:rsidR="003A61B0" w:rsidRPr="00AD1C1E">
        <w:rPr>
          <w:rFonts w:ascii="Book Antiqua" w:eastAsia="Calibri" w:hAnsi="Book Antiqua" w:cs="Arial"/>
          <w:sz w:val="24"/>
          <w:szCs w:val="24"/>
        </w:rPr>
        <w:t>%) casos.</w:t>
      </w:r>
    </w:p>
    <w:p w14:paraId="750CCE43" w14:textId="77777777" w:rsidR="000C668C" w:rsidRPr="00F96A81" w:rsidRDefault="000C668C" w:rsidP="00F96A81">
      <w:pPr>
        <w:spacing w:after="0" w:line="276" w:lineRule="auto"/>
        <w:jc w:val="both"/>
        <w:rPr>
          <w:rFonts w:ascii="Book Antiqua" w:eastAsia="Calibri" w:hAnsi="Book Antiqua" w:cs="Arial"/>
          <w:sz w:val="24"/>
          <w:szCs w:val="24"/>
        </w:rPr>
      </w:pPr>
    </w:p>
    <w:p w14:paraId="79FA560C" w14:textId="52267527"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En cuanto a los expedientes reentrados</w:t>
      </w:r>
      <w:r w:rsidR="00C27B41">
        <w:rPr>
          <w:rFonts w:ascii="Book Antiqua" w:eastAsia="Calibri" w:hAnsi="Book Antiqua" w:cs="Arial"/>
          <w:sz w:val="24"/>
          <w:szCs w:val="24"/>
        </w:rPr>
        <w:t>,</w:t>
      </w:r>
      <w:r w:rsidRPr="00F96A81">
        <w:rPr>
          <w:rFonts w:ascii="Book Antiqua" w:eastAsia="Calibri" w:hAnsi="Book Antiqua" w:cs="Arial"/>
          <w:sz w:val="24"/>
          <w:szCs w:val="24"/>
        </w:rPr>
        <w:t xml:space="preserve"> en el 20</w:t>
      </w:r>
      <w:r w:rsidR="00087210">
        <w:rPr>
          <w:rFonts w:ascii="Book Antiqua" w:eastAsia="Calibri" w:hAnsi="Book Antiqua" w:cs="Arial"/>
          <w:sz w:val="24"/>
          <w:szCs w:val="24"/>
        </w:rPr>
        <w:t>2</w:t>
      </w:r>
      <w:r w:rsidR="00C27B41">
        <w:rPr>
          <w:rFonts w:ascii="Book Antiqua" w:eastAsia="Calibri" w:hAnsi="Book Antiqua" w:cs="Arial"/>
          <w:sz w:val="24"/>
          <w:szCs w:val="24"/>
        </w:rPr>
        <w:t>2</w:t>
      </w:r>
      <w:r w:rsidRPr="00F96A81">
        <w:rPr>
          <w:rFonts w:ascii="Book Antiqua" w:eastAsia="Calibri" w:hAnsi="Book Antiqua" w:cs="Arial"/>
          <w:sz w:val="24"/>
          <w:szCs w:val="24"/>
        </w:rPr>
        <w:t xml:space="preserve"> se registr</w:t>
      </w:r>
      <w:r w:rsidR="00C27B41">
        <w:rPr>
          <w:rFonts w:ascii="Book Antiqua" w:eastAsia="Calibri" w:hAnsi="Book Antiqua" w:cs="Arial"/>
          <w:sz w:val="24"/>
          <w:szCs w:val="24"/>
        </w:rPr>
        <w:t>ó la menor cantidad c</w:t>
      </w:r>
      <w:r w:rsidRPr="00F96A81">
        <w:rPr>
          <w:rFonts w:ascii="Book Antiqua" w:eastAsia="Calibri" w:hAnsi="Book Antiqua" w:cs="Arial"/>
          <w:sz w:val="24"/>
          <w:szCs w:val="24"/>
        </w:rPr>
        <w:t>on 1</w:t>
      </w:r>
      <w:r w:rsidR="00C27B41">
        <w:rPr>
          <w:rFonts w:ascii="Book Antiqua" w:eastAsia="Calibri" w:hAnsi="Book Antiqua" w:cs="Arial"/>
          <w:sz w:val="24"/>
          <w:szCs w:val="24"/>
        </w:rPr>
        <w:t> 0</w:t>
      </w:r>
      <w:r w:rsidR="00FC767A">
        <w:rPr>
          <w:rFonts w:ascii="Book Antiqua" w:eastAsia="Calibri" w:hAnsi="Book Antiqua" w:cs="Arial"/>
          <w:sz w:val="24"/>
          <w:szCs w:val="24"/>
        </w:rPr>
        <w:t>68</w:t>
      </w:r>
      <w:r w:rsidR="00C27B41">
        <w:rPr>
          <w:rFonts w:ascii="Book Antiqua" w:eastAsia="Calibri" w:hAnsi="Book Antiqua" w:cs="Arial"/>
          <w:sz w:val="24"/>
          <w:szCs w:val="24"/>
        </w:rPr>
        <w:t xml:space="preserve">, mientras que el 2018 registra la mayor cantidad con 1 664 asuntos, </w:t>
      </w:r>
      <w:r w:rsidR="005C1068">
        <w:rPr>
          <w:rFonts w:ascii="Book Antiqua" w:eastAsia="Calibri" w:hAnsi="Book Antiqua" w:cs="Arial"/>
          <w:sz w:val="24"/>
          <w:szCs w:val="24"/>
        </w:rPr>
        <w:t xml:space="preserve">una </w:t>
      </w:r>
      <w:r w:rsidRPr="00F96A81">
        <w:rPr>
          <w:rFonts w:ascii="Book Antiqua" w:eastAsia="Calibri" w:hAnsi="Book Antiqua" w:cs="Arial"/>
          <w:sz w:val="24"/>
          <w:szCs w:val="24"/>
        </w:rPr>
        <w:t xml:space="preserve">diferencia de </w:t>
      </w:r>
      <w:r w:rsidR="00FC767A">
        <w:rPr>
          <w:rFonts w:ascii="Book Antiqua" w:eastAsia="Calibri" w:hAnsi="Book Antiqua" w:cs="Arial"/>
          <w:sz w:val="24"/>
          <w:szCs w:val="24"/>
        </w:rPr>
        <w:t>596</w:t>
      </w:r>
      <w:r w:rsidRPr="00F96A81">
        <w:rPr>
          <w:rFonts w:ascii="Book Antiqua" w:eastAsia="Calibri" w:hAnsi="Book Antiqua" w:cs="Arial"/>
          <w:sz w:val="24"/>
          <w:szCs w:val="24"/>
        </w:rPr>
        <w:t xml:space="preserve"> casos</w:t>
      </w:r>
      <w:r w:rsidR="009D4165">
        <w:rPr>
          <w:rFonts w:ascii="Book Antiqua" w:eastAsia="Calibri" w:hAnsi="Book Antiqua" w:cs="Arial"/>
          <w:sz w:val="24"/>
          <w:szCs w:val="24"/>
        </w:rPr>
        <w:t>,</w:t>
      </w:r>
      <w:r w:rsidRPr="00F96A81">
        <w:rPr>
          <w:rFonts w:ascii="Book Antiqua" w:eastAsia="Calibri" w:hAnsi="Book Antiqua" w:cs="Arial"/>
          <w:sz w:val="24"/>
          <w:szCs w:val="24"/>
        </w:rPr>
        <w:t xml:space="preserve"> lo que representa </w:t>
      </w:r>
      <w:r w:rsidR="002B7BD4">
        <w:rPr>
          <w:rFonts w:ascii="Book Antiqua" w:eastAsia="Calibri" w:hAnsi="Book Antiqua" w:cs="Arial"/>
          <w:sz w:val="24"/>
          <w:szCs w:val="24"/>
        </w:rPr>
        <w:t xml:space="preserve">un </w:t>
      </w:r>
      <w:r w:rsidR="00C27B41">
        <w:rPr>
          <w:rFonts w:ascii="Book Antiqua" w:eastAsia="Calibri" w:hAnsi="Book Antiqua" w:cs="Arial"/>
          <w:sz w:val="24"/>
          <w:szCs w:val="24"/>
        </w:rPr>
        <w:t>de</w:t>
      </w:r>
      <w:r w:rsidRPr="00F96A81">
        <w:rPr>
          <w:rFonts w:ascii="Book Antiqua" w:eastAsia="Calibri" w:hAnsi="Book Antiqua" w:cs="Arial"/>
          <w:sz w:val="24"/>
          <w:szCs w:val="24"/>
        </w:rPr>
        <w:t>cre</w:t>
      </w:r>
      <w:r w:rsidR="00C27B41">
        <w:rPr>
          <w:rFonts w:ascii="Book Antiqua" w:eastAsia="Calibri" w:hAnsi="Book Antiqua" w:cs="Arial"/>
          <w:sz w:val="24"/>
          <w:szCs w:val="24"/>
        </w:rPr>
        <w:t>ci</w:t>
      </w:r>
      <w:r w:rsidRPr="00F96A81">
        <w:rPr>
          <w:rFonts w:ascii="Book Antiqua" w:eastAsia="Calibri" w:hAnsi="Book Antiqua" w:cs="Arial"/>
          <w:sz w:val="24"/>
          <w:szCs w:val="24"/>
        </w:rPr>
        <w:t>m</w:t>
      </w:r>
      <w:r w:rsidR="00C27B41">
        <w:rPr>
          <w:rFonts w:ascii="Book Antiqua" w:eastAsia="Calibri" w:hAnsi="Book Antiqua" w:cs="Arial"/>
          <w:sz w:val="24"/>
          <w:szCs w:val="24"/>
        </w:rPr>
        <w:t>i</w:t>
      </w:r>
      <w:r w:rsidRPr="00F96A81">
        <w:rPr>
          <w:rFonts w:ascii="Book Antiqua" w:eastAsia="Calibri" w:hAnsi="Book Antiqua" w:cs="Arial"/>
          <w:sz w:val="24"/>
          <w:szCs w:val="24"/>
        </w:rPr>
        <w:t>ento</w:t>
      </w:r>
      <w:r w:rsidR="006B0FA1">
        <w:rPr>
          <w:rFonts w:ascii="Book Antiqua" w:eastAsia="Calibri" w:hAnsi="Book Antiqua" w:cs="Arial"/>
          <w:sz w:val="24"/>
          <w:szCs w:val="24"/>
        </w:rPr>
        <w:t xml:space="preserve"> de</w:t>
      </w:r>
      <w:r w:rsidR="003A61B0">
        <w:rPr>
          <w:rFonts w:ascii="Book Antiqua" w:eastAsia="Calibri" w:hAnsi="Book Antiqua" w:cs="Arial"/>
          <w:sz w:val="24"/>
          <w:szCs w:val="24"/>
        </w:rPr>
        <w:t xml:space="preserve"> un </w:t>
      </w:r>
      <w:r w:rsidR="006B0FA1" w:rsidRPr="00AD1C1E">
        <w:rPr>
          <w:rFonts w:ascii="Book Antiqua" w:eastAsia="Calibri" w:hAnsi="Book Antiqua" w:cs="Arial"/>
          <w:sz w:val="24"/>
          <w:szCs w:val="24"/>
        </w:rPr>
        <w:t>3</w:t>
      </w:r>
      <w:r w:rsidR="00FC767A">
        <w:rPr>
          <w:rFonts w:ascii="Book Antiqua" w:eastAsia="Calibri" w:hAnsi="Book Antiqua" w:cs="Arial"/>
          <w:sz w:val="24"/>
          <w:szCs w:val="24"/>
        </w:rPr>
        <w:t>6</w:t>
      </w:r>
      <w:r w:rsidR="006B0FA1" w:rsidRPr="00AD1C1E">
        <w:rPr>
          <w:rFonts w:ascii="Book Antiqua" w:eastAsia="Calibri" w:hAnsi="Book Antiqua" w:cs="Arial"/>
          <w:sz w:val="24"/>
          <w:szCs w:val="24"/>
        </w:rPr>
        <w:t>%</w:t>
      </w:r>
      <w:r w:rsidRPr="00AD1C1E">
        <w:rPr>
          <w:rFonts w:ascii="Book Antiqua" w:eastAsia="Calibri" w:hAnsi="Book Antiqua" w:cs="Arial"/>
          <w:sz w:val="24"/>
          <w:szCs w:val="24"/>
        </w:rPr>
        <w:t>,</w:t>
      </w:r>
      <w:r w:rsidRPr="00F96A81">
        <w:rPr>
          <w:rFonts w:ascii="Book Antiqua" w:eastAsia="Calibri" w:hAnsi="Book Antiqua" w:cs="Arial"/>
          <w:sz w:val="24"/>
          <w:szCs w:val="24"/>
        </w:rPr>
        <w:t xml:space="preserve"> </w:t>
      </w:r>
      <w:r w:rsidR="009D4165">
        <w:rPr>
          <w:rFonts w:ascii="Book Antiqua" w:eastAsia="Calibri" w:hAnsi="Book Antiqua" w:cs="Arial"/>
          <w:sz w:val="24"/>
          <w:szCs w:val="24"/>
        </w:rPr>
        <w:t>como se indicó líneas arriba</w:t>
      </w:r>
      <w:r w:rsidR="00DA1C02">
        <w:rPr>
          <w:rFonts w:ascii="Book Antiqua" w:eastAsia="Calibri" w:hAnsi="Book Antiqua" w:cs="Arial"/>
          <w:sz w:val="24"/>
          <w:szCs w:val="24"/>
        </w:rPr>
        <w:t>,</w:t>
      </w:r>
      <w:r w:rsidR="009D4165">
        <w:rPr>
          <w:rFonts w:ascii="Book Antiqua" w:eastAsia="Calibri" w:hAnsi="Book Antiqua" w:cs="Arial"/>
          <w:sz w:val="24"/>
          <w:szCs w:val="24"/>
        </w:rPr>
        <w:t xml:space="preserve"> el 2020 </w:t>
      </w:r>
      <w:r w:rsidR="00CE21BF">
        <w:rPr>
          <w:rFonts w:ascii="Book Antiqua" w:eastAsia="Calibri" w:hAnsi="Book Antiqua" w:cs="Arial"/>
          <w:sz w:val="24"/>
          <w:szCs w:val="24"/>
        </w:rPr>
        <w:t>no refleja la normalidad de los despachos</w:t>
      </w:r>
      <w:r w:rsidR="008543BE">
        <w:rPr>
          <w:rFonts w:ascii="Book Antiqua" w:eastAsia="Calibri" w:hAnsi="Book Antiqua" w:cs="Arial"/>
          <w:sz w:val="24"/>
          <w:szCs w:val="24"/>
        </w:rPr>
        <w:t>, debido a la emergencia nacional por la pandemia del Covid-19</w:t>
      </w:r>
      <w:r w:rsidRPr="00F96A81">
        <w:rPr>
          <w:rFonts w:ascii="Book Antiqua" w:eastAsia="Calibri" w:hAnsi="Book Antiqua" w:cs="Arial"/>
          <w:sz w:val="24"/>
          <w:szCs w:val="24"/>
        </w:rPr>
        <w:t xml:space="preserve">. </w:t>
      </w:r>
    </w:p>
    <w:p w14:paraId="13C40279" w14:textId="77777777" w:rsidR="00F96A81" w:rsidRPr="00F96A81" w:rsidRDefault="00F96A81" w:rsidP="00F96A81">
      <w:pPr>
        <w:spacing w:after="0" w:line="276" w:lineRule="auto"/>
        <w:jc w:val="both"/>
        <w:rPr>
          <w:rFonts w:ascii="Book Antiqua" w:eastAsia="Calibri" w:hAnsi="Book Antiqua" w:cs="Arial"/>
          <w:sz w:val="24"/>
          <w:szCs w:val="24"/>
        </w:rPr>
      </w:pPr>
    </w:p>
    <w:p w14:paraId="60068467" w14:textId="473CCA80" w:rsidR="00F96A81" w:rsidRPr="00F96A81" w:rsidRDefault="009C4EFD" w:rsidP="00F96A81">
      <w:pPr>
        <w:spacing w:after="0" w:line="276" w:lineRule="auto"/>
        <w:jc w:val="both"/>
        <w:rPr>
          <w:rFonts w:ascii="Book Antiqua" w:eastAsia="Calibri" w:hAnsi="Book Antiqua" w:cs="Arial"/>
          <w:sz w:val="24"/>
          <w:szCs w:val="24"/>
        </w:rPr>
      </w:pPr>
      <w:r w:rsidRPr="009C4EFD">
        <w:rPr>
          <w:rFonts w:ascii="Book Antiqua" w:eastAsia="Calibri" w:hAnsi="Book Antiqua" w:cs="Arial"/>
          <w:sz w:val="24"/>
          <w:szCs w:val="24"/>
        </w:rPr>
        <w:t xml:space="preserve">Al analizar el comportamiento de la entrada </w:t>
      </w:r>
      <w:r w:rsidR="003A61B0">
        <w:rPr>
          <w:rFonts w:ascii="Book Antiqua" w:eastAsia="Calibri" w:hAnsi="Book Antiqua" w:cs="Arial"/>
          <w:sz w:val="24"/>
          <w:szCs w:val="24"/>
        </w:rPr>
        <w:t>total (</w:t>
      </w:r>
      <w:r w:rsidRPr="009C4EFD">
        <w:rPr>
          <w:rFonts w:ascii="Book Antiqua" w:eastAsia="Calibri" w:hAnsi="Book Antiqua" w:cs="Arial"/>
          <w:sz w:val="24"/>
          <w:szCs w:val="24"/>
        </w:rPr>
        <w:t>asuntos nuevos</w:t>
      </w:r>
      <w:r w:rsidR="003A61B0">
        <w:rPr>
          <w:rFonts w:ascii="Book Antiqua" w:eastAsia="Calibri" w:hAnsi="Book Antiqua" w:cs="Arial"/>
          <w:sz w:val="24"/>
          <w:szCs w:val="24"/>
        </w:rPr>
        <w:t xml:space="preserve"> + reentrados)</w:t>
      </w:r>
      <w:r w:rsidRPr="009C4EFD">
        <w:rPr>
          <w:rFonts w:ascii="Book Antiqua" w:eastAsia="Calibri" w:hAnsi="Book Antiqua" w:cs="Arial"/>
          <w:sz w:val="24"/>
          <w:szCs w:val="24"/>
        </w:rPr>
        <w:t>, se visualiza un</w:t>
      </w:r>
      <w:r w:rsidR="00FC767A">
        <w:rPr>
          <w:rFonts w:ascii="Book Antiqua" w:eastAsia="Calibri" w:hAnsi="Book Antiqua" w:cs="Arial"/>
          <w:sz w:val="24"/>
          <w:szCs w:val="24"/>
        </w:rPr>
        <w:t xml:space="preserve"> </w:t>
      </w:r>
      <w:r w:rsidR="003A61B0">
        <w:rPr>
          <w:rFonts w:ascii="Book Antiqua" w:eastAsia="Calibri" w:hAnsi="Book Antiqua" w:cs="Arial"/>
          <w:sz w:val="24"/>
          <w:szCs w:val="24"/>
        </w:rPr>
        <w:t>a</w:t>
      </w:r>
      <w:r w:rsidR="00FC767A">
        <w:rPr>
          <w:rFonts w:ascii="Book Antiqua" w:eastAsia="Calibri" w:hAnsi="Book Antiqua" w:cs="Arial"/>
          <w:sz w:val="24"/>
          <w:szCs w:val="24"/>
        </w:rPr>
        <w:t>umento</w:t>
      </w:r>
      <w:r w:rsidR="003A61B0">
        <w:rPr>
          <w:rFonts w:ascii="Book Antiqua" w:eastAsia="Calibri" w:hAnsi="Book Antiqua" w:cs="Arial"/>
          <w:sz w:val="24"/>
          <w:szCs w:val="24"/>
        </w:rPr>
        <w:t xml:space="preserve"> de </w:t>
      </w:r>
      <w:r w:rsidR="00FD628B">
        <w:rPr>
          <w:rFonts w:ascii="Book Antiqua" w:eastAsia="Calibri" w:hAnsi="Book Antiqua" w:cs="Arial"/>
          <w:sz w:val="24"/>
          <w:szCs w:val="24"/>
        </w:rPr>
        <w:t xml:space="preserve">asuntos </w:t>
      </w:r>
      <w:r w:rsidR="00B75F81">
        <w:rPr>
          <w:rFonts w:ascii="Book Antiqua" w:eastAsia="Calibri" w:hAnsi="Book Antiqua" w:cs="Arial"/>
          <w:sz w:val="24"/>
          <w:szCs w:val="24"/>
        </w:rPr>
        <w:t>para el periodo</w:t>
      </w:r>
      <w:r w:rsidR="003A61B0">
        <w:rPr>
          <w:rFonts w:ascii="Book Antiqua" w:eastAsia="Calibri" w:hAnsi="Book Antiqua" w:cs="Arial"/>
          <w:sz w:val="24"/>
          <w:szCs w:val="24"/>
        </w:rPr>
        <w:t xml:space="preserve"> </w:t>
      </w:r>
      <w:r w:rsidRPr="009C4EFD">
        <w:rPr>
          <w:rFonts w:ascii="Book Antiqua" w:eastAsia="Calibri" w:hAnsi="Book Antiqua" w:cs="Arial"/>
          <w:sz w:val="24"/>
          <w:szCs w:val="24"/>
        </w:rPr>
        <w:t>2017</w:t>
      </w:r>
      <w:r w:rsidR="00FC767A">
        <w:rPr>
          <w:rFonts w:ascii="Book Antiqua" w:eastAsia="Calibri" w:hAnsi="Book Antiqua" w:cs="Arial"/>
          <w:sz w:val="24"/>
          <w:szCs w:val="24"/>
        </w:rPr>
        <w:t>-</w:t>
      </w:r>
      <w:r w:rsidRPr="009C4EFD">
        <w:rPr>
          <w:rFonts w:ascii="Book Antiqua" w:eastAsia="Calibri" w:hAnsi="Book Antiqua" w:cs="Arial"/>
          <w:sz w:val="24"/>
          <w:szCs w:val="24"/>
        </w:rPr>
        <w:t>202</w:t>
      </w:r>
      <w:r w:rsidR="00B75F81">
        <w:rPr>
          <w:rFonts w:ascii="Book Antiqua" w:eastAsia="Calibri" w:hAnsi="Book Antiqua" w:cs="Arial"/>
          <w:sz w:val="24"/>
          <w:szCs w:val="24"/>
        </w:rPr>
        <w:t xml:space="preserve">2 de </w:t>
      </w:r>
      <w:r w:rsidR="00FC767A">
        <w:rPr>
          <w:rFonts w:ascii="Book Antiqua" w:eastAsia="Calibri" w:hAnsi="Book Antiqua" w:cs="Arial"/>
          <w:sz w:val="24"/>
          <w:szCs w:val="24"/>
        </w:rPr>
        <w:t>1 046</w:t>
      </w:r>
      <w:r w:rsidR="00B75F81">
        <w:rPr>
          <w:rFonts w:ascii="Book Antiqua" w:eastAsia="Calibri" w:hAnsi="Book Antiqua" w:cs="Arial"/>
          <w:sz w:val="24"/>
          <w:szCs w:val="24"/>
        </w:rPr>
        <w:t xml:space="preserve"> asuntos</w:t>
      </w:r>
      <w:r w:rsidRPr="009C4EFD">
        <w:rPr>
          <w:rFonts w:ascii="Book Antiqua" w:eastAsia="Calibri" w:hAnsi="Book Antiqua" w:cs="Arial"/>
          <w:sz w:val="24"/>
          <w:szCs w:val="24"/>
        </w:rPr>
        <w:t xml:space="preserve"> (</w:t>
      </w:r>
      <w:r w:rsidR="00FC767A">
        <w:rPr>
          <w:rFonts w:ascii="Book Antiqua" w:eastAsia="Calibri" w:hAnsi="Book Antiqua" w:cs="Arial"/>
          <w:sz w:val="24"/>
          <w:szCs w:val="24"/>
        </w:rPr>
        <w:t xml:space="preserve">aumento del </w:t>
      </w:r>
      <w:r w:rsidR="00AD1C1E">
        <w:rPr>
          <w:rFonts w:ascii="Book Antiqua" w:eastAsia="Calibri" w:hAnsi="Book Antiqua" w:cs="Arial"/>
          <w:sz w:val="24"/>
          <w:szCs w:val="24"/>
        </w:rPr>
        <w:t>2</w:t>
      </w:r>
      <w:r w:rsidRPr="00AD1C1E">
        <w:rPr>
          <w:rFonts w:ascii="Book Antiqua" w:eastAsia="Calibri" w:hAnsi="Book Antiqua" w:cs="Arial"/>
          <w:sz w:val="24"/>
          <w:szCs w:val="24"/>
        </w:rPr>
        <w:t>%</w:t>
      </w:r>
      <w:r w:rsidRPr="009C4EFD">
        <w:rPr>
          <w:rFonts w:ascii="Book Antiqua" w:eastAsia="Calibri" w:hAnsi="Book Antiqua" w:cs="Arial"/>
          <w:sz w:val="24"/>
          <w:szCs w:val="24"/>
        </w:rPr>
        <w:t>); además, durante el periodo 202</w:t>
      </w:r>
      <w:r w:rsidR="00B75F81">
        <w:rPr>
          <w:rFonts w:ascii="Book Antiqua" w:eastAsia="Calibri" w:hAnsi="Book Antiqua" w:cs="Arial"/>
          <w:sz w:val="24"/>
          <w:szCs w:val="24"/>
        </w:rPr>
        <w:t>2</w:t>
      </w:r>
      <w:r w:rsidR="00D268BD">
        <w:rPr>
          <w:rFonts w:ascii="Book Antiqua" w:eastAsia="Calibri" w:hAnsi="Book Antiqua" w:cs="Arial"/>
          <w:sz w:val="24"/>
          <w:szCs w:val="24"/>
        </w:rPr>
        <w:t xml:space="preserve"> </w:t>
      </w:r>
      <w:r w:rsidRPr="009C4EFD">
        <w:rPr>
          <w:rFonts w:ascii="Book Antiqua" w:eastAsia="Calibri" w:hAnsi="Book Antiqua" w:cs="Arial"/>
          <w:sz w:val="24"/>
          <w:szCs w:val="24"/>
        </w:rPr>
        <w:t xml:space="preserve">se </w:t>
      </w:r>
      <w:r w:rsidRPr="00F90275">
        <w:rPr>
          <w:rFonts w:ascii="Book Antiqua" w:eastAsia="Calibri" w:hAnsi="Book Antiqua" w:cs="Arial"/>
          <w:sz w:val="24"/>
          <w:szCs w:val="24"/>
        </w:rPr>
        <w:t xml:space="preserve">crearon </w:t>
      </w:r>
      <w:r w:rsidR="008520F8" w:rsidRPr="00451611">
        <w:rPr>
          <w:rFonts w:ascii="Book Antiqua" w:eastAsia="Calibri" w:hAnsi="Book Antiqua" w:cs="Arial"/>
          <w:sz w:val="24"/>
          <w:szCs w:val="24"/>
        </w:rPr>
        <w:t>3</w:t>
      </w:r>
      <w:r w:rsidR="00451611" w:rsidRPr="00451611">
        <w:rPr>
          <w:rFonts w:ascii="Book Antiqua" w:eastAsia="Calibri" w:hAnsi="Book Antiqua" w:cs="Arial"/>
          <w:sz w:val="24"/>
          <w:szCs w:val="24"/>
        </w:rPr>
        <w:t>37</w:t>
      </w:r>
      <w:r w:rsidRPr="0093051F">
        <w:rPr>
          <w:rFonts w:ascii="Book Antiqua" w:eastAsia="Calibri" w:hAnsi="Book Antiqua" w:cs="Arial"/>
          <w:sz w:val="24"/>
          <w:szCs w:val="24"/>
        </w:rPr>
        <w:t xml:space="preserve"> legajos de</w:t>
      </w:r>
      <w:r w:rsidRPr="009C4EFD">
        <w:rPr>
          <w:rFonts w:ascii="Book Antiqua" w:eastAsia="Calibri" w:hAnsi="Book Antiqua" w:cs="Arial"/>
          <w:sz w:val="24"/>
          <w:szCs w:val="24"/>
        </w:rPr>
        <w:t xml:space="preserve"> ejecución. </w:t>
      </w:r>
    </w:p>
    <w:p w14:paraId="7512529C" w14:textId="77777777" w:rsidR="00F96A81" w:rsidRPr="00F96A81" w:rsidRDefault="00F96A81" w:rsidP="00F96A81">
      <w:pPr>
        <w:spacing w:after="0" w:line="276" w:lineRule="auto"/>
        <w:jc w:val="both"/>
        <w:rPr>
          <w:rFonts w:ascii="Book Antiqua" w:eastAsia="Calibri" w:hAnsi="Book Antiqua" w:cs="Arial"/>
          <w:sz w:val="24"/>
          <w:szCs w:val="24"/>
        </w:rPr>
      </w:pPr>
    </w:p>
    <w:p w14:paraId="5AF819CA" w14:textId="201F7DD5"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Cabe destacar que </w:t>
      </w:r>
      <w:r w:rsidR="00D60425" w:rsidRPr="00F96A81">
        <w:rPr>
          <w:rFonts w:ascii="Book Antiqua" w:eastAsia="Calibri" w:hAnsi="Book Antiqua" w:cs="Arial"/>
          <w:sz w:val="24"/>
          <w:szCs w:val="24"/>
        </w:rPr>
        <w:t>la realización</w:t>
      </w:r>
      <w:r w:rsidRPr="00F96A81">
        <w:rPr>
          <w:rFonts w:ascii="Book Antiqua" w:eastAsia="Calibri" w:hAnsi="Book Antiqua" w:cs="Arial"/>
          <w:sz w:val="24"/>
          <w:szCs w:val="24"/>
        </w:rPr>
        <w:t xml:space="preserve"> de inventarios </w:t>
      </w:r>
      <w:r w:rsidR="00BC6301">
        <w:rPr>
          <w:rFonts w:ascii="Book Antiqua" w:eastAsia="Calibri" w:hAnsi="Book Antiqua" w:cs="Arial"/>
          <w:sz w:val="24"/>
          <w:szCs w:val="24"/>
        </w:rPr>
        <w:t xml:space="preserve">a partir del 2020 incluyó </w:t>
      </w:r>
      <w:r w:rsidRPr="00F96A81">
        <w:rPr>
          <w:rFonts w:ascii="Book Antiqua" w:eastAsia="Calibri" w:hAnsi="Book Antiqua" w:cs="Arial"/>
          <w:sz w:val="24"/>
          <w:szCs w:val="24"/>
        </w:rPr>
        <w:t>no solo principales</w:t>
      </w:r>
      <w:r w:rsidR="00BC6301">
        <w:rPr>
          <w:rFonts w:ascii="Book Antiqua" w:eastAsia="Calibri" w:hAnsi="Book Antiqua" w:cs="Arial"/>
          <w:sz w:val="24"/>
          <w:szCs w:val="24"/>
        </w:rPr>
        <w:t xml:space="preserve"> como se hacía hasta antes de esa fecha</w:t>
      </w:r>
      <w:r w:rsidRPr="00F96A81">
        <w:rPr>
          <w:rFonts w:ascii="Book Antiqua" w:eastAsia="Calibri" w:hAnsi="Book Antiqua" w:cs="Arial"/>
          <w:sz w:val="24"/>
          <w:szCs w:val="24"/>
        </w:rPr>
        <w:t xml:space="preserve">, sino también en legajos e incidentes; lo anterior como parte del inventario anual en la materia y además como una de las tareas asociadas a la depuración de la información en los sistemas de conformidad con las recomendaciones emitidas por la Contraloría General de la República. </w:t>
      </w:r>
    </w:p>
    <w:p w14:paraId="7B02429B" w14:textId="77777777" w:rsidR="00F96A81" w:rsidRPr="00F96A81" w:rsidRDefault="00F96A81" w:rsidP="00F96A81">
      <w:pPr>
        <w:spacing w:after="0" w:line="276" w:lineRule="auto"/>
        <w:jc w:val="both"/>
        <w:rPr>
          <w:rFonts w:ascii="Book Antiqua" w:eastAsia="Calibri" w:hAnsi="Book Antiqua" w:cs="Arial"/>
          <w:sz w:val="24"/>
          <w:szCs w:val="24"/>
        </w:rPr>
      </w:pPr>
    </w:p>
    <w:p w14:paraId="20C2278D" w14:textId="124E6883"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Como parte de las acciones institucionales para garantizar la depuración de la información </w:t>
      </w:r>
      <w:r w:rsidR="00BC6301">
        <w:rPr>
          <w:rFonts w:ascii="Book Antiqua" w:eastAsia="Calibri" w:hAnsi="Book Antiqua" w:cs="Arial"/>
          <w:sz w:val="24"/>
          <w:szCs w:val="24"/>
        </w:rPr>
        <w:t xml:space="preserve">a partir del 2020, </w:t>
      </w:r>
      <w:r w:rsidR="00D60425">
        <w:rPr>
          <w:rFonts w:ascii="Book Antiqua" w:eastAsia="Calibri" w:hAnsi="Book Antiqua" w:cs="Arial"/>
          <w:sz w:val="24"/>
          <w:szCs w:val="24"/>
        </w:rPr>
        <w:t xml:space="preserve">dentro </w:t>
      </w:r>
      <w:r w:rsidR="00D60425" w:rsidRPr="00F96A81">
        <w:rPr>
          <w:rFonts w:ascii="Book Antiqua" w:eastAsia="Calibri" w:hAnsi="Book Antiqua" w:cs="Arial"/>
          <w:sz w:val="24"/>
          <w:szCs w:val="24"/>
        </w:rPr>
        <w:t>del</w:t>
      </w:r>
      <w:r w:rsidRPr="00F96A81">
        <w:rPr>
          <w:rFonts w:ascii="Book Antiqua" w:eastAsia="Calibri" w:hAnsi="Book Antiqua" w:cs="Arial"/>
          <w:sz w:val="24"/>
          <w:szCs w:val="24"/>
        </w:rPr>
        <w:t xml:space="preserve"> informe de inconsistencias mensual de los despachos, </w:t>
      </w:r>
      <w:r w:rsidR="00763644">
        <w:rPr>
          <w:rFonts w:ascii="Book Antiqua" w:eastAsia="Calibri" w:hAnsi="Book Antiqua" w:cs="Arial"/>
          <w:sz w:val="24"/>
          <w:szCs w:val="24"/>
        </w:rPr>
        <w:t xml:space="preserve">se incluyeron </w:t>
      </w:r>
      <w:r w:rsidRPr="00F96A81">
        <w:rPr>
          <w:rFonts w:ascii="Book Antiqua" w:eastAsia="Calibri" w:hAnsi="Book Antiqua" w:cs="Arial"/>
          <w:sz w:val="24"/>
          <w:szCs w:val="24"/>
        </w:rPr>
        <w:t>5 variables adicionales</w:t>
      </w:r>
      <w:r w:rsidR="00BC6301">
        <w:rPr>
          <w:rFonts w:ascii="Book Antiqua" w:eastAsia="Calibri" w:hAnsi="Book Antiqua" w:cs="Arial"/>
          <w:sz w:val="24"/>
          <w:szCs w:val="24"/>
        </w:rPr>
        <w:t xml:space="preserve"> de revisión obligatoria</w:t>
      </w:r>
      <w:r w:rsidRPr="00F96A81">
        <w:rPr>
          <w:rFonts w:ascii="Book Antiqua" w:eastAsia="Calibri" w:hAnsi="Book Antiqua" w:cs="Arial"/>
          <w:sz w:val="24"/>
          <w:szCs w:val="24"/>
        </w:rPr>
        <w:t xml:space="preserve"> (comunicado mediante circular 191-2020).</w:t>
      </w:r>
    </w:p>
    <w:p w14:paraId="53740DC9" w14:textId="77777777"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 </w:t>
      </w:r>
    </w:p>
    <w:p w14:paraId="3D405FF6" w14:textId="1E76BE1D" w:rsidR="00EC2F0B" w:rsidRDefault="00F96A81">
      <w:pPr>
        <w:pStyle w:val="Prrafodelista"/>
        <w:numPr>
          <w:ilvl w:val="0"/>
          <w:numId w:val="38"/>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con fecha de entrada mayor a la fecha de término</w:t>
      </w:r>
      <w:r w:rsidR="006960B1">
        <w:rPr>
          <w:rFonts w:ascii="Book Antiqua" w:eastAsia="Calibri" w:hAnsi="Book Antiqua" w:cs="Arial"/>
          <w:sz w:val="24"/>
        </w:rPr>
        <w:t>.</w:t>
      </w:r>
    </w:p>
    <w:p w14:paraId="40F23ADD" w14:textId="749CC50C" w:rsidR="00F96A81" w:rsidRPr="00EC2F0B" w:rsidRDefault="00F96A81">
      <w:pPr>
        <w:pStyle w:val="Prrafodelista"/>
        <w:numPr>
          <w:ilvl w:val="0"/>
          <w:numId w:val="38"/>
        </w:numPr>
        <w:spacing w:after="0" w:line="276" w:lineRule="auto"/>
        <w:jc w:val="both"/>
        <w:rPr>
          <w:rFonts w:ascii="Book Antiqua" w:eastAsia="Calibri" w:hAnsi="Book Antiqua" w:cs="Arial"/>
          <w:sz w:val="24"/>
        </w:rPr>
      </w:pPr>
      <w:r w:rsidRPr="00EC2F0B">
        <w:rPr>
          <w:rFonts w:ascii="Book Antiqua" w:eastAsia="Calibri" w:hAnsi="Book Antiqua" w:cs="Arial"/>
          <w:sz w:val="24"/>
        </w:rPr>
        <w:t xml:space="preserve">Expedientes donde la clase de asunto asignada no corresponde a las aprobadas por la Comisión de Familia, Niñez y Adolescencia. </w:t>
      </w:r>
    </w:p>
    <w:p w14:paraId="59B16F4F" w14:textId="77777777" w:rsidR="00EC2F0B" w:rsidRDefault="00F96A81">
      <w:pPr>
        <w:pStyle w:val="Prrafodelista"/>
        <w:numPr>
          <w:ilvl w:val="0"/>
          <w:numId w:val="38"/>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el procedimiento asignado no corresponde a los aprobados por la Comisión de Familia, Niñez y Adolescencia.</w:t>
      </w:r>
    </w:p>
    <w:p w14:paraId="58ECDD45" w14:textId="77777777" w:rsidR="00EC2F0B" w:rsidRDefault="00F96A81">
      <w:pPr>
        <w:pStyle w:val="Prrafodelista"/>
        <w:numPr>
          <w:ilvl w:val="0"/>
          <w:numId w:val="38"/>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el principal se encuentra cerrado estadísticamente, pero tiene un incidente o legajo de apremio que se está tramitando.</w:t>
      </w:r>
    </w:p>
    <w:p w14:paraId="394A4422" w14:textId="0707FFCC" w:rsidR="00F96A81" w:rsidRPr="00EC2F0B" w:rsidRDefault="00F96A81">
      <w:pPr>
        <w:pStyle w:val="Prrafodelista"/>
        <w:numPr>
          <w:ilvl w:val="0"/>
          <w:numId w:val="38"/>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la fecha de pase a fallo sea menor a la fecha de dictado de sentencia.</w:t>
      </w:r>
    </w:p>
    <w:p w14:paraId="71248DC3" w14:textId="77777777" w:rsidR="00F96A81" w:rsidRPr="00F96A81" w:rsidRDefault="00F96A81" w:rsidP="00F96A81">
      <w:pPr>
        <w:spacing w:after="0" w:line="276" w:lineRule="auto"/>
        <w:jc w:val="both"/>
        <w:rPr>
          <w:rFonts w:ascii="Book Antiqua" w:eastAsia="Calibri" w:hAnsi="Book Antiqua" w:cs="Arial"/>
          <w:sz w:val="24"/>
          <w:szCs w:val="24"/>
        </w:rPr>
      </w:pPr>
    </w:p>
    <w:p w14:paraId="225F61A3" w14:textId="1EC4856A"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Para monitorear con mayor detalle la materia</w:t>
      </w:r>
      <w:r w:rsidR="00BC6301">
        <w:rPr>
          <w:rFonts w:ascii="Book Antiqua" w:eastAsia="Calibri" w:hAnsi="Book Antiqua" w:cs="Arial"/>
          <w:sz w:val="24"/>
          <w:szCs w:val="24"/>
        </w:rPr>
        <w:t xml:space="preserve"> a partir del 2020</w:t>
      </w:r>
      <w:r w:rsidRPr="00F96A81">
        <w:rPr>
          <w:rFonts w:ascii="Book Antiqua" w:eastAsia="Calibri" w:hAnsi="Book Antiqua" w:cs="Arial"/>
          <w:sz w:val="24"/>
          <w:szCs w:val="24"/>
        </w:rPr>
        <w:t>, se creó el reporte “</w:t>
      </w:r>
      <w:r w:rsidRPr="001D0C10">
        <w:rPr>
          <w:rFonts w:ascii="Book Antiqua" w:eastAsia="Calibri" w:hAnsi="Book Antiqua" w:cs="Arial"/>
          <w:i/>
          <w:iCs/>
          <w:sz w:val="24"/>
          <w:szCs w:val="24"/>
        </w:rPr>
        <w:t>Informe de Inconsistencias para Familia y Pensiones Alimentarias</w:t>
      </w:r>
      <w:r w:rsidRPr="00F96A81">
        <w:rPr>
          <w:rFonts w:ascii="Book Antiqua" w:eastAsia="Calibri" w:hAnsi="Book Antiqua" w:cs="Arial"/>
          <w:sz w:val="24"/>
          <w:szCs w:val="24"/>
        </w:rPr>
        <w:t>” en la plataforma SIGMA; además de un cambio en la fórmula estadística (comunicado mediante circular 207-2020).</w:t>
      </w:r>
    </w:p>
    <w:p w14:paraId="40315DFE" w14:textId="77777777" w:rsidR="00F96A81" w:rsidRPr="00F96A81" w:rsidRDefault="00F96A81" w:rsidP="00F96A81">
      <w:pPr>
        <w:spacing w:after="0" w:line="276" w:lineRule="auto"/>
        <w:jc w:val="both"/>
        <w:rPr>
          <w:rFonts w:ascii="Book Antiqua" w:eastAsia="Calibri" w:hAnsi="Book Antiqua" w:cs="Arial"/>
          <w:sz w:val="24"/>
          <w:szCs w:val="24"/>
        </w:rPr>
      </w:pPr>
    </w:p>
    <w:p w14:paraId="51C583F6" w14:textId="3CEE9765" w:rsidR="00300974" w:rsidRPr="00300974" w:rsidRDefault="00300974" w:rsidP="0030097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0974">
        <w:rPr>
          <w:rFonts w:ascii="Book Antiqua" w:eastAsia="Calibri" w:hAnsi="Book Antiqua" w:cs="Arial"/>
          <w:b/>
          <w:bCs/>
          <w:color w:val="1F497D"/>
          <w:szCs w:val="24"/>
          <w:lang w:val="es-ES" w:eastAsia="es-ES"/>
        </w:rPr>
        <w:t xml:space="preserve">Ilustración </w:t>
      </w:r>
      <w:r w:rsidRPr="00300974">
        <w:rPr>
          <w:rFonts w:ascii="Book Antiqua" w:hAnsi="Book Antiqua"/>
          <w:b/>
          <w:bCs/>
          <w:noProof/>
          <w:color w:val="1F497D"/>
          <w:szCs w:val="24"/>
          <w:lang w:val="es-ES" w:eastAsia="es-ES"/>
        </w:rPr>
        <w:fldChar w:fldCharType="begin"/>
      </w:r>
      <w:r w:rsidRPr="00300974">
        <w:rPr>
          <w:rFonts w:ascii="Book Antiqua" w:hAnsi="Book Antiqua"/>
          <w:b/>
          <w:bCs/>
          <w:noProof/>
          <w:color w:val="1F497D"/>
          <w:szCs w:val="24"/>
          <w:lang w:val="es-ES" w:eastAsia="es-ES"/>
        </w:rPr>
        <w:instrText xml:space="preserve"> SEQ Ilustración \* ARABIC </w:instrText>
      </w:r>
      <w:r w:rsidRPr="00300974">
        <w:rPr>
          <w:rFonts w:ascii="Book Antiqua" w:hAnsi="Book Antiqua"/>
          <w:b/>
          <w:bCs/>
          <w:noProof/>
          <w:color w:val="1F497D"/>
          <w:szCs w:val="24"/>
          <w:lang w:val="es-ES" w:eastAsia="es-ES"/>
        </w:rPr>
        <w:fldChar w:fldCharType="separate"/>
      </w:r>
      <w:r w:rsidR="009B739E">
        <w:rPr>
          <w:rFonts w:ascii="Book Antiqua" w:hAnsi="Book Antiqua"/>
          <w:b/>
          <w:bCs/>
          <w:noProof/>
          <w:color w:val="1F497D"/>
          <w:szCs w:val="24"/>
          <w:lang w:val="es-ES" w:eastAsia="es-ES"/>
        </w:rPr>
        <w:t>1</w:t>
      </w:r>
      <w:r w:rsidRPr="00300974">
        <w:rPr>
          <w:rFonts w:ascii="Book Antiqua" w:hAnsi="Book Antiqua"/>
          <w:b/>
          <w:bCs/>
          <w:noProof/>
          <w:color w:val="1F497D"/>
          <w:szCs w:val="24"/>
          <w:lang w:val="es-ES" w:eastAsia="es-ES"/>
        </w:rPr>
        <w:fldChar w:fldCharType="end"/>
      </w:r>
    </w:p>
    <w:p w14:paraId="216444C4" w14:textId="6B5C3748" w:rsidR="00300974" w:rsidRPr="00300974" w:rsidRDefault="00300974" w:rsidP="0030097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0974">
        <w:rPr>
          <w:rFonts w:ascii="Book Antiqua" w:eastAsia="Calibri" w:hAnsi="Book Antiqua" w:cs="Arial"/>
          <w:b/>
          <w:bCs/>
          <w:color w:val="1F497D"/>
          <w:szCs w:val="24"/>
          <w:lang w:val="es-ES" w:eastAsia="es-ES"/>
        </w:rPr>
        <w:t xml:space="preserve">Contenido del reporte “Informe de Inconsistencias para Familia y Pensiones Alimentarias”, </w:t>
      </w:r>
      <w:r w:rsidR="00BC6301">
        <w:rPr>
          <w:rFonts w:ascii="Book Antiqua" w:eastAsia="Calibri" w:hAnsi="Book Antiqua" w:cs="Arial"/>
          <w:b/>
          <w:bCs/>
          <w:color w:val="1F497D"/>
          <w:szCs w:val="24"/>
          <w:lang w:val="es-ES" w:eastAsia="es-ES"/>
        </w:rPr>
        <w:t xml:space="preserve">existente en Sigma a partir del </w:t>
      </w:r>
      <w:r w:rsidRPr="00300974">
        <w:rPr>
          <w:rFonts w:ascii="Book Antiqua" w:eastAsia="Calibri" w:hAnsi="Book Antiqua" w:cs="Arial"/>
          <w:b/>
          <w:bCs/>
          <w:color w:val="1F497D"/>
          <w:szCs w:val="24"/>
          <w:lang w:val="es-ES" w:eastAsia="es-ES"/>
        </w:rPr>
        <w:t>2020</w:t>
      </w:r>
    </w:p>
    <w:p w14:paraId="1EAEE939" w14:textId="77777777" w:rsidR="00300974" w:rsidRPr="00300974" w:rsidRDefault="00300974" w:rsidP="00300974">
      <w:pPr>
        <w:spacing w:after="0" w:line="276" w:lineRule="auto"/>
        <w:jc w:val="center"/>
        <w:rPr>
          <w:rFonts w:ascii="Book Antiqua" w:eastAsia="Calibri" w:hAnsi="Book Antiqua" w:cs="Arial"/>
          <w:sz w:val="24"/>
          <w:szCs w:val="24"/>
        </w:rPr>
      </w:pPr>
      <w:r w:rsidRPr="00300974">
        <w:rPr>
          <w:rFonts w:ascii="Book Antiqua" w:eastAsia="Calibri" w:hAnsi="Book Antiqua" w:cs="Arial"/>
          <w:noProof/>
        </w:rPr>
        <w:drawing>
          <wp:inline distT="0" distB="0" distL="0" distR="0" wp14:anchorId="2C5BB117" wp14:editId="54A57A79">
            <wp:extent cx="2816768" cy="2918129"/>
            <wp:effectExtent l="0" t="0" r="3175" b="0"/>
            <wp:docPr id="1263269100" name="Picture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5901" cy="2927590"/>
                    </a:xfrm>
                    <a:prstGeom prst="rect">
                      <a:avLst/>
                    </a:prstGeom>
                  </pic:spPr>
                </pic:pic>
              </a:graphicData>
            </a:graphic>
          </wp:inline>
        </w:drawing>
      </w:r>
    </w:p>
    <w:p w14:paraId="3735F744" w14:textId="77777777" w:rsidR="00300974" w:rsidRPr="00300974" w:rsidRDefault="00300974" w:rsidP="00300974">
      <w:pPr>
        <w:spacing w:after="0" w:line="276" w:lineRule="auto"/>
        <w:ind w:firstLine="2268"/>
        <w:jc w:val="both"/>
        <w:rPr>
          <w:rFonts w:ascii="Book Antiqua" w:eastAsia="Calibri" w:hAnsi="Book Antiqua" w:cs="Arial"/>
          <w:i/>
          <w:iCs/>
          <w:sz w:val="20"/>
          <w:szCs w:val="20"/>
        </w:rPr>
      </w:pPr>
      <w:r w:rsidRPr="006960B1">
        <w:rPr>
          <w:rFonts w:ascii="Book Antiqua" w:eastAsia="Calibri" w:hAnsi="Book Antiqua" w:cs="Arial"/>
          <w:b/>
          <w:bCs/>
          <w:i/>
          <w:iCs/>
          <w:sz w:val="20"/>
          <w:szCs w:val="20"/>
        </w:rPr>
        <w:t>Fuente:</w:t>
      </w:r>
      <w:r w:rsidRPr="00300974">
        <w:rPr>
          <w:rFonts w:ascii="Book Antiqua" w:eastAsia="Calibri" w:hAnsi="Book Antiqua" w:cs="Arial"/>
          <w:i/>
          <w:iCs/>
          <w:sz w:val="20"/>
          <w:szCs w:val="20"/>
        </w:rPr>
        <w:t xml:space="preserve"> SIGMA.</w:t>
      </w:r>
    </w:p>
    <w:p w14:paraId="197641E3" w14:textId="77777777" w:rsidR="003B3842" w:rsidRDefault="003B3842" w:rsidP="009C01E1">
      <w:pPr>
        <w:spacing w:line="276" w:lineRule="auto"/>
        <w:jc w:val="both"/>
        <w:rPr>
          <w:rFonts w:ascii="Book Antiqua" w:eastAsia="Calibri" w:hAnsi="Book Antiqua" w:cs="Arial"/>
          <w:sz w:val="24"/>
          <w:szCs w:val="24"/>
        </w:rPr>
      </w:pPr>
    </w:p>
    <w:p w14:paraId="00825C75" w14:textId="31CEC933" w:rsidR="00C22DF7" w:rsidRDefault="003B3842" w:rsidP="009C01E1">
      <w:pPr>
        <w:spacing w:line="276" w:lineRule="auto"/>
        <w:jc w:val="both"/>
        <w:rPr>
          <w:rFonts w:ascii="Book Antiqua" w:hAnsi="Book Antiqua"/>
          <w:sz w:val="24"/>
          <w:szCs w:val="24"/>
        </w:rPr>
      </w:pPr>
      <w:r w:rsidRPr="003B3842">
        <w:rPr>
          <w:rFonts w:ascii="Book Antiqua" w:eastAsia="Calibri" w:hAnsi="Book Antiqua" w:cs="Arial"/>
          <w:sz w:val="24"/>
          <w:szCs w:val="24"/>
        </w:rPr>
        <w:t>En el siguiente gráfico, se visualiza la entrada de incidentes y segunda instancia, en los Juzgados Especializados de Familia, del periodo 2018 al 20</w:t>
      </w:r>
      <w:r>
        <w:rPr>
          <w:rFonts w:ascii="Book Antiqua" w:eastAsia="Calibri" w:hAnsi="Book Antiqua" w:cs="Arial"/>
          <w:sz w:val="24"/>
          <w:szCs w:val="24"/>
        </w:rPr>
        <w:t>2</w:t>
      </w:r>
      <w:r w:rsidR="000C2758">
        <w:rPr>
          <w:rFonts w:ascii="Book Antiqua" w:eastAsia="Calibri" w:hAnsi="Book Antiqua" w:cs="Arial"/>
          <w:sz w:val="24"/>
          <w:szCs w:val="24"/>
        </w:rPr>
        <w:t>2</w:t>
      </w:r>
      <w:r w:rsidRPr="003B3842">
        <w:rPr>
          <w:rFonts w:ascii="Book Antiqua" w:eastAsia="Calibri" w:hAnsi="Book Antiqua" w:cs="Arial"/>
          <w:sz w:val="24"/>
          <w:szCs w:val="24"/>
        </w:rPr>
        <w:t xml:space="preserve">; es importante indicar, que los cálculos solo contemplan estos años, </w:t>
      </w:r>
      <w:r w:rsidR="00105BB7">
        <w:rPr>
          <w:rFonts w:ascii="Book Antiqua" w:eastAsia="Calibri" w:hAnsi="Book Antiqua" w:cs="Arial"/>
          <w:sz w:val="24"/>
          <w:szCs w:val="24"/>
        </w:rPr>
        <w:t xml:space="preserve">debido a </w:t>
      </w:r>
      <w:r w:rsidRPr="003B3842">
        <w:rPr>
          <w:rFonts w:ascii="Book Antiqua" w:eastAsia="Calibri" w:hAnsi="Book Antiqua" w:cs="Arial"/>
          <w:sz w:val="24"/>
          <w:szCs w:val="24"/>
        </w:rPr>
        <w:t>que</w:t>
      </w:r>
      <w:r w:rsidR="00105BB7">
        <w:rPr>
          <w:rFonts w:ascii="Book Antiqua" w:eastAsia="Calibri" w:hAnsi="Book Antiqua" w:cs="Arial"/>
          <w:sz w:val="24"/>
          <w:szCs w:val="24"/>
        </w:rPr>
        <w:t xml:space="preserve"> los datos </w:t>
      </w:r>
      <w:r w:rsidR="002D23A1">
        <w:rPr>
          <w:rFonts w:ascii="Book Antiqua" w:eastAsia="Calibri" w:hAnsi="Book Antiqua" w:cs="Arial"/>
          <w:sz w:val="24"/>
          <w:szCs w:val="24"/>
        </w:rPr>
        <w:t xml:space="preserve">se registran </w:t>
      </w:r>
      <w:r w:rsidRPr="003B3842">
        <w:rPr>
          <w:rFonts w:ascii="Book Antiqua" w:eastAsia="Calibri" w:hAnsi="Book Antiqua" w:cs="Arial"/>
          <w:sz w:val="24"/>
          <w:szCs w:val="24"/>
        </w:rPr>
        <w:t>a partir del 2018</w:t>
      </w:r>
      <w:r w:rsidR="00B32466">
        <w:rPr>
          <w:rFonts w:ascii="Book Antiqua" w:eastAsia="Calibri" w:hAnsi="Book Antiqua" w:cs="Arial"/>
          <w:sz w:val="24"/>
          <w:szCs w:val="24"/>
        </w:rPr>
        <w:t>.</w:t>
      </w:r>
    </w:p>
    <w:p w14:paraId="2302A8C7" w14:textId="4ABC77C3" w:rsidR="0053030A" w:rsidRPr="0053030A" w:rsidRDefault="0053030A" w:rsidP="0053030A">
      <w:pPr>
        <w:keepNext/>
        <w:numPr>
          <w:ilvl w:val="12"/>
          <w:numId w:val="0"/>
        </w:numPr>
        <w:spacing w:after="0" w:line="276" w:lineRule="auto"/>
        <w:jc w:val="center"/>
        <w:rPr>
          <w:rFonts w:ascii="Book Antiqua" w:hAnsi="Book Antiqua"/>
          <w:b/>
          <w:bCs/>
          <w:noProof/>
          <w:color w:val="1F497D"/>
          <w:lang w:val="es-ES" w:eastAsia="es-ES"/>
        </w:rPr>
      </w:pPr>
      <w:r w:rsidRPr="0053030A">
        <w:rPr>
          <w:rFonts w:ascii="Book Antiqua" w:eastAsia="Calibri" w:hAnsi="Book Antiqua" w:cs="Arial"/>
          <w:b/>
          <w:bCs/>
          <w:color w:val="1F497D"/>
          <w:lang w:val="es-ES" w:eastAsia="es-ES"/>
        </w:rPr>
        <w:t xml:space="preserve">Gráfico </w:t>
      </w:r>
      <w:r w:rsidRPr="0053030A">
        <w:rPr>
          <w:rFonts w:ascii="Book Antiqua" w:hAnsi="Book Antiqua"/>
          <w:b/>
          <w:bCs/>
          <w:noProof/>
          <w:color w:val="1F497D"/>
          <w:lang w:val="es-ES" w:eastAsia="es-ES"/>
        </w:rPr>
        <w:fldChar w:fldCharType="begin"/>
      </w:r>
      <w:r w:rsidRPr="0053030A">
        <w:rPr>
          <w:rFonts w:ascii="Book Antiqua" w:hAnsi="Book Antiqua"/>
          <w:b/>
          <w:bCs/>
          <w:noProof/>
          <w:color w:val="1F497D"/>
          <w:lang w:val="es-ES" w:eastAsia="es-ES"/>
        </w:rPr>
        <w:instrText xml:space="preserve"> SEQ Gráfico \* ARABIC </w:instrText>
      </w:r>
      <w:r w:rsidRPr="0053030A">
        <w:rPr>
          <w:rFonts w:ascii="Book Antiqua" w:hAnsi="Book Antiqua"/>
          <w:b/>
          <w:bCs/>
          <w:noProof/>
          <w:color w:val="1F497D"/>
          <w:lang w:val="es-ES" w:eastAsia="es-ES"/>
        </w:rPr>
        <w:fldChar w:fldCharType="separate"/>
      </w:r>
      <w:r w:rsidR="009B739E">
        <w:rPr>
          <w:rFonts w:ascii="Book Antiqua" w:hAnsi="Book Antiqua"/>
          <w:b/>
          <w:bCs/>
          <w:noProof/>
          <w:color w:val="1F497D"/>
          <w:lang w:val="es-ES" w:eastAsia="es-ES"/>
        </w:rPr>
        <w:t>2</w:t>
      </w:r>
      <w:r w:rsidRPr="0053030A">
        <w:rPr>
          <w:rFonts w:ascii="Book Antiqua" w:hAnsi="Book Antiqua"/>
          <w:b/>
          <w:bCs/>
          <w:noProof/>
          <w:color w:val="1F497D"/>
          <w:lang w:val="es-ES" w:eastAsia="es-ES"/>
        </w:rPr>
        <w:fldChar w:fldCharType="end"/>
      </w:r>
    </w:p>
    <w:p w14:paraId="455DF519" w14:textId="77777777" w:rsidR="00451611" w:rsidRDefault="0053030A" w:rsidP="0053030A">
      <w:pPr>
        <w:keepNext/>
        <w:numPr>
          <w:ilvl w:val="12"/>
          <w:numId w:val="0"/>
        </w:numPr>
        <w:spacing w:after="0" w:line="276" w:lineRule="auto"/>
        <w:jc w:val="center"/>
        <w:rPr>
          <w:rFonts w:ascii="Book Antiqua" w:eastAsia="Times New Roman" w:hAnsi="Book Antiqua" w:cs="Arial"/>
          <w:b/>
          <w:bCs/>
          <w:color w:val="1F497D"/>
          <w:lang w:eastAsia="es-ES"/>
        </w:rPr>
      </w:pPr>
      <w:r w:rsidRPr="0053030A">
        <w:rPr>
          <w:rFonts w:ascii="Book Antiqua" w:eastAsia="Times New Roman" w:hAnsi="Book Antiqua" w:cs="Arial"/>
          <w:b/>
          <w:bCs/>
          <w:color w:val="1F497D"/>
          <w:lang w:eastAsia="es-ES"/>
        </w:rPr>
        <w:t xml:space="preserve">Movimiento histórico de la </w:t>
      </w:r>
      <w:r w:rsidRPr="00091267">
        <w:rPr>
          <w:rFonts w:ascii="Book Antiqua" w:eastAsia="Times New Roman" w:hAnsi="Book Antiqua" w:cs="Arial"/>
          <w:b/>
          <w:bCs/>
          <w:color w:val="1F497D"/>
          <w:lang w:eastAsia="es-ES"/>
        </w:rPr>
        <w:t xml:space="preserve">entrada en asuntos como segunda instancia </w:t>
      </w:r>
    </w:p>
    <w:p w14:paraId="0EA28E35" w14:textId="77777777" w:rsidR="00451611" w:rsidRDefault="0053030A" w:rsidP="0053030A">
      <w:pPr>
        <w:keepNext/>
        <w:numPr>
          <w:ilvl w:val="12"/>
          <w:numId w:val="0"/>
        </w:numPr>
        <w:spacing w:after="0" w:line="276" w:lineRule="auto"/>
        <w:jc w:val="center"/>
        <w:rPr>
          <w:rFonts w:ascii="Book Antiqua" w:eastAsia="Times New Roman" w:hAnsi="Book Antiqua" w:cs="Arial"/>
          <w:b/>
          <w:bCs/>
          <w:color w:val="1F497D"/>
          <w:lang w:eastAsia="es-ES"/>
        </w:rPr>
      </w:pPr>
      <w:r w:rsidRPr="00091267">
        <w:rPr>
          <w:rFonts w:ascii="Book Antiqua" w:eastAsia="Times New Roman" w:hAnsi="Book Antiqua" w:cs="Arial"/>
          <w:b/>
          <w:bCs/>
          <w:color w:val="1F497D"/>
          <w:lang w:eastAsia="es-ES"/>
        </w:rPr>
        <w:t>en Pensiones Alimentarias e incidentes en los Juzgados</w:t>
      </w:r>
      <w:r w:rsidRPr="0053030A">
        <w:rPr>
          <w:rFonts w:ascii="Book Antiqua" w:eastAsia="Times New Roman" w:hAnsi="Book Antiqua" w:cs="Arial"/>
          <w:b/>
          <w:bCs/>
          <w:color w:val="1F497D"/>
          <w:lang w:eastAsia="es-ES"/>
        </w:rPr>
        <w:t xml:space="preserve"> Especializados </w:t>
      </w:r>
    </w:p>
    <w:p w14:paraId="38119A5C" w14:textId="0D364DD7" w:rsidR="0053030A" w:rsidRPr="0053030A" w:rsidRDefault="0053030A" w:rsidP="0053030A">
      <w:pPr>
        <w:keepNext/>
        <w:numPr>
          <w:ilvl w:val="12"/>
          <w:numId w:val="0"/>
        </w:numPr>
        <w:spacing w:after="0" w:line="276" w:lineRule="auto"/>
        <w:jc w:val="center"/>
        <w:rPr>
          <w:rFonts w:ascii="Book Antiqua" w:eastAsia="Times New Roman" w:hAnsi="Book Antiqua" w:cs="Arial"/>
          <w:b/>
          <w:bCs/>
          <w:color w:val="1F497D"/>
          <w:lang w:eastAsia="es-ES"/>
        </w:rPr>
      </w:pPr>
      <w:r w:rsidRPr="0053030A">
        <w:rPr>
          <w:rFonts w:ascii="Book Antiqua" w:eastAsia="Times New Roman" w:hAnsi="Book Antiqua" w:cs="Arial"/>
          <w:b/>
          <w:bCs/>
          <w:color w:val="1F497D"/>
          <w:lang w:eastAsia="es-ES"/>
        </w:rPr>
        <w:t>de Familia, del 201</w:t>
      </w:r>
      <w:r w:rsidR="00844766">
        <w:rPr>
          <w:rFonts w:ascii="Book Antiqua" w:eastAsia="Times New Roman" w:hAnsi="Book Antiqua" w:cs="Arial"/>
          <w:b/>
          <w:bCs/>
          <w:color w:val="1F497D"/>
          <w:lang w:eastAsia="es-ES"/>
        </w:rPr>
        <w:t>8</w:t>
      </w:r>
      <w:r w:rsidRPr="0053030A">
        <w:rPr>
          <w:rFonts w:ascii="Book Antiqua" w:eastAsia="Times New Roman" w:hAnsi="Book Antiqua" w:cs="Arial"/>
          <w:b/>
          <w:bCs/>
          <w:color w:val="1F497D"/>
          <w:lang w:eastAsia="es-ES"/>
        </w:rPr>
        <w:t xml:space="preserve"> al 20</w:t>
      </w:r>
      <w:r w:rsidR="00782E9A">
        <w:rPr>
          <w:rFonts w:ascii="Book Antiqua" w:eastAsia="Times New Roman" w:hAnsi="Book Antiqua" w:cs="Arial"/>
          <w:b/>
          <w:bCs/>
          <w:color w:val="1F497D"/>
          <w:lang w:eastAsia="es-ES"/>
        </w:rPr>
        <w:t>2</w:t>
      </w:r>
      <w:r w:rsidR="000C2758">
        <w:rPr>
          <w:rFonts w:ascii="Book Antiqua" w:eastAsia="Times New Roman" w:hAnsi="Book Antiqua" w:cs="Arial"/>
          <w:b/>
          <w:bCs/>
          <w:color w:val="1F497D"/>
          <w:lang w:eastAsia="es-ES"/>
        </w:rPr>
        <w:t>2</w:t>
      </w:r>
    </w:p>
    <w:p w14:paraId="58BA2D3A" w14:textId="67B34BA2" w:rsidR="00294936" w:rsidRDefault="00451611" w:rsidP="006960B1">
      <w:pPr>
        <w:spacing w:after="0" w:line="240" w:lineRule="auto"/>
        <w:jc w:val="center"/>
        <w:rPr>
          <w:rFonts w:ascii="Book Antiqua" w:hAnsi="Book Antiqua"/>
          <w:sz w:val="24"/>
          <w:szCs w:val="24"/>
        </w:rPr>
      </w:pPr>
      <w:r>
        <w:rPr>
          <w:noProof/>
        </w:rPr>
        <w:drawing>
          <wp:inline distT="0" distB="0" distL="0" distR="0" wp14:anchorId="646968AE" wp14:editId="3AE1CB74">
            <wp:extent cx="4572000" cy="3232150"/>
            <wp:effectExtent l="0" t="0" r="0" b="6350"/>
            <wp:docPr id="2" name="Gráfico 2">
              <a:extLst xmlns:a="http://schemas.openxmlformats.org/drawingml/2006/main">
                <a:ext uri="{FF2B5EF4-FFF2-40B4-BE49-F238E27FC236}">
                  <a16:creationId xmlns:a16="http://schemas.microsoft.com/office/drawing/2014/main" id="{C4BBCD07-9484-427F-96B8-C2CF46B502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63F4568" w14:textId="77777777" w:rsidR="003C05ED" w:rsidRDefault="007A65FD" w:rsidP="006960B1">
      <w:pPr>
        <w:spacing w:after="0" w:line="240" w:lineRule="auto"/>
        <w:ind w:right="284" w:firstLine="851"/>
        <w:rPr>
          <w:rFonts w:ascii="Book Antiqua" w:hAnsi="Book Antiqua"/>
          <w:i/>
          <w:iCs/>
          <w:sz w:val="20"/>
          <w:szCs w:val="20"/>
        </w:rPr>
      </w:pPr>
      <w:bookmarkStart w:id="17" w:name="_Hlk95104453"/>
      <w:r w:rsidRPr="000C2758">
        <w:rPr>
          <w:rFonts w:ascii="Book Antiqua" w:hAnsi="Book Antiqua"/>
          <w:b/>
          <w:bCs/>
          <w:i/>
          <w:iCs/>
          <w:sz w:val="20"/>
          <w:szCs w:val="20"/>
        </w:rPr>
        <w:t>Fuente:</w:t>
      </w:r>
      <w:r w:rsidRPr="003001A9">
        <w:rPr>
          <w:rFonts w:ascii="Book Antiqua" w:hAnsi="Book Antiqua"/>
          <w:i/>
          <w:iCs/>
          <w:sz w:val="20"/>
          <w:szCs w:val="20"/>
        </w:rPr>
        <w:t xml:space="preserve"> Subproceso de Modernización Institucional, con datos del </w:t>
      </w:r>
      <w:r>
        <w:rPr>
          <w:rFonts w:ascii="Book Antiqua" w:hAnsi="Book Antiqua"/>
          <w:i/>
          <w:iCs/>
          <w:sz w:val="20"/>
          <w:szCs w:val="20"/>
        </w:rPr>
        <w:t xml:space="preserve">Subproceso de Estadística </w:t>
      </w:r>
    </w:p>
    <w:p w14:paraId="1B679E71" w14:textId="041A570E" w:rsidR="007A65FD" w:rsidRDefault="007A65FD" w:rsidP="006960B1">
      <w:pPr>
        <w:spacing w:after="0" w:line="240" w:lineRule="auto"/>
        <w:ind w:left="851" w:right="284"/>
        <w:rPr>
          <w:rFonts w:ascii="Book Antiqua" w:hAnsi="Book Antiqua"/>
          <w:i/>
          <w:iCs/>
          <w:sz w:val="20"/>
          <w:szCs w:val="20"/>
        </w:rPr>
      </w:pPr>
      <w:r>
        <w:rPr>
          <w:rFonts w:ascii="Book Antiqua" w:hAnsi="Book Antiqua"/>
          <w:i/>
          <w:iCs/>
          <w:sz w:val="20"/>
          <w:szCs w:val="20"/>
        </w:rPr>
        <w:t xml:space="preserve"> del 2017 al 202</w:t>
      </w:r>
      <w:r w:rsidR="006960B1">
        <w:rPr>
          <w:rFonts w:ascii="Book Antiqua" w:hAnsi="Book Antiqua"/>
          <w:i/>
          <w:iCs/>
          <w:sz w:val="20"/>
          <w:szCs w:val="20"/>
        </w:rPr>
        <w:t>2 y SIGMA</w:t>
      </w:r>
      <w:r w:rsidR="00451611">
        <w:rPr>
          <w:rFonts w:ascii="Book Antiqua" w:hAnsi="Book Antiqua"/>
          <w:i/>
          <w:iCs/>
          <w:sz w:val="20"/>
          <w:szCs w:val="20"/>
        </w:rPr>
        <w:t xml:space="preserve"> del 7/3/2023</w:t>
      </w:r>
      <w:r>
        <w:rPr>
          <w:rFonts w:ascii="Book Antiqua" w:hAnsi="Book Antiqua"/>
          <w:i/>
          <w:iCs/>
          <w:sz w:val="20"/>
          <w:szCs w:val="20"/>
        </w:rPr>
        <w:t>.</w:t>
      </w:r>
    </w:p>
    <w:p w14:paraId="2F682FB1" w14:textId="36050D20" w:rsidR="006A218C" w:rsidRPr="003001A9" w:rsidRDefault="006A218C" w:rsidP="00E14D62">
      <w:pPr>
        <w:spacing w:after="0" w:line="276" w:lineRule="auto"/>
        <w:ind w:left="851" w:right="284"/>
        <w:rPr>
          <w:rFonts w:ascii="Book Antiqua" w:hAnsi="Book Antiqua"/>
          <w:i/>
          <w:iCs/>
          <w:sz w:val="20"/>
          <w:szCs w:val="20"/>
        </w:rPr>
      </w:pPr>
      <w:r w:rsidRPr="006960B1">
        <w:rPr>
          <w:rFonts w:ascii="Book Antiqua" w:hAnsi="Book Antiqua"/>
          <w:b/>
          <w:bCs/>
          <w:i/>
          <w:iCs/>
          <w:sz w:val="20"/>
          <w:szCs w:val="20"/>
        </w:rPr>
        <w:t>Nota:</w:t>
      </w:r>
      <w:r>
        <w:rPr>
          <w:rFonts w:ascii="Book Antiqua" w:hAnsi="Book Antiqua"/>
          <w:i/>
          <w:iCs/>
          <w:sz w:val="20"/>
          <w:szCs w:val="20"/>
        </w:rPr>
        <w:t xml:space="preserve"> Los datos de </w:t>
      </w:r>
      <w:r w:rsidR="006960B1">
        <w:rPr>
          <w:rFonts w:ascii="Book Antiqua" w:hAnsi="Book Antiqua"/>
          <w:i/>
          <w:iCs/>
          <w:sz w:val="20"/>
          <w:szCs w:val="20"/>
        </w:rPr>
        <w:t>I</w:t>
      </w:r>
      <w:r>
        <w:rPr>
          <w:rFonts w:ascii="Book Antiqua" w:hAnsi="Book Antiqua"/>
          <w:i/>
          <w:iCs/>
          <w:sz w:val="20"/>
          <w:szCs w:val="20"/>
        </w:rPr>
        <w:t xml:space="preserve">ncidentes </w:t>
      </w:r>
      <w:r w:rsidR="006960B1">
        <w:rPr>
          <w:rFonts w:ascii="Book Antiqua" w:hAnsi="Book Antiqua"/>
          <w:i/>
          <w:iCs/>
          <w:sz w:val="20"/>
          <w:szCs w:val="20"/>
        </w:rPr>
        <w:t xml:space="preserve">y Segunda Instancia, se registran a partir del </w:t>
      </w:r>
      <w:r>
        <w:rPr>
          <w:rFonts w:ascii="Book Antiqua" w:hAnsi="Book Antiqua"/>
          <w:i/>
          <w:iCs/>
          <w:sz w:val="20"/>
          <w:szCs w:val="20"/>
        </w:rPr>
        <w:t>20</w:t>
      </w:r>
      <w:r w:rsidR="006960B1">
        <w:rPr>
          <w:rFonts w:ascii="Book Antiqua" w:hAnsi="Book Antiqua"/>
          <w:i/>
          <w:iCs/>
          <w:sz w:val="20"/>
          <w:szCs w:val="20"/>
        </w:rPr>
        <w:t>18.</w:t>
      </w:r>
      <w:r>
        <w:rPr>
          <w:rFonts w:ascii="Book Antiqua" w:hAnsi="Book Antiqua"/>
          <w:i/>
          <w:iCs/>
          <w:sz w:val="20"/>
          <w:szCs w:val="20"/>
        </w:rPr>
        <w:t xml:space="preserve"> </w:t>
      </w:r>
    </w:p>
    <w:bookmarkEnd w:id="17"/>
    <w:p w14:paraId="61393B2F" w14:textId="6BA0758E" w:rsidR="003A5B2E" w:rsidRDefault="003A5B2E" w:rsidP="009C01E1">
      <w:pPr>
        <w:spacing w:line="276" w:lineRule="auto"/>
        <w:jc w:val="both"/>
        <w:rPr>
          <w:rFonts w:ascii="Book Antiqua" w:hAnsi="Book Antiqua"/>
          <w:sz w:val="24"/>
          <w:szCs w:val="24"/>
        </w:rPr>
      </w:pPr>
    </w:p>
    <w:p w14:paraId="7499580F" w14:textId="7133B151" w:rsidR="00B42271" w:rsidRPr="00B42271" w:rsidRDefault="00B42271" w:rsidP="00B42271">
      <w:pPr>
        <w:spacing w:after="0" w:line="276" w:lineRule="auto"/>
        <w:jc w:val="both"/>
        <w:rPr>
          <w:rFonts w:ascii="Book Antiqua" w:eastAsia="Calibri" w:hAnsi="Book Antiqua" w:cs="Arial"/>
          <w:sz w:val="24"/>
          <w:szCs w:val="24"/>
        </w:rPr>
      </w:pPr>
      <w:r w:rsidRPr="00B42271">
        <w:rPr>
          <w:rFonts w:ascii="Book Antiqua" w:eastAsia="Calibri" w:hAnsi="Book Antiqua" w:cs="Arial"/>
          <w:sz w:val="24"/>
          <w:szCs w:val="24"/>
        </w:rPr>
        <w:t xml:space="preserve">Como se muestra en el gráfico anterior, </w:t>
      </w:r>
      <w:r w:rsidR="007F737C">
        <w:rPr>
          <w:rFonts w:ascii="Book Antiqua" w:eastAsia="Calibri" w:hAnsi="Book Antiqua" w:cs="Arial"/>
          <w:sz w:val="24"/>
          <w:szCs w:val="24"/>
        </w:rPr>
        <w:t>en 2018 el promedio de entrada mensual de incidentes fue de 38 casos por mes y para el 202</w:t>
      </w:r>
      <w:r w:rsidR="00DB7033">
        <w:rPr>
          <w:rFonts w:ascii="Book Antiqua" w:eastAsia="Calibri" w:hAnsi="Book Antiqua" w:cs="Arial"/>
          <w:sz w:val="24"/>
          <w:szCs w:val="24"/>
        </w:rPr>
        <w:t>2</w:t>
      </w:r>
      <w:r w:rsidR="007F737C">
        <w:rPr>
          <w:rFonts w:ascii="Book Antiqua" w:eastAsia="Calibri" w:hAnsi="Book Antiqua" w:cs="Arial"/>
          <w:sz w:val="24"/>
          <w:szCs w:val="24"/>
        </w:rPr>
        <w:t xml:space="preserve"> fue de </w:t>
      </w:r>
      <w:r w:rsidR="007C30CC">
        <w:rPr>
          <w:rFonts w:ascii="Book Antiqua" w:eastAsia="Calibri" w:hAnsi="Book Antiqua" w:cs="Arial"/>
          <w:sz w:val="24"/>
          <w:szCs w:val="24"/>
        </w:rPr>
        <w:t>5</w:t>
      </w:r>
      <w:r w:rsidR="00451611">
        <w:rPr>
          <w:rFonts w:ascii="Book Antiqua" w:eastAsia="Calibri" w:hAnsi="Book Antiqua" w:cs="Arial"/>
          <w:sz w:val="24"/>
          <w:szCs w:val="24"/>
        </w:rPr>
        <w:t>8</w:t>
      </w:r>
      <w:r w:rsidR="007F737C">
        <w:rPr>
          <w:rFonts w:ascii="Book Antiqua" w:eastAsia="Calibri" w:hAnsi="Book Antiqua" w:cs="Arial"/>
          <w:sz w:val="24"/>
          <w:szCs w:val="24"/>
        </w:rPr>
        <w:t xml:space="preserve"> casos, lo que representa un incremento de un </w:t>
      </w:r>
      <w:r w:rsidR="007C30CC">
        <w:rPr>
          <w:rFonts w:ascii="Book Antiqua" w:eastAsia="Calibri" w:hAnsi="Book Antiqua" w:cs="Arial"/>
          <w:sz w:val="24"/>
          <w:szCs w:val="24"/>
        </w:rPr>
        <w:t>36</w:t>
      </w:r>
      <w:r w:rsidR="007F737C" w:rsidRPr="007C30CC">
        <w:rPr>
          <w:rFonts w:ascii="Book Antiqua" w:eastAsia="Calibri" w:hAnsi="Book Antiqua" w:cs="Arial"/>
          <w:sz w:val="24"/>
          <w:szCs w:val="24"/>
        </w:rPr>
        <w:t>%</w:t>
      </w:r>
      <w:r w:rsidR="007F737C">
        <w:rPr>
          <w:rFonts w:ascii="Book Antiqua" w:eastAsia="Calibri" w:hAnsi="Book Antiqua" w:cs="Arial"/>
          <w:sz w:val="24"/>
          <w:szCs w:val="24"/>
        </w:rPr>
        <w:t xml:space="preserve"> (</w:t>
      </w:r>
      <w:r w:rsidR="007C30CC">
        <w:rPr>
          <w:rFonts w:ascii="Book Antiqua" w:eastAsia="Calibri" w:hAnsi="Book Antiqua" w:cs="Arial"/>
          <w:sz w:val="24"/>
          <w:szCs w:val="24"/>
        </w:rPr>
        <w:t>2</w:t>
      </w:r>
      <w:r w:rsidR="00451611">
        <w:rPr>
          <w:rFonts w:ascii="Book Antiqua" w:eastAsia="Calibri" w:hAnsi="Book Antiqua" w:cs="Arial"/>
          <w:sz w:val="24"/>
          <w:szCs w:val="24"/>
        </w:rPr>
        <w:t>3</w:t>
      </w:r>
      <w:r w:rsidR="00755C51">
        <w:rPr>
          <w:rFonts w:ascii="Book Antiqua" w:eastAsia="Calibri" w:hAnsi="Book Antiqua" w:cs="Arial"/>
          <w:sz w:val="24"/>
          <w:szCs w:val="24"/>
        </w:rPr>
        <w:t>0</w:t>
      </w:r>
      <w:r w:rsidR="007F737C">
        <w:rPr>
          <w:rFonts w:ascii="Book Antiqua" w:eastAsia="Calibri" w:hAnsi="Book Antiqua" w:cs="Arial"/>
          <w:sz w:val="24"/>
          <w:szCs w:val="24"/>
        </w:rPr>
        <w:t xml:space="preserve"> incidentes). En lo que corresponde </w:t>
      </w:r>
      <w:r w:rsidR="00D60425">
        <w:rPr>
          <w:rFonts w:ascii="Book Antiqua" w:eastAsia="Calibri" w:hAnsi="Book Antiqua" w:cs="Arial"/>
          <w:sz w:val="24"/>
          <w:szCs w:val="24"/>
        </w:rPr>
        <w:t xml:space="preserve">al </w:t>
      </w:r>
      <w:r w:rsidR="00D60425" w:rsidRPr="00B42271">
        <w:rPr>
          <w:rFonts w:ascii="Book Antiqua" w:eastAsia="Calibri" w:hAnsi="Book Antiqua" w:cs="Arial"/>
          <w:sz w:val="24"/>
          <w:szCs w:val="24"/>
        </w:rPr>
        <w:t>comportamiento</w:t>
      </w:r>
      <w:r w:rsidRPr="00B42271">
        <w:rPr>
          <w:rFonts w:ascii="Book Antiqua" w:eastAsia="Calibri" w:hAnsi="Book Antiqua" w:cs="Arial"/>
          <w:sz w:val="24"/>
          <w:szCs w:val="24"/>
        </w:rPr>
        <w:t xml:space="preserve"> en la entrada de casos en segunda instancia,</w:t>
      </w:r>
      <w:r w:rsidR="007F737C">
        <w:rPr>
          <w:rFonts w:ascii="Book Antiqua" w:eastAsia="Calibri" w:hAnsi="Book Antiqua" w:cs="Arial"/>
          <w:sz w:val="24"/>
          <w:szCs w:val="24"/>
        </w:rPr>
        <w:t xml:space="preserve"> se dio una disminución</w:t>
      </w:r>
      <w:r w:rsidRPr="00B42271">
        <w:rPr>
          <w:rFonts w:ascii="Book Antiqua" w:eastAsia="Calibri" w:hAnsi="Book Antiqua" w:cs="Arial"/>
          <w:sz w:val="24"/>
          <w:szCs w:val="24"/>
        </w:rPr>
        <w:t xml:space="preserve"> </w:t>
      </w:r>
      <w:r w:rsidR="007F737C">
        <w:rPr>
          <w:rFonts w:ascii="Book Antiqua" w:eastAsia="Calibri" w:hAnsi="Book Antiqua" w:cs="Arial"/>
          <w:sz w:val="24"/>
          <w:szCs w:val="24"/>
        </w:rPr>
        <w:t xml:space="preserve">del </w:t>
      </w:r>
      <w:r w:rsidR="007C30CC">
        <w:rPr>
          <w:rFonts w:ascii="Book Antiqua" w:eastAsia="Calibri" w:hAnsi="Book Antiqua" w:cs="Arial"/>
          <w:sz w:val="24"/>
          <w:szCs w:val="24"/>
        </w:rPr>
        <w:t>1</w:t>
      </w:r>
      <w:r w:rsidR="00451611">
        <w:rPr>
          <w:rFonts w:ascii="Book Antiqua" w:eastAsia="Calibri" w:hAnsi="Book Antiqua" w:cs="Arial"/>
          <w:sz w:val="24"/>
          <w:szCs w:val="24"/>
        </w:rPr>
        <w:t>4</w:t>
      </w:r>
      <w:r w:rsidR="007F737C" w:rsidRPr="007C30CC">
        <w:rPr>
          <w:rFonts w:ascii="Book Antiqua" w:eastAsia="Calibri" w:hAnsi="Book Antiqua" w:cs="Arial"/>
          <w:sz w:val="24"/>
          <w:szCs w:val="24"/>
        </w:rPr>
        <w:t>%</w:t>
      </w:r>
      <w:r w:rsidR="007F737C">
        <w:rPr>
          <w:rFonts w:ascii="Book Antiqua" w:eastAsia="Calibri" w:hAnsi="Book Antiqua" w:cs="Arial"/>
          <w:sz w:val="24"/>
          <w:szCs w:val="24"/>
        </w:rPr>
        <w:t xml:space="preserve"> </w:t>
      </w:r>
      <w:r w:rsidR="00B2763E">
        <w:rPr>
          <w:rFonts w:ascii="Book Antiqua" w:eastAsia="Calibri" w:hAnsi="Book Antiqua" w:cs="Arial"/>
          <w:sz w:val="24"/>
          <w:szCs w:val="24"/>
        </w:rPr>
        <w:t>(6</w:t>
      </w:r>
      <w:r w:rsidR="00451611">
        <w:rPr>
          <w:rFonts w:ascii="Book Antiqua" w:eastAsia="Calibri" w:hAnsi="Book Antiqua" w:cs="Arial"/>
          <w:sz w:val="24"/>
          <w:szCs w:val="24"/>
        </w:rPr>
        <w:t>16</w:t>
      </w:r>
      <w:r w:rsidR="00B2763E">
        <w:rPr>
          <w:rFonts w:ascii="Book Antiqua" w:eastAsia="Calibri" w:hAnsi="Book Antiqua" w:cs="Arial"/>
          <w:sz w:val="24"/>
          <w:szCs w:val="24"/>
        </w:rPr>
        <w:t xml:space="preserve"> casos) </w:t>
      </w:r>
      <w:r w:rsidR="007F737C">
        <w:rPr>
          <w:rFonts w:ascii="Book Antiqua" w:eastAsia="Calibri" w:hAnsi="Book Antiqua" w:cs="Arial"/>
          <w:sz w:val="24"/>
          <w:szCs w:val="24"/>
        </w:rPr>
        <w:t>entre 2018 y 202</w:t>
      </w:r>
      <w:r w:rsidR="00B2763E">
        <w:rPr>
          <w:rFonts w:ascii="Book Antiqua" w:eastAsia="Calibri" w:hAnsi="Book Antiqua" w:cs="Arial"/>
          <w:sz w:val="24"/>
          <w:szCs w:val="24"/>
        </w:rPr>
        <w:t>2</w:t>
      </w:r>
      <w:r w:rsidR="007F737C">
        <w:rPr>
          <w:rFonts w:ascii="Book Antiqua" w:eastAsia="Calibri" w:hAnsi="Book Antiqua" w:cs="Arial"/>
          <w:sz w:val="24"/>
          <w:szCs w:val="24"/>
        </w:rPr>
        <w:t xml:space="preserve">. </w:t>
      </w:r>
    </w:p>
    <w:p w14:paraId="39D42FB6" w14:textId="77777777" w:rsidR="00B42271" w:rsidRPr="00B42271" w:rsidRDefault="00B42271" w:rsidP="00B42271">
      <w:pPr>
        <w:spacing w:after="0" w:line="276" w:lineRule="auto"/>
        <w:jc w:val="both"/>
        <w:rPr>
          <w:rFonts w:ascii="Book Antiqua" w:eastAsia="Calibri" w:hAnsi="Book Antiqua" w:cs="Arial"/>
          <w:sz w:val="24"/>
          <w:szCs w:val="24"/>
        </w:rPr>
      </w:pPr>
    </w:p>
    <w:p w14:paraId="0BCDE5AD" w14:textId="63CCECF9" w:rsidR="00100EE5" w:rsidRDefault="00B42271" w:rsidP="00B42271">
      <w:pPr>
        <w:spacing w:after="0" w:line="276" w:lineRule="auto"/>
        <w:jc w:val="both"/>
        <w:rPr>
          <w:rFonts w:ascii="Book Antiqua" w:eastAsia="Calibri" w:hAnsi="Book Antiqua" w:cs="Arial"/>
          <w:sz w:val="24"/>
          <w:szCs w:val="24"/>
        </w:rPr>
      </w:pPr>
      <w:r w:rsidRPr="00B42271">
        <w:rPr>
          <w:rFonts w:ascii="Book Antiqua" w:eastAsia="Calibri" w:hAnsi="Book Antiqua" w:cs="Arial"/>
          <w:sz w:val="24"/>
          <w:szCs w:val="24"/>
        </w:rPr>
        <w:t>A continuación, se detalla la distribución de la entrada por persona juzgadora, en los Juzgados Especializados de Familia del país, durante el periodo del 201</w:t>
      </w:r>
      <w:r w:rsidR="00100EE5">
        <w:rPr>
          <w:rFonts w:ascii="Book Antiqua" w:eastAsia="Calibri" w:hAnsi="Book Antiqua" w:cs="Arial"/>
          <w:sz w:val="24"/>
          <w:szCs w:val="24"/>
        </w:rPr>
        <w:t>7</w:t>
      </w:r>
      <w:r w:rsidRPr="00B42271">
        <w:rPr>
          <w:rFonts w:ascii="Book Antiqua" w:eastAsia="Calibri" w:hAnsi="Book Antiqua" w:cs="Arial"/>
          <w:sz w:val="24"/>
          <w:szCs w:val="24"/>
        </w:rPr>
        <w:t xml:space="preserve"> al 20</w:t>
      </w:r>
      <w:r w:rsidR="00100EE5">
        <w:rPr>
          <w:rFonts w:ascii="Book Antiqua" w:eastAsia="Calibri" w:hAnsi="Book Antiqua" w:cs="Arial"/>
          <w:sz w:val="24"/>
          <w:szCs w:val="24"/>
        </w:rPr>
        <w:t>2</w:t>
      </w:r>
      <w:r w:rsidR="00A258F7">
        <w:rPr>
          <w:rFonts w:ascii="Book Antiqua" w:eastAsia="Calibri" w:hAnsi="Book Antiqua" w:cs="Arial"/>
          <w:sz w:val="24"/>
          <w:szCs w:val="24"/>
        </w:rPr>
        <w:t>2</w:t>
      </w:r>
      <w:r w:rsidRPr="00B42271">
        <w:rPr>
          <w:rFonts w:ascii="Book Antiqua" w:eastAsia="Calibri" w:hAnsi="Book Antiqua" w:cs="Arial"/>
          <w:sz w:val="24"/>
          <w:szCs w:val="24"/>
        </w:rPr>
        <w:t>.</w:t>
      </w:r>
    </w:p>
    <w:p w14:paraId="60EAE0BD" w14:textId="35FD8BE7" w:rsidR="0054258A" w:rsidRDefault="0054258A" w:rsidP="00B42271">
      <w:pPr>
        <w:spacing w:after="0" w:line="276" w:lineRule="auto"/>
        <w:jc w:val="both"/>
        <w:rPr>
          <w:rFonts w:ascii="Book Antiqua" w:eastAsia="Calibri" w:hAnsi="Book Antiqua" w:cs="Arial"/>
          <w:sz w:val="24"/>
          <w:szCs w:val="24"/>
        </w:rPr>
      </w:pPr>
    </w:p>
    <w:p w14:paraId="5AC2B354" w14:textId="2BFB4300" w:rsidR="00617AD9" w:rsidRPr="009E2E43" w:rsidRDefault="00617AD9" w:rsidP="00617AD9">
      <w:pPr>
        <w:keepNext/>
        <w:numPr>
          <w:ilvl w:val="12"/>
          <w:numId w:val="0"/>
        </w:numPr>
        <w:spacing w:after="0" w:line="276" w:lineRule="auto"/>
        <w:jc w:val="center"/>
        <w:rPr>
          <w:rFonts w:ascii="Book Antiqua" w:eastAsia="Calibri" w:hAnsi="Book Antiqua" w:cs="Arial"/>
          <w:b/>
          <w:bCs/>
          <w:color w:val="1F497D"/>
          <w:lang w:val="es-ES" w:eastAsia="es-ES"/>
        </w:rPr>
      </w:pPr>
      <w:r w:rsidRPr="009E2E43">
        <w:rPr>
          <w:rFonts w:ascii="Book Antiqua" w:eastAsia="Calibri" w:hAnsi="Book Antiqua" w:cs="Arial"/>
          <w:b/>
          <w:bCs/>
          <w:color w:val="1F497D"/>
          <w:lang w:val="es-ES" w:eastAsia="es-ES"/>
        </w:rPr>
        <w:t xml:space="preserve">Cuadro </w:t>
      </w:r>
      <w:r w:rsidRPr="009E2E43">
        <w:rPr>
          <w:rFonts w:ascii="Book Antiqua" w:eastAsia="Calibri" w:hAnsi="Book Antiqua" w:cs="Arial"/>
          <w:b/>
          <w:bCs/>
          <w:color w:val="1F497D"/>
          <w:lang w:val="es-ES" w:eastAsia="es-ES"/>
        </w:rPr>
        <w:fldChar w:fldCharType="begin"/>
      </w:r>
      <w:r w:rsidRPr="009E2E43">
        <w:rPr>
          <w:rFonts w:ascii="Book Antiqua" w:eastAsia="Calibri" w:hAnsi="Book Antiqua" w:cs="Arial"/>
          <w:b/>
          <w:bCs/>
          <w:color w:val="1F497D"/>
          <w:lang w:val="es-ES" w:eastAsia="es-ES"/>
        </w:rPr>
        <w:instrText xml:space="preserve"> SEQ Cuadro \* ARABIC </w:instrText>
      </w:r>
      <w:r w:rsidRPr="009E2E43">
        <w:rPr>
          <w:rFonts w:ascii="Book Antiqua" w:eastAsia="Calibri" w:hAnsi="Book Antiqua" w:cs="Arial"/>
          <w:b/>
          <w:bCs/>
          <w:color w:val="1F497D"/>
          <w:lang w:val="es-ES" w:eastAsia="es-ES"/>
        </w:rPr>
        <w:fldChar w:fldCharType="separate"/>
      </w:r>
      <w:r w:rsidR="009B739E" w:rsidRPr="009E2E43">
        <w:rPr>
          <w:rFonts w:ascii="Book Antiqua" w:eastAsia="Calibri" w:hAnsi="Book Antiqua" w:cs="Arial"/>
          <w:b/>
          <w:bCs/>
          <w:color w:val="1F497D"/>
          <w:lang w:val="es-ES" w:eastAsia="es-ES"/>
        </w:rPr>
        <w:t>4</w:t>
      </w:r>
      <w:r w:rsidRPr="009E2E43">
        <w:rPr>
          <w:rFonts w:ascii="Book Antiqua" w:eastAsia="Calibri" w:hAnsi="Book Antiqua" w:cs="Arial"/>
          <w:b/>
          <w:bCs/>
          <w:color w:val="1F497D"/>
          <w:lang w:val="es-ES" w:eastAsia="es-ES"/>
        </w:rPr>
        <w:fldChar w:fldCharType="end"/>
      </w:r>
    </w:p>
    <w:p w14:paraId="7A668181" w14:textId="5F370C51" w:rsidR="00617AD9" w:rsidRDefault="00617AD9" w:rsidP="00617AD9">
      <w:pPr>
        <w:keepNext/>
        <w:numPr>
          <w:ilvl w:val="12"/>
          <w:numId w:val="0"/>
        </w:numPr>
        <w:spacing w:after="0" w:line="276" w:lineRule="auto"/>
        <w:jc w:val="center"/>
        <w:rPr>
          <w:rFonts w:ascii="Book Antiqua" w:eastAsia="Times New Roman" w:hAnsi="Book Antiqua" w:cs="Arial"/>
          <w:b/>
          <w:bCs/>
          <w:color w:val="1F497D"/>
          <w:lang w:eastAsia="es-ES"/>
        </w:rPr>
      </w:pPr>
      <w:r w:rsidRPr="009E2E43">
        <w:rPr>
          <w:rFonts w:ascii="Book Antiqua" w:eastAsia="Times New Roman" w:hAnsi="Book Antiqua" w:cs="Arial"/>
          <w:b/>
          <w:bCs/>
          <w:color w:val="1F497D"/>
          <w:lang w:eastAsia="es-ES"/>
        </w:rPr>
        <w:t>Movimiento histórico de la entrada por persona juzgadora en los Juzgados Especializados de la materia de Familia, del 201</w:t>
      </w:r>
      <w:r w:rsidR="00761C1F" w:rsidRPr="009E2E43">
        <w:rPr>
          <w:rFonts w:ascii="Book Antiqua" w:eastAsia="Times New Roman" w:hAnsi="Book Antiqua" w:cs="Arial"/>
          <w:b/>
          <w:bCs/>
          <w:color w:val="1F497D"/>
          <w:lang w:eastAsia="es-ES"/>
        </w:rPr>
        <w:t>7</w:t>
      </w:r>
      <w:r w:rsidRPr="009E2E43">
        <w:rPr>
          <w:rFonts w:ascii="Book Antiqua" w:eastAsia="Times New Roman" w:hAnsi="Book Antiqua" w:cs="Arial"/>
          <w:b/>
          <w:bCs/>
          <w:color w:val="1F497D"/>
          <w:lang w:eastAsia="es-ES"/>
        </w:rPr>
        <w:t xml:space="preserve"> al 20</w:t>
      </w:r>
      <w:r w:rsidR="00761C1F" w:rsidRPr="009E2E43">
        <w:rPr>
          <w:rFonts w:ascii="Book Antiqua" w:eastAsia="Times New Roman" w:hAnsi="Book Antiqua" w:cs="Arial"/>
          <w:b/>
          <w:bCs/>
          <w:color w:val="1F497D"/>
          <w:lang w:eastAsia="es-ES"/>
        </w:rPr>
        <w:t>2</w:t>
      </w:r>
      <w:r w:rsidR="000C2758" w:rsidRPr="009E2E43">
        <w:rPr>
          <w:rFonts w:ascii="Book Antiqua" w:eastAsia="Times New Roman" w:hAnsi="Book Antiqua" w:cs="Arial"/>
          <w:b/>
          <w:bCs/>
          <w:color w:val="1F497D"/>
          <w:lang w:eastAsia="es-ES"/>
        </w:rPr>
        <w:t>2</w:t>
      </w:r>
    </w:p>
    <w:tbl>
      <w:tblPr>
        <w:tblW w:w="9800" w:type="dxa"/>
        <w:tblCellMar>
          <w:left w:w="70" w:type="dxa"/>
          <w:right w:w="70" w:type="dxa"/>
        </w:tblCellMar>
        <w:tblLook w:val="04A0" w:firstRow="1" w:lastRow="0" w:firstColumn="1" w:lastColumn="0" w:noHBand="0" w:noVBand="1"/>
      </w:tblPr>
      <w:tblGrid>
        <w:gridCol w:w="2400"/>
        <w:gridCol w:w="2120"/>
        <w:gridCol w:w="2780"/>
        <w:gridCol w:w="2500"/>
      </w:tblGrid>
      <w:tr w:rsidR="006F6A1D" w:rsidRPr="006F6A1D" w14:paraId="359FBC54" w14:textId="77777777" w:rsidTr="006F6A1D">
        <w:trPr>
          <w:trHeight w:val="920"/>
        </w:trPr>
        <w:tc>
          <w:tcPr>
            <w:tcW w:w="240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5F27643B" w14:textId="77777777" w:rsidR="006F6A1D" w:rsidRPr="006F6A1D" w:rsidRDefault="006F6A1D" w:rsidP="006F6A1D">
            <w:pPr>
              <w:spacing w:after="0" w:line="240" w:lineRule="auto"/>
              <w:jc w:val="center"/>
              <w:rPr>
                <w:rFonts w:ascii="Book Antiqua" w:eastAsia="Times New Roman" w:hAnsi="Book Antiqua" w:cs="Calibri"/>
                <w:b/>
                <w:bCs/>
                <w:color w:val="FFFFFF"/>
                <w:lang w:eastAsia="es-CR"/>
              </w:rPr>
            </w:pPr>
            <w:r w:rsidRPr="006F6A1D">
              <w:rPr>
                <w:rFonts w:ascii="Book Antiqua" w:eastAsia="Times New Roman" w:hAnsi="Book Antiqua" w:cs="Calibri"/>
                <w:b/>
                <w:bCs/>
                <w:color w:val="FFFFFF"/>
                <w:lang w:eastAsia="es-CR"/>
              </w:rPr>
              <w:t>Motivo de Entrada</w:t>
            </w:r>
          </w:p>
        </w:tc>
        <w:tc>
          <w:tcPr>
            <w:tcW w:w="2120" w:type="dxa"/>
            <w:tcBorders>
              <w:top w:val="single" w:sz="8" w:space="0" w:color="auto"/>
              <w:left w:val="nil"/>
              <w:bottom w:val="single" w:sz="8" w:space="0" w:color="auto"/>
              <w:right w:val="single" w:sz="8" w:space="0" w:color="auto"/>
            </w:tcBorders>
            <w:shd w:val="clear" w:color="000000" w:fill="002060"/>
            <w:vAlign w:val="center"/>
            <w:hideMark/>
          </w:tcPr>
          <w:p w14:paraId="053D1F47" w14:textId="77777777" w:rsidR="006F6A1D" w:rsidRPr="006F6A1D" w:rsidRDefault="006F6A1D" w:rsidP="006F6A1D">
            <w:pPr>
              <w:spacing w:after="0" w:line="240" w:lineRule="auto"/>
              <w:jc w:val="center"/>
              <w:rPr>
                <w:rFonts w:ascii="Book Antiqua" w:eastAsia="Times New Roman" w:hAnsi="Book Antiqua" w:cs="Calibri"/>
                <w:b/>
                <w:bCs/>
                <w:color w:val="FFFFFF"/>
                <w:lang w:eastAsia="es-CR"/>
              </w:rPr>
            </w:pPr>
            <w:r w:rsidRPr="006F6A1D">
              <w:rPr>
                <w:rFonts w:ascii="Book Antiqua" w:eastAsia="Times New Roman" w:hAnsi="Book Antiqua" w:cs="Calibri"/>
                <w:b/>
                <w:bCs/>
                <w:color w:val="FFFFFF"/>
                <w:lang w:eastAsia="es-CR"/>
              </w:rPr>
              <w:t>Promedio Anual</w:t>
            </w:r>
          </w:p>
        </w:tc>
        <w:tc>
          <w:tcPr>
            <w:tcW w:w="2780" w:type="dxa"/>
            <w:tcBorders>
              <w:top w:val="single" w:sz="8" w:space="0" w:color="auto"/>
              <w:left w:val="nil"/>
              <w:bottom w:val="single" w:sz="8" w:space="0" w:color="auto"/>
              <w:right w:val="single" w:sz="8" w:space="0" w:color="auto"/>
            </w:tcBorders>
            <w:shd w:val="clear" w:color="000000" w:fill="002060"/>
            <w:vAlign w:val="center"/>
            <w:hideMark/>
          </w:tcPr>
          <w:p w14:paraId="14E5933A" w14:textId="77777777" w:rsidR="006F6A1D" w:rsidRPr="006F6A1D" w:rsidRDefault="006F6A1D" w:rsidP="006F6A1D">
            <w:pPr>
              <w:spacing w:after="0" w:line="240" w:lineRule="auto"/>
              <w:jc w:val="center"/>
              <w:rPr>
                <w:rFonts w:ascii="Book Antiqua" w:eastAsia="Times New Roman" w:hAnsi="Book Antiqua" w:cs="Calibri"/>
                <w:b/>
                <w:bCs/>
                <w:color w:val="FFFFFF"/>
                <w:lang w:eastAsia="es-CR"/>
              </w:rPr>
            </w:pPr>
            <w:r w:rsidRPr="006F6A1D">
              <w:rPr>
                <w:rFonts w:ascii="Book Antiqua" w:eastAsia="Times New Roman" w:hAnsi="Book Antiqua" w:cs="Calibri"/>
                <w:b/>
                <w:bCs/>
                <w:color w:val="FFFFFF"/>
                <w:lang w:eastAsia="es-CR"/>
              </w:rPr>
              <w:t>Porcentaje Promedio de Entrada</w:t>
            </w:r>
          </w:p>
        </w:tc>
        <w:tc>
          <w:tcPr>
            <w:tcW w:w="2500" w:type="dxa"/>
            <w:tcBorders>
              <w:top w:val="single" w:sz="8" w:space="0" w:color="auto"/>
              <w:left w:val="nil"/>
              <w:bottom w:val="single" w:sz="8" w:space="0" w:color="auto"/>
              <w:right w:val="single" w:sz="8" w:space="0" w:color="auto"/>
            </w:tcBorders>
            <w:shd w:val="clear" w:color="000000" w:fill="002060"/>
            <w:vAlign w:val="center"/>
            <w:hideMark/>
          </w:tcPr>
          <w:p w14:paraId="464DE6E5" w14:textId="77777777" w:rsidR="006F6A1D" w:rsidRPr="006F6A1D" w:rsidRDefault="006F6A1D" w:rsidP="006F6A1D">
            <w:pPr>
              <w:spacing w:after="0" w:line="240" w:lineRule="auto"/>
              <w:jc w:val="center"/>
              <w:rPr>
                <w:rFonts w:ascii="Book Antiqua" w:eastAsia="Times New Roman" w:hAnsi="Book Antiqua" w:cs="Calibri"/>
                <w:b/>
                <w:bCs/>
                <w:color w:val="FFFFFF"/>
                <w:lang w:eastAsia="es-CR"/>
              </w:rPr>
            </w:pPr>
            <w:r w:rsidRPr="006F6A1D">
              <w:rPr>
                <w:rFonts w:ascii="Book Antiqua" w:eastAsia="Times New Roman" w:hAnsi="Book Antiqua" w:cs="Calibri"/>
                <w:b/>
                <w:bCs/>
                <w:color w:val="FFFFFF"/>
                <w:lang w:eastAsia="es-CR"/>
              </w:rPr>
              <w:t xml:space="preserve">Entrada mensual por persona juzgadora </w:t>
            </w:r>
          </w:p>
        </w:tc>
      </w:tr>
      <w:tr w:rsidR="006F6A1D" w:rsidRPr="006F6A1D" w14:paraId="0B1FA14C" w14:textId="77777777" w:rsidTr="006F6A1D">
        <w:trPr>
          <w:trHeight w:val="290"/>
        </w:trPr>
        <w:tc>
          <w:tcPr>
            <w:tcW w:w="2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8B3E3" w14:textId="77777777" w:rsidR="006F6A1D" w:rsidRPr="006F6A1D" w:rsidRDefault="006F6A1D" w:rsidP="006F6A1D">
            <w:pPr>
              <w:spacing w:after="0" w:line="240" w:lineRule="auto"/>
              <w:jc w:val="both"/>
              <w:rPr>
                <w:rFonts w:ascii="Book Antiqua" w:eastAsia="Times New Roman" w:hAnsi="Book Antiqua" w:cs="Calibri"/>
                <w:color w:val="000000"/>
                <w:lang w:eastAsia="es-CR"/>
              </w:rPr>
            </w:pPr>
            <w:r w:rsidRPr="006F6A1D">
              <w:rPr>
                <w:rFonts w:ascii="Book Antiqua" w:eastAsia="Times New Roman" w:hAnsi="Book Antiqua" w:cs="Calibri"/>
                <w:color w:val="000000"/>
                <w:lang w:eastAsia="es-CR"/>
              </w:rPr>
              <w:t>Principal</w:t>
            </w:r>
          </w:p>
        </w:tc>
        <w:tc>
          <w:tcPr>
            <w:tcW w:w="2120" w:type="dxa"/>
            <w:tcBorders>
              <w:top w:val="single" w:sz="4" w:space="0" w:color="auto"/>
              <w:left w:val="nil"/>
              <w:bottom w:val="single" w:sz="4" w:space="0" w:color="auto"/>
              <w:right w:val="single" w:sz="4" w:space="0" w:color="auto"/>
            </w:tcBorders>
            <w:shd w:val="clear" w:color="auto" w:fill="auto"/>
            <w:noWrap/>
            <w:vAlign w:val="bottom"/>
            <w:hideMark/>
          </w:tcPr>
          <w:p w14:paraId="04E9EF59"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2006</w:t>
            </w:r>
          </w:p>
        </w:tc>
        <w:tc>
          <w:tcPr>
            <w:tcW w:w="2780" w:type="dxa"/>
            <w:tcBorders>
              <w:top w:val="single" w:sz="4" w:space="0" w:color="auto"/>
              <w:left w:val="nil"/>
              <w:bottom w:val="single" w:sz="4" w:space="0" w:color="auto"/>
              <w:right w:val="single" w:sz="4" w:space="0" w:color="auto"/>
            </w:tcBorders>
            <w:shd w:val="clear" w:color="auto" w:fill="auto"/>
            <w:noWrap/>
            <w:vAlign w:val="bottom"/>
            <w:hideMark/>
          </w:tcPr>
          <w:p w14:paraId="1D8FE1AE"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79%</w:t>
            </w:r>
          </w:p>
        </w:tc>
        <w:tc>
          <w:tcPr>
            <w:tcW w:w="2500" w:type="dxa"/>
            <w:tcBorders>
              <w:top w:val="single" w:sz="4" w:space="0" w:color="auto"/>
              <w:left w:val="nil"/>
              <w:bottom w:val="single" w:sz="4" w:space="0" w:color="auto"/>
              <w:right w:val="single" w:sz="4" w:space="0" w:color="auto"/>
            </w:tcBorders>
            <w:shd w:val="clear" w:color="auto" w:fill="auto"/>
            <w:noWrap/>
            <w:vAlign w:val="bottom"/>
            <w:hideMark/>
          </w:tcPr>
          <w:p w14:paraId="33D19A77"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63,68</w:t>
            </w:r>
          </w:p>
        </w:tc>
      </w:tr>
      <w:tr w:rsidR="006F6A1D" w:rsidRPr="006F6A1D" w14:paraId="495C1363" w14:textId="77777777" w:rsidTr="006F6A1D">
        <w:trPr>
          <w:trHeight w:val="290"/>
        </w:trPr>
        <w:tc>
          <w:tcPr>
            <w:tcW w:w="2400" w:type="dxa"/>
            <w:tcBorders>
              <w:top w:val="nil"/>
              <w:left w:val="single" w:sz="4" w:space="0" w:color="auto"/>
              <w:bottom w:val="single" w:sz="4" w:space="0" w:color="auto"/>
              <w:right w:val="single" w:sz="4" w:space="0" w:color="auto"/>
            </w:tcBorders>
            <w:shd w:val="clear" w:color="auto" w:fill="auto"/>
            <w:noWrap/>
            <w:vAlign w:val="center"/>
            <w:hideMark/>
          </w:tcPr>
          <w:p w14:paraId="577BA0D2" w14:textId="77777777" w:rsidR="006F6A1D" w:rsidRPr="006F6A1D" w:rsidRDefault="006F6A1D" w:rsidP="006F6A1D">
            <w:pPr>
              <w:spacing w:after="0" w:line="240" w:lineRule="auto"/>
              <w:jc w:val="both"/>
              <w:rPr>
                <w:rFonts w:ascii="Book Antiqua" w:eastAsia="Times New Roman" w:hAnsi="Book Antiqua" w:cs="Calibri"/>
                <w:color w:val="000000"/>
                <w:lang w:eastAsia="es-CR"/>
              </w:rPr>
            </w:pPr>
            <w:r w:rsidRPr="006F6A1D">
              <w:rPr>
                <w:rFonts w:ascii="Book Antiqua" w:eastAsia="Times New Roman" w:hAnsi="Book Antiqua" w:cs="Calibri"/>
                <w:color w:val="000000"/>
                <w:lang w:eastAsia="es-CR"/>
              </w:rPr>
              <w:t>Segunda Instancia</w:t>
            </w:r>
          </w:p>
        </w:tc>
        <w:tc>
          <w:tcPr>
            <w:tcW w:w="2120" w:type="dxa"/>
            <w:tcBorders>
              <w:top w:val="nil"/>
              <w:left w:val="nil"/>
              <w:bottom w:val="single" w:sz="4" w:space="0" w:color="auto"/>
              <w:right w:val="single" w:sz="4" w:space="0" w:color="auto"/>
            </w:tcBorders>
            <w:shd w:val="clear" w:color="auto" w:fill="auto"/>
            <w:noWrap/>
            <w:vAlign w:val="bottom"/>
            <w:hideMark/>
          </w:tcPr>
          <w:p w14:paraId="3CD58BAE"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383</w:t>
            </w:r>
          </w:p>
        </w:tc>
        <w:tc>
          <w:tcPr>
            <w:tcW w:w="2780" w:type="dxa"/>
            <w:tcBorders>
              <w:top w:val="nil"/>
              <w:left w:val="nil"/>
              <w:bottom w:val="single" w:sz="4" w:space="0" w:color="auto"/>
              <w:right w:val="single" w:sz="4" w:space="0" w:color="auto"/>
            </w:tcBorders>
            <w:shd w:val="clear" w:color="auto" w:fill="auto"/>
            <w:noWrap/>
            <w:vAlign w:val="bottom"/>
            <w:hideMark/>
          </w:tcPr>
          <w:p w14:paraId="675C618F"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15%</w:t>
            </w:r>
          </w:p>
        </w:tc>
        <w:tc>
          <w:tcPr>
            <w:tcW w:w="2500" w:type="dxa"/>
            <w:tcBorders>
              <w:top w:val="nil"/>
              <w:left w:val="nil"/>
              <w:bottom w:val="single" w:sz="4" w:space="0" w:color="auto"/>
              <w:right w:val="single" w:sz="4" w:space="0" w:color="auto"/>
            </w:tcBorders>
            <w:shd w:val="clear" w:color="auto" w:fill="auto"/>
            <w:noWrap/>
            <w:vAlign w:val="bottom"/>
            <w:hideMark/>
          </w:tcPr>
          <w:p w14:paraId="5E179280"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12,16</w:t>
            </w:r>
          </w:p>
        </w:tc>
      </w:tr>
      <w:tr w:rsidR="006F6A1D" w:rsidRPr="006F6A1D" w14:paraId="5710E621" w14:textId="77777777" w:rsidTr="006F6A1D">
        <w:trPr>
          <w:trHeight w:val="290"/>
        </w:trPr>
        <w:tc>
          <w:tcPr>
            <w:tcW w:w="2400" w:type="dxa"/>
            <w:tcBorders>
              <w:top w:val="nil"/>
              <w:left w:val="single" w:sz="4" w:space="0" w:color="auto"/>
              <w:bottom w:val="single" w:sz="4" w:space="0" w:color="auto"/>
              <w:right w:val="single" w:sz="4" w:space="0" w:color="auto"/>
            </w:tcBorders>
            <w:shd w:val="clear" w:color="auto" w:fill="auto"/>
            <w:noWrap/>
            <w:vAlign w:val="center"/>
            <w:hideMark/>
          </w:tcPr>
          <w:p w14:paraId="6C60A377" w14:textId="77777777" w:rsidR="006F6A1D" w:rsidRPr="006F6A1D" w:rsidRDefault="006F6A1D" w:rsidP="006F6A1D">
            <w:pPr>
              <w:spacing w:after="0" w:line="240" w:lineRule="auto"/>
              <w:jc w:val="both"/>
              <w:rPr>
                <w:rFonts w:ascii="Book Antiqua" w:eastAsia="Times New Roman" w:hAnsi="Book Antiqua" w:cs="Calibri"/>
                <w:color w:val="000000"/>
                <w:lang w:eastAsia="es-CR"/>
              </w:rPr>
            </w:pPr>
            <w:r w:rsidRPr="006F6A1D">
              <w:rPr>
                <w:rFonts w:ascii="Book Antiqua" w:eastAsia="Times New Roman" w:hAnsi="Book Antiqua" w:cs="Calibri"/>
                <w:color w:val="000000"/>
                <w:lang w:eastAsia="es-CR"/>
              </w:rPr>
              <w:t>Reentrados</w:t>
            </w:r>
          </w:p>
        </w:tc>
        <w:tc>
          <w:tcPr>
            <w:tcW w:w="2120" w:type="dxa"/>
            <w:tcBorders>
              <w:top w:val="nil"/>
              <w:left w:val="nil"/>
              <w:bottom w:val="single" w:sz="4" w:space="0" w:color="auto"/>
              <w:right w:val="single" w:sz="4" w:space="0" w:color="auto"/>
            </w:tcBorders>
            <w:shd w:val="clear" w:color="auto" w:fill="auto"/>
            <w:noWrap/>
            <w:vAlign w:val="bottom"/>
            <w:hideMark/>
          </w:tcPr>
          <w:p w14:paraId="526BF8A7"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116</w:t>
            </w:r>
          </w:p>
        </w:tc>
        <w:tc>
          <w:tcPr>
            <w:tcW w:w="2780" w:type="dxa"/>
            <w:tcBorders>
              <w:top w:val="nil"/>
              <w:left w:val="nil"/>
              <w:bottom w:val="single" w:sz="4" w:space="0" w:color="auto"/>
              <w:right w:val="single" w:sz="4" w:space="0" w:color="auto"/>
            </w:tcBorders>
            <w:shd w:val="clear" w:color="auto" w:fill="auto"/>
            <w:noWrap/>
            <w:vAlign w:val="bottom"/>
            <w:hideMark/>
          </w:tcPr>
          <w:p w14:paraId="132EF237"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5%</w:t>
            </w:r>
          </w:p>
        </w:tc>
        <w:tc>
          <w:tcPr>
            <w:tcW w:w="2500" w:type="dxa"/>
            <w:tcBorders>
              <w:top w:val="nil"/>
              <w:left w:val="nil"/>
              <w:bottom w:val="single" w:sz="4" w:space="0" w:color="auto"/>
              <w:right w:val="single" w:sz="4" w:space="0" w:color="auto"/>
            </w:tcBorders>
            <w:shd w:val="clear" w:color="auto" w:fill="auto"/>
            <w:noWrap/>
            <w:vAlign w:val="bottom"/>
            <w:hideMark/>
          </w:tcPr>
          <w:p w14:paraId="0B0EEFC4"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3,70</w:t>
            </w:r>
          </w:p>
        </w:tc>
      </w:tr>
      <w:tr w:rsidR="006F6A1D" w:rsidRPr="006F6A1D" w14:paraId="5D55F087" w14:textId="77777777" w:rsidTr="006F6A1D">
        <w:trPr>
          <w:trHeight w:val="290"/>
        </w:trPr>
        <w:tc>
          <w:tcPr>
            <w:tcW w:w="2400" w:type="dxa"/>
            <w:tcBorders>
              <w:top w:val="nil"/>
              <w:left w:val="single" w:sz="4" w:space="0" w:color="auto"/>
              <w:bottom w:val="single" w:sz="4" w:space="0" w:color="auto"/>
              <w:right w:val="single" w:sz="4" w:space="0" w:color="auto"/>
            </w:tcBorders>
            <w:shd w:val="clear" w:color="auto" w:fill="auto"/>
            <w:noWrap/>
            <w:vAlign w:val="center"/>
            <w:hideMark/>
          </w:tcPr>
          <w:p w14:paraId="3E59551B" w14:textId="77777777" w:rsidR="006F6A1D" w:rsidRPr="006F6A1D" w:rsidRDefault="006F6A1D" w:rsidP="006F6A1D">
            <w:pPr>
              <w:spacing w:after="0" w:line="240" w:lineRule="auto"/>
              <w:jc w:val="both"/>
              <w:rPr>
                <w:rFonts w:ascii="Book Antiqua" w:eastAsia="Times New Roman" w:hAnsi="Book Antiqua" w:cs="Calibri"/>
                <w:color w:val="000000"/>
                <w:lang w:eastAsia="es-CR"/>
              </w:rPr>
            </w:pPr>
            <w:r w:rsidRPr="006F6A1D">
              <w:rPr>
                <w:rFonts w:ascii="Book Antiqua" w:eastAsia="Times New Roman" w:hAnsi="Book Antiqua" w:cs="Calibri"/>
                <w:color w:val="000000"/>
                <w:lang w:eastAsia="es-CR"/>
              </w:rPr>
              <w:t>Incidentes</w:t>
            </w:r>
          </w:p>
        </w:tc>
        <w:tc>
          <w:tcPr>
            <w:tcW w:w="2120" w:type="dxa"/>
            <w:tcBorders>
              <w:top w:val="nil"/>
              <w:left w:val="nil"/>
              <w:bottom w:val="single" w:sz="4" w:space="0" w:color="auto"/>
              <w:right w:val="single" w:sz="4" w:space="0" w:color="auto"/>
            </w:tcBorders>
            <w:shd w:val="clear" w:color="auto" w:fill="auto"/>
            <w:noWrap/>
            <w:vAlign w:val="bottom"/>
            <w:hideMark/>
          </w:tcPr>
          <w:p w14:paraId="0422D3D7"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47</w:t>
            </w:r>
          </w:p>
        </w:tc>
        <w:tc>
          <w:tcPr>
            <w:tcW w:w="2780" w:type="dxa"/>
            <w:tcBorders>
              <w:top w:val="nil"/>
              <w:left w:val="nil"/>
              <w:bottom w:val="single" w:sz="4" w:space="0" w:color="auto"/>
              <w:right w:val="single" w:sz="4" w:space="0" w:color="auto"/>
            </w:tcBorders>
            <w:shd w:val="clear" w:color="auto" w:fill="auto"/>
            <w:noWrap/>
            <w:vAlign w:val="bottom"/>
            <w:hideMark/>
          </w:tcPr>
          <w:p w14:paraId="47258937"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2%</w:t>
            </w:r>
          </w:p>
        </w:tc>
        <w:tc>
          <w:tcPr>
            <w:tcW w:w="2500" w:type="dxa"/>
            <w:tcBorders>
              <w:top w:val="nil"/>
              <w:left w:val="nil"/>
              <w:bottom w:val="single" w:sz="4" w:space="0" w:color="auto"/>
              <w:right w:val="single" w:sz="4" w:space="0" w:color="auto"/>
            </w:tcBorders>
            <w:shd w:val="clear" w:color="auto" w:fill="auto"/>
            <w:noWrap/>
            <w:vAlign w:val="bottom"/>
            <w:hideMark/>
          </w:tcPr>
          <w:p w14:paraId="060DDFF8" w14:textId="77777777" w:rsidR="006F6A1D" w:rsidRPr="006F6A1D" w:rsidRDefault="006F6A1D" w:rsidP="006F6A1D">
            <w:pPr>
              <w:spacing w:after="0" w:line="240" w:lineRule="auto"/>
              <w:jc w:val="center"/>
              <w:rPr>
                <w:rFonts w:ascii="Calibri" w:eastAsia="Times New Roman" w:hAnsi="Calibri" w:cs="Calibri"/>
                <w:color w:val="000000"/>
                <w:lang w:eastAsia="es-CR"/>
              </w:rPr>
            </w:pPr>
            <w:r w:rsidRPr="006F6A1D">
              <w:rPr>
                <w:rFonts w:ascii="Calibri" w:eastAsia="Times New Roman" w:hAnsi="Calibri" w:cs="Calibri"/>
                <w:color w:val="000000"/>
                <w:lang w:eastAsia="es-CR"/>
              </w:rPr>
              <w:t>1,49</w:t>
            </w:r>
          </w:p>
        </w:tc>
      </w:tr>
      <w:tr w:rsidR="006F6A1D" w:rsidRPr="006F6A1D" w14:paraId="4919BF3E" w14:textId="77777777" w:rsidTr="006F6A1D">
        <w:trPr>
          <w:trHeight w:val="300"/>
        </w:trPr>
        <w:tc>
          <w:tcPr>
            <w:tcW w:w="2400" w:type="dxa"/>
            <w:tcBorders>
              <w:top w:val="nil"/>
              <w:left w:val="single" w:sz="8" w:space="0" w:color="auto"/>
              <w:bottom w:val="single" w:sz="8" w:space="0" w:color="auto"/>
              <w:right w:val="single" w:sz="8" w:space="0" w:color="auto"/>
            </w:tcBorders>
            <w:shd w:val="clear" w:color="000000" w:fill="808080"/>
            <w:noWrap/>
            <w:vAlign w:val="center"/>
            <w:hideMark/>
          </w:tcPr>
          <w:p w14:paraId="44F9572A" w14:textId="77777777" w:rsidR="006F6A1D" w:rsidRPr="006F6A1D" w:rsidRDefault="006F6A1D" w:rsidP="006F6A1D">
            <w:pPr>
              <w:spacing w:after="0" w:line="240" w:lineRule="auto"/>
              <w:jc w:val="right"/>
              <w:rPr>
                <w:rFonts w:ascii="Book Antiqua" w:eastAsia="Times New Roman" w:hAnsi="Book Antiqua" w:cs="Calibri"/>
                <w:b/>
                <w:bCs/>
                <w:color w:val="FFFFFF"/>
                <w:lang w:eastAsia="es-CR"/>
              </w:rPr>
            </w:pPr>
            <w:r w:rsidRPr="006F6A1D">
              <w:rPr>
                <w:rFonts w:ascii="Book Antiqua" w:eastAsia="Times New Roman" w:hAnsi="Book Antiqua" w:cs="Calibri"/>
                <w:b/>
                <w:bCs/>
                <w:color w:val="FFFFFF"/>
                <w:lang w:eastAsia="es-CR"/>
              </w:rPr>
              <w:t>Total</w:t>
            </w:r>
          </w:p>
        </w:tc>
        <w:tc>
          <w:tcPr>
            <w:tcW w:w="2120" w:type="dxa"/>
            <w:tcBorders>
              <w:top w:val="nil"/>
              <w:left w:val="nil"/>
              <w:bottom w:val="single" w:sz="8" w:space="0" w:color="auto"/>
              <w:right w:val="single" w:sz="8" w:space="0" w:color="auto"/>
            </w:tcBorders>
            <w:shd w:val="clear" w:color="000000" w:fill="808080"/>
            <w:noWrap/>
            <w:vAlign w:val="center"/>
            <w:hideMark/>
          </w:tcPr>
          <w:p w14:paraId="2C91C438" w14:textId="3BDF66B5" w:rsidR="006F6A1D" w:rsidRPr="006F6A1D" w:rsidRDefault="006F6A1D" w:rsidP="006F6A1D">
            <w:pPr>
              <w:spacing w:after="0" w:line="240" w:lineRule="auto"/>
              <w:jc w:val="center"/>
              <w:rPr>
                <w:rFonts w:ascii="Book Antiqua" w:eastAsia="Times New Roman" w:hAnsi="Book Antiqua" w:cs="Calibri"/>
                <w:b/>
                <w:bCs/>
                <w:color w:val="FFFFFF"/>
                <w:lang w:eastAsia="es-CR"/>
              </w:rPr>
            </w:pPr>
            <w:r w:rsidRPr="006F6A1D">
              <w:rPr>
                <w:rFonts w:ascii="Book Antiqua" w:eastAsia="Times New Roman" w:hAnsi="Book Antiqua" w:cs="Calibri"/>
                <w:b/>
                <w:bCs/>
                <w:color w:val="FFFFFF"/>
                <w:lang w:eastAsia="es-CR"/>
              </w:rPr>
              <w:t>2552</w:t>
            </w:r>
          </w:p>
        </w:tc>
        <w:tc>
          <w:tcPr>
            <w:tcW w:w="2780" w:type="dxa"/>
            <w:tcBorders>
              <w:top w:val="nil"/>
              <w:left w:val="nil"/>
              <w:bottom w:val="single" w:sz="8" w:space="0" w:color="auto"/>
              <w:right w:val="single" w:sz="8" w:space="0" w:color="auto"/>
            </w:tcBorders>
            <w:shd w:val="clear" w:color="000000" w:fill="808080"/>
            <w:noWrap/>
            <w:vAlign w:val="center"/>
            <w:hideMark/>
          </w:tcPr>
          <w:p w14:paraId="6F2169A3" w14:textId="77777777" w:rsidR="006F6A1D" w:rsidRPr="006F6A1D" w:rsidRDefault="006F6A1D" w:rsidP="006F6A1D">
            <w:pPr>
              <w:spacing w:after="0" w:line="240" w:lineRule="auto"/>
              <w:jc w:val="center"/>
              <w:rPr>
                <w:rFonts w:ascii="Book Antiqua" w:eastAsia="Times New Roman" w:hAnsi="Book Antiqua" w:cs="Calibri"/>
                <w:b/>
                <w:bCs/>
                <w:color w:val="FFFFFF"/>
                <w:lang w:eastAsia="es-CR"/>
              </w:rPr>
            </w:pPr>
            <w:r w:rsidRPr="006F6A1D">
              <w:rPr>
                <w:rFonts w:ascii="Book Antiqua" w:eastAsia="Times New Roman" w:hAnsi="Book Antiqua" w:cs="Calibri"/>
                <w:b/>
                <w:bCs/>
                <w:color w:val="FFFFFF"/>
                <w:lang w:eastAsia="es-CR"/>
              </w:rPr>
              <w:t>100%</w:t>
            </w:r>
          </w:p>
        </w:tc>
        <w:tc>
          <w:tcPr>
            <w:tcW w:w="2500" w:type="dxa"/>
            <w:tcBorders>
              <w:top w:val="nil"/>
              <w:left w:val="nil"/>
              <w:bottom w:val="single" w:sz="8" w:space="0" w:color="auto"/>
              <w:right w:val="single" w:sz="8" w:space="0" w:color="auto"/>
            </w:tcBorders>
            <w:shd w:val="clear" w:color="000000" w:fill="808080"/>
            <w:noWrap/>
            <w:vAlign w:val="center"/>
            <w:hideMark/>
          </w:tcPr>
          <w:p w14:paraId="6FDE957D" w14:textId="77777777" w:rsidR="006F6A1D" w:rsidRPr="006F6A1D" w:rsidRDefault="006F6A1D" w:rsidP="006F6A1D">
            <w:pPr>
              <w:spacing w:after="0" w:line="240" w:lineRule="auto"/>
              <w:jc w:val="center"/>
              <w:rPr>
                <w:rFonts w:ascii="Book Antiqua" w:eastAsia="Times New Roman" w:hAnsi="Book Antiqua" w:cs="Calibri"/>
                <w:b/>
                <w:bCs/>
                <w:color w:val="FFFFFF"/>
                <w:lang w:eastAsia="es-CR"/>
              </w:rPr>
            </w:pPr>
            <w:r w:rsidRPr="006F6A1D">
              <w:rPr>
                <w:rFonts w:ascii="Book Antiqua" w:eastAsia="Times New Roman" w:hAnsi="Book Antiqua" w:cs="Calibri"/>
                <w:b/>
                <w:bCs/>
                <w:color w:val="FFFFFF"/>
                <w:lang w:eastAsia="es-CR"/>
              </w:rPr>
              <w:t>81</w:t>
            </w:r>
          </w:p>
        </w:tc>
      </w:tr>
    </w:tbl>
    <w:p w14:paraId="56ED7BE8" w14:textId="3ECE359E" w:rsidR="00294936" w:rsidRPr="00C00A02" w:rsidRDefault="00C00A02" w:rsidP="009C01E1">
      <w:pPr>
        <w:spacing w:line="276" w:lineRule="auto"/>
        <w:jc w:val="both"/>
        <w:rPr>
          <w:rFonts w:ascii="Book Antiqua" w:hAnsi="Book Antiqua"/>
          <w:i/>
          <w:iCs/>
          <w:sz w:val="20"/>
          <w:szCs w:val="20"/>
        </w:rPr>
      </w:pPr>
      <w:bookmarkStart w:id="18" w:name="_Hlk95567173"/>
      <w:r w:rsidRPr="000C2758">
        <w:rPr>
          <w:rFonts w:ascii="Book Antiqua" w:hAnsi="Book Antiqua"/>
          <w:b/>
          <w:bCs/>
          <w:i/>
          <w:iCs/>
          <w:sz w:val="20"/>
          <w:szCs w:val="20"/>
        </w:rPr>
        <w:t>Fuente:</w:t>
      </w:r>
      <w:r w:rsidRPr="00C00A02">
        <w:rPr>
          <w:rFonts w:ascii="Book Antiqua" w:hAnsi="Book Antiqua"/>
          <w:i/>
          <w:iCs/>
          <w:sz w:val="20"/>
          <w:szCs w:val="20"/>
        </w:rPr>
        <w:t xml:space="preserve"> Subproceso de Modernización Institucional, con datos del Subproceso de Estadística del 201</w:t>
      </w:r>
      <w:r>
        <w:rPr>
          <w:rFonts w:ascii="Book Antiqua" w:hAnsi="Book Antiqua"/>
          <w:i/>
          <w:iCs/>
          <w:sz w:val="20"/>
          <w:szCs w:val="20"/>
        </w:rPr>
        <w:t>7</w:t>
      </w:r>
      <w:r w:rsidRPr="00C00A02">
        <w:rPr>
          <w:rFonts w:ascii="Book Antiqua" w:hAnsi="Book Antiqua"/>
          <w:i/>
          <w:iCs/>
          <w:sz w:val="20"/>
          <w:szCs w:val="20"/>
        </w:rPr>
        <w:t xml:space="preserve"> al 20</w:t>
      </w:r>
      <w:r>
        <w:rPr>
          <w:rFonts w:ascii="Book Antiqua" w:hAnsi="Book Antiqua"/>
          <w:i/>
          <w:iCs/>
          <w:sz w:val="20"/>
          <w:szCs w:val="20"/>
        </w:rPr>
        <w:t>2</w:t>
      </w:r>
      <w:r w:rsidR="00A258F7">
        <w:rPr>
          <w:rFonts w:ascii="Book Antiqua" w:hAnsi="Book Antiqua"/>
          <w:i/>
          <w:iCs/>
          <w:sz w:val="20"/>
          <w:szCs w:val="20"/>
        </w:rPr>
        <w:t>2.</w:t>
      </w:r>
      <w:r w:rsidRPr="00C00A02">
        <w:rPr>
          <w:rFonts w:ascii="Book Antiqua" w:hAnsi="Book Antiqua"/>
          <w:i/>
          <w:iCs/>
          <w:sz w:val="20"/>
          <w:szCs w:val="20"/>
        </w:rPr>
        <w:t xml:space="preserve"> </w:t>
      </w:r>
      <w:r w:rsidR="00A258F7" w:rsidRPr="00A258F7">
        <w:rPr>
          <w:rFonts w:ascii="Book Antiqua" w:hAnsi="Book Antiqua"/>
          <w:b/>
          <w:bCs/>
          <w:i/>
          <w:iCs/>
          <w:sz w:val="20"/>
          <w:szCs w:val="20"/>
        </w:rPr>
        <w:t>Nota:</w:t>
      </w:r>
      <w:r w:rsidR="00A258F7">
        <w:rPr>
          <w:rFonts w:ascii="Book Antiqua" w:hAnsi="Book Antiqua"/>
          <w:i/>
          <w:iCs/>
          <w:sz w:val="20"/>
          <w:szCs w:val="20"/>
        </w:rPr>
        <w:t xml:space="preserve"> L</w:t>
      </w:r>
      <w:r w:rsidRPr="00C00A02">
        <w:rPr>
          <w:rFonts w:ascii="Book Antiqua" w:hAnsi="Book Antiqua"/>
          <w:i/>
          <w:iCs/>
          <w:sz w:val="20"/>
          <w:szCs w:val="20"/>
        </w:rPr>
        <w:t>os datos de incidentes y segunda instancia se registran a partir del 2018</w:t>
      </w:r>
      <w:r w:rsidR="009C20C5">
        <w:rPr>
          <w:rFonts w:ascii="Book Antiqua" w:hAnsi="Book Antiqua"/>
          <w:i/>
          <w:iCs/>
          <w:sz w:val="20"/>
          <w:szCs w:val="20"/>
        </w:rPr>
        <w:t xml:space="preserve">. </w:t>
      </w:r>
    </w:p>
    <w:bookmarkEnd w:id="18"/>
    <w:p w14:paraId="6A440042" w14:textId="649349C1" w:rsidR="00C00A02" w:rsidRDefault="00C44CEE" w:rsidP="009C01E1">
      <w:pPr>
        <w:spacing w:line="276" w:lineRule="auto"/>
        <w:jc w:val="both"/>
        <w:rPr>
          <w:rFonts w:ascii="Book Antiqua" w:eastAsia="Calibri" w:hAnsi="Book Antiqua" w:cs="Arial"/>
          <w:sz w:val="24"/>
          <w:szCs w:val="24"/>
        </w:rPr>
      </w:pPr>
      <w:r w:rsidRPr="00C44CEE">
        <w:rPr>
          <w:rFonts w:ascii="Book Antiqua" w:eastAsia="Calibri" w:hAnsi="Book Antiqua" w:cs="Arial"/>
          <w:sz w:val="24"/>
          <w:szCs w:val="24"/>
        </w:rPr>
        <w:t xml:space="preserve">De la información del cuadro anterior, durante el periodo en análisis, se tiene un promedio anual de ingreso </w:t>
      </w:r>
      <w:r w:rsidRPr="00C00A02">
        <w:rPr>
          <w:rFonts w:ascii="Book Antiqua" w:eastAsia="Calibri" w:hAnsi="Book Antiqua" w:cs="Arial"/>
          <w:sz w:val="24"/>
          <w:szCs w:val="24"/>
        </w:rPr>
        <w:t xml:space="preserve">de 2 </w:t>
      </w:r>
      <w:r w:rsidR="009E2E43">
        <w:rPr>
          <w:rFonts w:ascii="Book Antiqua" w:eastAsia="Calibri" w:hAnsi="Book Antiqua" w:cs="Arial"/>
          <w:sz w:val="24"/>
          <w:szCs w:val="24"/>
        </w:rPr>
        <w:t>5</w:t>
      </w:r>
      <w:r w:rsidR="002C4192">
        <w:rPr>
          <w:rFonts w:ascii="Book Antiqua" w:eastAsia="Calibri" w:hAnsi="Book Antiqua" w:cs="Arial"/>
          <w:sz w:val="24"/>
          <w:szCs w:val="24"/>
        </w:rPr>
        <w:t>5</w:t>
      </w:r>
      <w:r w:rsidR="009E2E43">
        <w:rPr>
          <w:rFonts w:ascii="Book Antiqua" w:eastAsia="Calibri" w:hAnsi="Book Antiqua" w:cs="Arial"/>
          <w:sz w:val="24"/>
          <w:szCs w:val="24"/>
        </w:rPr>
        <w:t>2</w:t>
      </w:r>
      <w:r w:rsidRPr="00C00A02">
        <w:rPr>
          <w:rFonts w:ascii="Book Antiqua" w:eastAsia="Calibri" w:hAnsi="Book Antiqua" w:cs="Arial"/>
          <w:sz w:val="24"/>
          <w:szCs w:val="24"/>
        </w:rPr>
        <w:t xml:space="preserve"> asuntos, de los cuales un </w:t>
      </w:r>
      <w:r w:rsidR="00A13485">
        <w:rPr>
          <w:rFonts w:ascii="Book Antiqua" w:eastAsia="Calibri" w:hAnsi="Book Antiqua" w:cs="Arial"/>
          <w:sz w:val="24"/>
          <w:szCs w:val="24"/>
        </w:rPr>
        <w:t>7</w:t>
      </w:r>
      <w:r w:rsidR="002C4192">
        <w:rPr>
          <w:rFonts w:ascii="Book Antiqua" w:eastAsia="Calibri" w:hAnsi="Book Antiqua" w:cs="Arial"/>
          <w:sz w:val="24"/>
          <w:szCs w:val="24"/>
        </w:rPr>
        <w:t>9</w:t>
      </w:r>
      <w:r w:rsidRPr="00C00A02">
        <w:rPr>
          <w:rFonts w:ascii="Book Antiqua" w:eastAsia="Calibri" w:hAnsi="Book Antiqua" w:cs="Arial"/>
          <w:sz w:val="24"/>
          <w:szCs w:val="24"/>
        </w:rPr>
        <w:t>% corresponde a la entrada de asuntos nuevos, seguido de un 1</w:t>
      </w:r>
      <w:r w:rsidR="009E2E43">
        <w:rPr>
          <w:rFonts w:ascii="Book Antiqua" w:eastAsia="Calibri" w:hAnsi="Book Antiqua" w:cs="Arial"/>
          <w:sz w:val="24"/>
          <w:szCs w:val="24"/>
        </w:rPr>
        <w:t>5</w:t>
      </w:r>
      <w:r w:rsidRPr="00C00A02">
        <w:rPr>
          <w:rFonts w:ascii="Book Antiqua" w:eastAsia="Calibri" w:hAnsi="Book Antiqua" w:cs="Arial"/>
          <w:sz w:val="24"/>
          <w:szCs w:val="24"/>
        </w:rPr>
        <w:t xml:space="preserve">% de los asuntos de segunda instancia, un 5% son expedientes reentrados y por último, un </w:t>
      </w:r>
      <w:r w:rsidR="00A13485">
        <w:rPr>
          <w:rFonts w:ascii="Book Antiqua" w:eastAsia="Calibri" w:hAnsi="Book Antiqua" w:cs="Arial"/>
          <w:sz w:val="24"/>
          <w:szCs w:val="24"/>
        </w:rPr>
        <w:t>2</w:t>
      </w:r>
      <w:r w:rsidRPr="00C00A02">
        <w:rPr>
          <w:rFonts w:ascii="Book Antiqua" w:eastAsia="Calibri" w:hAnsi="Book Antiqua" w:cs="Arial"/>
          <w:sz w:val="24"/>
          <w:szCs w:val="24"/>
        </w:rPr>
        <w:t xml:space="preserve">% de incidentes; para un ingreso por persona juzgadora de </w:t>
      </w:r>
      <w:r w:rsidR="00C00A02" w:rsidRPr="00C00A02">
        <w:rPr>
          <w:rFonts w:ascii="Book Antiqua" w:eastAsia="Calibri" w:hAnsi="Book Antiqua" w:cs="Arial"/>
          <w:sz w:val="24"/>
          <w:szCs w:val="24"/>
        </w:rPr>
        <w:t>8</w:t>
      </w:r>
      <w:r w:rsidR="002C4192">
        <w:rPr>
          <w:rFonts w:ascii="Book Antiqua" w:eastAsia="Calibri" w:hAnsi="Book Antiqua" w:cs="Arial"/>
          <w:sz w:val="24"/>
          <w:szCs w:val="24"/>
        </w:rPr>
        <w:t>1</w:t>
      </w:r>
      <w:r w:rsidRPr="00C00A02">
        <w:rPr>
          <w:rFonts w:ascii="Book Antiqua" w:eastAsia="Calibri" w:hAnsi="Book Antiqua" w:cs="Arial"/>
          <w:sz w:val="24"/>
          <w:szCs w:val="24"/>
        </w:rPr>
        <w:t xml:space="preserve"> expedientes mensuales, donde se contabilizó </w:t>
      </w:r>
      <w:r w:rsidR="00C00A02" w:rsidRPr="00C00A02">
        <w:rPr>
          <w:rFonts w:ascii="Book Antiqua" w:eastAsia="Calibri" w:hAnsi="Book Antiqua" w:cs="Arial"/>
          <w:sz w:val="24"/>
          <w:szCs w:val="24"/>
        </w:rPr>
        <w:t>35</w:t>
      </w:r>
      <w:r w:rsidRPr="00C00A02">
        <w:rPr>
          <w:rFonts w:ascii="Book Antiqua" w:eastAsia="Calibri" w:hAnsi="Book Antiqua" w:cs="Arial"/>
          <w:sz w:val="24"/>
          <w:szCs w:val="24"/>
        </w:rPr>
        <w:t xml:space="preserve"> personas juzgadoras destacas en despachos especializados</w:t>
      </w:r>
      <w:r w:rsidRPr="00C44CEE">
        <w:rPr>
          <w:rFonts w:ascii="Book Antiqua" w:eastAsia="Calibri" w:hAnsi="Book Antiqua" w:cs="Arial"/>
          <w:sz w:val="24"/>
          <w:szCs w:val="24"/>
        </w:rPr>
        <w:t xml:space="preserve"> en materia de Familia</w:t>
      </w:r>
      <w:r w:rsidR="00350A95">
        <w:rPr>
          <w:rFonts w:ascii="Book Antiqua" w:eastAsia="Calibri" w:hAnsi="Book Antiqua" w:cs="Arial"/>
          <w:sz w:val="24"/>
          <w:szCs w:val="24"/>
        </w:rPr>
        <w:t>.</w:t>
      </w:r>
    </w:p>
    <w:p w14:paraId="7F13F307" w14:textId="77777777" w:rsidR="00C00A02" w:rsidRPr="008D6799" w:rsidRDefault="00C00A02" w:rsidP="008D6799">
      <w:pPr>
        <w:spacing w:after="0" w:line="276" w:lineRule="auto"/>
        <w:jc w:val="both"/>
        <w:rPr>
          <w:rFonts w:ascii="Book Antiqua" w:eastAsia="Calibri" w:hAnsi="Book Antiqua" w:cs="Arial"/>
          <w:b/>
          <w:bCs/>
          <w:sz w:val="24"/>
          <w:szCs w:val="24"/>
        </w:rPr>
      </w:pPr>
      <w:r w:rsidRPr="00182807">
        <w:rPr>
          <w:rFonts w:ascii="Book Antiqua" w:eastAsia="Calibri" w:hAnsi="Book Antiqua" w:cs="Arial"/>
          <w:b/>
          <w:bCs/>
          <w:sz w:val="24"/>
          <w:szCs w:val="24"/>
        </w:rPr>
        <w:t>Distribución de la entrada por tipo de Proceso</w:t>
      </w:r>
    </w:p>
    <w:p w14:paraId="1F891D05" w14:textId="77777777" w:rsidR="00815332" w:rsidRDefault="00815332" w:rsidP="006D7016">
      <w:pPr>
        <w:spacing w:after="0" w:line="276" w:lineRule="auto"/>
        <w:jc w:val="both"/>
        <w:rPr>
          <w:rFonts w:ascii="Book Antiqua" w:eastAsia="Calibri" w:hAnsi="Book Antiqua" w:cs="Arial"/>
          <w:sz w:val="24"/>
          <w:szCs w:val="24"/>
        </w:rPr>
      </w:pPr>
    </w:p>
    <w:p w14:paraId="2745D05E" w14:textId="5175478E" w:rsidR="006D7016" w:rsidRPr="006D7016" w:rsidRDefault="006D7016" w:rsidP="006D7016">
      <w:pPr>
        <w:spacing w:after="0" w:line="276" w:lineRule="auto"/>
        <w:jc w:val="both"/>
        <w:rPr>
          <w:rFonts w:ascii="Book Antiqua" w:eastAsia="Calibri" w:hAnsi="Book Antiqua" w:cs="Arial"/>
          <w:sz w:val="24"/>
          <w:szCs w:val="24"/>
        </w:rPr>
      </w:pPr>
      <w:r w:rsidRPr="006D7016">
        <w:rPr>
          <w:rFonts w:ascii="Book Antiqua" w:eastAsia="Calibri" w:hAnsi="Book Antiqua" w:cs="Arial"/>
          <w:sz w:val="24"/>
          <w:szCs w:val="24"/>
        </w:rPr>
        <w:t xml:space="preserve">En el siguiente </w:t>
      </w:r>
      <w:r w:rsidR="000041CA">
        <w:rPr>
          <w:rFonts w:ascii="Book Antiqua" w:eastAsia="Calibri" w:hAnsi="Book Antiqua" w:cs="Arial"/>
          <w:sz w:val="24"/>
          <w:szCs w:val="24"/>
        </w:rPr>
        <w:t>cuadro</w:t>
      </w:r>
      <w:r w:rsidR="000041CA" w:rsidRPr="006D7016">
        <w:rPr>
          <w:rFonts w:ascii="Book Antiqua" w:eastAsia="Calibri" w:hAnsi="Book Antiqua" w:cs="Arial"/>
          <w:sz w:val="24"/>
          <w:szCs w:val="24"/>
        </w:rPr>
        <w:t xml:space="preserve"> </w:t>
      </w:r>
      <w:r w:rsidRPr="006D7016">
        <w:rPr>
          <w:rFonts w:ascii="Book Antiqua" w:eastAsia="Calibri" w:hAnsi="Book Antiqua" w:cs="Arial"/>
          <w:sz w:val="24"/>
          <w:szCs w:val="24"/>
        </w:rPr>
        <w:t>se muestra la distribución de la entrada por el tipo de proceso en los Juzgados Especializados de Familia, durante el periodo 20</w:t>
      </w:r>
      <w:r w:rsidR="00B817CB">
        <w:rPr>
          <w:rFonts w:ascii="Book Antiqua" w:eastAsia="Calibri" w:hAnsi="Book Antiqua" w:cs="Arial"/>
          <w:sz w:val="24"/>
          <w:szCs w:val="24"/>
        </w:rPr>
        <w:t>2</w:t>
      </w:r>
      <w:r w:rsidR="000C2758">
        <w:rPr>
          <w:rFonts w:ascii="Book Antiqua" w:eastAsia="Calibri" w:hAnsi="Book Antiqua" w:cs="Arial"/>
          <w:sz w:val="24"/>
          <w:szCs w:val="24"/>
        </w:rPr>
        <w:t>2</w:t>
      </w:r>
      <w:r w:rsidRPr="006D7016">
        <w:rPr>
          <w:rFonts w:ascii="Book Antiqua" w:eastAsia="Calibri" w:hAnsi="Book Antiqua" w:cs="Arial"/>
          <w:sz w:val="24"/>
          <w:szCs w:val="24"/>
        </w:rPr>
        <w:t>.</w:t>
      </w:r>
    </w:p>
    <w:p w14:paraId="00048A8F" w14:textId="77777777" w:rsidR="006D7016" w:rsidRPr="006D7016" w:rsidRDefault="006D7016" w:rsidP="006D7016">
      <w:pPr>
        <w:spacing w:after="0" w:line="276" w:lineRule="auto"/>
        <w:jc w:val="both"/>
        <w:rPr>
          <w:rFonts w:ascii="Book Antiqua" w:eastAsia="Calibri" w:hAnsi="Book Antiqua" w:cs="Arial"/>
          <w:sz w:val="24"/>
          <w:szCs w:val="24"/>
        </w:rPr>
      </w:pPr>
    </w:p>
    <w:p w14:paraId="494430B1" w14:textId="6146206E" w:rsidR="006D7016" w:rsidRPr="0042149B" w:rsidRDefault="006D7016" w:rsidP="006D7016">
      <w:pPr>
        <w:keepNext/>
        <w:numPr>
          <w:ilvl w:val="12"/>
          <w:numId w:val="0"/>
        </w:numPr>
        <w:spacing w:after="0" w:line="276" w:lineRule="auto"/>
        <w:jc w:val="center"/>
        <w:rPr>
          <w:rFonts w:ascii="Book Antiqua" w:eastAsia="Calibri" w:hAnsi="Book Antiqua" w:cs="Arial"/>
          <w:b/>
          <w:bCs/>
          <w:color w:val="1F497D"/>
          <w:lang w:val="es-ES" w:eastAsia="es-ES"/>
        </w:rPr>
      </w:pPr>
      <w:r w:rsidRPr="0042149B">
        <w:rPr>
          <w:rFonts w:ascii="Book Antiqua" w:eastAsia="Calibri" w:hAnsi="Book Antiqua" w:cs="Arial"/>
          <w:b/>
          <w:bCs/>
          <w:color w:val="1F497D"/>
          <w:lang w:val="es-ES" w:eastAsia="es-ES"/>
        </w:rPr>
        <w:t xml:space="preserve">Cuadro </w:t>
      </w:r>
      <w:r w:rsidRPr="0042149B">
        <w:rPr>
          <w:rFonts w:ascii="Book Antiqua" w:eastAsia="Calibri" w:hAnsi="Book Antiqua" w:cs="Arial"/>
          <w:b/>
          <w:bCs/>
          <w:color w:val="1F497D"/>
          <w:lang w:val="es-ES" w:eastAsia="es-ES"/>
        </w:rPr>
        <w:fldChar w:fldCharType="begin"/>
      </w:r>
      <w:r w:rsidRPr="0042149B">
        <w:rPr>
          <w:rFonts w:ascii="Book Antiqua" w:eastAsia="Calibri" w:hAnsi="Book Antiqua" w:cs="Arial"/>
          <w:b/>
          <w:bCs/>
          <w:color w:val="1F497D"/>
          <w:lang w:val="es-ES" w:eastAsia="es-ES"/>
        </w:rPr>
        <w:instrText xml:space="preserve"> SEQ Cuadro \* ARABIC </w:instrText>
      </w:r>
      <w:r w:rsidRPr="0042149B">
        <w:rPr>
          <w:rFonts w:ascii="Book Antiqua" w:eastAsia="Calibri" w:hAnsi="Book Antiqua" w:cs="Arial"/>
          <w:b/>
          <w:bCs/>
          <w:color w:val="1F497D"/>
          <w:lang w:val="es-ES" w:eastAsia="es-ES"/>
        </w:rPr>
        <w:fldChar w:fldCharType="separate"/>
      </w:r>
      <w:r w:rsidR="009B739E" w:rsidRPr="0042149B">
        <w:rPr>
          <w:rFonts w:ascii="Book Antiqua" w:eastAsia="Calibri" w:hAnsi="Book Antiqua" w:cs="Arial"/>
          <w:b/>
          <w:bCs/>
          <w:color w:val="1F497D"/>
          <w:lang w:val="es-ES" w:eastAsia="es-ES"/>
        </w:rPr>
        <w:t>5</w:t>
      </w:r>
      <w:r w:rsidRPr="0042149B">
        <w:rPr>
          <w:rFonts w:ascii="Book Antiqua" w:eastAsia="Calibri" w:hAnsi="Book Antiqua" w:cs="Arial"/>
          <w:b/>
          <w:bCs/>
          <w:color w:val="1F497D"/>
          <w:lang w:val="es-ES" w:eastAsia="es-ES"/>
        </w:rPr>
        <w:fldChar w:fldCharType="end"/>
      </w:r>
      <w:r w:rsidRPr="0042149B">
        <w:rPr>
          <w:rFonts w:ascii="Book Antiqua" w:eastAsia="Calibri" w:hAnsi="Book Antiqua" w:cs="Arial"/>
          <w:b/>
          <w:bCs/>
          <w:color w:val="1F497D"/>
          <w:lang w:val="es-ES" w:eastAsia="es-ES"/>
        </w:rPr>
        <w:t xml:space="preserve"> </w:t>
      </w:r>
    </w:p>
    <w:p w14:paraId="580CDE9A" w14:textId="5D90D00C" w:rsidR="006D7016" w:rsidRPr="0042149B" w:rsidRDefault="006D7016" w:rsidP="006D7016">
      <w:pPr>
        <w:keepNext/>
        <w:numPr>
          <w:ilvl w:val="12"/>
          <w:numId w:val="0"/>
        </w:numPr>
        <w:spacing w:after="0" w:line="276" w:lineRule="auto"/>
        <w:jc w:val="center"/>
        <w:rPr>
          <w:rFonts w:ascii="Book Antiqua" w:eastAsia="Calibri" w:hAnsi="Book Antiqua" w:cs="Arial"/>
          <w:b/>
          <w:bCs/>
          <w:color w:val="1F497D"/>
          <w:lang w:val="es-ES" w:eastAsia="es-ES"/>
        </w:rPr>
      </w:pPr>
      <w:r w:rsidRPr="0042149B">
        <w:rPr>
          <w:rFonts w:ascii="Book Antiqua" w:eastAsia="Calibri" w:hAnsi="Book Antiqua" w:cs="Arial"/>
          <w:b/>
          <w:bCs/>
          <w:color w:val="1F497D"/>
          <w:lang w:val="es-ES" w:eastAsia="es-ES"/>
        </w:rPr>
        <w:t xml:space="preserve">Distribución de la entrada promedio por tipo de </w:t>
      </w:r>
      <w:r w:rsidR="009118F3" w:rsidRPr="0042149B">
        <w:rPr>
          <w:rFonts w:ascii="Book Antiqua" w:eastAsia="Calibri" w:hAnsi="Book Antiqua" w:cs="Arial"/>
          <w:b/>
          <w:bCs/>
          <w:color w:val="1F497D"/>
          <w:lang w:val="es-ES" w:eastAsia="es-ES"/>
        </w:rPr>
        <w:t>proceso</w:t>
      </w:r>
      <w:r w:rsidRPr="0042149B">
        <w:rPr>
          <w:rFonts w:ascii="Book Antiqua" w:eastAsia="Calibri" w:hAnsi="Book Antiqua" w:cs="Arial"/>
          <w:b/>
          <w:bCs/>
          <w:color w:val="1F497D"/>
          <w:lang w:val="es-ES" w:eastAsia="es-ES"/>
        </w:rPr>
        <w:t xml:space="preserve"> en </w:t>
      </w:r>
    </w:p>
    <w:p w14:paraId="00C49BA8" w14:textId="438D33C3" w:rsidR="006D7016" w:rsidRDefault="006D7016" w:rsidP="006D7016">
      <w:pPr>
        <w:keepNext/>
        <w:numPr>
          <w:ilvl w:val="12"/>
          <w:numId w:val="0"/>
        </w:numPr>
        <w:spacing w:after="0" w:line="276" w:lineRule="auto"/>
        <w:jc w:val="center"/>
        <w:rPr>
          <w:rFonts w:ascii="Book Antiqua" w:eastAsia="Calibri" w:hAnsi="Book Antiqua" w:cs="Arial"/>
          <w:b/>
          <w:bCs/>
          <w:color w:val="1F497D"/>
          <w:lang w:val="es-ES" w:eastAsia="es-ES"/>
        </w:rPr>
      </w:pPr>
      <w:r w:rsidRPr="0042149B">
        <w:rPr>
          <w:rFonts w:ascii="Book Antiqua" w:eastAsia="Calibri" w:hAnsi="Book Antiqua" w:cs="Arial"/>
          <w:b/>
          <w:bCs/>
          <w:color w:val="1F497D"/>
          <w:lang w:val="es-ES" w:eastAsia="es-ES"/>
        </w:rPr>
        <w:t xml:space="preserve">los Juzgados Especializados de la materia de Familia, </w:t>
      </w:r>
      <w:r w:rsidR="009118F3" w:rsidRPr="0042149B">
        <w:rPr>
          <w:rFonts w:ascii="Book Antiqua" w:eastAsia="Calibri" w:hAnsi="Book Antiqua" w:cs="Arial"/>
          <w:b/>
          <w:bCs/>
          <w:color w:val="1F497D"/>
          <w:lang w:val="es-ES" w:eastAsia="es-ES"/>
        </w:rPr>
        <w:t xml:space="preserve">durante </w:t>
      </w:r>
      <w:r w:rsidRPr="0042149B">
        <w:rPr>
          <w:rFonts w:ascii="Book Antiqua" w:eastAsia="Calibri" w:hAnsi="Book Antiqua" w:cs="Arial"/>
          <w:b/>
          <w:bCs/>
          <w:color w:val="1F497D"/>
          <w:lang w:val="es-ES" w:eastAsia="es-ES"/>
        </w:rPr>
        <w:t>20</w:t>
      </w:r>
      <w:r w:rsidR="00733D6D" w:rsidRPr="0042149B">
        <w:rPr>
          <w:rFonts w:ascii="Book Antiqua" w:eastAsia="Calibri" w:hAnsi="Book Antiqua" w:cs="Arial"/>
          <w:b/>
          <w:bCs/>
          <w:color w:val="1F497D"/>
          <w:lang w:val="es-ES" w:eastAsia="es-ES"/>
        </w:rPr>
        <w:t>2</w:t>
      </w:r>
      <w:r w:rsidR="000C2758" w:rsidRPr="0042149B">
        <w:rPr>
          <w:rFonts w:ascii="Book Antiqua" w:eastAsia="Calibri" w:hAnsi="Book Antiqua" w:cs="Arial"/>
          <w:b/>
          <w:bCs/>
          <w:color w:val="1F497D"/>
          <w:lang w:val="es-ES" w:eastAsia="es-ES"/>
        </w:rPr>
        <w:t>2</w:t>
      </w:r>
    </w:p>
    <w:tbl>
      <w:tblPr>
        <w:tblW w:w="8380" w:type="dxa"/>
        <w:tblCellMar>
          <w:left w:w="70" w:type="dxa"/>
          <w:right w:w="70" w:type="dxa"/>
        </w:tblCellMar>
        <w:tblLook w:val="04A0" w:firstRow="1" w:lastRow="0" w:firstColumn="1" w:lastColumn="0" w:noHBand="0" w:noVBand="1"/>
      </w:tblPr>
      <w:tblGrid>
        <w:gridCol w:w="6100"/>
        <w:gridCol w:w="1160"/>
        <w:gridCol w:w="1120"/>
      </w:tblGrid>
      <w:tr w:rsidR="003A2D6A" w:rsidRPr="003A2D6A" w14:paraId="48CBF64E" w14:textId="77777777" w:rsidTr="003A2D6A">
        <w:trPr>
          <w:trHeight w:val="1050"/>
        </w:trPr>
        <w:tc>
          <w:tcPr>
            <w:tcW w:w="610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3C9E0DE2" w14:textId="77777777" w:rsidR="003A2D6A" w:rsidRPr="003A2D6A" w:rsidRDefault="003A2D6A" w:rsidP="003A2D6A">
            <w:pPr>
              <w:spacing w:after="0" w:line="240" w:lineRule="auto"/>
              <w:jc w:val="center"/>
              <w:rPr>
                <w:rFonts w:ascii="Book Antiqua" w:eastAsia="Times New Roman" w:hAnsi="Book Antiqua" w:cs="Calibri"/>
                <w:b/>
                <w:bCs/>
                <w:color w:val="FFFFFF"/>
                <w:sz w:val="20"/>
                <w:szCs w:val="20"/>
                <w:lang w:eastAsia="es-CR"/>
              </w:rPr>
            </w:pPr>
            <w:r w:rsidRPr="003A2D6A">
              <w:rPr>
                <w:rFonts w:ascii="Book Antiqua" w:eastAsia="Times New Roman" w:hAnsi="Book Antiqua" w:cs="Calibri"/>
                <w:b/>
                <w:bCs/>
                <w:color w:val="FFFFFF"/>
                <w:sz w:val="20"/>
                <w:szCs w:val="20"/>
                <w:lang w:eastAsia="es-CR"/>
              </w:rPr>
              <w:t>Tipo de casos entrados</w:t>
            </w:r>
          </w:p>
        </w:tc>
        <w:tc>
          <w:tcPr>
            <w:tcW w:w="1160" w:type="dxa"/>
            <w:tcBorders>
              <w:top w:val="single" w:sz="8" w:space="0" w:color="auto"/>
              <w:left w:val="nil"/>
              <w:bottom w:val="single" w:sz="8" w:space="0" w:color="auto"/>
              <w:right w:val="single" w:sz="8" w:space="0" w:color="auto"/>
            </w:tcBorders>
            <w:shd w:val="clear" w:color="000000" w:fill="002060"/>
            <w:vAlign w:val="center"/>
            <w:hideMark/>
          </w:tcPr>
          <w:p w14:paraId="168758D1" w14:textId="77777777" w:rsidR="003A2D6A" w:rsidRPr="003A2D6A" w:rsidRDefault="003A2D6A" w:rsidP="003A2D6A">
            <w:pPr>
              <w:spacing w:after="0" w:line="240" w:lineRule="auto"/>
              <w:jc w:val="center"/>
              <w:rPr>
                <w:rFonts w:ascii="Book Antiqua" w:eastAsia="Times New Roman" w:hAnsi="Book Antiqua" w:cs="Calibri"/>
                <w:b/>
                <w:bCs/>
                <w:color w:val="FFFFFF"/>
                <w:sz w:val="20"/>
                <w:szCs w:val="20"/>
                <w:lang w:eastAsia="es-CR"/>
              </w:rPr>
            </w:pPr>
            <w:r w:rsidRPr="003A2D6A">
              <w:rPr>
                <w:rFonts w:ascii="Book Antiqua" w:eastAsia="Times New Roman" w:hAnsi="Book Antiqua" w:cs="Calibri"/>
                <w:b/>
                <w:bCs/>
                <w:color w:val="FFFFFF"/>
                <w:sz w:val="20"/>
                <w:szCs w:val="20"/>
                <w:lang w:eastAsia="es-CR"/>
              </w:rPr>
              <w:t>Promedio anual de entrada</w:t>
            </w:r>
            <w:r w:rsidRPr="003A2D6A">
              <w:rPr>
                <w:rFonts w:ascii="Book Antiqua" w:eastAsia="Times New Roman" w:hAnsi="Book Antiqua" w:cs="Calibri"/>
                <w:b/>
                <w:bCs/>
                <w:color w:val="FFFFFF"/>
                <w:sz w:val="20"/>
                <w:szCs w:val="20"/>
                <w:lang w:eastAsia="es-CR"/>
              </w:rPr>
              <w:br/>
              <w:t>2017-2022</w:t>
            </w:r>
          </w:p>
        </w:tc>
        <w:tc>
          <w:tcPr>
            <w:tcW w:w="1120" w:type="dxa"/>
            <w:tcBorders>
              <w:top w:val="single" w:sz="8" w:space="0" w:color="auto"/>
              <w:left w:val="nil"/>
              <w:bottom w:val="single" w:sz="8" w:space="0" w:color="auto"/>
              <w:right w:val="single" w:sz="8" w:space="0" w:color="auto"/>
            </w:tcBorders>
            <w:shd w:val="clear" w:color="000000" w:fill="002060"/>
            <w:vAlign w:val="center"/>
            <w:hideMark/>
          </w:tcPr>
          <w:p w14:paraId="616708DD" w14:textId="77777777" w:rsidR="003A2D6A" w:rsidRPr="003A2D6A" w:rsidRDefault="003A2D6A" w:rsidP="003A2D6A">
            <w:pPr>
              <w:spacing w:after="0" w:line="240" w:lineRule="auto"/>
              <w:jc w:val="center"/>
              <w:rPr>
                <w:rFonts w:ascii="Book Antiqua" w:eastAsia="Times New Roman" w:hAnsi="Book Antiqua" w:cs="Calibri"/>
                <w:b/>
                <w:bCs/>
                <w:color w:val="FFFFFF"/>
                <w:sz w:val="20"/>
                <w:szCs w:val="20"/>
                <w:lang w:eastAsia="es-CR"/>
              </w:rPr>
            </w:pPr>
            <w:r w:rsidRPr="003A2D6A">
              <w:rPr>
                <w:rFonts w:ascii="Book Antiqua" w:eastAsia="Times New Roman" w:hAnsi="Book Antiqua" w:cs="Calibri"/>
                <w:b/>
                <w:bCs/>
                <w:color w:val="FFFFFF"/>
                <w:sz w:val="20"/>
                <w:szCs w:val="20"/>
                <w:lang w:eastAsia="es-CR"/>
              </w:rPr>
              <w:t>Porcentaje</w:t>
            </w:r>
          </w:p>
        </w:tc>
      </w:tr>
      <w:tr w:rsidR="003A2D6A" w:rsidRPr="003A2D6A" w14:paraId="53EC2E0B"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53B4D704"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Divorcio Por Mutuo Consentimiento</w:t>
            </w:r>
          </w:p>
        </w:tc>
        <w:tc>
          <w:tcPr>
            <w:tcW w:w="1160" w:type="dxa"/>
            <w:tcBorders>
              <w:top w:val="nil"/>
              <w:left w:val="nil"/>
              <w:bottom w:val="single" w:sz="8" w:space="0" w:color="auto"/>
              <w:right w:val="single" w:sz="8" w:space="0" w:color="auto"/>
            </w:tcBorders>
            <w:shd w:val="clear" w:color="auto" w:fill="auto"/>
            <w:noWrap/>
            <w:vAlign w:val="center"/>
            <w:hideMark/>
          </w:tcPr>
          <w:p w14:paraId="5BA995A2"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8557</w:t>
            </w:r>
          </w:p>
        </w:tc>
        <w:tc>
          <w:tcPr>
            <w:tcW w:w="1120" w:type="dxa"/>
            <w:tcBorders>
              <w:top w:val="nil"/>
              <w:left w:val="nil"/>
              <w:bottom w:val="single" w:sz="8" w:space="0" w:color="auto"/>
              <w:right w:val="single" w:sz="8" w:space="0" w:color="auto"/>
            </w:tcBorders>
            <w:shd w:val="clear" w:color="auto" w:fill="auto"/>
            <w:noWrap/>
            <w:vAlign w:val="center"/>
            <w:hideMark/>
          </w:tcPr>
          <w:p w14:paraId="13DE583F"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35,16%</w:t>
            </w:r>
          </w:p>
        </w:tc>
      </w:tr>
      <w:tr w:rsidR="003A2D6A" w:rsidRPr="003A2D6A" w14:paraId="31E76CB5"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26AF4EF0"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Divorcio</w:t>
            </w:r>
          </w:p>
        </w:tc>
        <w:tc>
          <w:tcPr>
            <w:tcW w:w="1160" w:type="dxa"/>
            <w:tcBorders>
              <w:top w:val="nil"/>
              <w:left w:val="nil"/>
              <w:bottom w:val="single" w:sz="8" w:space="0" w:color="auto"/>
              <w:right w:val="single" w:sz="8" w:space="0" w:color="auto"/>
            </w:tcBorders>
            <w:shd w:val="clear" w:color="auto" w:fill="auto"/>
            <w:noWrap/>
            <w:vAlign w:val="center"/>
            <w:hideMark/>
          </w:tcPr>
          <w:p w14:paraId="2E741917"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2529</w:t>
            </w:r>
          </w:p>
        </w:tc>
        <w:tc>
          <w:tcPr>
            <w:tcW w:w="1120" w:type="dxa"/>
            <w:tcBorders>
              <w:top w:val="nil"/>
              <w:left w:val="nil"/>
              <w:bottom w:val="single" w:sz="8" w:space="0" w:color="auto"/>
              <w:right w:val="single" w:sz="8" w:space="0" w:color="auto"/>
            </w:tcBorders>
            <w:shd w:val="clear" w:color="auto" w:fill="auto"/>
            <w:noWrap/>
            <w:vAlign w:val="center"/>
            <w:hideMark/>
          </w:tcPr>
          <w:p w14:paraId="36F36145"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10,39%</w:t>
            </w:r>
          </w:p>
        </w:tc>
      </w:tr>
      <w:tr w:rsidR="003A2D6A" w:rsidRPr="003A2D6A" w14:paraId="026FEB34"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16423106"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Interrelación Familiar (régimen de visitas)</w:t>
            </w:r>
          </w:p>
        </w:tc>
        <w:tc>
          <w:tcPr>
            <w:tcW w:w="1160" w:type="dxa"/>
            <w:tcBorders>
              <w:top w:val="nil"/>
              <w:left w:val="nil"/>
              <w:bottom w:val="single" w:sz="8" w:space="0" w:color="auto"/>
              <w:right w:val="single" w:sz="8" w:space="0" w:color="auto"/>
            </w:tcBorders>
            <w:shd w:val="clear" w:color="auto" w:fill="auto"/>
            <w:noWrap/>
            <w:vAlign w:val="center"/>
            <w:hideMark/>
          </w:tcPr>
          <w:p w14:paraId="045F81C9"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1678</w:t>
            </w:r>
          </w:p>
        </w:tc>
        <w:tc>
          <w:tcPr>
            <w:tcW w:w="1120" w:type="dxa"/>
            <w:tcBorders>
              <w:top w:val="nil"/>
              <w:left w:val="nil"/>
              <w:bottom w:val="single" w:sz="8" w:space="0" w:color="auto"/>
              <w:right w:val="single" w:sz="8" w:space="0" w:color="auto"/>
            </w:tcBorders>
            <w:shd w:val="clear" w:color="auto" w:fill="auto"/>
            <w:noWrap/>
            <w:vAlign w:val="center"/>
            <w:hideMark/>
          </w:tcPr>
          <w:p w14:paraId="5F029DE3"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6,89%</w:t>
            </w:r>
          </w:p>
        </w:tc>
      </w:tr>
      <w:tr w:rsidR="003A2D6A" w:rsidRPr="003A2D6A" w14:paraId="609EBEDC"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1A9EE649"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Otros (otros + asuntos con menos de 100 casos por año)</w:t>
            </w:r>
          </w:p>
        </w:tc>
        <w:tc>
          <w:tcPr>
            <w:tcW w:w="1160" w:type="dxa"/>
            <w:tcBorders>
              <w:top w:val="nil"/>
              <w:left w:val="nil"/>
              <w:bottom w:val="single" w:sz="8" w:space="0" w:color="auto"/>
              <w:right w:val="single" w:sz="8" w:space="0" w:color="auto"/>
            </w:tcBorders>
            <w:shd w:val="clear" w:color="auto" w:fill="auto"/>
            <w:noWrap/>
            <w:vAlign w:val="center"/>
            <w:hideMark/>
          </w:tcPr>
          <w:p w14:paraId="5CF5416E"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1039</w:t>
            </w:r>
          </w:p>
        </w:tc>
        <w:tc>
          <w:tcPr>
            <w:tcW w:w="1120" w:type="dxa"/>
            <w:tcBorders>
              <w:top w:val="nil"/>
              <w:left w:val="nil"/>
              <w:bottom w:val="single" w:sz="8" w:space="0" w:color="auto"/>
              <w:right w:val="single" w:sz="8" w:space="0" w:color="auto"/>
            </w:tcBorders>
            <w:shd w:val="clear" w:color="auto" w:fill="auto"/>
            <w:noWrap/>
            <w:vAlign w:val="center"/>
            <w:hideMark/>
          </w:tcPr>
          <w:p w14:paraId="47DC11AC"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4,27%</w:t>
            </w:r>
          </w:p>
        </w:tc>
      </w:tr>
      <w:tr w:rsidR="003A2D6A" w:rsidRPr="003A2D6A" w14:paraId="0333F63F"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450CF3C9"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Celebración de Matrimonio</w:t>
            </w:r>
          </w:p>
        </w:tc>
        <w:tc>
          <w:tcPr>
            <w:tcW w:w="1160" w:type="dxa"/>
            <w:tcBorders>
              <w:top w:val="nil"/>
              <w:left w:val="nil"/>
              <w:bottom w:val="single" w:sz="8" w:space="0" w:color="auto"/>
              <w:right w:val="single" w:sz="8" w:space="0" w:color="auto"/>
            </w:tcBorders>
            <w:shd w:val="clear" w:color="auto" w:fill="auto"/>
            <w:noWrap/>
            <w:vAlign w:val="center"/>
            <w:hideMark/>
          </w:tcPr>
          <w:p w14:paraId="1CF13525"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877</w:t>
            </w:r>
          </w:p>
        </w:tc>
        <w:tc>
          <w:tcPr>
            <w:tcW w:w="1120" w:type="dxa"/>
            <w:tcBorders>
              <w:top w:val="nil"/>
              <w:left w:val="nil"/>
              <w:bottom w:val="single" w:sz="8" w:space="0" w:color="auto"/>
              <w:right w:val="single" w:sz="8" w:space="0" w:color="auto"/>
            </w:tcBorders>
            <w:shd w:val="clear" w:color="auto" w:fill="auto"/>
            <w:noWrap/>
            <w:vAlign w:val="center"/>
            <w:hideMark/>
          </w:tcPr>
          <w:p w14:paraId="6C909F16"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3,60%</w:t>
            </w:r>
          </w:p>
        </w:tc>
      </w:tr>
      <w:tr w:rsidR="003A2D6A" w:rsidRPr="003A2D6A" w14:paraId="4A07A737"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7B7A8E0C"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Salvaguardia</w:t>
            </w:r>
          </w:p>
        </w:tc>
        <w:tc>
          <w:tcPr>
            <w:tcW w:w="1160" w:type="dxa"/>
            <w:tcBorders>
              <w:top w:val="nil"/>
              <w:left w:val="nil"/>
              <w:bottom w:val="single" w:sz="8" w:space="0" w:color="auto"/>
              <w:right w:val="single" w:sz="8" w:space="0" w:color="auto"/>
            </w:tcBorders>
            <w:shd w:val="clear" w:color="auto" w:fill="auto"/>
            <w:noWrap/>
            <w:vAlign w:val="center"/>
            <w:hideMark/>
          </w:tcPr>
          <w:p w14:paraId="27A86749"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844</w:t>
            </w:r>
          </w:p>
        </w:tc>
        <w:tc>
          <w:tcPr>
            <w:tcW w:w="1120" w:type="dxa"/>
            <w:tcBorders>
              <w:top w:val="nil"/>
              <w:left w:val="nil"/>
              <w:bottom w:val="single" w:sz="8" w:space="0" w:color="auto"/>
              <w:right w:val="single" w:sz="8" w:space="0" w:color="auto"/>
            </w:tcBorders>
            <w:shd w:val="clear" w:color="auto" w:fill="auto"/>
            <w:noWrap/>
            <w:vAlign w:val="center"/>
            <w:hideMark/>
          </w:tcPr>
          <w:p w14:paraId="028F2EEB"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3,47%</w:t>
            </w:r>
          </w:p>
        </w:tc>
      </w:tr>
      <w:tr w:rsidR="003A2D6A" w:rsidRPr="003A2D6A" w14:paraId="73BE6DA7"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22A6CB84"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Depósito Judicial</w:t>
            </w:r>
          </w:p>
        </w:tc>
        <w:tc>
          <w:tcPr>
            <w:tcW w:w="1160" w:type="dxa"/>
            <w:tcBorders>
              <w:top w:val="nil"/>
              <w:left w:val="nil"/>
              <w:bottom w:val="single" w:sz="8" w:space="0" w:color="auto"/>
              <w:right w:val="single" w:sz="8" w:space="0" w:color="auto"/>
            </w:tcBorders>
            <w:shd w:val="clear" w:color="auto" w:fill="auto"/>
            <w:noWrap/>
            <w:vAlign w:val="center"/>
            <w:hideMark/>
          </w:tcPr>
          <w:p w14:paraId="73DA4BF6"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912</w:t>
            </w:r>
          </w:p>
        </w:tc>
        <w:tc>
          <w:tcPr>
            <w:tcW w:w="1120" w:type="dxa"/>
            <w:tcBorders>
              <w:top w:val="nil"/>
              <w:left w:val="nil"/>
              <w:bottom w:val="single" w:sz="8" w:space="0" w:color="auto"/>
              <w:right w:val="single" w:sz="8" w:space="0" w:color="auto"/>
            </w:tcBorders>
            <w:shd w:val="clear" w:color="auto" w:fill="auto"/>
            <w:noWrap/>
            <w:vAlign w:val="center"/>
            <w:hideMark/>
          </w:tcPr>
          <w:p w14:paraId="18A10160"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3,75%</w:t>
            </w:r>
          </w:p>
        </w:tc>
      </w:tr>
      <w:tr w:rsidR="003A2D6A" w:rsidRPr="003A2D6A" w14:paraId="2C4974C9"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6B819F32"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 xml:space="preserve">Reconocimiento de hija o de hijo de mujer casada </w:t>
            </w:r>
          </w:p>
        </w:tc>
        <w:tc>
          <w:tcPr>
            <w:tcW w:w="1160" w:type="dxa"/>
            <w:tcBorders>
              <w:top w:val="nil"/>
              <w:left w:val="nil"/>
              <w:bottom w:val="single" w:sz="8" w:space="0" w:color="auto"/>
              <w:right w:val="single" w:sz="8" w:space="0" w:color="auto"/>
            </w:tcBorders>
            <w:shd w:val="clear" w:color="auto" w:fill="auto"/>
            <w:noWrap/>
            <w:vAlign w:val="center"/>
            <w:hideMark/>
          </w:tcPr>
          <w:p w14:paraId="66C520FF"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720</w:t>
            </w:r>
          </w:p>
        </w:tc>
        <w:tc>
          <w:tcPr>
            <w:tcW w:w="1120" w:type="dxa"/>
            <w:tcBorders>
              <w:top w:val="nil"/>
              <w:left w:val="nil"/>
              <w:bottom w:val="single" w:sz="8" w:space="0" w:color="auto"/>
              <w:right w:val="single" w:sz="8" w:space="0" w:color="auto"/>
            </w:tcBorders>
            <w:shd w:val="clear" w:color="auto" w:fill="auto"/>
            <w:noWrap/>
            <w:vAlign w:val="center"/>
            <w:hideMark/>
          </w:tcPr>
          <w:p w14:paraId="338FBCC4"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2,96%</w:t>
            </w:r>
          </w:p>
        </w:tc>
      </w:tr>
      <w:tr w:rsidR="003A2D6A" w:rsidRPr="003A2D6A" w14:paraId="6D6ACA9B"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191204BC"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Guarda Crianza y Educación (Proceso Definición de Custodia)</w:t>
            </w:r>
          </w:p>
        </w:tc>
        <w:tc>
          <w:tcPr>
            <w:tcW w:w="1160" w:type="dxa"/>
            <w:tcBorders>
              <w:top w:val="nil"/>
              <w:left w:val="nil"/>
              <w:bottom w:val="single" w:sz="8" w:space="0" w:color="auto"/>
              <w:right w:val="single" w:sz="8" w:space="0" w:color="auto"/>
            </w:tcBorders>
            <w:shd w:val="clear" w:color="auto" w:fill="auto"/>
            <w:noWrap/>
            <w:vAlign w:val="center"/>
            <w:hideMark/>
          </w:tcPr>
          <w:p w14:paraId="634C5F3C"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716</w:t>
            </w:r>
          </w:p>
        </w:tc>
        <w:tc>
          <w:tcPr>
            <w:tcW w:w="1120" w:type="dxa"/>
            <w:tcBorders>
              <w:top w:val="nil"/>
              <w:left w:val="nil"/>
              <w:bottom w:val="single" w:sz="8" w:space="0" w:color="auto"/>
              <w:right w:val="single" w:sz="8" w:space="0" w:color="auto"/>
            </w:tcBorders>
            <w:shd w:val="clear" w:color="auto" w:fill="auto"/>
            <w:noWrap/>
            <w:vAlign w:val="center"/>
            <w:hideMark/>
          </w:tcPr>
          <w:p w14:paraId="03EE70D2"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2,94%</w:t>
            </w:r>
          </w:p>
        </w:tc>
      </w:tr>
      <w:tr w:rsidR="003A2D6A" w:rsidRPr="003A2D6A" w14:paraId="2DE3581B"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34EB7D7E"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Divorcio por Mutuo Consentimiento de Casa de Justicia</w:t>
            </w:r>
          </w:p>
        </w:tc>
        <w:tc>
          <w:tcPr>
            <w:tcW w:w="1160" w:type="dxa"/>
            <w:tcBorders>
              <w:top w:val="nil"/>
              <w:left w:val="nil"/>
              <w:bottom w:val="single" w:sz="8" w:space="0" w:color="auto"/>
              <w:right w:val="single" w:sz="8" w:space="0" w:color="auto"/>
            </w:tcBorders>
            <w:shd w:val="clear" w:color="auto" w:fill="auto"/>
            <w:noWrap/>
            <w:vAlign w:val="center"/>
            <w:hideMark/>
          </w:tcPr>
          <w:p w14:paraId="493A14E1"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456</w:t>
            </w:r>
          </w:p>
        </w:tc>
        <w:tc>
          <w:tcPr>
            <w:tcW w:w="1120" w:type="dxa"/>
            <w:tcBorders>
              <w:top w:val="nil"/>
              <w:left w:val="nil"/>
              <w:bottom w:val="single" w:sz="8" w:space="0" w:color="auto"/>
              <w:right w:val="single" w:sz="8" w:space="0" w:color="auto"/>
            </w:tcBorders>
            <w:shd w:val="clear" w:color="auto" w:fill="auto"/>
            <w:noWrap/>
            <w:vAlign w:val="center"/>
            <w:hideMark/>
          </w:tcPr>
          <w:p w14:paraId="543FC7DD"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1,88%</w:t>
            </w:r>
          </w:p>
        </w:tc>
      </w:tr>
      <w:tr w:rsidR="003A2D6A" w:rsidRPr="003A2D6A" w14:paraId="3ACB8B24"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05B7D017"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Reconocimiento Unión de Hecho</w:t>
            </w:r>
          </w:p>
        </w:tc>
        <w:tc>
          <w:tcPr>
            <w:tcW w:w="1160" w:type="dxa"/>
            <w:tcBorders>
              <w:top w:val="nil"/>
              <w:left w:val="nil"/>
              <w:bottom w:val="single" w:sz="8" w:space="0" w:color="auto"/>
              <w:right w:val="single" w:sz="8" w:space="0" w:color="auto"/>
            </w:tcBorders>
            <w:shd w:val="clear" w:color="auto" w:fill="auto"/>
            <w:noWrap/>
            <w:vAlign w:val="center"/>
            <w:hideMark/>
          </w:tcPr>
          <w:p w14:paraId="77B6B262"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422</w:t>
            </w:r>
          </w:p>
        </w:tc>
        <w:tc>
          <w:tcPr>
            <w:tcW w:w="1120" w:type="dxa"/>
            <w:tcBorders>
              <w:top w:val="nil"/>
              <w:left w:val="nil"/>
              <w:bottom w:val="single" w:sz="8" w:space="0" w:color="auto"/>
              <w:right w:val="single" w:sz="8" w:space="0" w:color="auto"/>
            </w:tcBorders>
            <w:shd w:val="clear" w:color="auto" w:fill="auto"/>
            <w:noWrap/>
            <w:vAlign w:val="center"/>
            <w:hideMark/>
          </w:tcPr>
          <w:p w14:paraId="36E64400"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1,73%</w:t>
            </w:r>
          </w:p>
        </w:tc>
      </w:tr>
      <w:tr w:rsidR="003A2D6A" w:rsidRPr="003A2D6A" w14:paraId="665652F0"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2DA5C76F"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Autorización Salida del País</w:t>
            </w:r>
          </w:p>
        </w:tc>
        <w:tc>
          <w:tcPr>
            <w:tcW w:w="1160" w:type="dxa"/>
            <w:tcBorders>
              <w:top w:val="nil"/>
              <w:left w:val="nil"/>
              <w:bottom w:val="single" w:sz="8" w:space="0" w:color="auto"/>
              <w:right w:val="single" w:sz="8" w:space="0" w:color="auto"/>
            </w:tcBorders>
            <w:shd w:val="clear" w:color="auto" w:fill="auto"/>
            <w:noWrap/>
            <w:vAlign w:val="center"/>
            <w:hideMark/>
          </w:tcPr>
          <w:p w14:paraId="4BE0C19E"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417</w:t>
            </w:r>
          </w:p>
        </w:tc>
        <w:tc>
          <w:tcPr>
            <w:tcW w:w="1120" w:type="dxa"/>
            <w:tcBorders>
              <w:top w:val="nil"/>
              <w:left w:val="nil"/>
              <w:bottom w:val="single" w:sz="8" w:space="0" w:color="auto"/>
              <w:right w:val="single" w:sz="8" w:space="0" w:color="auto"/>
            </w:tcBorders>
            <w:shd w:val="clear" w:color="auto" w:fill="auto"/>
            <w:noWrap/>
            <w:vAlign w:val="center"/>
            <w:hideMark/>
          </w:tcPr>
          <w:p w14:paraId="0870B181"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1,71%</w:t>
            </w:r>
          </w:p>
        </w:tc>
      </w:tr>
      <w:tr w:rsidR="003A2D6A" w:rsidRPr="003A2D6A" w14:paraId="136B0FEC"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18B8C06B"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Impugnación de Paternidad</w:t>
            </w:r>
          </w:p>
        </w:tc>
        <w:tc>
          <w:tcPr>
            <w:tcW w:w="1160" w:type="dxa"/>
            <w:tcBorders>
              <w:top w:val="nil"/>
              <w:left w:val="nil"/>
              <w:bottom w:val="single" w:sz="8" w:space="0" w:color="auto"/>
              <w:right w:val="single" w:sz="8" w:space="0" w:color="auto"/>
            </w:tcBorders>
            <w:shd w:val="clear" w:color="auto" w:fill="auto"/>
            <w:noWrap/>
            <w:vAlign w:val="center"/>
            <w:hideMark/>
          </w:tcPr>
          <w:p w14:paraId="02BA8CAF"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376</w:t>
            </w:r>
          </w:p>
        </w:tc>
        <w:tc>
          <w:tcPr>
            <w:tcW w:w="1120" w:type="dxa"/>
            <w:tcBorders>
              <w:top w:val="nil"/>
              <w:left w:val="nil"/>
              <w:bottom w:val="single" w:sz="8" w:space="0" w:color="auto"/>
              <w:right w:val="single" w:sz="8" w:space="0" w:color="auto"/>
            </w:tcBorders>
            <w:shd w:val="clear" w:color="auto" w:fill="auto"/>
            <w:noWrap/>
            <w:vAlign w:val="center"/>
            <w:hideMark/>
          </w:tcPr>
          <w:p w14:paraId="49B3D7D0"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1,54%</w:t>
            </w:r>
          </w:p>
        </w:tc>
      </w:tr>
      <w:tr w:rsidR="003A2D6A" w:rsidRPr="003A2D6A" w14:paraId="3F7E4CDC"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0D4E948C"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Modificaciones de fallo (Patria Potestad)</w:t>
            </w:r>
          </w:p>
        </w:tc>
        <w:tc>
          <w:tcPr>
            <w:tcW w:w="1160" w:type="dxa"/>
            <w:tcBorders>
              <w:top w:val="nil"/>
              <w:left w:val="nil"/>
              <w:bottom w:val="single" w:sz="8" w:space="0" w:color="auto"/>
              <w:right w:val="single" w:sz="8" w:space="0" w:color="auto"/>
            </w:tcBorders>
            <w:shd w:val="clear" w:color="auto" w:fill="auto"/>
            <w:noWrap/>
            <w:vAlign w:val="center"/>
            <w:hideMark/>
          </w:tcPr>
          <w:p w14:paraId="1AA58119"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370</w:t>
            </w:r>
          </w:p>
        </w:tc>
        <w:tc>
          <w:tcPr>
            <w:tcW w:w="1120" w:type="dxa"/>
            <w:tcBorders>
              <w:top w:val="nil"/>
              <w:left w:val="nil"/>
              <w:bottom w:val="single" w:sz="8" w:space="0" w:color="auto"/>
              <w:right w:val="single" w:sz="8" w:space="0" w:color="auto"/>
            </w:tcBorders>
            <w:shd w:val="clear" w:color="auto" w:fill="auto"/>
            <w:noWrap/>
            <w:vAlign w:val="center"/>
            <w:hideMark/>
          </w:tcPr>
          <w:p w14:paraId="5A566570"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1,52%</w:t>
            </w:r>
          </w:p>
        </w:tc>
      </w:tr>
      <w:tr w:rsidR="003A2D6A" w:rsidRPr="003A2D6A" w14:paraId="5886F112"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6B575F39"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Suspensión de responsabilidad parental</w:t>
            </w:r>
          </w:p>
        </w:tc>
        <w:tc>
          <w:tcPr>
            <w:tcW w:w="1160" w:type="dxa"/>
            <w:tcBorders>
              <w:top w:val="nil"/>
              <w:left w:val="nil"/>
              <w:bottom w:val="single" w:sz="8" w:space="0" w:color="auto"/>
              <w:right w:val="single" w:sz="8" w:space="0" w:color="auto"/>
            </w:tcBorders>
            <w:shd w:val="clear" w:color="auto" w:fill="auto"/>
            <w:noWrap/>
            <w:vAlign w:val="center"/>
            <w:hideMark/>
          </w:tcPr>
          <w:p w14:paraId="11ECFC9B"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374</w:t>
            </w:r>
          </w:p>
        </w:tc>
        <w:tc>
          <w:tcPr>
            <w:tcW w:w="1120" w:type="dxa"/>
            <w:tcBorders>
              <w:top w:val="nil"/>
              <w:left w:val="nil"/>
              <w:bottom w:val="single" w:sz="8" w:space="0" w:color="auto"/>
              <w:right w:val="single" w:sz="8" w:space="0" w:color="auto"/>
            </w:tcBorders>
            <w:shd w:val="clear" w:color="auto" w:fill="auto"/>
            <w:noWrap/>
            <w:vAlign w:val="center"/>
            <w:hideMark/>
          </w:tcPr>
          <w:p w14:paraId="4BA37331"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1,54%</w:t>
            </w:r>
          </w:p>
        </w:tc>
      </w:tr>
      <w:tr w:rsidR="003A2D6A" w:rsidRPr="003A2D6A" w14:paraId="5D9A5052"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4BDB2A50"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Impugnación de Reconocimiento de Paternidad</w:t>
            </w:r>
          </w:p>
        </w:tc>
        <w:tc>
          <w:tcPr>
            <w:tcW w:w="1160" w:type="dxa"/>
            <w:tcBorders>
              <w:top w:val="nil"/>
              <w:left w:val="nil"/>
              <w:bottom w:val="single" w:sz="8" w:space="0" w:color="auto"/>
              <w:right w:val="single" w:sz="8" w:space="0" w:color="auto"/>
            </w:tcBorders>
            <w:shd w:val="clear" w:color="auto" w:fill="auto"/>
            <w:noWrap/>
            <w:vAlign w:val="center"/>
            <w:hideMark/>
          </w:tcPr>
          <w:p w14:paraId="31F312AF"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321</w:t>
            </w:r>
          </w:p>
        </w:tc>
        <w:tc>
          <w:tcPr>
            <w:tcW w:w="1120" w:type="dxa"/>
            <w:tcBorders>
              <w:top w:val="nil"/>
              <w:left w:val="nil"/>
              <w:bottom w:val="single" w:sz="8" w:space="0" w:color="auto"/>
              <w:right w:val="single" w:sz="8" w:space="0" w:color="auto"/>
            </w:tcBorders>
            <w:shd w:val="clear" w:color="auto" w:fill="auto"/>
            <w:noWrap/>
            <w:vAlign w:val="center"/>
            <w:hideMark/>
          </w:tcPr>
          <w:p w14:paraId="55209253"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1,32%</w:t>
            </w:r>
          </w:p>
        </w:tc>
      </w:tr>
      <w:tr w:rsidR="003A2D6A" w:rsidRPr="003A2D6A" w14:paraId="2D14D9FC"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04082F49"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Investigación de paternidad</w:t>
            </w:r>
          </w:p>
        </w:tc>
        <w:tc>
          <w:tcPr>
            <w:tcW w:w="1160" w:type="dxa"/>
            <w:tcBorders>
              <w:top w:val="nil"/>
              <w:left w:val="nil"/>
              <w:bottom w:val="single" w:sz="8" w:space="0" w:color="auto"/>
              <w:right w:val="single" w:sz="8" w:space="0" w:color="auto"/>
            </w:tcBorders>
            <w:shd w:val="clear" w:color="auto" w:fill="auto"/>
            <w:noWrap/>
            <w:vAlign w:val="center"/>
            <w:hideMark/>
          </w:tcPr>
          <w:p w14:paraId="490AC0A9"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316</w:t>
            </w:r>
          </w:p>
        </w:tc>
        <w:tc>
          <w:tcPr>
            <w:tcW w:w="1120" w:type="dxa"/>
            <w:tcBorders>
              <w:top w:val="nil"/>
              <w:left w:val="nil"/>
              <w:bottom w:val="single" w:sz="8" w:space="0" w:color="auto"/>
              <w:right w:val="single" w:sz="8" w:space="0" w:color="auto"/>
            </w:tcBorders>
            <w:shd w:val="clear" w:color="auto" w:fill="auto"/>
            <w:noWrap/>
            <w:vAlign w:val="center"/>
            <w:hideMark/>
          </w:tcPr>
          <w:p w14:paraId="3C8DF5A0"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1,30%</w:t>
            </w:r>
          </w:p>
        </w:tc>
      </w:tr>
      <w:tr w:rsidR="003A2D6A" w:rsidRPr="003A2D6A" w14:paraId="4E7DEB13"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13FB70BE"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Utilidad y Necesidad</w:t>
            </w:r>
          </w:p>
        </w:tc>
        <w:tc>
          <w:tcPr>
            <w:tcW w:w="1160" w:type="dxa"/>
            <w:tcBorders>
              <w:top w:val="nil"/>
              <w:left w:val="nil"/>
              <w:bottom w:val="single" w:sz="8" w:space="0" w:color="auto"/>
              <w:right w:val="single" w:sz="8" w:space="0" w:color="auto"/>
            </w:tcBorders>
            <w:shd w:val="clear" w:color="auto" w:fill="auto"/>
            <w:noWrap/>
            <w:vAlign w:val="center"/>
            <w:hideMark/>
          </w:tcPr>
          <w:p w14:paraId="3020D47C"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326</w:t>
            </w:r>
          </w:p>
        </w:tc>
        <w:tc>
          <w:tcPr>
            <w:tcW w:w="1120" w:type="dxa"/>
            <w:tcBorders>
              <w:top w:val="nil"/>
              <w:left w:val="nil"/>
              <w:bottom w:val="single" w:sz="8" w:space="0" w:color="auto"/>
              <w:right w:val="single" w:sz="8" w:space="0" w:color="auto"/>
            </w:tcBorders>
            <w:shd w:val="clear" w:color="auto" w:fill="auto"/>
            <w:noWrap/>
            <w:vAlign w:val="center"/>
            <w:hideMark/>
          </w:tcPr>
          <w:p w14:paraId="76845A02"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1,34%</w:t>
            </w:r>
          </w:p>
        </w:tc>
      </w:tr>
      <w:tr w:rsidR="003A2D6A" w:rsidRPr="003A2D6A" w14:paraId="359CE0A0"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4FB0048E"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Comunic. Art.32 CDNA (P.A.N.I.)</w:t>
            </w:r>
          </w:p>
        </w:tc>
        <w:tc>
          <w:tcPr>
            <w:tcW w:w="1160" w:type="dxa"/>
            <w:tcBorders>
              <w:top w:val="nil"/>
              <w:left w:val="nil"/>
              <w:bottom w:val="single" w:sz="8" w:space="0" w:color="auto"/>
              <w:right w:val="single" w:sz="8" w:space="0" w:color="auto"/>
            </w:tcBorders>
            <w:shd w:val="clear" w:color="auto" w:fill="auto"/>
            <w:noWrap/>
            <w:vAlign w:val="center"/>
            <w:hideMark/>
          </w:tcPr>
          <w:p w14:paraId="2EAB8E75"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306</w:t>
            </w:r>
          </w:p>
        </w:tc>
        <w:tc>
          <w:tcPr>
            <w:tcW w:w="1120" w:type="dxa"/>
            <w:tcBorders>
              <w:top w:val="nil"/>
              <w:left w:val="nil"/>
              <w:bottom w:val="single" w:sz="8" w:space="0" w:color="auto"/>
              <w:right w:val="single" w:sz="8" w:space="0" w:color="auto"/>
            </w:tcBorders>
            <w:shd w:val="clear" w:color="auto" w:fill="auto"/>
            <w:noWrap/>
            <w:vAlign w:val="center"/>
            <w:hideMark/>
          </w:tcPr>
          <w:p w14:paraId="0684F44D"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1,26%</w:t>
            </w:r>
          </w:p>
        </w:tc>
      </w:tr>
      <w:tr w:rsidR="003A2D6A" w:rsidRPr="003A2D6A" w14:paraId="6B146199"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5E622BDF"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Suspensión Patria Potestad</w:t>
            </w:r>
          </w:p>
        </w:tc>
        <w:tc>
          <w:tcPr>
            <w:tcW w:w="1160" w:type="dxa"/>
            <w:tcBorders>
              <w:top w:val="nil"/>
              <w:left w:val="nil"/>
              <w:bottom w:val="single" w:sz="8" w:space="0" w:color="auto"/>
              <w:right w:val="single" w:sz="8" w:space="0" w:color="auto"/>
            </w:tcBorders>
            <w:shd w:val="clear" w:color="auto" w:fill="auto"/>
            <w:noWrap/>
            <w:vAlign w:val="center"/>
            <w:hideMark/>
          </w:tcPr>
          <w:p w14:paraId="7739EA5E"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297</w:t>
            </w:r>
          </w:p>
        </w:tc>
        <w:tc>
          <w:tcPr>
            <w:tcW w:w="1120" w:type="dxa"/>
            <w:tcBorders>
              <w:top w:val="nil"/>
              <w:left w:val="nil"/>
              <w:bottom w:val="single" w:sz="8" w:space="0" w:color="auto"/>
              <w:right w:val="single" w:sz="8" w:space="0" w:color="auto"/>
            </w:tcBorders>
            <w:shd w:val="clear" w:color="auto" w:fill="auto"/>
            <w:noWrap/>
            <w:vAlign w:val="center"/>
            <w:hideMark/>
          </w:tcPr>
          <w:p w14:paraId="03E1089F"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1,22%</w:t>
            </w:r>
          </w:p>
        </w:tc>
      </w:tr>
      <w:tr w:rsidR="003A2D6A" w:rsidRPr="003A2D6A" w14:paraId="4C8B8D57"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07F12060"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Declaratoria Judicial de Abandono de Persona Menor de Edad</w:t>
            </w:r>
          </w:p>
        </w:tc>
        <w:tc>
          <w:tcPr>
            <w:tcW w:w="1160" w:type="dxa"/>
            <w:tcBorders>
              <w:top w:val="nil"/>
              <w:left w:val="nil"/>
              <w:bottom w:val="single" w:sz="8" w:space="0" w:color="auto"/>
              <w:right w:val="single" w:sz="8" w:space="0" w:color="auto"/>
            </w:tcBorders>
            <w:shd w:val="clear" w:color="auto" w:fill="auto"/>
            <w:noWrap/>
            <w:vAlign w:val="center"/>
            <w:hideMark/>
          </w:tcPr>
          <w:p w14:paraId="4873A4AB"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307</w:t>
            </w:r>
          </w:p>
        </w:tc>
        <w:tc>
          <w:tcPr>
            <w:tcW w:w="1120" w:type="dxa"/>
            <w:tcBorders>
              <w:top w:val="nil"/>
              <w:left w:val="nil"/>
              <w:bottom w:val="single" w:sz="8" w:space="0" w:color="auto"/>
              <w:right w:val="single" w:sz="8" w:space="0" w:color="auto"/>
            </w:tcBorders>
            <w:shd w:val="clear" w:color="auto" w:fill="auto"/>
            <w:noWrap/>
            <w:vAlign w:val="center"/>
            <w:hideMark/>
          </w:tcPr>
          <w:p w14:paraId="17810AE4"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1,26%</w:t>
            </w:r>
          </w:p>
        </w:tc>
      </w:tr>
      <w:tr w:rsidR="003A2D6A" w:rsidRPr="003A2D6A" w14:paraId="40E9D295"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20BA2B82"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Proceso Especial de Protección</w:t>
            </w:r>
          </w:p>
        </w:tc>
        <w:tc>
          <w:tcPr>
            <w:tcW w:w="1160" w:type="dxa"/>
            <w:tcBorders>
              <w:top w:val="nil"/>
              <w:left w:val="nil"/>
              <w:bottom w:val="single" w:sz="8" w:space="0" w:color="auto"/>
              <w:right w:val="single" w:sz="8" w:space="0" w:color="auto"/>
            </w:tcBorders>
            <w:shd w:val="clear" w:color="auto" w:fill="auto"/>
            <w:noWrap/>
            <w:vAlign w:val="center"/>
            <w:hideMark/>
          </w:tcPr>
          <w:p w14:paraId="2123D918"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283</w:t>
            </w:r>
          </w:p>
        </w:tc>
        <w:tc>
          <w:tcPr>
            <w:tcW w:w="1120" w:type="dxa"/>
            <w:tcBorders>
              <w:top w:val="nil"/>
              <w:left w:val="nil"/>
              <w:bottom w:val="single" w:sz="8" w:space="0" w:color="auto"/>
              <w:right w:val="single" w:sz="8" w:space="0" w:color="auto"/>
            </w:tcBorders>
            <w:shd w:val="clear" w:color="auto" w:fill="auto"/>
            <w:noWrap/>
            <w:vAlign w:val="center"/>
            <w:hideMark/>
          </w:tcPr>
          <w:p w14:paraId="774C3067"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1,16%</w:t>
            </w:r>
          </w:p>
        </w:tc>
      </w:tr>
      <w:tr w:rsidR="003A2D6A" w:rsidRPr="003A2D6A" w14:paraId="6596C694"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65407F02"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Conflicto de Responsabilidad Parental (art 151 CF)</w:t>
            </w:r>
          </w:p>
        </w:tc>
        <w:tc>
          <w:tcPr>
            <w:tcW w:w="1160" w:type="dxa"/>
            <w:tcBorders>
              <w:top w:val="nil"/>
              <w:left w:val="nil"/>
              <w:bottom w:val="single" w:sz="8" w:space="0" w:color="auto"/>
              <w:right w:val="single" w:sz="8" w:space="0" w:color="auto"/>
            </w:tcBorders>
            <w:shd w:val="clear" w:color="auto" w:fill="auto"/>
            <w:noWrap/>
            <w:vAlign w:val="center"/>
            <w:hideMark/>
          </w:tcPr>
          <w:p w14:paraId="76556A9B"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259</w:t>
            </w:r>
          </w:p>
        </w:tc>
        <w:tc>
          <w:tcPr>
            <w:tcW w:w="1120" w:type="dxa"/>
            <w:tcBorders>
              <w:top w:val="nil"/>
              <w:left w:val="nil"/>
              <w:bottom w:val="single" w:sz="8" w:space="0" w:color="auto"/>
              <w:right w:val="single" w:sz="8" w:space="0" w:color="auto"/>
            </w:tcBorders>
            <w:shd w:val="clear" w:color="auto" w:fill="auto"/>
            <w:noWrap/>
            <w:vAlign w:val="center"/>
            <w:hideMark/>
          </w:tcPr>
          <w:p w14:paraId="45E7B851"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1,06%</w:t>
            </w:r>
          </w:p>
        </w:tc>
      </w:tr>
      <w:tr w:rsidR="003A2D6A" w:rsidRPr="003A2D6A" w14:paraId="57A1E2E4"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644CFCB9"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Adopciones Nacionales</w:t>
            </w:r>
          </w:p>
        </w:tc>
        <w:tc>
          <w:tcPr>
            <w:tcW w:w="1160" w:type="dxa"/>
            <w:tcBorders>
              <w:top w:val="nil"/>
              <w:left w:val="nil"/>
              <w:bottom w:val="single" w:sz="8" w:space="0" w:color="auto"/>
              <w:right w:val="single" w:sz="8" w:space="0" w:color="auto"/>
            </w:tcBorders>
            <w:shd w:val="clear" w:color="auto" w:fill="auto"/>
            <w:noWrap/>
            <w:vAlign w:val="center"/>
            <w:hideMark/>
          </w:tcPr>
          <w:p w14:paraId="788820B1"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244</w:t>
            </w:r>
          </w:p>
        </w:tc>
        <w:tc>
          <w:tcPr>
            <w:tcW w:w="1120" w:type="dxa"/>
            <w:tcBorders>
              <w:top w:val="nil"/>
              <w:left w:val="nil"/>
              <w:bottom w:val="single" w:sz="8" w:space="0" w:color="auto"/>
              <w:right w:val="single" w:sz="8" w:space="0" w:color="auto"/>
            </w:tcBorders>
            <w:shd w:val="clear" w:color="auto" w:fill="auto"/>
            <w:noWrap/>
            <w:vAlign w:val="center"/>
            <w:hideMark/>
          </w:tcPr>
          <w:p w14:paraId="195B1E30"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1,00%</w:t>
            </w:r>
          </w:p>
        </w:tc>
      </w:tr>
      <w:tr w:rsidR="003A2D6A" w:rsidRPr="003A2D6A" w14:paraId="4F5F33B0"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788A1B4B"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Declaratoria de extramatrimonialidad</w:t>
            </w:r>
          </w:p>
        </w:tc>
        <w:tc>
          <w:tcPr>
            <w:tcW w:w="1160" w:type="dxa"/>
            <w:tcBorders>
              <w:top w:val="nil"/>
              <w:left w:val="nil"/>
              <w:bottom w:val="single" w:sz="8" w:space="0" w:color="auto"/>
              <w:right w:val="single" w:sz="8" w:space="0" w:color="auto"/>
            </w:tcBorders>
            <w:shd w:val="clear" w:color="auto" w:fill="auto"/>
            <w:noWrap/>
            <w:vAlign w:val="center"/>
            <w:hideMark/>
          </w:tcPr>
          <w:p w14:paraId="6545FD9C"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222</w:t>
            </w:r>
          </w:p>
        </w:tc>
        <w:tc>
          <w:tcPr>
            <w:tcW w:w="1120" w:type="dxa"/>
            <w:tcBorders>
              <w:top w:val="nil"/>
              <w:left w:val="nil"/>
              <w:bottom w:val="single" w:sz="8" w:space="0" w:color="auto"/>
              <w:right w:val="single" w:sz="8" w:space="0" w:color="auto"/>
            </w:tcBorders>
            <w:shd w:val="clear" w:color="auto" w:fill="auto"/>
            <w:noWrap/>
            <w:vAlign w:val="center"/>
            <w:hideMark/>
          </w:tcPr>
          <w:p w14:paraId="491F4321"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0,91%</w:t>
            </w:r>
          </w:p>
        </w:tc>
      </w:tr>
      <w:tr w:rsidR="003A2D6A" w:rsidRPr="003A2D6A" w14:paraId="2BE053E0"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124EB398"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Actividades de sedes extrajudiciales</w:t>
            </w:r>
          </w:p>
        </w:tc>
        <w:tc>
          <w:tcPr>
            <w:tcW w:w="1160" w:type="dxa"/>
            <w:tcBorders>
              <w:top w:val="nil"/>
              <w:left w:val="nil"/>
              <w:bottom w:val="single" w:sz="8" w:space="0" w:color="auto"/>
              <w:right w:val="single" w:sz="8" w:space="0" w:color="auto"/>
            </w:tcBorders>
            <w:shd w:val="clear" w:color="auto" w:fill="auto"/>
            <w:noWrap/>
            <w:vAlign w:val="center"/>
            <w:hideMark/>
          </w:tcPr>
          <w:p w14:paraId="704C7AB9"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176</w:t>
            </w:r>
          </w:p>
        </w:tc>
        <w:tc>
          <w:tcPr>
            <w:tcW w:w="1120" w:type="dxa"/>
            <w:tcBorders>
              <w:top w:val="nil"/>
              <w:left w:val="nil"/>
              <w:bottom w:val="single" w:sz="8" w:space="0" w:color="auto"/>
              <w:right w:val="single" w:sz="8" w:space="0" w:color="auto"/>
            </w:tcBorders>
            <w:shd w:val="clear" w:color="auto" w:fill="auto"/>
            <w:noWrap/>
            <w:vAlign w:val="center"/>
            <w:hideMark/>
          </w:tcPr>
          <w:p w14:paraId="410D075D"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0,72%</w:t>
            </w:r>
          </w:p>
        </w:tc>
      </w:tr>
      <w:tr w:rsidR="003A2D6A" w:rsidRPr="003A2D6A" w14:paraId="563D5BA2"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57FE9117"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Declaratoria de Hijo Extramatrimonial</w:t>
            </w:r>
          </w:p>
        </w:tc>
        <w:tc>
          <w:tcPr>
            <w:tcW w:w="1160" w:type="dxa"/>
            <w:tcBorders>
              <w:top w:val="nil"/>
              <w:left w:val="nil"/>
              <w:bottom w:val="single" w:sz="8" w:space="0" w:color="auto"/>
              <w:right w:val="single" w:sz="8" w:space="0" w:color="auto"/>
            </w:tcBorders>
            <w:shd w:val="clear" w:color="auto" w:fill="auto"/>
            <w:noWrap/>
            <w:vAlign w:val="center"/>
            <w:hideMark/>
          </w:tcPr>
          <w:p w14:paraId="5C10FB97"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173</w:t>
            </w:r>
          </w:p>
        </w:tc>
        <w:tc>
          <w:tcPr>
            <w:tcW w:w="1120" w:type="dxa"/>
            <w:tcBorders>
              <w:top w:val="nil"/>
              <w:left w:val="nil"/>
              <w:bottom w:val="single" w:sz="8" w:space="0" w:color="auto"/>
              <w:right w:val="single" w:sz="8" w:space="0" w:color="auto"/>
            </w:tcBorders>
            <w:shd w:val="clear" w:color="auto" w:fill="auto"/>
            <w:noWrap/>
            <w:vAlign w:val="center"/>
            <w:hideMark/>
          </w:tcPr>
          <w:p w14:paraId="1290C0B3"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0,71%</w:t>
            </w:r>
          </w:p>
        </w:tc>
      </w:tr>
      <w:tr w:rsidR="003A2D6A" w:rsidRPr="003A2D6A" w14:paraId="25860313"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0AF13012"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Otros Ordinarios</w:t>
            </w:r>
          </w:p>
        </w:tc>
        <w:tc>
          <w:tcPr>
            <w:tcW w:w="1160" w:type="dxa"/>
            <w:tcBorders>
              <w:top w:val="nil"/>
              <w:left w:val="nil"/>
              <w:bottom w:val="single" w:sz="8" w:space="0" w:color="auto"/>
              <w:right w:val="single" w:sz="8" w:space="0" w:color="auto"/>
            </w:tcBorders>
            <w:shd w:val="clear" w:color="auto" w:fill="auto"/>
            <w:noWrap/>
            <w:vAlign w:val="center"/>
            <w:hideMark/>
          </w:tcPr>
          <w:p w14:paraId="61CDCA53"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165</w:t>
            </w:r>
          </w:p>
        </w:tc>
        <w:tc>
          <w:tcPr>
            <w:tcW w:w="1120" w:type="dxa"/>
            <w:tcBorders>
              <w:top w:val="nil"/>
              <w:left w:val="nil"/>
              <w:bottom w:val="single" w:sz="8" w:space="0" w:color="auto"/>
              <w:right w:val="single" w:sz="8" w:space="0" w:color="auto"/>
            </w:tcBorders>
            <w:shd w:val="clear" w:color="auto" w:fill="auto"/>
            <w:noWrap/>
            <w:vAlign w:val="center"/>
            <w:hideMark/>
          </w:tcPr>
          <w:p w14:paraId="2ED7BD4D"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0,68%</w:t>
            </w:r>
          </w:p>
        </w:tc>
      </w:tr>
      <w:tr w:rsidR="003A2D6A" w:rsidRPr="003A2D6A" w14:paraId="563F168A"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2130AA0D"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Solicitud de Matrimonio</w:t>
            </w:r>
          </w:p>
        </w:tc>
        <w:tc>
          <w:tcPr>
            <w:tcW w:w="1160" w:type="dxa"/>
            <w:tcBorders>
              <w:top w:val="nil"/>
              <w:left w:val="nil"/>
              <w:bottom w:val="single" w:sz="8" w:space="0" w:color="auto"/>
              <w:right w:val="single" w:sz="8" w:space="0" w:color="auto"/>
            </w:tcBorders>
            <w:shd w:val="clear" w:color="auto" w:fill="auto"/>
            <w:noWrap/>
            <w:vAlign w:val="center"/>
            <w:hideMark/>
          </w:tcPr>
          <w:p w14:paraId="62F86666"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142</w:t>
            </w:r>
          </w:p>
        </w:tc>
        <w:tc>
          <w:tcPr>
            <w:tcW w:w="1120" w:type="dxa"/>
            <w:tcBorders>
              <w:top w:val="nil"/>
              <w:left w:val="nil"/>
              <w:bottom w:val="single" w:sz="8" w:space="0" w:color="auto"/>
              <w:right w:val="single" w:sz="8" w:space="0" w:color="auto"/>
            </w:tcBorders>
            <w:shd w:val="clear" w:color="auto" w:fill="auto"/>
            <w:noWrap/>
            <w:vAlign w:val="center"/>
            <w:hideMark/>
          </w:tcPr>
          <w:p w14:paraId="6E7D414D"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0,58%</w:t>
            </w:r>
          </w:p>
        </w:tc>
      </w:tr>
      <w:tr w:rsidR="003A2D6A" w:rsidRPr="003A2D6A" w14:paraId="6A97F1B8"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4D5097CE"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Afirmación de Paternidad</w:t>
            </w:r>
          </w:p>
        </w:tc>
        <w:tc>
          <w:tcPr>
            <w:tcW w:w="1160" w:type="dxa"/>
            <w:tcBorders>
              <w:top w:val="nil"/>
              <w:left w:val="nil"/>
              <w:bottom w:val="single" w:sz="8" w:space="0" w:color="auto"/>
              <w:right w:val="single" w:sz="8" w:space="0" w:color="auto"/>
            </w:tcBorders>
            <w:shd w:val="clear" w:color="auto" w:fill="auto"/>
            <w:noWrap/>
            <w:vAlign w:val="center"/>
            <w:hideMark/>
          </w:tcPr>
          <w:p w14:paraId="27DC945A"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142</w:t>
            </w:r>
          </w:p>
        </w:tc>
        <w:tc>
          <w:tcPr>
            <w:tcW w:w="1120" w:type="dxa"/>
            <w:tcBorders>
              <w:top w:val="nil"/>
              <w:left w:val="nil"/>
              <w:bottom w:val="single" w:sz="8" w:space="0" w:color="auto"/>
              <w:right w:val="single" w:sz="8" w:space="0" w:color="auto"/>
            </w:tcBorders>
            <w:shd w:val="clear" w:color="auto" w:fill="auto"/>
            <w:noWrap/>
            <w:vAlign w:val="center"/>
            <w:hideMark/>
          </w:tcPr>
          <w:p w14:paraId="5434045B"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0,58%</w:t>
            </w:r>
          </w:p>
        </w:tc>
      </w:tr>
      <w:tr w:rsidR="003A2D6A" w:rsidRPr="003A2D6A" w14:paraId="30F5C588"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622117CD"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Liquidación anticipada de Bienes Gananciales</w:t>
            </w:r>
          </w:p>
        </w:tc>
        <w:tc>
          <w:tcPr>
            <w:tcW w:w="1160" w:type="dxa"/>
            <w:tcBorders>
              <w:top w:val="nil"/>
              <w:left w:val="nil"/>
              <w:bottom w:val="single" w:sz="8" w:space="0" w:color="auto"/>
              <w:right w:val="single" w:sz="8" w:space="0" w:color="auto"/>
            </w:tcBorders>
            <w:shd w:val="clear" w:color="auto" w:fill="auto"/>
            <w:noWrap/>
            <w:vAlign w:val="center"/>
            <w:hideMark/>
          </w:tcPr>
          <w:p w14:paraId="2A9B0C42"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126</w:t>
            </w:r>
          </w:p>
        </w:tc>
        <w:tc>
          <w:tcPr>
            <w:tcW w:w="1120" w:type="dxa"/>
            <w:tcBorders>
              <w:top w:val="nil"/>
              <w:left w:val="nil"/>
              <w:bottom w:val="single" w:sz="8" w:space="0" w:color="auto"/>
              <w:right w:val="single" w:sz="8" w:space="0" w:color="auto"/>
            </w:tcBorders>
            <w:shd w:val="clear" w:color="auto" w:fill="auto"/>
            <w:noWrap/>
            <w:vAlign w:val="center"/>
            <w:hideMark/>
          </w:tcPr>
          <w:p w14:paraId="19321253"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0,52%</w:t>
            </w:r>
          </w:p>
        </w:tc>
      </w:tr>
      <w:tr w:rsidR="003A2D6A" w:rsidRPr="003A2D6A" w14:paraId="50CF34D9"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5FA7C1E7"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Declaratoria de Paternidad / Maternidad</w:t>
            </w:r>
          </w:p>
        </w:tc>
        <w:tc>
          <w:tcPr>
            <w:tcW w:w="1160" w:type="dxa"/>
            <w:tcBorders>
              <w:top w:val="nil"/>
              <w:left w:val="nil"/>
              <w:bottom w:val="single" w:sz="8" w:space="0" w:color="auto"/>
              <w:right w:val="single" w:sz="8" w:space="0" w:color="auto"/>
            </w:tcBorders>
            <w:shd w:val="clear" w:color="auto" w:fill="auto"/>
            <w:noWrap/>
            <w:vAlign w:val="center"/>
            <w:hideMark/>
          </w:tcPr>
          <w:p w14:paraId="41C6B068"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126</w:t>
            </w:r>
          </w:p>
        </w:tc>
        <w:tc>
          <w:tcPr>
            <w:tcW w:w="1120" w:type="dxa"/>
            <w:tcBorders>
              <w:top w:val="nil"/>
              <w:left w:val="nil"/>
              <w:bottom w:val="single" w:sz="8" w:space="0" w:color="auto"/>
              <w:right w:val="single" w:sz="8" w:space="0" w:color="auto"/>
            </w:tcBorders>
            <w:shd w:val="clear" w:color="auto" w:fill="auto"/>
            <w:noWrap/>
            <w:vAlign w:val="center"/>
            <w:hideMark/>
          </w:tcPr>
          <w:p w14:paraId="7E6A586C"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0,52%</w:t>
            </w:r>
          </w:p>
        </w:tc>
      </w:tr>
      <w:tr w:rsidR="003A2D6A" w:rsidRPr="003A2D6A" w14:paraId="4160C8AB" w14:textId="77777777" w:rsidTr="003A2D6A">
        <w:trPr>
          <w:trHeight w:val="300"/>
        </w:trPr>
        <w:tc>
          <w:tcPr>
            <w:tcW w:w="6100" w:type="dxa"/>
            <w:tcBorders>
              <w:top w:val="nil"/>
              <w:left w:val="single" w:sz="8" w:space="0" w:color="auto"/>
              <w:bottom w:val="single" w:sz="8" w:space="0" w:color="auto"/>
              <w:right w:val="single" w:sz="8" w:space="0" w:color="auto"/>
            </w:tcBorders>
            <w:shd w:val="clear" w:color="auto" w:fill="auto"/>
            <w:noWrap/>
            <w:vAlign w:val="center"/>
            <w:hideMark/>
          </w:tcPr>
          <w:p w14:paraId="382B4E5C" w14:textId="77777777" w:rsidR="003A2D6A" w:rsidRPr="003A2D6A" w:rsidRDefault="003A2D6A" w:rsidP="003A2D6A">
            <w:pPr>
              <w:spacing w:after="0" w:line="240" w:lineRule="auto"/>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Separación Judicial</w:t>
            </w:r>
          </w:p>
        </w:tc>
        <w:tc>
          <w:tcPr>
            <w:tcW w:w="1160" w:type="dxa"/>
            <w:tcBorders>
              <w:top w:val="nil"/>
              <w:left w:val="nil"/>
              <w:bottom w:val="single" w:sz="8" w:space="0" w:color="auto"/>
              <w:right w:val="single" w:sz="8" w:space="0" w:color="auto"/>
            </w:tcBorders>
            <w:shd w:val="clear" w:color="auto" w:fill="auto"/>
            <w:noWrap/>
            <w:vAlign w:val="center"/>
            <w:hideMark/>
          </w:tcPr>
          <w:p w14:paraId="7069FDFB"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124</w:t>
            </w:r>
          </w:p>
        </w:tc>
        <w:tc>
          <w:tcPr>
            <w:tcW w:w="1120" w:type="dxa"/>
            <w:tcBorders>
              <w:top w:val="nil"/>
              <w:left w:val="nil"/>
              <w:bottom w:val="single" w:sz="8" w:space="0" w:color="auto"/>
              <w:right w:val="single" w:sz="8" w:space="0" w:color="auto"/>
            </w:tcBorders>
            <w:shd w:val="clear" w:color="auto" w:fill="auto"/>
            <w:noWrap/>
            <w:vAlign w:val="center"/>
            <w:hideMark/>
          </w:tcPr>
          <w:p w14:paraId="2D4168DE" w14:textId="77777777" w:rsidR="003A2D6A" w:rsidRPr="003A2D6A" w:rsidRDefault="003A2D6A" w:rsidP="003A2D6A">
            <w:pPr>
              <w:spacing w:after="0" w:line="240" w:lineRule="auto"/>
              <w:jc w:val="center"/>
              <w:rPr>
                <w:rFonts w:ascii="Book Antiqua" w:eastAsia="Times New Roman" w:hAnsi="Book Antiqua" w:cs="Calibri"/>
                <w:color w:val="000000"/>
                <w:sz w:val="20"/>
                <w:szCs w:val="20"/>
                <w:lang w:eastAsia="es-CR"/>
              </w:rPr>
            </w:pPr>
            <w:r w:rsidRPr="003A2D6A">
              <w:rPr>
                <w:rFonts w:ascii="Book Antiqua" w:eastAsia="Times New Roman" w:hAnsi="Book Antiqua" w:cs="Calibri"/>
                <w:color w:val="000000"/>
                <w:sz w:val="20"/>
                <w:szCs w:val="20"/>
                <w:lang w:eastAsia="es-CR"/>
              </w:rPr>
              <w:t>0,51%</w:t>
            </w:r>
          </w:p>
        </w:tc>
      </w:tr>
      <w:tr w:rsidR="003A2D6A" w:rsidRPr="003A2D6A" w14:paraId="753DF0E3" w14:textId="77777777" w:rsidTr="003A2D6A">
        <w:trPr>
          <w:trHeight w:val="300"/>
        </w:trPr>
        <w:tc>
          <w:tcPr>
            <w:tcW w:w="6100" w:type="dxa"/>
            <w:tcBorders>
              <w:top w:val="nil"/>
              <w:left w:val="single" w:sz="8" w:space="0" w:color="auto"/>
              <w:bottom w:val="single" w:sz="8" w:space="0" w:color="auto"/>
              <w:right w:val="single" w:sz="8" w:space="0" w:color="auto"/>
            </w:tcBorders>
            <w:shd w:val="clear" w:color="000000" w:fill="808080"/>
            <w:noWrap/>
            <w:vAlign w:val="center"/>
            <w:hideMark/>
          </w:tcPr>
          <w:p w14:paraId="38FF0E8E" w14:textId="77777777" w:rsidR="003A2D6A" w:rsidRPr="003A2D6A" w:rsidRDefault="003A2D6A" w:rsidP="003A2D6A">
            <w:pPr>
              <w:spacing w:after="0" w:line="240" w:lineRule="auto"/>
              <w:jc w:val="right"/>
              <w:rPr>
                <w:rFonts w:ascii="Book Antiqua" w:eastAsia="Times New Roman" w:hAnsi="Book Antiqua" w:cs="Calibri"/>
                <w:b/>
                <w:bCs/>
                <w:color w:val="FFFFFF"/>
                <w:sz w:val="20"/>
                <w:szCs w:val="20"/>
                <w:lang w:eastAsia="es-CR"/>
              </w:rPr>
            </w:pPr>
            <w:r w:rsidRPr="003A2D6A">
              <w:rPr>
                <w:rFonts w:ascii="Book Antiqua" w:eastAsia="Times New Roman" w:hAnsi="Book Antiqua" w:cs="Calibri"/>
                <w:b/>
                <w:bCs/>
                <w:color w:val="FFFFFF"/>
                <w:sz w:val="20"/>
                <w:szCs w:val="20"/>
                <w:lang w:eastAsia="es-CR"/>
              </w:rPr>
              <w:t>Total</w:t>
            </w:r>
          </w:p>
        </w:tc>
        <w:tc>
          <w:tcPr>
            <w:tcW w:w="1160" w:type="dxa"/>
            <w:tcBorders>
              <w:top w:val="nil"/>
              <w:left w:val="nil"/>
              <w:bottom w:val="single" w:sz="8" w:space="0" w:color="auto"/>
              <w:right w:val="single" w:sz="8" w:space="0" w:color="auto"/>
            </w:tcBorders>
            <w:shd w:val="clear" w:color="000000" w:fill="808080"/>
            <w:noWrap/>
            <w:vAlign w:val="center"/>
            <w:hideMark/>
          </w:tcPr>
          <w:p w14:paraId="2BDE2D89" w14:textId="77777777" w:rsidR="003A2D6A" w:rsidRPr="003A2D6A" w:rsidRDefault="003A2D6A" w:rsidP="003A2D6A">
            <w:pPr>
              <w:spacing w:after="0" w:line="240" w:lineRule="auto"/>
              <w:jc w:val="center"/>
              <w:rPr>
                <w:rFonts w:ascii="Book Antiqua" w:eastAsia="Times New Roman" w:hAnsi="Book Antiqua" w:cs="Calibri"/>
                <w:b/>
                <w:bCs/>
                <w:color w:val="FFFFFF"/>
                <w:sz w:val="20"/>
                <w:szCs w:val="20"/>
                <w:lang w:eastAsia="es-CR"/>
              </w:rPr>
            </w:pPr>
            <w:r w:rsidRPr="003A2D6A">
              <w:rPr>
                <w:rFonts w:ascii="Book Antiqua" w:eastAsia="Times New Roman" w:hAnsi="Book Antiqua" w:cs="Calibri"/>
                <w:b/>
                <w:bCs/>
                <w:color w:val="FFFFFF"/>
                <w:sz w:val="20"/>
                <w:szCs w:val="20"/>
                <w:lang w:eastAsia="es-CR"/>
              </w:rPr>
              <w:t>24336</w:t>
            </w:r>
          </w:p>
        </w:tc>
        <w:tc>
          <w:tcPr>
            <w:tcW w:w="1120" w:type="dxa"/>
            <w:tcBorders>
              <w:top w:val="nil"/>
              <w:left w:val="nil"/>
              <w:bottom w:val="single" w:sz="8" w:space="0" w:color="auto"/>
              <w:right w:val="single" w:sz="8" w:space="0" w:color="auto"/>
            </w:tcBorders>
            <w:shd w:val="clear" w:color="000000" w:fill="808080"/>
            <w:noWrap/>
            <w:vAlign w:val="center"/>
            <w:hideMark/>
          </w:tcPr>
          <w:p w14:paraId="0585B358" w14:textId="77777777" w:rsidR="003A2D6A" w:rsidRPr="003A2D6A" w:rsidRDefault="003A2D6A" w:rsidP="003A2D6A">
            <w:pPr>
              <w:spacing w:after="0" w:line="240" w:lineRule="auto"/>
              <w:jc w:val="center"/>
              <w:rPr>
                <w:rFonts w:ascii="Book Antiqua" w:eastAsia="Times New Roman" w:hAnsi="Book Antiqua" w:cs="Calibri"/>
                <w:b/>
                <w:bCs/>
                <w:color w:val="FFFFFF"/>
                <w:sz w:val="20"/>
                <w:szCs w:val="20"/>
                <w:lang w:eastAsia="es-CR"/>
              </w:rPr>
            </w:pPr>
            <w:r w:rsidRPr="003A2D6A">
              <w:rPr>
                <w:rFonts w:ascii="Book Antiqua" w:eastAsia="Times New Roman" w:hAnsi="Book Antiqua" w:cs="Calibri"/>
                <w:b/>
                <w:bCs/>
                <w:color w:val="FFFFFF"/>
                <w:sz w:val="20"/>
                <w:szCs w:val="20"/>
                <w:lang w:eastAsia="es-CR"/>
              </w:rPr>
              <w:t>100%</w:t>
            </w:r>
          </w:p>
        </w:tc>
      </w:tr>
    </w:tbl>
    <w:p w14:paraId="2912A631" w14:textId="77777777" w:rsidR="003A2D6A" w:rsidRDefault="00815332" w:rsidP="00B82FAE">
      <w:pPr>
        <w:spacing w:after="0" w:line="240" w:lineRule="auto"/>
        <w:jc w:val="both"/>
        <w:rPr>
          <w:rFonts w:ascii="Book Antiqua" w:hAnsi="Book Antiqua"/>
          <w:i/>
          <w:iCs/>
          <w:sz w:val="20"/>
          <w:szCs w:val="20"/>
        </w:rPr>
      </w:pPr>
      <w:r w:rsidRPr="000C2758">
        <w:rPr>
          <w:rFonts w:ascii="Book Antiqua" w:hAnsi="Book Antiqua"/>
          <w:b/>
          <w:bCs/>
          <w:i/>
          <w:iCs/>
          <w:sz w:val="20"/>
          <w:szCs w:val="20"/>
        </w:rPr>
        <w:t>Fuente:</w:t>
      </w:r>
      <w:r w:rsidRPr="00815332">
        <w:rPr>
          <w:rFonts w:ascii="Book Antiqua" w:hAnsi="Book Antiqua"/>
          <w:i/>
          <w:iCs/>
          <w:sz w:val="20"/>
          <w:szCs w:val="20"/>
        </w:rPr>
        <w:t xml:space="preserve"> </w:t>
      </w:r>
      <w:r w:rsidR="004068E8" w:rsidRPr="004068E8">
        <w:rPr>
          <w:rFonts w:ascii="Book Antiqua" w:hAnsi="Book Antiqua"/>
          <w:i/>
          <w:iCs/>
          <w:sz w:val="20"/>
          <w:szCs w:val="20"/>
        </w:rPr>
        <w:t xml:space="preserve">Subproceso de Modernización Institucional, con datos del Subproceso de Estadística del 2017 al </w:t>
      </w:r>
    </w:p>
    <w:p w14:paraId="3E4105D1" w14:textId="4B6627D3" w:rsidR="009E2EC5" w:rsidRDefault="004068E8" w:rsidP="00B82FAE">
      <w:pPr>
        <w:spacing w:after="0" w:line="240" w:lineRule="auto"/>
        <w:jc w:val="both"/>
        <w:rPr>
          <w:rFonts w:ascii="Book Antiqua" w:hAnsi="Book Antiqua"/>
          <w:i/>
          <w:iCs/>
          <w:sz w:val="20"/>
          <w:szCs w:val="20"/>
        </w:rPr>
      </w:pPr>
      <w:r w:rsidRPr="004068E8">
        <w:rPr>
          <w:rFonts w:ascii="Book Antiqua" w:hAnsi="Book Antiqua"/>
          <w:i/>
          <w:iCs/>
          <w:sz w:val="20"/>
          <w:szCs w:val="20"/>
        </w:rPr>
        <w:t>202</w:t>
      </w:r>
      <w:r>
        <w:rPr>
          <w:rFonts w:ascii="Book Antiqua" w:hAnsi="Book Antiqua"/>
          <w:i/>
          <w:iCs/>
          <w:sz w:val="20"/>
          <w:szCs w:val="20"/>
        </w:rPr>
        <w:t>2 y</w:t>
      </w:r>
      <w:r w:rsidR="00815332" w:rsidRPr="00815332">
        <w:rPr>
          <w:rFonts w:ascii="Book Antiqua" w:hAnsi="Book Antiqua"/>
          <w:i/>
          <w:iCs/>
          <w:sz w:val="20"/>
          <w:szCs w:val="20"/>
        </w:rPr>
        <w:t xml:space="preserve"> con</w:t>
      </w:r>
      <w:r>
        <w:rPr>
          <w:rFonts w:ascii="Book Antiqua" w:hAnsi="Book Antiqua"/>
          <w:i/>
          <w:iCs/>
          <w:sz w:val="20"/>
          <w:szCs w:val="20"/>
        </w:rPr>
        <w:t xml:space="preserve">sulta </w:t>
      </w:r>
      <w:r w:rsidR="00815332" w:rsidRPr="00815332">
        <w:rPr>
          <w:rFonts w:ascii="Book Antiqua" w:hAnsi="Book Antiqua"/>
          <w:i/>
          <w:iCs/>
          <w:sz w:val="20"/>
          <w:szCs w:val="20"/>
        </w:rPr>
        <w:t xml:space="preserve">del </w:t>
      </w:r>
      <w:r w:rsidR="009118F3">
        <w:rPr>
          <w:rFonts w:ascii="Book Antiqua" w:hAnsi="Book Antiqua"/>
          <w:i/>
          <w:iCs/>
          <w:sz w:val="20"/>
          <w:szCs w:val="20"/>
        </w:rPr>
        <w:t>Balance General Interactivo</w:t>
      </w:r>
      <w:r>
        <w:rPr>
          <w:rFonts w:ascii="Book Antiqua" w:hAnsi="Book Antiqua"/>
          <w:i/>
          <w:iCs/>
          <w:sz w:val="20"/>
          <w:szCs w:val="20"/>
        </w:rPr>
        <w:t xml:space="preserve"> del </w:t>
      </w:r>
      <w:r w:rsidR="003A2D6A">
        <w:rPr>
          <w:rFonts w:ascii="Book Antiqua" w:hAnsi="Book Antiqua"/>
          <w:i/>
          <w:iCs/>
          <w:sz w:val="20"/>
          <w:szCs w:val="20"/>
        </w:rPr>
        <w:t>7</w:t>
      </w:r>
      <w:r>
        <w:rPr>
          <w:rFonts w:ascii="Book Antiqua" w:hAnsi="Book Antiqua"/>
          <w:i/>
          <w:iCs/>
          <w:sz w:val="20"/>
          <w:szCs w:val="20"/>
        </w:rPr>
        <w:t>/</w:t>
      </w:r>
      <w:r w:rsidR="003A2D6A">
        <w:rPr>
          <w:rFonts w:ascii="Book Antiqua" w:hAnsi="Book Antiqua"/>
          <w:i/>
          <w:iCs/>
          <w:sz w:val="20"/>
          <w:szCs w:val="20"/>
        </w:rPr>
        <w:t>3</w:t>
      </w:r>
      <w:r>
        <w:rPr>
          <w:rFonts w:ascii="Book Antiqua" w:hAnsi="Book Antiqua"/>
          <w:i/>
          <w:iCs/>
          <w:sz w:val="20"/>
          <w:szCs w:val="20"/>
        </w:rPr>
        <w:t>/2023</w:t>
      </w:r>
      <w:r w:rsidR="00815332" w:rsidRPr="00815332">
        <w:rPr>
          <w:rFonts w:ascii="Book Antiqua" w:hAnsi="Book Antiqua"/>
          <w:i/>
          <w:iCs/>
          <w:sz w:val="20"/>
          <w:szCs w:val="20"/>
        </w:rPr>
        <w:t>.</w:t>
      </w:r>
    </w:p>
    <w:p w14:paraId="0467C655" w14:textId="209ECC13" w:rsidR="000052A9" w:rsidRDefault="000052A9" w:rsidP="00B82FAE">
      <w:pPr>
        <w:spacing w:after="0" w:line="240" w:lineRule="auto"/>
        <w:jc w:val="both"/>
        <w:rPr>
          <w:rFonts w:ascii="Book Antiqua" w:hAnsi="Book Antiqua"/>
          <w:i/>
          <w:iCs/>
          <w:sz w:val="20"/>
          <w:szCs w:val="20"/>
        </w:rPr>
      </w:pPr>
      <w:r w:rsidRPr="000052A9">
        <w:rPr>
          <w:rFonts w:ascii="Book Antiqua" w:hAnsi="Book Antiqua"/>
          <w:b/>
          <w:bCs/>
          <w:i/>
          <w:iCs/>
          <w:sz w:val="20"/>
          <w:szCs w:val="20"/>
        </w:rPr>
        <w:t>Nota:</w:t>
      </w:r>
      <w:r>
        <w:rPr>
          <w:rFonts w:ascii="Book Antiqua" w:hAnsi="Book Antiqua"/>
          <w:i/>
          <w:iCs/>
          <w:sz w:val="20"/>
          <w:szCs w:val="20"/>
        </w:rPr>
        <w:t xml:space="preserve"> Para el 2022, se tienen </w:t>
      </w:r>
      <w:r w:rsidR="006E0C89">
        <w:rPr>
          <w:rFonts w:ascii="Book Antiqua" w:hAnsi="Book Antiqua"/>
          <w:i/>
          <w:iCs/>
          <w:sz w:val="20"/>
          <w:szCs w:val="20"/>
        </w:rPr>
        <w:t>1 179</w:t>
      </w:r>
      <w:r>
        <w:rPr>
          <w:rFonts w:ascii="Book Antiqua" w:hAnsi="Book Antiqua"/>
          <w:i/>
          <w:iCs/>
          <w:sz w:val="20"/>
          <w:szCs w:val="20"/>
        </w:rPr>
        <w:t xml:space="preserve"> asuntos sin procedimiento, se incluyen en </w:t>
      </w:r>
      <w:r w:rsidR="006E0C89">
        <w:rPr>
          <w:rFonts w:ascii="Book Antiqua" w:hAnsi="Book Antiqua"/>
          <w:i/>
          <w:iCs/>
          <w:sz w:val="20"/>
          <w:szCs w:val="20"/>
        </w:rPr>
        <w:t xml:space="preserve">la fila </w:t>
      </w:r>
      <w:r>
        <w:rPr>
          <w:rFonts w:ascii="Book Antiqua" w:hAnsi="Book Antiqua"/>
          <w:i/>
          <w:iCs/>
          <w:sz w:val="20"/>
          <w:szCs w:val="20"/>
        </w:rPr>
        <w:t>“Otros”</w:t>
      </w:r>
      <w:r w:rsidR="006E0C89">
        <w:rPr>
          <w:rFonts w:ascii="Book Antiqua" w:hAnsi="Book Antiqua"/>
          <w:i/>
          <w:iCs/>
          <w:sz w:val="20"/>
          <w:szCs w:val="20"/>
        </w:rPr>
        <w:t xml:space="preserve"> para el análisis</w:t>
      </w:r>
      <w:r>
        <w:rPr>
          <w:rFonts w:ascii="Book Antiqua" w:hAnsi="Book Antiqua"/>
          <w:i/>
          <w:iCs/>
          <w:sz w:val="20"/>
          <w:szCs w:val="20"/>
        </w:rPr>
        <w:t xml:space="preserve">. </w:t>
      </w:r>
    </w:p>
    <w:p w14:paraId="069B782E" w14:textId="77777777" w:rsidR="00B82FAE" w:rsidRPr="00815332" w:rsidRDefault="00B82FAE" w:rsidP="00B82FAE">
      <w:pPr>
        <w:spacing w:after="0" w:line="240" w:lineRule="auto"/>
        <w:jc w:val="both"/>
        <w:rPr>
          <w:rFonts w:ascii="Book Antiqua" w:hAnsi="Book Antiqua"/>
          <w:i/>
          <w:iCs/>
          <w:sz w:val="20"/>
          <w:szCs w:val="20"/>
        </w:rPr>
      </w:pPr>
    </w:p>
    <w:p w14:paraId="29E78687" w14:textId="578FB8ED" w:rsidR="00B34616" w:rsidRPr="00B34616" w:rsidRDefault="00B34616" w:rsidP="00B34616">
      <w:pPr>
        <w:spacing w:after="0" w:line="276" w:lineRule="auto"/>
        <w:jc w:val="both"/>
        <w:rPr>
          <w:rFonts w:ascii="Book Antiqua" w:eastAsia="Calibri" w:hAnsi="Book Antiqua" w:cs="Arial"/>
          <w:sz w:val="24"/>
          <w:szCs w:val="24"/>
        </w:rPr>
      </w:pPr>
      <w:r w:rsidRPr="00B34616">
        <w:rPr>
          <w:rFonts w:ascii="Book Antiqua" w:eastAsia="Calibri" w:hAnsi="Book Antiqua" w:cs="Arial"/>
          <w:sz w:val="24"/>
          <w:szCs w:val="24"/>
        </w:rPr>
        <w:t xml:space="preserve">El cuadro anterior resume la distribución de la entrada de los casos por tipo de </w:t>
      </w:r>
      <w:r w:rsidR="00B82FAE">
        <w:rPr>
          <w:rFonts w:ascii="Book Antiqua" w:eastAsia="Calibri" w:hAnsi="Book Antiqua" w:cs="Arial"/>
          <w:sz w:val="24"/>
          <w:szCs w:val="24"/>
        </w:rPr>
        <w:t>proceso</w:t>
      </w:r>
      <w:r w:rsidRPr="00B34616">
        <w:rPr>
          <w:rFonts w:ascii="Book Antiqua" w:eastAsia="Calibri" w:hAnsi="Book Antiqua" w:cs="Arial"/>
          <w:sz w:val="24"/>
          <w:szCs w:val="24"/>
        </w:rPr>
        <w:t xml:space="preserve"> durante </w:t>
      </w:r>
      <w:r w:rsidR="00B82FAE">
        <w:rPr>
          <w:rFonts w:ascii="Book Antiqua" w:eastAsia="Calibri" w:hAnsi="Book Antiqua" w:cs="Arial"/>
          <w:sz w:val="24"/>
          <w:szCs w:val="24"/>
        </w:rPr>
        <w:t>el 2022</w:t>
      </w:r>
      <w:r w:rsidRPr="00B34616">
        <w:rPr>
          <w:rFonts w:ascii="Book Antiqua" w:eastAsia="Calibri" w:hAnsi="Book Antiqua" w:cs="Arial"/>
          <w:sz w:val="24"/>
          <w:szCs w:val="24"/>
        </w:rPr>
        <w:t xml:space="preserve"> en la materia de Familia; se visualiza que el tipo de asunto con mayor cantidad es el Divorcio por mutuo </w:t>
      </w:r>
      <w:r w:rsidR="00B82FAE">
        <w:rPr>
          <w:rFonts w:ascii="Book Antiqua" w:eastAsia="Calibri" w:hAnsi="Book Antiqua" w:cs="Arial"/>
          <w:sz w:val="24"/>
          <w:szCs w:val="24"/>
        </w:rPr>
        <w:t xml:space="preserve">consentimiento </w:t>
      </w:r>
      <w:r w:rsidRPr="00B34616">
        <w:rPr>
          <w:rFonts w:ascii="Book Antiqua" w:eastAsia="Calibri" w:hAnsi="Book Antiqua" w:cs="Arial"/>
          <w:sz w:val="24"/>
          <w:szCs w:val="24"/>
        </w:rPr>
        <w:t xml:space="preserve">con </w:t>
      </w:r>
      <w:r w:rsidR="008D17CA">
        <w:rPr>
          <w:rFonts w:ascii="Book Antiqua" w:eastAsia="Calibri" w:hAnsi="Book Antiqua" w:cs="Arial"/>
          <w:sz w:val="24"/>
          <w:szCs w:val="24"/>
        </w:rPr>
        <w:t>8 55</w:t>
      </w:r>
      <w:r w:rsidR="003A2D6A">
        <w:rPr>
          <w:rFonts w:ascii="Book Antiqua" w:eastAsia="Calibri" w:hAnsi="Book Antiqua" w:cs="Arial"/>
          <w:sz w:val="24"/>
          <w:szCs w:val="24"/>
        </w:rPr>
        <w:t>7</w:t>
      </w:r>
      <w:r w:rsidRPr="00815332">
        <w:rPr>
          <w:rFonts w:ascii="Book Antiqua" w:eastAsia="Calibri" w:hAnsi="Book Antiqua" w:cs="Arial"/>
          <w:sz w:val="24"/>
          <w:szCs w:val="24"/>
        </w:rPr>
        <w:t xml:space="preserve"> c</w:t>
      </w:r>
      <w:r w:rsidRPr="00B34616">
        <w:rPr>
          <w:rFonts w:ascii="Book Antiqua" w:eastAsia="Calibri" w:hAnsi="Book Antiqua" w:cs="Arial"/>
          <w:sz w:val="24"/>
          <w:szCs w:val="24"/>
        </w:rPr>
        <w:t xml:space="preserve">asos, lo que representa un </w:t>
      </w:r>
      <w:r w:rsidRPr="00815332">
        <w:rPr>
          <w:rFonts w:ascii="Book Antiqua" w:eastAsia="Calibri" w:hAnsi="Book Antiqua" w:cs="Arial"/>
          <w:sz w:val="24"/>
          <w:szCs w:val="24"/>
        </w:rPr>
        <w:t>3</w:t>
      </w:r>
      <w:r w:rsidR="003A2D6A">
        <w:rPr>
          <w:rFonts w:ascii="Book Antiqua" w:eastAsia="Calibri" w:hAnsi="Book Antiqua" w:cs="Arial"/>
          <w:sz w:val="24"/>
          <w:szCs w:val="24"/>
        </w:rPr>
        <w:t>4</w:t>
      </w:r>
      <w:r w:rsidRPr="00815332">
        <w:rPr>
          <w:rFonts w:ascii="Book Antiqua" w:eastAsia="Calibri" w:hAnsi="Book Antiqua" w:cs="Arial"/>
          <w:sz w:val="24"/>
          <w:szCs w:val="24"/>
        </w:rPr>
        <w:t>,</w:t>
      </w:r>
      <w:r w:rsidR="003A2D6A">
        <w:rPr>
          <w:rFonts w:ascii="Book Antiqua" w:eastAsia="Calibri" w:hAnsi="Book Antiqua" w:cs="Arial"/>
          <w:sz w:val="24"/>
          <w:szCs w:val="24"/>
        </w:rPr>
        <w:t>88</w:t>
      </w:r>
      <w:r w:rsidRPr="00815332">
        <w:rPr>
          <w:rFonts w:ascii="Book Antiqua" w:eastAsia="Calibri" w:hAnsi="Book Antiqua" w:cs="Arial"/>
          <w:sz w:val="24"/>
          <w:szCs w:val="24"/>
        </w:rPr>
        <w:t>%,</w:t>
      </w:r>
      <w:r w:rsidRPr="00B34616">
        <w:rPr>
          <w:rFonts w:ascii="Book Antiqua" w:eastAsia="Calibri" w:hAnsi="Book Antiqua" w:cs="Arial"/>
          <w:sz w:val="24"/>
          <w:szCs w:val="24"/>
        </w:rPr>
        <w:t xml:space="preserve"> seguido del Divorcio </w:t>
      </w:r>
      <w:r w:rsidRPr="00815332">
        <w:rPr>
          <w:rFonts w:ascii="Book Antiqua" w:eastAsia="Calibri" w:hAnsi="Book Antiqua" w:cs="Arial"/>
          <w:sz w:val="24"/>
          <w:szCs w:val="24"/>
        </w:rPr>
        <w:t>con 2</w:t>
      </w:r>
      <w:r w:rsidR="00815332" w:rsidRPr="00815332">
        <w:rPr>
          <w:rFonts w:ascii="Book Antiqua" w:eastAsia="Calibri" w:hAnsi="Book Antiqua" w:cs="Arial"/>
          <w:sz w:val="24"/>
          <w:szCs w:val="24"/>
        </w:rPr>
        <w:t xml:space="preserve"> </w:t>
      </w:r>
      <w:r w:rsidR="008D17CA">
        <w:rPr>
          <w:rFonts w:ascii="Book Antiqua" w:eastAsia="Calibri" w:hAnsi="Book Antiqua" w:cs="Arial"/>
          <w:sz w:val="24"/>
          <w:szCs w:val="24"/>
        </w:rPr>
        <w:t>5</w:t>
      </w:r>
      <w:r w:rsidR="00B82FAE">
        <w:rPr>
          <w:rFonts w:ascii="Book Antiqua" w:eastAsia="Calibri" w:hAnsi="Book Antiqua" w:cs="Arial"/>
          <w:sz w:val="24"/>
          <w:szCs w:val="24"/>
        </w:rPr>
        <w:t>2</w:t>
      </w:r>
      <w:r w:rsidR="003A2D6A">
        <w:rPr>
          <w:rFonts w:ascii="Book Antiqua" w:eastAsia="Calibri" w:hAnsi="Book Antiqua" w:cs="Arial"/>
          <w:sz w:val="24"/>
          <w:szCs w:val="24"/>
        </w:rPr>
        <w:t>9</w:t>
      </w:r>
      <w:r w:rsidRPr="00815332">
        <w:rPr>
          <w:rFonts w:ascii="Book Antiqua" w:eastAsia="Calibri" w:hAnsi="Book Antiqua" w:cs="Arial"/>
          <w:sz w:val="24"/>
          <w:szCs w:val="24"/>
        </w:rPr>
        <w:t xml:space="preserve"> exp</w:t>
      </w:r>
      <w:r w:rsidRPr="00B34616">
        <w:rPr>
          <w:rFonts w:ascii="Book Antiqua" w:eastAsia="Calibri" w:hAnsi="Book Antiqua" w:cs="Arial"/>
          <w:sz w:val="24"/>
          <w:szCs w:val="24"/>
        </w:rPr>
        <w:t xml:space="preserve">edientes equivalentes a un </w:t>
      </w:r>
      <w:r w:rsidR="00B82FAE">
        <w:rPr>
          <w:rFonts w:ascii="Book Antiqua" w:eastAsia="Calibri" w:hAnsi="Book Antiqua" w:cs="Arial"/>
          <w:sz w:val="24"/>
          <w:szCs w:val="24"/>
        </w:rPr>
        <w:t>1</w:t>
      </w:r>
      <w:r w:rsidR="008D17CA">
        <w:rPr>
          <w:rFonts w:ascii="Book Antiqua" w:eastAsia="Calibri" w:hAnsi="Book Antiqua" w:cs="Arial"/>
          <w:sz w:val="24"/>
          <w:szCs w:val="24"/>
        </w:rPr>
        <w:t>0</w:t>
      </w:r>
      <w:r w:rsidR="00815332">
        <w:rPr>
          <w:rFonts w:ascii="Book Antiqua" w:eastAsia="Calibri" w:hAnsi="Book Antiqua" w:cs="Arial"/>
          <w:sz w:val="24"/>
          <w:szCs w:val="24"/>
        </w:rPr>
        <w:t>,</w:t>
      </w:r>
      <w:r w:rsidR="008D17CA">
        <w:rPr>
          <w:rFonts w:ascii="Book Antiqua" w:eastAsia="Calibri" w:hAnsi="Book Antiqua" w:cs="Arial"/>
          <w:sz w:val="24"/>
          <w:szCs w:val="24"/>
        </w:rPr>
        <w:t>3</w:t>
      </w:r>
      <w:r w:rsidR="003A2D6A">
        <w:rPr>
          <w:rFonts w:ascii="Book Antiqua" w:eastAsia="Calibri" w:hAnsi="Book Antiqua" w:cs="Arial"/>
          <w:sz w:val="24"/>
          <w:szCs w:val="24"/>
        </w:rPr>
        <w:t>1</w:t>
      </w:r>
      <w:r w:rsidRPr="00B34616">
        <w:rPr>
          <w:rFonts w:ascii="Book Antiqua" w:eastAsia="Calibri" w:hAnsi="Book Antiqua" w:cs="Arial"/>
          <w:sz w:val="24"/>
          <w:szCs w:val="24"/>
        </w:rPr>
        <w:t xml:space="preserve">%, en tercer lugar están los asuntos de Interrelación familiar (régimen de visitas) con </w:t>
      </w:r>
      <w:r w:rsidRPr="00815332">
        <w:rPr>
          <w:rFonts w:ascii="Book Antiqua" w:eastAsia="Calibri" w:hAnsi="Book Antiqua" w:cs="Arial"/>
          <w:sz w:val="24"/>
          <w:szCs w:val="24"/>
        </w:rPr>
        <w:t>1</w:t>
      </w:r>
      <w:r w:rsidR="00815332" w:rsidRPr="00815332">
        <w:rPr>
          <w:rFonts w:ascii="Book Antiqua" w:eastAsia="Calibri" w:hAnsi="Book Antiqua" w:cs="Arial"/>
          <w:sz w:val="24"/>
          <w:szCs w:val="24"/>
        </w:rPr>
        <w:t xml:space="preserve"> 6</w:t>
      </w:r>
      <w:r w:rsidR="003A2D6A">
        <w:rPr>
          <w:rFonts w:ascii="Book Antiqua" w:eastAsia="Calibri" w:hAnsi="Book Antiqua" w:cs="Arial"/>
          <w:sz w:val="24"/>
          <w:szCs w:val="24"/>
        </w:rPr>
        <w:t>78</w:t>
      </w:r>
      <w:r w:rsidRPr="00815332">
        <w:rPr>
          <w:rFonts w:ascii="Book Antiqua" w:eastAsia="Calibri" w:hAnsi="Book Antiqua" w:cs="Arial"/>
          <w:sz w:val="24"/>
          <w:szCs w:val="24"/>
        </w:rPr>
        <w:t xml:space="preserve"> expedientes</w:t>
      </w:r>
      <w:r w:rsidRPr="00B34616">
        <w:rPr>
          <w:rFonts w:ascii="Book Antiqua" w:eastAsia="Calibri" w:hAnsi="Book Antiqua" w:cs="Arial"/>
          <w:sz w:val="24"/>
          <w:szCs w:val="24"/>
        </w:rPr>
        <w:t xml:space="preserve"> para un </w:t>
      </w:r>
      <w:r w:rsidR="008D17CA">
        <w:rPr>
          <w:rFonts w:ascii="Book Antiqua" w:eastAsia="Calibri" w:hAnsi="Book Antiqua" w:cs="Arial"/>
          <w:sz w:val="24"/>
          <w:szCs w:val="24"/>
        </w:rPr>
        <w:t>6</w:t>
      </w:r>
      <w:r w:rsidRPr="00B34616">
        <w:rPr>
          <w:rFonts w:ascii="Book Antiqua" w:eastAsia="Calibri" w:hAnsi="Book Antiqua" w:cs="Arial"/>
          <w:sz w:val="24"/>
          <w:szCs w:val="24"/>
        </w:rPr>
        <w:t>,</w:t>
      </w:r>
      <w:r w:rsidR="008D17CA">
        <w:rPr>
          <w:rFonts w:ascii="Book Antiqua" w:eastAsia="Calibri" w:hAnsi="Book Antiqua" w:cs="Arial"/>
          <w:sz w:val="24"/>
          <w:szCs w:val="24"/>
        </w:rPr>
        <w:t>8</w:t>
      </w:r>
      <w:r w:rsidR="003A2D6A">
        <w:rPr>
          <w:rFonts w:ascii="Book Antiqua" w:eastAsia="Calibri" w:hAnsi="Book Antiqua" w:cs="Arial"/>
          <w:sz w:val="24"/>
          <w:szCs w:val="24"/>
        </w:rPr>
        <w:t>4</w:t>
      </w:r>
      <w:r w:rsidRPr="00B34616">
        <w:rPr>
          <w:rFonts w:ascii="Book Antiqua" w:eastAsia="Calibri" w:hAnsi="Book Antiqua" w:cs="Arial"/>
          <w:sz w:val="24"/>
          <w:szCs w:val="24"/>
        </w:rPr>
        <w:t xml:space="preserve">%, por último, se tienen todos los demás procesos como: </w:t>
      </w:r>
      <w:r w:rsidR="00B82FAE">
        <w:rPr>
          <w:rFonts w:ascii="Book Antiqua" w:eastAsia="Calibri" w:hAnsi="Book Antiqua" w:cs="Arial"/>
          <w:sz w:val="24"/>
          <w:szCs w:val="24"/>
        </w:rPr>
        <w:t>celebración de matrimonio (</w:t>
      </w:r>
      <w:r w:rsidR="008D17CA">
        <w:rPr>
          <w:rFonts w:ascii="Book Antiqua" w:eastAsia="Calibri" w:hAnsi="Book Antiqua" w:cs="Arial"/>
          <w:sz w:val="24"/>
          <w:szCs w:val="24"/>
        </w:rPr>
        <w:t>3</w:t>
      </w:r>
      <w:r w:rsidR="00B82FAE">
        <w:rPr>
          <w:rFonts w:ascii="Book Antiqua" w:eastAsia="Calibri" w:hAnsi="Book Antiqua" w:cs="Arial"/>
          <w:sz w:val="24"/>
          <w:szCs w:val="24"/>
        </w:rPr>
        <w:t>,</w:t>
      </w:r>
      <w:r w:rsidR="003A2D6A">
        <w:rPr>
          <w:rFonts w:ascii="Book Antiqua" w:eastAsia="Calibri" w:hAnsi="Book Antiqua" w:cs="Arial"/>
          <w:sz w:val="24"/>
          <w:szCs w:val="24"/>
        </w:rPr>
        <w:t>57</w:t>
      </w:r>
      <w:r w:rsidR="00B82FAE">
        <w:rPr>
          <w:rFonts w:ascii="Book Antiqua" w:eastAsia="Calibri" w:hAnsi="Book Antiqua" w:cs="Arial"/>
          <w:sz w:val="24"/>
          <w:szCs w:val="24"/>
        </w:rPr>
        <w:t xml:space="preserve">%), </w:t>
      </w:r>
      <w:r w:rsidR="00815332">
        <w:rPr>
          <w:rFonts w:ascii="Book Antiqua" w:eastAsia="Calibri" w:hAnsi="Book Antiqua" w:cs="Arial"/>
          <w:sz w:val="24"/>
          <w:szCs w:val="24"/>
        </w:rPr>
        <w:t>salvaguardia (</w:t>
      </w:r>
      <w:r w:rsidR="008D17CA">
        <w:rPr>
          <w:rFonts w:ascii="Book Antiqua" w:eastAsia="Calibri" w:hAnsi="Book Antiqua" w:cs="Arial"/>
          <w:sz w:val="24"/>
          <w:szCs w:val="24"/>
        </w:rPr>
        <w:t>3</w:t>
      </w:r>
      <w:r w:rsidR="00815332">
        <w:rPr>
          <w:rFonts w:ascii="Book Antiqua" w:eastAsia="Calibri" w:hAnsi="Book Antiqua" w:cs="Arial"/>
          <w:sz w:val="24"/>
          <w:szCs w:val="24"/>
        </w:rPr>
        <w:t>,</w:t>
      </w:r>
      <w:r w:rsidR="008D17CA">
        <w:rPr>
          <w:rFonts w:ascii="Book Antiqua" w:eastAsia="Calibri" w:hAnsi="Book Antiqua" w:cs="Arial"/>
          <w:sz w:val="24"/>
          <w:szCs w:val="24"/>
        </w:rPr>
        <w:t>4</w:t>
      </w:r>
      <w:r w:rsidR="003A2D6A">
        <w:rPr>
          <w:rFonts w:ascii="Book Antiqua" w:eastAsia="Calibri" w:hAnsi="Book Antiqua" w:cs="Arial"/>
          <w:sz w:val="24"/>
          <w:szCs w:val="24"/>
        </w:rPr>
        <w:t>4</w:t>
      </w:r>
      <w:r w:rsidR="005A2CCC">
        <w:rPr>
          <w:rFonts w:ascii="Book Antiqua" w:eastAsia="Calibri" w:hAnsi="Book Antiqua" w:cs="Arial"/>
          <w:sz w:val="24"/>
          <w:szCs w:val="24"/>
        </w:rPr>
        <w:t>%</w:t>
      </w:r>
      <w:r w:rsidR="00815332">
        <w:rPr>
          <w:rFonts w:ascii="Book Antiqua" w:eastAsia="Calibri" w:hAnsi="Book Antiqua" w:cs="Arial"/>
          <w:sz w:val="24"/>
          <w:szCs w:val="24"/>
        </w:rPr>
        <w:t xml:space="preserve">), </w:t>
      </w:r>
      <w:r w:rsidR="00B82FAE">
        <w:rPr>
          <w:rFonts w:ascii="Book Antiqua" w:eastAsia="Calibri" w:hAnsi="Book Antiqua" w:cs="Arial"/>
          <w:sz w:val="24"/>
          <w:szCs w:val="24"/>
        </w:rPr>
        <w:t>depósito judicial (3,</w:t>
      </w:r>
      <w:r w:rsidR="003A2D6A">
        <w:rPr>
          <w:rFonts w:ascii="Book Antiqua" w:eastAsia="Calibri" w:hAnsi="Book Antiqua" w:cs="Arial"/>
          <w:sz w:val="24"/>
          <w:szCs w:val="24"/>
        </w:rPr>
        <w:t>72</w:t>
      </w:r>
      <w:r w:rsidR="00B82FAE">
        <w:rPr>
          <w:rFonts w:ascii="Book Antiqua" w:eastAsia="Calibri" w:hAnsi="Book Antiqua" w:cs="Arial"/>
          <w:sz w:val="24"/>
          <w:szCs w:val="24"/>
        </w:rPr>
        <w:t>%),</w:t>
      </w:r>
      <w:r w:rsidRPr="00815332">
        <w:rPr>
          <w:rFonts w:ascii="Book Antiqua" w:eastAsia="Calibri" w:hAnsi="Book Antiqua" w:cs="Arial"/>
          <w:sz w:val="24"/>
          <w:szCs w:val="24"/>
        </w:rPr>
        <w:t xml:space="preserve"> entre</w:t>
      </w:r>
      <w:r w:rsidRPr="00B34616">
        <w:rPr>
          <w:rFonts w:ascii="Book Antiqua" w:eastAsia="Calibri" w:hAnsi="Book Antiqua" w:cs="Arial"/>
          <w:sz w:val="24"/>
          <w:szCs w:val="24"/>
        </w:rPr>
        <w:t xml:space="preserve"> otros</w:t>
      </w:r>
      <w:r w:rsidR="00B82FAE">
        <w:rPr>
          <w:rFonts w:ascii="Book Antiqua" w:eastAsia="Calibri" w:hAnsi="Book Antiqua" w:cs="Arial"/>
          <w:sz w:val="24"/>
          <w:szCs w:val="24"/>
        </w:rPr>
        <w:t xml:space="preserve">; </w:t>
      </w:r>
      <w:r w:rsidR="008D17CA">
        <w:rPr>
          <w:rFonts w:ascii="Book Antiqua" w:eastAsia="Calibri" w:hAnsi="Book Antiqua" w:cs="Arial"/>
          <w:sz w:val="24"/>
          <w:szCs w:val="24"/>
        </w:rPr>
        <w:t xml:space="preserve">todos </w:t>
      </w:r>
      <w:r w:rsidRPr="00B34616">
        <w:rPr>
          <w:rFonts w:ascii="Book Antiqua" w:eastAsia="Calibri" w:hAnsi="Book Antiqua" w:cs="Arial"/>
          <w:sz w:val="24"/>
          <w:szCs w:val="24"/>
        </w:rPr>
        <w:t xml:space="preserve">los demás procesos </w:t>
      </w:r>
      <w:r w:rsidR="00B82FAE" w:rsidRPr="00B82FAE">
        <w:rPr>
          <w:rFonts w:ascii="Book Antiqua" w:eastAsia="Calibri" w:hAnsi="Book Antiqua" w:cs="Arial"/>
          <w:sz w:val="24"/>
          <w:szCs w:val="24"/>
        </w:rPr>
        <w:t xml:space="preserve">se agruparon en un solo dato </w:t>
      </w:r>
      <w:r w:rsidRPr="00B34616">
        <w:rPr>
          <w:rFonts w:ascii="Book Antiqua" w:eastAsia="Calibri" w:hAnsi="Book Antiqua" w:cs="Arial"/>
          <w:sz w:val="24"/>
          <w:szCs w:val="24"/>
        </w:rPr>
        <w:t xml:space="preserve">que corresponde a “Otros” o que su entrada anual es menor de 100 casos, para un total de </w:t>
      </w:r>
      <w:r w:rsidR="008D17CA">
        <w:rPr>
          <w:rFonts w:ascii="Book Antiqua" w:eastAsia="Calibri" w:hAnsi="Book Antiqua" w:cs="Arial"/>
          <w:sz w:val="24"/>
          <w:szCs w:val="24"/>
        </w:rPr>
        <w:t xml:space="preserve">1 </w:t>
      </w:r>
      <w:r w:rsidR="00020508">
        <w:rPr>
          <w:rFonts w:ascii="Book Antiqua" w:eastAsia="Calibri" w:hAnsi="Book Antiqua" w:cs="Arial"/>
          <w:sz w:val="24"/>
          <w:szCs w:val="24"/>
        </w:rPr>
        <w:t>0</w:t>
      </w:r>
      <w:r w:rsidR="006B19D5">
        <w:rPr>
          <w:rFonts w:ascii="Book Antiqua" w:eastAsia="Calibri" w:hAnsi="Book Antiqua" w:cs="Arial"/>
          <w:sz w:val="24"/>
          <w:szCs w:val="24"/>
        </w:rPr>
        <w:t>39</w:t>
      </w:r>
      <w:r w:rsidRPr="00B34616">
        <w:rPr>
          <w:rFonts w:ascii="Book Antiqua" w:eastAsia="Calibri" w:hAnsi="Book Antiqua" w:cs="Arial"/>
          <w:sz w:val="24"/>
          <w:szCs w:val="24"/>
        </w:rPr>
        <w:t xml:space="preserve"> asuntos que sumados representan un </w:t>
      </w:r>
      <w:r w:rsidR="008D17CA">
        <w:rPr>
          <w:rFonts w:ascii="Book Antiqua" w:eastAsia="Calibri" w:hAnsi="Book Antiqua" w:cs="Arial"/>
          <w:sz w:val="24"/>
          <w:szCs w:val="24"/>
        </w:rPr>
        <w:t>4</w:t>
      </w:r>
      <w:r w:rsidRPr="00B34616">
        <w:rPr>
          <w:rFonts w:ascii="Book Antiqua" w:eastAsia="Calibri" w:hAnsi="Book Antiqua" w:cs="Arial"/>
          <w:sz w:val="24"/>
          <w:szCs w:val="24"/>
        </w:rPr>
        <w:t>,</w:t>
      </w:r>
      <w:r w:rsidR="006B19D5">
        <w:rPr>
          <w:rFonts w:ascii="Book Antiqua" w:eastAsia="Calibri" w:hAnsi="Book Antiqua" w:cs="Arial"/>
          <w:sz w:val="24"/>
          <w:szCs w:val="24"/>
        </w:rPr>
        <w:t>27</w:t>
      </w:r>
      <w:r w:rsidRPr="00B34616">
        <w:rPr>
          <w:rFonts w:ascii="Book Antiqua" w:eastAsia="Calibri" w:hAnsi="Book Antiqua" w:cs="Arial"/>
          <w:sz w:val="24"/>
          <w:szCs w:val="24"/>
        </w:rPr>
        <w:t>% de la entrada según el tipo de asunto.</w:t>
      </w:r>
    </w:p>
    <w:p w14:paraId="3220C44F" w14:textId="77777777" w:rsidR="00B34616" w:rsidRPr="00B34616" w:rsidRDefault="00B34616" w:rsidP="00B34616">
      <w:pPr>
        <w:spacing w:after="0" w:line="276" w:lineRule="auto"/>
        <w:jc w:val="both"/>
        <w:rPr>
          <w:rFonts w:ascii="Book Antiqua" w:eastAsia="Calibri" w:hAnsi="Book Antiqua" w:cs="Arial"/>
          <w:sz w:val="24"/>
          <w:szCs w:val="24"/>
        </w:rPr>
      </w:pPr>
    </w:p>
    <w:p w14:paraId="2E17C751" w14:textId="6682D1C3" w:rsidR="00B34616" w:rsidRPr="00B34616" w:rsidRDefault="00B34616" w:rsidP="00B34616">
      <w:pPr>
        <w:spacing w:after="0" w:line="276" w:lineRule="auto"/>
        <w:jc w:val="both"/>
        <w:rPr>
          <w:rFonts w:ascii="Book Antiqua" w:eastAsia="Calibri" w:hAnsi="Book Antiqua" w:cs="Arial"/>
          <w:sz w:val="24"/>
          <w:szCs w:val="24"/>
          <w:highlight w:val="yellow"/>
        </w:rPr>
      </w:pPr>
      <w:r w:rsidRPr="00B34616">
        <w:rPr>
          <w:rFonts w:ascii="Book Antiqua" w:eastAsia="Calibri" w:hAnsi="Book Antiqua" w:cs="Arial"/>
          <w:sz w:val="24"/>
          <w:szCs w:val="24"/>
        </w:rPr>
        <w:t>Es importante mencionar que a partir del 28 de mayo de 2020 se previó un aumento en los matrimonios registrados y divorcios por la posibilidad legal de realizar uniones de personas del mismo sexo, sin embargo, al revisar la</w:t>
      </w:r>
      <w:r w:rsidR="00C926A4">
        <w:rPr>
          <w:rFonts w:ascii="Book Antiqua" w:eastAsia="Calibri" w:hAnsi="Book Antiqua" w:cs="Arial"/>
          <w:sz w:val="24"/>
          <w:szCs w:val="24"/>
        </w:rPr>
        <w:t>s</w:t>
      </w:r>
      <w:r w:rsidRPr="00B34616">
        <w:rPr>
          <w:rFonts w:ascii="Book Antiqua" w:eastAsia="Calibri" w:hAnsi="Book Antiqua" w:cs="Arial"/>
          <w:sz w:val="24"/>
          <w:szCs w:val="24"/>
        </w:rPr>
        <w:t xml:space="preserve"> estadística</w:t>
      </w:r>
      <w:r w:rsidR="00C926A4">
        <w:rPr>
          <w:rFonts w:ascii="Book Antiqua" w:eastAsia="Calibri" w:hAnsi="Book Antiqua" w:cs="Arial"/>
          <w:sz w:val="24"/>
          <w:szCs w:val="24"/>
        </w:rPr>
        <w:t>s</w:t>
      </w:r>
      <w:r w:rsidRPr="00B34616">
        <w:rPr>
          <w:rFonts w:ascii="Book Antiqua" w:eastAsia="Calibri" w:hAnsi="Book Antiqua" w:cs="Arial"/>
          <w:sz w:val="24"/>
          <w:szCs w:val="24"/>
        </w:rPr>
        <w:t xml:space="preserve"> no se hace una diferenciación en estos matrimonios, por lo tanto, no es posible contabilizarlos, sin embargo, se consultó al Juez Gestor en la materia el Lic</w:t>
      </w:r>
      <w:r w:rsidR="00C926A4">
        <w:rPr>
          <w:rFonts w:ascii="Book Antiqua" w:eastAsia="Calibri" w:hAnsi="Book Antiqua" w:cs="Arial"/>
          <w:sz w:val="24"/>
          <w:szCs w:val="24"/>
        </w:rPr>
        <w:t>.</w:t>
      </w:r>
      <w:r w:rsidRPr="00B34616">
        <w:rPr>
          <w:rFonts w:ascii="Book Antiqua" w:eastAsia="Calibri" w:hAnsi="Book Antiqua" w:cs="Arial"/>
          <w:sz w:val="24"/>
          <w:szCs w:val="24"/>
        </w:rPr>
        <w:t xml:space="preserve"> Cristian </w:t>
      </w:r>
      <w:r w:rsidR="001741E7" w:rsidRPr="00B34616">
        <w:rPr>
          <w:rFonts w:ascii="Book Antiqua" w:eastAsia="Calibri" w:hAnsi="Book Antiqua" w:cs="Arial"/>
          <w:sz w:val="24"/>
          <w:szCs w:val="24"/>
        </w:rPr>
        <w:t>Martíne</w:t>
      </w:r>
      <w:r w:rsidR="001741E7">
        <w:rPr>
          <w:rFonts w:ascii="Book Antiqua" w:eastAsia="Calibri" w:hAnsi="Book Antiqua" w:cs="Arial"/>
          <w:sz w:val="24"/>
          <w:szCs w:val="24"/>
        </w:rPr>
        <w:t>z</w:t>
      </w:r>
      <w:r w:rsidRPr="00B34616">
        <w:rPr>
          <w:rFonts w:ascii="Book Antiqua" w:eastAsia="Calibri" w:hAnsi="Book Antiqua" w:cs="Arial"/>
          <w:sz w:val="24"/>
          <w:szCs w:val="24"/>
        </w:rPr>
        <w:t xml:space="preserve"> Hernández</w:t>
      </w:r>
      <w:r w:rsidR="00C926A4">
        <w:rPr>
          <w:rFonts w:ascii="Book Antiqua" w:eastAsia="Calibri" w:hAnsi="Book Antiqua" w:cs="Arial"/>
          <w:sz w:val="24"/>
          <w:szCs w:val="24"/>
        </w:rPr>
        <w:t>,</w:t>
      </w:r>
      <w:r w:rsidRPr="00B34616">
        <w:rPr>
          <w:rFonts w:ascii="Book Antiqua" w:eastAsia="Calibri" w:hAnsi="Book Antiqua" w:cs="Arial"/>
          <w:sz w:val="24"/>
          <w:szCs w:val="24"/>
        </w:rPr>
        <w:t xml:space="preserve"> </w:t>
      </w:r>
      <w:r w:rsidR="0042149B" w:rsidRPr="00B34616">
        <w:rPr>
          <w:rFonts w:ascii="Book Antiqua" w:eastAsia="Calibri" w:hAnsi="Book Antiqua" w:cs="Arial"/>
          <w:sz w:val="24"/>
          <w:szCs w:val="24"/>
        </w:rPr>
        <w:t>quien</w:t>
      </w:r>
      <w:r w:rsidRPr="00B34616">
        <w:rPr>
          <w:rFonts w:ascii="Book Antiqua" w:eastAsia="Calibri" w:hAnsi="Book Antiqua" w:cs="Arial"/>
          <w:sz w:val="24"/>
          <w:szCs w:val="24"/>
        </w:rPr>
        <w:t xml:space="preserve"> indic</w:t>
      </w:r>
      <w:r w:rsidR="003137B7">
        <w:rPr>
          <w:rFonts w:ascii="Book Antiqua" w:eastAsia="Calibri" w:hAnsi="Book Antiqua" w:cs="Arial"/>
          <w:sz w:val="24"/>
          <w:szCs w:val="24"/>
        </w:rPr>
        <w:t>ó que</w:t>
      </w:r>
      <w:r w:rsidRPr="00B34616">
        <w:rPr>
          <w:rFonts w:ascii="Book Antiqua" w:eastAsia="Calibri" w:hAnsi="Book Antiqua" w:cs="Arial"/>
          <w:sz w:val="24"/>
          <w:szCs w:val="24"/>
        </w:rPr>
        <w:t xml:space="preserve"> la cantidad de matrimonios celebrados en los Juzgados de Familia entre personas del mismo sexo es mínima, y que a partir de la entrada en vigencia de la Ley 9747</w:t>
      </w:r>
      <w:r w:rsidR="009C20C5">
        <w:rPr>
          <w:rFonts w:ascii="Book Antiqua" w:eastAsia="Calibri" w:hAnsi="Book Antiqua" w:cs="Arial"/>
          <w:sz w:val="24"/>
          <w:szCs w:val="24"/>
        </w:rPr>
        <w:t>,</w:t>
      </w:r>
      <w:r w:rsidRPr="00B34616">
        <w:rPr>
          <w:rFonts w:ascii="Book Antiqua" w:eastAsia="Calibri" w:hAnsi="Book Antiqua" w:cs="Arial"/>
          <w:sz w:val="24"/>
          <w:szCs w:val="24"/>
        </w:rPr>
        <w:t xml:space="preserve"> los matrimonios ya no se celebrarían en instancia judicial.</w:t>
      </w:r>
    </w:p>
    <w:p w14:paraId="230B5742" w14:textId="6E0F87D0" w:rsidR="009E2EC5" w:rsidRDefault="009E2EC5" w:rsidP="009C01E1">
      <w:pPr>
        <w:spacing w:line="276" w:lineRule="auto"/>
        <w:jc w:val="both"/>
        <w:rPr>
          <w:rFonts w:ascii="Book Antiqua" w:hAnsi="Book Antiqua"/>
          <w:sz w:val="24"/>
          <w:szCs w:val="24"/>
        </w:rPr>
      </w:pPr>
    </w:p>
    <w:p w14:paraId="7D720DCB" w14:textId="77777777" w:rsidR="00B568E2" w:rsidRPr="008D6799" w:rsidRDefault="00B568E2" w:rsidP="008D6799">
      <w:pPr>
        <w:spacing w:after="0" w:line="276" w:lineRule="auto"/>
        <w:jc w:val="both"/>
        <w:rPr>
          <w:rFonts w:ascii="Book Antiqua" w:eastAsia="Calibri" w:hAnsi="Book Antiqua" w:cs="Arial"/>
          <w:b/>
          <w:bCs/>
          <w:sz w:val="24"/>
          <w:szCs w:val="24"/>
        </w:rPr>
      </w:pPr>
      <w:r w:rsidRPr="00182807">
        <w:rPr>
          <w:rFonts w:ascii="Book Antiqua" w:eastAsia="Calibri" w:hAnsi="Book Antiqua" w:cs="Arial"/>
          <w:b/>
          <w:bCs/>
          <w:sz w:val="24"/>
          <w:szCs w:val="24"/>
        </w:rPr>
        <w:t>Desglose de terminados</w:t>
      </w:r>
    </w:p>
    <w:p w14:paraId="64DA33FE" w14:textId="485519DD" w:rsidR="00931C46" w:rsidRDefault="00931C46" w:rsidP="009C01E1">
      <w:pPr>
        <w:spacing w:line="276" w:lineRule="auto"/>
        <w:jc w:val="both"/>
        <w:rPr>
          <w:rFonts w:ascii="Book Antiqua" w:hAnsi="Book Antiqua"/>
          <w:sz w:val="24"/>
          <w:szCs w:val="24"/>
        </w:rPr>
      </w:pPr>
    </w:p>
    <w:p w14:paraId="4E82B114" w14:textId="1D6CEFC6" w:rsidR="00727B0C" w:rsidRPr="00727B0C" w:rsidRDefault="00727B0C" w:rsidP="00727B0C">
      <w:pPr>
        <w:spacing w:after="0" w:line="276" w:lineRule="auto"/>
        <w:jc w:val="both"/>
        <w:rPr>
          <w:rFonts w:ascii="Book Antiqua" w:eastAsia="Calibri" w:hAnsi="Book Antiqua" w:cs="Arial"/>
          <w:sz w:val="24"/>
          <w:szCs w:val="24"/>
        </w:rPr>
      </w:pPr>
      <w:r w:rsidRPr="00727B0C">
        <w:rPr>
          <w:rFonts w:ascii="Book Antiqua" w:eastAsia="Calibri" w:hAnsi="Book Antiqua" w:cs="Arial"/>
          <w:sz w:val="24"/>
          <w:szCs w:val="24"/>
        </w:rPr>
        <w:t>Seguidamente se muestra el desglose de los asuntos terminados en los Juzgados Especializados de Familia, durante el periodo del 201</w:t>
      </w:r>
      <w:r w:rsidR="00EA782F">
        <w:rPr>
          <w:rFonts w:ascii="Book Antiqua" w:eastAsia="Calibri" w:hAnsi="Book Antiqua" w:cs="Arial"/>
          <w:sz w:val="24"/>
          <w:szCs w:val="24"/>
        </w:rPr>
        <w:t>7</w:t>
      </w:r>
      <w:r w:rsidRPr="00727B0C">
        <w:rPr>
          <w:rFonts w:ascii="Book Antiqua" w:eastAsia="Calibri" w:hAnsi="Book Antiqua" w:cs="Arial"/>
          <w:sz w:val="24"/>
          <w:szCs w:val="24"/>
        </w:rPr>
        <w:t xml:space="preserve"> al 20</w:t>
      </w:r>
      <w:r w:rsidR="00EA782F">
        <w:rPr>
          <w:rFonts w:ascii="Book Antiqua" w:eastAsia="Calibri" w:hAnsi="Book Antiqua" w:cs="Arial"/>
          <w:sz w:val="24"/>
          <w:szCs w:val="24"/>
        </w:rPr>
        <w:t>2</w:t>
      </w:r>
      <w:r w:rsidR="000C2758">
        <w:rPr>
          <w:rFonts w:ascii="Book Antiqua" w:eastAsia="Calibri" w:hAnsi="Book Antiqua" w:cs="Arial"/>
          <w:sz w:val="24"/>
          <w:szCs w:val="24"/>
        </w:rPr>
        <w:t>2</w:t>
      </w:r>
      <w:r w:rsidRPr="00727B0C">
        <w:rPr>
          <w:rFonts w:ascii="Book Antiqua" w:eastAsia="Calibri" w:hAnsi="Book Antiqua" w:cs="Arial"/>
          <w:sz w:val="24"/>
          <w:szCs w:val="24"/>
        </w:rPr>
        <w:t>.</w:t>
      </w:r>
    </w:p>
    <w:p w14:paraId="06D027E8" w14:textId="2DBC9232" w:rsidR="00727B0C" w:rsidRDefault="00727B0C" w:rsidP="00727B0C">
      <w:pPr>
        <w:spacing w:after="0" w:line="276" w:lineRule="auto"/>
        <w:jc w:val="both"/>
        <w:rPr>
          <w:rFonts w:ascii="Book Antiqua" w:eastAsia="Calibri" w:hAnsi="Book Antiqua" w:cs="Arial"/>
          <w:sz w:val="24"/>
          <w:szCs w:val="24"/>
        </w:rPr>
      </w:pPr>
    </w:p>
    <w:p w14:paraId="7A97A860" w14:textId="0824914C" w:rsidR="00727B0C" w:rsidRPr="0042149B" w:rsidRDefault="00727B0C" w:rsidP="00727B0C">
      <w:pPr>
        <w:keepNext/>
        <w:numPr>
          <w:ilvl w:val="12"/>
          <w:numId w:val="0"/>
        </w:numPr>
        <w:spacing w:after="0" w:line="276" w:lineRule="auto"/>
        <w:jc w:val="center"/>
        <w:rPr>
          <w:rFonts w:ascii="Book Antiqua" w:eastAsia="Calibri" w:hAnsi="Book Antiqua" w:cs="Arial"/>
          <w:b/>
          <w:bCs/>
          <w:color w:val="1F497D"/>
          <w:lang w:val="es-ES" w:eastAsia="es-ES"/>
        </w:rPr>
      </w:pPr>
      <w:bookmarkStart w:id="19" w:name="_Hlk31786305"/>
      <w:r w:rsidRPr="0042149B">
        <w:rPr>
          <w:rFonts w:ascii="Book Antiqua" w:eastAsia="Calibri" w:hAnsi="Book Antiqua" w:cs="Arial"/>
          <w:b/>
          <w:bCs/>
          <w:color w:val="1F497D"/>
          <w:lang w:val="es-ES" w:eastAsia="es-ES"/>
        </w:rPr>
        <w:t xml:space="preserve">Gráfico </w:t>
      </w:r>
      <w:r w:rsidRPr="0042149B">
        <w:rPr>
          <w:rFonts w:ascii="Book Antiqua" w:eastAsia="Calibri" w:hAnsi="Book Antiqua" w:cs="Arial"/>
          <w:b/>
          <w:bCs/>
          <w:color w:val="1F497D"/>
          <w:lang w:val="es-ES" w:eastAsia="es-ES"/>
        </w:rPr>
        <w:fldChar w:fldCharType="begin"/>
      </w:r>
      <w:r w:rsidRPr="0042149B">
        <w:rPr>
          <w:rFonts w:ascii="Book Antiqua" w:eastAsia="Calibri" w:hAnsi="Book Antiqua" w:cs="Arial"/>
          <w:b/>
          <w:bCs/>
          <w:color w:val="1F497D"/>
          <w:lang w:val="es-ES" w:eastAsia="es-ES"/>
        </w:rPr>
        <w:instrText xml:space="preserve"> SEQ Gráfico \* ARABIC </w:instrText>
      </w:r>
      <w:r w:rsidRPr="0042149B">
        <w:rPr>
          <w:rFonts w:ascii="Book Antiqua" w:eastAsia="Calibri" w:hAnsi="Book Antiqua" w:cs="Arial"/>
          <w:b/>
          <w:bCs/>
          <w:color w:val="1F497D"/>
          <w:lang w:val="es-ES" w:eastAsia="es-ES"/>
        </w:rPr>
        <w:fldChar w:fldCharType="separate"/>
      </w:r>
      <w:r w:rsidR="009B739E" w:rsidRPr="0042149B">
        <w:rPr>
          <w:rFonts w:ascii="Book Antiqua" w:eastAsia="Calibri" w:hAnsi="Book Antiqua" w:cs="Arial"/>
          <w:b/>
          <w:bCs/>
          <w:noProof/>
          <w:color w:val="1F497D"/>
          <w:lang w:val="es-ES" w:eastAsia="es-ES"/>
        </w:rPr>
        <w:t>3</w:t>
      </w:r>
      <w:r w:rsidRPr="0042149B">
        <w:rPr>
          <w:rFonts w:ascii="Book Antiqua" w:eastAsia="Calibri" w:hAnsi="Book Antiqua" w:cs="Arial"/>
          <w:b/>
          <w:bCs/>
          <w:color w:val="1F497D"/>
          <w:lang w:val="es-ES" w:eastAsia="es-ES"/>
        </w:rPr>
        <w:fldChar w:fldCharType="end"/>
      </w:r>
    </w:p>
    <w:bookmarkEnd w:id="19"/>
    <w:p w14:paraId="27235473" w14:textId="6C811869" w:rsidR="00727B0C" w:rsidRPr="0042149B" w:rsidRDefault="00727B0C" w:rsidP="00727B0C">
      <w:pPr>
        <w:keepNext/>
        <w:numPr>
          <w:ilvl w:val="12"/>
          <w:numId w:val="0"/>
        </w:numPr>
        <w:spacing w:after="0" w:line="276" w:lineRule="auto"/>
        <w:jc w:val="center"/>
        <w:rPr>
          <w:rFonts w:ascii="Book Antiqua" w:eastAsia="Times New Roman" w:hAnsi="Book Antiqua" w:cs="Arial"/>
          <w:b/>
          <w:bCs/>
          <w:color w:val="1F497D"/>
          <w:lang w:eastAsia="es-ES"/>
        </w:rPr>
      </w:pPr>
      <w:r w:rsidRPr="0042149B">
        <w:rPr>
          <w:rFonts w:ascii="Book Antiqua" w:eastAsia="Times New Roman" w:hAnsi="Book Antiqua" w:cs="Arial"/>
          <w:b/>
          <w:bCs/>
          <w:color w:val="1F497D"/>
          <w:lang w:eastAsia="es-ES"/>
        </w:rPr>
        <w:t>Movimiento histórico de los asuntos terminados e inactivos en los Juzgados Especializados de la materia de Familia, del 201</w:t>
      </w:r>
      <w:r w:rsidR="00EA782F" w:rsidRPr="0042149B">
        <w:rPr>
          <w:rFonts w:ascii="Book Antiqua" w:eastAsia="Times New Roman" w:hAnsi="Book Antiqua" w:cs="Arial"/>
          <w:b/>
          <w:bCs/>
          <w:color w:val="1F497D"/>
          <w:lang w:eastAsia="es-ES"/>
        </w:rPr>
        <w:t>7</w:t>
      </w:r>
      <w:r w:rsidRPr="0042149B">
        <w:rPr>
          <w:rFonts w:ascii="Book Antiqua" w:eastAsia="Times New Roman" w:hAnsi="Book Antiqua" w:cs="Arial"/>
          <w:b/>
          <w:bCs/>
          <w:color w:val="1F497D"/>
          <w:lang w:eastAsia="es-ES"/>
        </w:rPr>
        <w:t xml:space="preserve"> al 20</w:t>
      </w:r>
      <w:r w:rsidR="00EA782F" w:rsidRPr="0042149B">
        <w:rPr>
          <w:rFonts w:ascii="Book Antiqua" w:eastAsia="Times New Roman" w:hAnsi="Book Antiqua" w:cs="Arial"/>
          <w:b/>
          <w:bCs/>
          <w:color w:val="1F497D"/>
          <w:lang w:eastAsia="es-ES"/>
        </w:rPr>
        <w:t>2</w:t>
      </w:r>
      <w:r w:rsidR="000C2758" w:rsidRPr="0042149B">
        <w:rPr>
          <w:rFonts w:ascii="Book Antiqua" w:eastAsia="Times New Roman" w:hAnsi="Book Antiqua" w:cs="Arial"/>
          <w:b/>
          <w:bCs/>
          <w:color w:val="1F497D"/>
          <w:lang w:eastAsia="es-ES"/>
        </w:rPr>
        <w:t>2</w:t>
      </w:r>
    </w:p>
    <w:p w14:paraId="7E8E65FB" w14:textId="71F82F13" w:rsidR="006E2F7F" w:rsidRDefault="006B19D5" w:rsidP="0045291E">
      <w:pPr>
        <w:spacing w:after="0" w:line="240" w:lineRule="auto"/>
        <w:jc w:val="center"/>
        <w:rPr>
          <w:rFonts w:ascii="Book Antiqua" w:hAnsi="Book Antiqua"/>
          <w:sz w:val="24"/>
          <w:szCs w:val="24"/>
        </w:rPr>
      </w:pPr>
      <w:r>
        <w:rPr>
          <w:noProof/>
        </w:rPr>
        <w:drawing>
          <wp:inline distT="0" distB="0" distL="0" distR="0" wp14:anchorId="5932CD62" wp14:editId="14288119">
            <wp:extent cx="4749800" cy="2774950"/>
            <wp:effectExtent l="0" t="0" r="12700" b="6350"/>
            <wp:docPr id="3" name="Gráfico 3">
              <a:extLst xmlns:a="http://schemas.openxmlformats.org/drawingml/2006/main">
                <a:ext uri="{FF2B5EF4-FFF2-40B4-BE49-F238E27FC236}">
                  <a16:creationId xmlns:a16="http://schemas.microsoft.com/office/drawing/2014/main" id="{AA7C9D30-D20A-4740-8AF2-7906DA66D9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BDEE94" w14:textId="354C875B" w:rsidR="00F17584" w:rsidRPr="00380ACA" w:rsidRDefault="0045291E" w:rsidP="0045291E">
      <w:pPr>
        <w:spacing w:after="0" w:line="240" w:lineRule="auto"/>
        <w:ind w:right="284"/>
        <w:jc w:val="both"/>
        <w:rPr>
          <w:rFonts w:ascii="Book Antiqua" w:hAnsi="Book Antiqua"/>
          <w:i/>
          <w:iCs/>
          <w:sz w:val="20"/>
          <w:szCs w:val="20"/>
        </w:rPr>
      </w:pPr>
      <w:r w:rsidRPr="00380ACA">
        <w:rPr>
          <w:rFonts w:ascii="Book Antiqua" w:hAnsi="Book Antiqua"/>
          <w:b/>
          <w:bCs/>
          <w:i/>
          <w:iCs/>
          <w:sz w:val="20"/>
          <w:szCs w:val="20"/>
        </w:rPr>
        <w:t xml:space="preserve">            </w:t>
      </w:r>
      <w:r w:rsidR="00F17584" w:rsidRPr="00380ACA">
        <w:rPr>
          <w:rFonts w:ascii="Book Antiqua" w:hAnsi="Book Antiqua"/>
          <w:b/>
          <w:bCs/>
          <w:i/>
          <w:iCs/>
          <w:sz w:val="20"/>
          <w:szCs w:val="20"/>
        </w:rPr>
        <w:t>Fuente:</w:t>
      </w:r>
      <w:r w:rsidR="00F17584" w:rsidRPr="00380ACA">
        <w:rPr>
          <w:rFonts w:ascii="Book Antiqua" w:hAnsi="Book Antiqua"/>
          <w:i/>
          <w:iCs/>
          <w:sz w:val="20"/>
          <w:szCs w:val="20"/>
        </w:rPr>
        <w:t xml:space="preserve"> Subproceso de Modernización Institucional, con datos del Subproceso de Estadística </w:t>
      </w:r>
    </w:p>
    <w:p w14:paraId="2C22DCA9" w14:textId="7CFE546B" w:rsidR="0045291E" w:rsidRPr="00380ACA" w:rsidRDefault="0045291E" w:rsidP="0045291E">
      <w:pPr>
        <w:spacing w:after="0" w:line="240" w:lineRule="auto"/>
        <w:ind w:right="284"/>
        <w:jc w:val="both"/>
        <w:rPr>
          <w:rFonts w:ascii="Book Antiqua" w:hAnsi="Book Antiqua"/>
          <w:i/>
          <w:iCs/>
          <w:sz w:val="20"/>
          <w:szCs w:val="20"/>
        </w:rPr>
      </w:pPr>
      <w:r w:rsidRPr="00380ACA">
        <w:rPr>
          <w:rFonts w:ascii="Book Antiqua" w:hAnsi="Book Antiqua"/>
          <w:i/>
          <w:iCs/>
          <w:sz w:val="20"/>
          <w:szCs w:val="20"/>
        </w:rPr>
        <w:t xml:space="preserve">           </w:t>
      </w:r>
      <w:r w:rsidR="00F17584" w:rsidRPr="00380ACA">
        <w:rPr>
          <w:rFonts w:ascii="Book Antiqua" w:hAnsi="Book Antiqua"/>
          <w:i/>
          <w:iCs/>
          <w:sz w:val="20"/>
          <w:szCs w:val="20"/>
        </w:rPr>
        <w:t>del 2017 al 202</w:t>
      </w:r>
      <w:r w:rsidRPr="00380ACA">
        <w:rPr>
          <w:rFonts w:ascii="Book Antiqua" w:hAnsi="Book Antiqua"/>
          <w:i/>
          <w:iCs/>
          <w:sz w:val="20"/>
          <w:szCs w:val="20"/>
        </w:rPr>
        <w:t>2 y Balance General Interactivo</w:t>
      </w:r>
      <w:r w:rsidR="00F038D4" w:rsidRPr="00380ACA">
        <w:rPr>
          <w:rFonts w:ascii="Book Antiqua" w:hAnsi="Book Antiqua"/>
          <w:i/>
          <w:iCs/>
          <w:sz w:val="20"/>
          <w:szCs w:val="20"/>
        </w:rPr>
        <w:t xml:space="preserve"> del 7/3/2023</w:t>
      </w:r>
      <w:r w:rsidR="00A62F28" w:rsidRPr="00380ACA">
        <w:rPr>
          <w:rFonts w:ascii="Book Antiqua" w:hAnsi="Book Antiqua"/>
          <w:i/>
          <w:iCs/>
          <w:sz w:val="20"/>
          <w:szCs w:val="20"/>
        </w:rPr>
        <w:t>.</w:t>
      </w:r>
      <w:r w:rsidR="00A13D39" w:rsidRPr="00380ACA">
        <w:rPr>
          <w:rFonts w:ascii="Book Antiqua" w:hAnsi="Book Antiqua"/>
          <w:i/>
          <w:iCs/>
          <w:sz w:val="20"/>
          <w:szCs w:val="20"/>
        </w:rPr>
        <w:t xml:space="preserve"> </w:t>
      </w:r>
    </w:p>
    <w:p w14:paraId="7F413501" w14:textId="2C0769F7" w:rsidR="0045291E" w:rsidRPr="00380ACA" w:rsidRDefault="0045291E" w:rsidP="0045291E">
      <w:pPr>
        <w:spacing w:after="0" w:line="240" w:lineRule="auto"/>
        <w:ind w:right="284"/>
        <w:jc w:val="both"/>
        <w:rPr>
          <w:rFonts w:ascii="Book Antiqua" w:hAnsi="Book Antiqua"/>
          <w:i/>
          <w:iCs/>
          <w:sz w:val="20"/>
          <w:szCs w:val="20"/>
        </w:rPr>
      </w:pPr>
      <w:r w:rsidRPr="00380ACA">
        <w:rPr>
          <w:rFonts w:ascii="Book Antiqua" w:hAnsi="Book Antiqua"/>
          <w:b/>
          <w:bCs/>
          <w:i/>
          <w:iCs/>
          <w:sz w:val="20"/>
          <w:szCs w:val="20"/>
        </w:rPr>
        <w:t xml:space="preserve">           Nota:</w:t>
      </w:r>
      <w:r w:rsidRPr="00380ACA">
        <w:rPr>
          <w:rFonts w:ascii="Book Antiqua" w:hAnsi="Book Antiqua"/>
          <w:i/>
          <w:iCs/>
          <w:sz w:val="20"/>
          <w:szCs w:val="20"/>
        </w:rPr>
        <w:t xml:space="preserve"> </w:t>
      </w:r>
      <w:r w:rsidR="00A13D39" w:rsidRPr="00380ACA">
        <w:rPr>
          <w:rFonts w:ascii="Book Antiqua" w:hAnsi="Book Antiqua"/>
          <w:i/>
          <w:iCs/>
          <w:sz w:val="20"/>
          <w:szCs w:val="20"/>
        </w:rPr>
        <w:t xml:space="preserve">Los casos inactivos </w:t>
      </w:r>
      <w:r w:rsidR="00DE3CC3" w:rsidRPr="00380ACA">
        <w:rPr>
          <w:rFonts w:ascii="Book Antiqua" w:hAnsi="Book Antiqua"/>
          <w:i/>
          <w:iCs/>
          <w:sz w:val="20"/>
          <w:szCs w:val="20"/>
        </w:rPr>
        <w:t xml:space="preserve">son aquellos expedientes que tengan </w:t>
      </w:r>
      <w:r w:rsidR="003334CB" w:rsidRPr="00380ACA">
        <w:rPr>
          <w:rFonts w:ascii="Book Antiqua" w:hAnsi="Book Antiqua"/>
          <w:i/>
          <w:iCs/>
          <w:sz w:val="20"/>
          <w:szCs w:val="20"/>
        </w:rPr>
        <w:t>seis meses (</w:t>
      </w:r>
      <w:r w:rsidR="00E62B91" w:rsidRPr="00380ACA">
        <w:rPr>
          <w:rFonts w:ascii="Book Antiqua" w:hAnsi="Book Antiqua"/>
          <w:i/>
          <w:iCs/>
          <w:sz w:val="20"/>
          <w:szCs w:val="20"/>
        </w:rPr>
        <w:t>en expedientes</w:t>
      </w:r>
    </w:p>
    <w:p w14:paraId="5342F8A9" w14:textId="46A071B2" w:rsidR="0045291E" w:rsidRPr="00380ACA" w:rsidRDefault="0045291E" w:rsidP="0045291E">
      <w:pPr>
        <w:spacing w:after="0" w:line="240" w:lineRule="auto"/>
        <w:ind w:right="284"/>
        <w:jc w:val="both"/>
        <w:rPr>
          <w:rFonts w:ascii="Book Antiqua" w:hAnsi="Book Antiqua"/>
          <w:i/>
          <w:iCs/>
          <w:sz w:val="20"/>
          <w:szCs w:val="20"/>
        </w:rPr>
      </w:pPr>
      <w:r w:rsidRPr="00380ACA">
        <w:rPr>
          <w:rFonts w:ascii="Book Antiqua" w:hAnsi="Book Antiqua"/>
          <w:i/>
          <w:iCs/>
          <w:sz w:val="20"/>
          <w:szCs w:val="20"/>
        </w:rPr>
        <w:t xml:space="preserve">        </w:t>
      </w:r>
      <w:r w:rsidR="00E62B91" w:rsidRPr="00380ACA">
        <w:rPr>
          <w:rFonts w:ascii="Book Antiqua" w:hAnsi="Book Antiqua"/>
          <w:i/>
          <w:iCs/>
          <w:sz w:val="20"/>
          <w:szCs w:val="20"/>
        </w:rPr>
        <w:t xml:space="preserve"> </w:t>
      </w:r>
      <w:r w:rsidRPr="00380ACA">
        <w:rPr>
          <w:rFonts w:ascii="Book Antiqua" w:hAnsi="Book Antiqua"/>
          <w:i/>
          <w:iCs/>
          <w:sz w:val="20"/>
          <w:szCs w:val="20"/>
        </w:rPr>
        <w:t xml:space="preserve"> </w:t>
      </w:r>
      <w:r w:rsidR="00E62B91" w:rsidRPr="00380ACA">
        <w:rPr>
          <w:rFonts w:ascii="Book Antiqua" w:hAnsi="Book Antiqua"/>
          <w:i/>
          <w:iCs/>
          <w:sz w:val="20"/>
          <w:szCs w:val="20"/>
        </w:rPr>
        <w:t>principales)</w:t>
      </w:r>
      <w:r w:rsidR="004274E9" w:rsidRPr="00380ACA">
        <w:rPr>
          <w:rFonts w:ascii="Book Antiqua" w:hAnsi="Book Antiqua"/>
          <w:i/>
          <w:iCs/>
          <w:sz w:val="20"/>
          <w:szCs w:val="20"/>
        </w:rPr>
        <w:t xml:space="preserve"> o un mes </w:t>
      </w:r>
      <w:r w:rsidR="003D357B" w:rsidRPr="00380ACA">
        <w:rPr>
          <w:rFonts w:ascii="Book Antiqua" w:hAnsi="Book Antiqua"/>
          <w:i/>
          <w:iCs/>
          <w:sz w:val="20"/>
          <w:szCs w:val="20"/>
        </w:rPr>
        <w:t>(en procesos incidentales)</w:t>
      </w:r>
      <w:r w:rsidR="00B82895" w:rsidRPr="00380ACA">
        <w:rPr>
          <w:rFonts w:ascii="Book Antiqua" w:hAnsi="Book Antiqua"/>
          <w:i/>
          <w:iCs/>
          <w:sz w:val="20"/>
          <w:szCs w:val="20"/>
        </w:rPr>
        <w:t xml:space="preserve"> de no cumplir con las prev</w:t>
      </w:r>
      <w:r w:rsidR="0008797E" w:rsidRPr="00380ACA">
        <w:rPr>
          <w:rFonts w:ascii="Book Antiqua" w:hAnsi="Book Antiqua"/>
          <w:i/>
          <w:iCs/>
          <w:sz w:val="20"/>
          <w:szCs w:val="20"/>
        </w:rPr>
        <w:t xml:space="preserve">enciones hechas </w:t>
      </w:r>
      <w:r w:rsidR="00C5386B" w:rsidRPr="00380ACA">
        <w:rPr>
          <w:rFonts w:ascii="Book Antiqua" w:hAnsi="Book Antiqua"/>
          <w:i/>
          <w:iCs/>
          <w:sz w:val="20"/>
          <w:szCs w:val="20"/>
        </w:rPr>
        <w:t>a la</w:t>
      </w:r>
    </w:p>
    <w:p w14:paraId="08531DA8" w14:textId="174A0C24" w:rsidR="0045291E" w:rsidRPr="00380ACA" w:rsidRDefault="0045291E" w:rsidP="0045291E">
      <w:pPr>
        <w:spacing w:after="0" w:line="240" w:lineRule="auto"/>
        <w:ind w:right="284"/>
        <w:jc w:val="both"/>
        <w:rPr>
          <w:rFonts w:ascii="Book Antiqua" w:hAnsi="Book Antiqua"/>
          <w:i/>
          <w:iCs/>
          <w:sz w:val="20"/>
          <w:szCs w:val="20"/>
        </w:rPr>
      </w:pPr>
      <w:r w:rsidRPr="00380ACA">
        <w:rPr>
          <w:rFonts w:ascii="Book Antiqua" w:hAnsi="Book Antiqua"/>
          <w:i/>
          <w:iCs/>
          <w:sz w:val="20"/>
          <w:szCs w:val="20"/>
        </w:rPr>
        <w:t xml:space="preserve">         </w:t>
      </w:r>
      <w:r w:rsidR="00C5386B" w:rsidRPr="00380ACA">
        <w:rPr>
          <w:rFonts w:ascii="Book Antiqua" w:hAnsi="Book Antiqua"/>
          <w:i/>
          <w:iCs/>
          <w:sz w:val="20"/>
          <w:szCs w:val="20"/>
        </w:rPr>
        <w:t xml:space="preserve">parte promovente del proceso </w:t>
      </w:r>
      <w:r w:rsidR="00803B4E" w:rsidRPr="00380ACA">
        <w:rPr>
          <w:rFonts w:ascii="Book Antiqua" w:hAnsi="Book Antiqua"/>
          <w:i/>
          <w:iCs/>
          <w:sz w:val="20"/>
          <w:szCs w:val="20"/>
        </w:rPr>
        <w:t>para proseguir el mismo</w:t>
      </w:r>
      <w:r w:rsidR="00F17584" w:rsidRPr="00380ACA">
        <w:rPr>
          <w:rFonts w:ascii="Book Antiqua" w:hAnsi="Book Antiqua"/>
          <w:i/>
          <w:iCs/>
          <w:sz w:val="20"/>
          <w:szCs w:val="20"/>
        </w:rPr>
        <w:t>.</w:t>
      </w:r>
      <w:r w:rsidR="00615AC9" w:rsidRPr="00380ACA">
        <w:rPr>
          <w:rFonts w:ascii="Book Antiqua" w:hAnsi="Book Antiqua"/>
          <w:i/>
          <w:iCs/>
          <w:sz w:val="20"/>
          <w:szCs w:val="20"/>
        </w:rPr>
        <w:t xml:space="preserve"> Cuando la parte no impulsa el proceso </w:t>
      </w:r>
    </w:p>
    <w:p w14:paraId="49765166" w14:textId="79F57329" w:rsidR="00F17584" w:rsidRPr="00380ACA" w:rsidRDefault="0045291E" w:rsidP="0045291E">
      <w:pPr>
        <w:spacing w:after="0" w:line="240" w:lineRule="auto"/>
        <w:ind w:right="284"/>
        <w:jc w:val="both"/>
        <w:rPr>
          <w:rFonts w:ascii="Book Antiqua" w:hAnsi="Book Antiqua"/>
          <w:i/>
          <w:iCs/>
          <w:sz w:val="20"/>
          <w:szCs w:val="20"/>
        </w:rPr>
      </w:pPr>
      <w:r w:rsidRPr="00380ACA">
        <w:rPr>
          <w:rFonts w:ascii="Book Antiqua" w:hAnsi="Book Antiqua"/>
          <w:i/>
          <w:iCs/>
          <w:sz w:val="20"/>
          <w:szCs w:val="20"/>
        </w:rPr>
        <w:t xml:space="preserve">        </w:t>
      </w:r>
      <w:r w:rsidR="00DD3F78" w:rsidRPr="00380ACA">
        <w:rPr>
          <w:rFonts w:ascii="Book Antiqua" w:hAnsi="Book Antiqua"/>
          <w:i/>
          <w:iCs/>
          <w:sz w:val="20"/>
          <w:szCs w:val="20"/>
        </w:rPr>
        <w:t>por más de tres meses.</w:t>
      </w:r>
    </w:p>
    <w:p w14:paraId="3F60BB86" w14:textId="77777777" w:rsidR="00AB4052" w:rsidRDefault="00AB4052" w:rsidP="00495801">
      <w:pPr>
        <w:spacing w:after="0" w:line="276" w:lineRule="auto"/>
        <w:jc w:val="both"/>
        <w:rPr>
          <w:rFonts w:ascii="Book Antiqua" w:hAnsi="Book Antiqua"/>
          <w:sz w:val="24"/>
          <w:szCs w:val="24"/>
        </w:rPr>
      </w:pPr>
    </w:p>
    <w:p w14:paraId="68F1CD07" w14:textId="27C349EB"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En cuanto a la cantidad de asuntos terminados e inactivos en los Juzgados Especializados de Familia, durante los últimos años, no es constante, el 20</w:t>
      </w:r>
      <w:r w:rsidR="000530C0">
        <w:rPr>
          <w:rFonts w:ascii="Book Antiqua" w:eastAsia="Calibri" w:hAnsi="Book Antiqua" w:cs="Arial"/>
          <w:sz w:val="24"/>
          <w:szCs w:val="24"/>
        </w:rPr>
        <w:t>21</w:t>
      </w:r>
      <w:r w:rsidRPr="00495801">
        <w:rPr>
          <w:rFonts w:ascii="Book Antiqua" w:eastAsia="Calibri" w:hAnsi="Book Antiqua" w:cs="Arial"/>
          <w:sz w:val="24"/>
          <w:szCs w:val="24"/>
        </w:rPr>
        <w:t xml:space="preserve"> registró la mayor cantidad de asuntos terminados con 2</w:t>
      </w:r>
      <w:r w:rsidR="000530C0">
        <w:rPr>
          <w:rFonts w:ascii="Book Antiqua" w:eastAsia="Calibri" w:hAnsi="Book Antiqua" w:cs="Arial"/>
          <w:sz w:val="24"/>
          <w:szCs w:val="24"/>
        </w:rPr>
        <w:t>4</w:t>
      </w:r>
      <w:r w:rsidRPr="00495801">
        <w:rPr>
          <w:rFonts w:ascii="Book Antiqua" w:eastAsia="Calibri" w:hAnsi="Book Antiqua" w:cs="Arial"/>
          <w:sz w:val="24"/>
          <w:szCs w:val="24"/>
        </w:rPr>
        <w:t xml:space="preserve"> </w:t>
      </w:r>
      <w:r w:rsidR="00FF3AAD">
        <w:rPr>
          <w:rFonts w:ascii="Book Antiqua" w:eastAsia="Calibri" w:hAnsi="Book Antiqua" w:cs="Arial"/>
          <w:sz w:val="24"/>
          <w:szCs w:val="24"/>
        </w:rPr>
        <w:t>299</w:t>
      </w:r>
      <w:r w:rsidRPr="00495801">
        <w:rPr>
          <w:rFonts w:ascii="Book Antiqua" w:eastAsia="Calibri" w:hAnsi="Book Antiqua" w:cs="Arial"/>
          <w:sz w:val="24"/>
          <w:szCs w:val="24"/>
        </w:rPr>
        <w:t>; la menor producción se presentó durante el 20</w:t>
      </w:r>
      <w:r w:rsidR="003F4B76">
        <w:rPr>
          <w:rFonts w:ascii="Book Antiqua" w:eastAsia="Calibri" w:hAnsi="Book Antiqua" w:cs="Arial"/>
          <w:sz w:val="24"/>
          <w:szCs w:val="24"/>
        </w:rPr>
        <w:t>20</w:t>
      </w:r>
      <w:r w:rsidRPr="00495801">
        <w:rPr>
          <w:rFonts w:ascii="Book Antiqua" w:eastAsia="Calibri" w:hAnsi="Book Antiqua" w:cs="Arial"/>
          <w:sz w:val="24"/>
          <w:szCs w:val="24"/>
        </w:rPr>
        <w:t xml:space="preserve"> con </w:t>
      </w:r>
      <w:r w:rsidR="00FF3AAD">
        <w:rPr>
          <w:rFonts w:ascii="Book Antiqua" w:eastAsia="Calibri" w:hAnsi="Book Antiqua" w:cs="Arial"/>
          <w:sz w:val="24"/>
          <w:szCs w:val="24"/>
        </w:rPr>
        <w:t>19</w:t>
      </w:r>
      <w:r w:rsidRPr="00495801">
        <w:rPr>
          <w:rFonts w:ascii="Book Antiqua" w:eastAsia="Calibri" w:hAnsi="Book Antiqua" w:cs="Arial"/>
          <w:sz w:val="24"/>
          <w:szCs w:val="24"/>
        </w:rPr>
        <w:t xml:space="preserve"> </w:t>
      </w:r>
      <w:r w:rsidR="00FF3AAD">
        <w:rPr>
          <w:rFonts w:ascii="Book Antiqua" w:eastAsia="Calibri" w:hAnsi="Book Antiqua" w:cs="Arial"/>
          <w:sz w:val="24"/>
          <w:szCs w:val="24"/>
        </w:rPr>
        <w:t>90</w:t>
      </w:r>
      <w:r w:rsidRPr="00495801">
        <w:rPr>
          <w:rFonts w:ascii="Book Antiqua" w:eastAsia="Calibri" w:hAnsi="Book Antiqua" w:cs="Arial"/>
          <w:sz w:val="24"/>
          <w:szCs w:val="24"/>
        </w:rPr>
        <w:t>3, o sea</w:t>
      </w:r>
      <w:r w:rsidR="005A2A8F">
        <w:rPr>
          <w:rFonts w:ascii="Book Antiqua" w:eastAsia="Calibri" w:hAnsi="Book Antiqua" w:cs="Arial"/>
          <w:sz w:val="24"/>
          <w:szCs w:val="24"/>
        </w:rPr>
        <w:t>,</w:t>
      </w:r>
      <w:r w:rsidRPr="00495801">
        <w:rPr>
          <w:rFonts w:ascii="Book Antiqua" w:eastAsia="Calibri" w:hAnsi="Book Antiqua" w:cs="Arial"/>
          <w:sz w:val="24"/>
          <w:szCs w:val="24"/>
        </w:rPr>
        <w:t xml:space="preserve"> </w:t>
      </w:r>
      <w:r w:rsidR="005A2A8F">
        <w:rPr>
          <w:rFonts w:ascii="Book Antiqua" w:eastAsia="Calibri" w:hAnsi="Book Antiqua" w:cs="Arial"/>
          <w:sz w:val="24"/>
          <w:szCs w:val="24"/>
        </w:rPr>
        <w:t>durante este año</w:t>
      </w:r>
      <w:r w:rsidRPr="00495801">
        <w:rPr>
          <w:rFonts w:ascii="Book Antiqua" w:eastAsia="Calibri" w:hAnsi="Book Antiqua" w:cs="Arial"/>
          <w:sz w:val="24"/>
          <w:szCs w:val="24"/>
        </w:rPr>
        <w:t xml:space="preserve"> se finalizaron </w:t>
      </w:r>
      <w:r w:rsidR="006E2FBE">
        <w:rPr>
          <w:rFonts w:ascii="Book Antiqua" w:eastAsia="Calibri" w:hAnsi="Book Antiqua" w:cs="Arial"/>
          <w:sz w:val="24"/>
          <w:szCs w:val="24"/>
        </w:rPr>
        <w:t>4</w:t>
      </w:r>
      <w:r w:rsidRPr="00495801">
        <w:rPr>
          <w:rFonts w:ascii="Book Antiqua" w:eastAsia="Calibri" w:hAnsi="Book Antiqua" w:cs="Arial"/>
          <w:sz w:val="24"/>
          <w:szCs w:val="24"/>
        </w:rPr>
        <w:t xml:space="preserve"> </w:t>
      </w:r>
      <w:r w:rsidR="004D53CF">
        <w:rPr>
          <w:rFonts w:ascii="Book Antiqua" w:eastAsia="Calibri" w:hAnsi="Book Antiqua" w:cs="Arial"/>
          <w:sz w:val="24"/>
          <w:szCs w:val="24"/>
        </w:rPr>
        <w:t>39</w:t>
      </w:r>
      <w:r w:rsidRPr="00495801">
        <w:rPr>
          <w:rFonts w:ascii="Book Antiqua" w:eastAsia="Calibri" w:hAnsi="Book Antiqua" w:cs="Arial"/>
          <w:sz w:val="24"/>
          <w:szCs w:val="24"/>
        </w:rPr>
        <w:t xml:space="preserve">6 </w:t>
      </w:r>
      <w:r w:rsidR="005A2A8F">
        <w:rPr>
          <w:rFonts w:ascii="Book Antiqua" w:eastAsia="Calibri" w:hAnsi="Book Antiqua" w:cs="Arial"/>
          <w:sz w:val="24"/>
          <w:szCs w:val="24"/>
        </w:rPr>
        <w:t>men</w:t>
      </w:r>
      <w:r w:rsidRPr="00495801">
        <w:rPr>
          <w:rFonts w:ascii="Book Antiqua" w:eastAsia="Calibri" w:hAnsi="Book Antiqua" w:cs="Arial"/>
          <w:sz w:val="24"/>
          <w:szCs w:val="24"/>
        </w:rPr>
        <w:t>os asuntos que en el 20</w:t>
      </w:r>
      <w:r w:rsidR="00006DE2">
        <w:rPr>
          <w:rFonts w:ascii="Book Antiqua" w:eastAsia="Calibri" w:hAnsi="Book Antiqua" w:cs="Arial"/>
          <w:sz w:val="24"/>
          <w:szCs w:val="24"/>
        </w:rPr>
        <w:t>2</w:t>
      </w:r>
      <w:r w:rsidRPr="00495801">
        <w:rPr>
          <w:rFonts w:ascii="Book Antiqua" w:eastAsia="Calibri" w:hAnsi="Book Antiqua" w:cs="Arial"/>
          <w:sz w:val="24"/>
          <w:szCs w:val="24"/>
        </w:rPr>
        <w:t>1</w:t>
      </w:r>
      <w:r w:rsidR="004D53CF">
        <w:rPr>
          <w:rFonts w:ascii="Book Antiqua" w:eastAsia="Calibri" w:hAnsi="Book Antiqua" w:cs="Arial"/>
          <w:sz w:val="24"/>
          <w:szCs w:val="24"/>
        </w:rPr>
        <w:t>; si</w:t>
      </w:r>
      <w:r w:rsidR="009909BE">
        <w:rPr>
          <w:rFonts w:ascii="Book Antiqua" w:eastAsia="Calibri" w:hAnsi="Book Antiqua" w:cs="Arial"/>
          <w:sz w:val="24"/>
          <w:szCs w:val="24"/>
        </w:rPr>
        <w:t>n</w:t>
      </w:r>
      <w:r w:rsidR="004D53CF">
        <w:rPr>
          <w:rFonts w:ascii="Book Antiqua" w:eastAsia="Calibri" w:hAnsi="Book Antiqua" w:cs="Arial"/>
          <w:sz w:val="24"/>
          <w:szCs w:val="24"/>
        </w:rPr>
        <w:t xml:space="preserve"> embargo, se reitera que para el 20</w:t>
      </w:r>
      <w:r w:rsidR="003F4B76">
        <w:rPr>
          <w:rFonts w:ascii="Book Antiqua" w:eastAsia="Calibri" w:hAnsi="Book Antiqua" w:cs="Arial"/>
          <w:sz w:val="24"/>
          <w:szCs w:val="24"/>
        </w:rPr>
        <w:t>20</w:t>
      </w:r>
      <w:r w:rsidR="004D53CF">
        <w:rPr>
          <w:rFonts w:ascii="Book Antiqua" w:eastAsia="Calibri" w:hAnsi="Book Antiqua" w:cs="Arial"/>
          <w:sz w:val="24"/>
          <w:szCs w:val="24"/>
        </w:rPr>
        <w:t xml:space="preserve"> la actividad </w:t>
      </w:r>
      <w:r w:rsidR="00EE274D">
        <w:rPr>
          <w:rFonts w:ascii="Book Antiqua" w:eastAsia="Calibri" w:hAnsi="Book Antiqua" w:cs="Arial"/>
          <w:sz w:val="24"/>
          <w:szCs w:val="24"/>
        </w:rPr>
        <w:t>judicial</w:t>
      </w:r>
      <w:r w:rsidR="004D53CF">
        <w:rPr>
          <w:rFonts w:ascii="Book Antiqua" w:eastAsia="Calibri" w:hAnsi="Book Antiqua" w:cs="Arial"/>
          <w:sz w:val="24"/>
          <w:szCs w:val="24"/>
        </w:rPr>
        <w:t xml:space="preserve"> se </w:t>
      </w:r>
      <w:r w:rsidR="00D74780">
        <w:rPr>
          <w:rFonts w:ascii="Book Antiqua" w:eastAsia="Calibri" w:hAnsi="Book Antiqua" w:cs="Arial"/>
          <w:sz w:val="24"/>
          <w:szCs w:val="24"/>
        </w:rPr>
        <w:t xml:space="preserve">puedo ver </w:t>
      </w:r>
      <w:r w:rsidR="004D53CF">
        <w:rPr>
          <w:rFonts w:ascii="Book Antiqua" w:eastAsia="Calibri" w:hAnsi="Book Antiqua" w:cs="Arial"/>
          <w:sz w:val="24"/>
          <w:szCs w:val="24"/>
        </w:rPr>
        <w:t>afectada por la pandemia del Covid-19</w:t>
      </w:r>
      <w:r w:rsidRPr="00495801">
        <w:rPr>
          <w:rFonts w:ascii="Book Antiqua" w:eastAsia="Calibri" w:hAnsi="Book Antiqua" w:cs="Arial"/>
          <w:sz w:val="24"/>
          <w:szCs w:val="24"/>
        </w:rPr>
        <w:t>.</w:t>
      </w:r>
      <w:r w:rsidR="00152357">
        <w:rPr>
          <w:rFonts w:ascii="Book Antiqua" w:eastAsia="Calibri" w:hAnsi="Book Antiqua" w:cs="Arial"/>
          <w:sz w:val="24"/>
          <w:szCs w:val="24"/>
        </w:rPr>
        <w:t xml:space="preserve"> Por otra parte, al analizar el periodo 2021-2022, se </w:t>
      </w:r>
      <w:r w:rsidR="005A2A8F">
        <w:rPr>
          <w:rFonts w:ascii="Book Antiqua" w:eastAsia="Calibri" w:hAnsi="Book Antiqua" w:cs="Arial"/>
          <w:sz w:val="24"/>
          <w:szCs w:val="24"/>
        </w:rPr>
        <w:t>man</w:t>
      </w:r>
      <w:r w:rsidR="00152357">
        <w:rPr>
          <w:rFonts w:ascii="Book Antiqua" w:eastAsia="Calibri" w:hAnsi="Book Antiqua" w:cs="Arial"/>
          <w:sz w:val="24"/>
          <w:szCs w:val="24"/>
        </w:rPr>
        <w:t xml:space="preserve">tiene una </w:t>
      </w:r>
      <w:r w:rsidR="005A2A8F">
        <w:rPr>
          <w:rFonts w:ascii="Book Antiqua" w:eastAsia="Calibri" w:hAnsi="Book Antiqua" w:cs="Arial"/>
          <w:sz w:val="24"/>
          <w:szCs w:val="24"/>
        </w:rPr>
        <w:t xml:space="preserve">tendencia a la baja, se observa una </w:t>
      </w:r>
      <w:r w:rsidR="00152357">
        <w:rPr>
          <w:rFonts w:ascii="Book Antiqua" w:eastAsia="Calibri" w:hAnsi="Book Antiqua" w:cs="Arial"/>
          <w:sz w:val="24"/>
          <w:szCs w:val="24"/>
        </w:rPr>
        <w:t>disminución de 5</w:t>
      </w:r>
      <w:r w:rsidR="006B19D5">
        <w:rPr>
          <w:rFonts w:ascii="Book Antiqua" w:eastAsia="Calibri" w:hAnsi="Book Antiqua" w:cs="Arial"/>
          <w:sz w:val="24"/>
          <w:szCs w:val="24"/>
        </w:rPr>
        <w:t>30</w:t>
      </w:r>
      <w:r w:rsidR="00152357">
        <w:rPr>
          <w:rFonts w:ascii="Book Antiqua" w:eastAsia="Calibri" w:hAnsi="Book Antiqua" w:cs="Arial"/>
          <w:sz w:val="24"/>
          <w:szCs w:val="24"/>
        </w:rPr>
        <w:t xml:space="preserve"> asuntos menos en el 2022 en comparación con el 2021.</w:t>
      </w:r>
    </w:p>
    <w:p w14:paraId="1F536D52" w14:textId="77777777" w:rsidR="00495801" w:rsidRPr="00495801" w:rsidRDefault="00495801" w:rsidP="00495801">
      <w:pPr>
        <w:spacing w:after="0" w:line="276" w:lineRule="auto"/>
        <w:jc w:val="both"/>
        <w:rPr>
          <w:rFonts w:ascii="Book Antiqua" w:eastAsia="Calibri" w:hAnsi="Book Antiqua" w:cs="Arial"/>
          <w:sz w:val="24"/>
          <w:szCs w:val="24"/>
        </w:rPr>
      </w:pPr>
    </w:p>
    <w:p w14:paraId="5E95AC38" w14:textId="7676872D"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En cuanto a los casos inactivos durante el 201</w:t>
      </w:r>
      <w:r w:rsidR="00D74780">
        <w:rPr>
          <w:rFonts w:ascii="Book Antiqua" w:eastAsia="Calibri" w:hAnsi="Book Antiqua" w:cs="Arial"/>
          <w:sz w:val="24"/>
          <w:szCs w:val="24"/>
        </w:rPr>
        <w:t>7</w:t>
      </w:r>
      <w:r w:rsidRPr="00495801">
        <w:rPr>
          <w:rFonts w:ascii="Book Antiqua" w:eastAsia="Calibri" w:hAnsi="Book Antiqua" w:cs="Arial"/>
          <w:sz w:val="24"/>
          <w:szCs w:val="24"/>
        </w:rPr>
        <w:t xml:space="preserve"> se registraron en total </w:t>
      </w:r>
      <w:r w:rsidR="00D74780">
        <w:rPr>
          <w:rFonts w:ascii="Book Antiqua" w:eastAsia="Calibri" w:hAnsi="Book Antiqua" w:cs="Arial"/>
          <w:sz w:val="24"/>
          <w:szCs w:val="24"/>
        </w:rPr>
        <w:t>1 858</w:t>
      </w:r>
      <w:r w:rsidRPr="00495801">
        <w:rPr>
          <w:rFonts w:ascii="Book Antiqua" w:eastAsia="Calibri" w:hAnsi="Book Antiqua" w:cs="Arial"/>
          <w:sz w:val="24"/>
          <w:szCs w:val="24"/>
        </w:rPr>
        <w:t xml:space="preserve"> expedientes y la menor cantidad se presentó en el 20</w:t>
      </w:r>
      <w:r w:rsidR="00850CDC">
        <w:rPr>
          <w:rFonts w:ascii="Book Antiqua" w:eastAsia="Calibri" w:hAnsi="Book Antiqua" w:cs="Arial"/>
          <w:sz w:val="24"/>
          <w:szCs w:val="24"/>
        </w:rPr>
        <w:t>2</w:t>
      </w:r>
      <w:r w:rsidR="00152357">
        <w:rPr>
          <w:rFonts w:ascii="Book Antiqua" w:eastAsia="Calibri" w:hAnsi="Book Antiqua" w:cs="Arial"/>
          <w:sz w:val="24"/>
          <w:szCs w:val="24"/>
        </w:rPr>
        <w:t>2</w:t>
      </w:r>
      <w:r w:rsidRPr="00495801">
        <w:rPr>
          <w:rFonts w:ascii="Book Antiqua" w:eastAsia="Calibri" w:hAnsi="Book Antiqua" w:cs="Arial"/>
          <w:sz w:val="24"/>
          <w:szCs w:val="24"/>
        </w:rPr>
        <w:t xml:space="preserve"> con </w:t>
      </w:r>
      <w:r w:rsidR="003F4B76">
        <w:rPr>
          <w:rFonts w:ascii="Book Antiqua" w:eastAsia="Calibri" w:hAnsi="Book Antiqua" w:cs="Arial"/>
          <w:sz w:val="24"/>
          <w:szCs w:val="24"/>
        </w:rPr>
        <w:t>1</w:t>
      </w:r>
      <w:r w:rsidR="00152357">
        <w:rPr>
          <w:rFonts w:ascii="Book Antiqua" w:eastAsia="Calibri" w:hAnsi="Book Antiqua" w:cs="Arial"/>
          <w:sz w:val="24"/>
          <w:szCs w:val="24"/>
        </w:rPr>
        <w:t>6</w:t>
      </w:r>
      <w:r w:rsidR="003F4B76">
        <w:rPr>
          <w:rFonts w:ascii="Book Antiqua" w:eastAsia="Calibri" w:hAnsi="Book Antiqua" w:cs="Arial"/>
          <w:sz w:val="24"/>
          <w:szCs w:val="24"/>
        </w:rPr>
        <w:t>1</w:t>
      </w:r>
      <w:r w:rsidR="00152357">
        <w:rPr>
          <w:rFonts w:ascii="Book Antiqua" w:eastAsia="Calibri" w:hAnsi="Book Antiqua" w:cs="Arial"/>
          <w:sz w:val="24"/>
          <w:szCs w:val="24"/>
        </w:rPr>
        <w:t>5</w:t>
      </w:r>
      <w:r w:rsidRPr="00495801">
        <w:rPr>
          <w:rFonts w:ascii="Book Antiqua" w:eastAsia="Calibri" w:hAnsi="Book Antiqua" w:cs="Arial"/>
          <w:sz w:val="24"/>
          <w:szCs w:val="24"/>
        </w:rPr>
        <w:t xml:space="preserve"> asuntos</w:t>
      </w:r>
      <w:r w:rsidR="001912C5">
        <w:rPr>
          <w:rFonts w:ascii="Book Antiqua" w:eastAsia="Calibri" w:hAnsi="Book Antiqua" w:cs="Arial"/>
          <w:sz w:val="24"/>
          <w:szCs w:val="24"/>
        </w:rPr>
        <w:t>, o sea, 243</w:t>
      </w:r>
      <w:r w:rsidRPr="00495801">
        <w:rPr>
          <w:rFonts w:ascii="Book Antiqua" w:eastAsia="Calibri" w:hAnsi="Book Antiqua" w:cs="Arial"/>
          <w:sz w:val="24"/>
          <w:szCs w:val="24"/>
        </w:rPr>
        <w:t xml:space="preserve"> </w:t>
      </w:r>
      <w:r w:rsidR="001912C5">
        <w:rPr>
          <w:rFonts w:ascii="Book Antiqua" w:eastAsia="Calibri" w:hAnsi="Book Antiqua" w:cs="Arial"/>
          <w:sz w:val="24"/>
          <w:szCs w:val="24"/>
        </w:rPr>
        <w:t xml:space="preserve">asuntos </w:t>
      </w:r>
      <w:r w:rsidRPr="00495801">
        <w:rPr>
          <w:rFonts w:ascii="Book Antiqua" w:eastAsia="Calibri" w:hAnsi="Book Antiqua" w:cs="Arial"/>
          <w:sz w:val="24"/>
          <w:szCs w:val="24"/>
        </w:rPr>
        <w:t>menos en comparación con el 201</w:t>
      </w:r>
      <w:r w:rsidR="008D3DE8">
        <w:rPr>
          <w:rFonts w:ascii="Book Antiqua" w:eastAsia="Calibri" w:hAnsi="Book Antiqua" w:cs="Arial"/>
          <w:sz w:val="24"/>
          <w:szCs w:val="24"/>
        </w:rPr>
        <w:t>7</w:t>
      </w:r>
      <w:r w:rsidRPr="00495801">
        <w:rPr>
          <w:rFonts w:ascii="Book Antiqua" w:eastAsia="Calibri" w:hAnsi="Book Antiqua" w:cs="Arial"/>
          <w:sz w:val="24"/>
          <w:szCs w:val="24"/>
        </w:rPr>
        <w:t xml:space="preserve">. </w:t>
      </w:r>
    </w:p>
    <w:p w14:paraId="2EFCBA7C" w14:textId="77777777" w:rsidR="00495801" w:rsidRPr="00495801" w:rsidRDefault="00495801" w:rsidP="00495801">
      <w:pPr>
        <w:spacing w:after="0" w:line="276" w:lineRule="auto"/>
        <w:jc w:val="both"/>
        <w:rPr>
          <w:rFonts w:ascii="Book Antiqua" w:eastAsia="Calibri" w:hAnsi="Book Antiqua" w:cs="Arial"/>
          <w:sz w:val="24"/>
          <w:szCs w:val="24"/>
        </w:rPr>
      </w:pPr>
    </w:p>
    <w:p w14:paraId="0B74958C" w14:textId="5A15B3DC"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 xml:space="preserve">Al analizar la cantidad de asuntos totales finalizados (terminados + inactivos), se considera que la huelga que sufrió el país durante setiembre y octubre de 2018, </w:t>
      </w:r>
      <w:r w:rsidR="00607661" w:rsidRPr="00495801">
        <w:rPr>
          <w:rFonts w:ascii="Book Antiqua" w:eastAsia="Calibri" w:hAnsi="Book Antiqua" w:cs="Arial"/>
          <w:sz w:val="24"/>
          <w:szCs w:val="24"/>
        </w:rPr>
        <w:t>aproximadamente</w:t>
      </w:r>
      <w:r w:rsidR="00607661">
        <w:rPr>
          <w:rFonts w:ascii="Book Antiqua" w:eastAsia="Calibri" w:hAnsi="Book Antiqua" w:cs="Arial"/>
          <w:sz w:val="24"/>
          <w:szCs w:val="24"/>
        </w:rPr>
        <w:t xml:space="preserve"> </w:t>
      </w:r>
      <w:r w:rsidR="00E21FEE">
        <w:rPr>
          <w:rFonts w:ascii="Book Antiqua" w:eastAsia="Calibri" w:hAnsi="Book Antiqua" w:cs="Arial"/>
          <w:sz w:val="24"/>
          <w:szCs w:val="24"/>
        </w:rPr>
        <w:t>y la pandemia del Covid</w:t>
      </w:r>
      <w:r w:rsidR="001912C5">
        <w:rPr>
          <w:rFonts w:ascii="Book Antiqua" w:eastAsia="Calibri" w:hAnsi="Book Antiqua" w:cs="Arial"/>
          <w:sz w:val="24"/>
          <w:szCs w:val="24"/>
        </w:rPr>
        <w:t>-19</w:t>
      </w:r>
      <w:r w:rsidR="003F4B76">
        <w:rPr>
          <w:rFonts w:ascii="Book Antiqua" w:eastAsia="Calibri" w:hAnsi="Book Antiqua" w:cs="Arial"/>
          <w:sz w:val="24"/>
          <w:szCs w:val="24"/>
        </w:rPr>
        <w:t xml:space="preserve"> durante el 2020</w:t>
      </w:r>
      <w:r w:rsidR="00607661">
        <w:rPr>
          <w:rFonts w:ascii="Book Antiqua" w:eastAsia="Calibri" w:hAnsi="Book Antiqua" w:cs="Arial"/>
          <w:sz w:val="24"/>
          <w:szCs w:val="24"/>
        </w:rPr>
        <w:t xml:space="preserve">, </w:t>
      </w:r>
      <w:r w:rsidRPr="00495801">
        <w:rPr>
          <w:rFonts w:ascii="Book Antiqua" w:eastAsia="Calibri" w:hAnsi="Book Antiqua" w:cs="Arial"/>
          <w:sz w:val="24"/>
          <w:szCs w:val="24"/>
        </w:rPr>
        <w:t>pudo afectar la producción de los Juzgados durante estos años, ya que se visualiza una disminución en la cantidad de asuntos fenecidos durante estos años en comparación con sus antecesores</w:t>
      </w:r>
      <w:r w:rsidR="001912C5">
        <w:rPr>
          <w:rFonts w:ascii="Book Antiqua" w:eastAsia="Calibri" w:hAnsi="Book Antiqua" w:cs="Arial"/>
          <w:sz w:val="24"/>
          <w:szCs w:val="24"/>
        </w:rPr>
        <w:t xml:space="preserve"> y años posteriores</w:t>
      </w:r>
      <w:r w:rsidRPr="00755ABB">
        <w:rPr>
          <w:rFonts w:ascii="Book Antiqua" w:eastAsia="Calibri" w:hAnsi="Book Antiqua" w:cs="Arial"/>
          <w:sz w:val="24"/>
          <w:szCs w:val="24"/>
        </w:rPr>
        <w:t>; el porcentaje de salida para el 201</w:t>
      </w:r>
      <w:r w:rsidR="00577257" w:rsidRPr="00755ABB">
        <w:rPr>
          <w:rFonts w:ascii="Book Antiqua" w:eastAsia="Calibri" w:hAnsi="Book Antiqua" w:cs="Arial"/>
          <w:sz w:val="24"/>
          <w:szCs w:val="24"/>
        </w:rPr>
        <w:t>8</w:t>
      </w:r>
      <w:r w:rsidRPr="00755ABB">
        <w:rPr>
          <w:rFonts w:ascii="Book Antiqua" w:eastAsia="Calibri" w:hAnsi="Book Antiqua" w:cs="Arial"/>
          <w:sz w:val="24"/>
          <w:szCs w:val="24"/>
        </w:rPr>
        <w:t xml:space="preserve"> fue de un </w:t>
      </w:r>
      <w:r w:rsidR="0076032A" w:rsidRPr="00755ABB">
        <w:rPr>
          <w:rFonts w:ascii="Book Antiqua" w:eastAsia="Calibri" w:hAnsi="Book Antiqua" w:cs="Arial"/>
          <w:sz w:val="24"/>
          <w:szCs w:val="24"/>
        </w:rPr>
        <w:t>5</w:t>
      </w:r>
      <w:r w:rsidRPr="00755ABB">
        <w:rPr>
          <w:rFonts w:ascii="Book Antiqua" w:eastAsia="Calibri" w:hAnsi="Book Antiqua" w:cs="Arial"/>
          <w:sz w:val="24"/>
          <w:szCs w:val="24"/>
        </w:rPr>
        <w:t>% menos que su antecesor el 201</w:t>
      </w:r>
      <w:r w:rsidR="00EE274D" w:rsidRPr="00755ABB">
        <w:rPr>
          <w:rFonts w:ascii="Book Antiqua" w:eastAsia="Calibri" w:hAnsi="Book Antiqua" w:cs="Arial"/>
          <w:sz w:val="24"/>
          <w:szCs w:val="24"/>
        </w:rPr>
        <w:t>7</w:t>
      </w:r>
      <w:r w:rsidRPr="00755ABB">
        <w:rPr>
          <w:rFonts w:ascii="Book Antiqua" w:eastAsia="Calibri" w:hAnsi="Book Antiqua" w:cs="Arial"/>
          <w:sz w:val="24"/>
          <w:szCs w:val="24"/>
        </w:rPr>
        <w:t xml:space="preserve"> y para el 20</w:t>
      </w:r>
      <w:r w:rsidR="00EE274D" w:rsidRPr="00755ABB">
        <w:rPr>
          <w:rFonts w:ascii="Book Antiqua" w:eastAsia="Calibri" w:hAnsi="Book Antiqua" w:cs="Arial"/>
          <w:sz w:val="24"/>
          <w:szCs w:val="24"/>
        </w:rPr>
        <w:t>20</w:t>
      </w:r>
      <w:r w:rsidRPr="00755ABB">
        <w:rPr>
          <w:rFonts w:ascii="Book Antiqua" w:eastAsia="Calibri" w:hAnsi="Book Antiqua" w:cs="Arial"/>
          <w:sz w:val="24"/>
          <w:szCs w:val="24"/>
        </w:rPr>
        <w:t xml:space="preserve"> fue de un </w:t>
      </w:r>
      <w:r w:rsidR="00FE5357" w:rsidRPr="00755ABB">
        <w:rPr>
          <w:rFonts w:ascii="Book Antiqua" w:eastAsia="Calibri" w:hAnsi="Book Antiqua" w:cs="Arial"/>
          <w:sz w:val="24"/>
          <w:szCs w:val="24"/>
        </w:rPr>
        <w:t>13</w:t>
      </w:r>
      <w:r w:rsidRPr="00755ABB">
        <w:rPr>
          <w:rFonts w:ascii="Book Antiqua" w:eastAsia="Calibri" w:hAnsi="Book Antiqua" w:cs="Arial"/>
          <w:sz w:val="24"/>
          <w:szCs w:val="24"/>
        </w:rPr>
        <w:t>% menos que el 201</w:t>
      </w:r>
      <w:r w:rsidR="00EE274D" w:rsidRPr="00755ABB">
        <w:rPr>
          <w:rFonts w:ascii="Book Antiqua" w:eastAsia="Calibri" w:hAnsi="Book Antiqua" w:cs="Arial"/>
          <w:sz w:val="24"/>
          <w:szCs w:val="24"/>
        </w:rPr>
        <w:t>9</w:t>
      </w:r>
      <w:r w:rsidRPr="00755ABB">
        <w:rPr>
          <w:rFonts w:ascii="Book Antiqua" w:eastAsia="Calibri" w:hAnsi="Book Antiqua" w:cs="Arial"/>
          <w:sz w:val="24"/>
          <w:szCs w:val="24"/>
        </w:rPr>
        <w:t>; sin embargo, la situación cambia para el 20</w:t>
      </w:r>
      <w:r w:rsidR="00A567E0" w:rsidRPr="00755ABB">
        <w:rPr>
          <w:rFonts w:ascii="Book Antiqua" w:eastAsia="Calibri" w:hAnsi="Book Antiqua" w:cs="Arial"/>
          <w:sz w:val="24"/>
          <w:szCs w:val="24"/>
        </w:rPr>
        <w:t>2</w:t>
      </w:r>
      <w:r w:rsidRPr="00755ABB">
        <w:rPr>
          <w:rFonts w:ascii="Book Antiqua" w:eastAsia="Calibri" w:hAnsi="Book Antiqua" w:cs="Arial"/>
          <w:sz w:val="24"/>
          <w:szCs w:val="24"/>
        </w:rPr>
        <w:t>1 y aumenta un 1</w:t>
      </w:r>
      <w:r w:rsidR="00D23532" w:rsidRPr="00755ABB">
        <w:rPr>
          <w:rFonts w:ascii="Book Antiqua" w:eastAsia="Calibri" w:hAnsi="Book Antiqua" w:cs="Arial"/>
          <w:sz w:val="24"/>
          <w:szCs w:val="24"/>
        </w:rPr>
        <w:t>7</w:t>
      </w:r>
      <w:r w:rsidRPr="00755ABB">
        <w:rPr>
          <w:rFonts w:ascii="Book Antiqua" w:eastAsia="Calibri" w:hAnsi="Book Antiqua" w:cs="Arial"/>
          <w:sz w:val="24"/>
          <w:szCs w:val="24"/>
        </w:rPr>
        <w:t>% en comparación con el 20</w:t>
      </w:r>
      <w:r w:rsidR="00A567E0" w:rsidRPr="00755ABB">
        <w:rPr>
          <w:rFonts w:ascii="Book Antiqua" w:eastAsia="Calibri" w:hAnsi="Book Antiqua" w:cs="Arial"/>
          <w:sz w:val="24"/>
          <w:szCs w:val="24"/>
        </w:rPr>
        <w:t>20</w:t>
      </w:r>
      <w:r w:rsidR="00F26E3A" w:rsidRPr="00755ABB">
        <w:rPr>
          <w:rFonts w:ascii="Book Antiqua" w:eastAsia="Calibri" w:hAnsi="Book Antiqua" w:cs="Arial"/>
          <w:sz w:val="24"/>
          <w:szCs w:val="24"/>
        </w:rPr>
        <w:t>,</w:t>
      </w:r>
      <w:r w:rsidR="00F038D4">
        <w:rPr>
          <w:rFonts w:ascii="Book Antiqua" w:eastAsia="Calibri" w:hAnsi="Book Antiqua" w:cs="Arial"/>
          <w:sz w:val="24"/>
          <w:szCs w:val="24"/>
        </w:rPr>
        <w:t xml:space="preserve"> </w:t>
      </w:r>
      <w:r w:rsidR="00F26E3A" w:rsidRPr="00755ABB">
        <w:rPr>
          <w:rFonts w:ascii="Book Antiqua" w:eastAsia="Calibri" w:hAnsi="Book Antiqua" w:cs="Arial"/>
          <w:sz w:val="24"/>
          <w:szCs w:val="24"/>
        </w:rPr>
        <w:t xml:space="preserve">pero vuelve a disminuir en el 2022 un </w:t>
      </w:r>
      <w:r w:rsidR="00F038D4">
        <w:rPr>
          <w:rFonts w:ascii="Book Antiqua" w:eastAsia="Calibri" w:hAnsi="Book Antiqua" w:cs="Arial"/>
          <w:sz w:val="24"/>
          <w:szCs w:val="24"/>
        </w:rPr>
        <w:t>2</w:t>
      </w:r>
      <w:r w:rsidR="00F26E3A" w:rsidRPr="00755ABB">
        <w:rPr>
          <w:rFonts w:ascii="Book Antiqua" w:eastAsia="Calibri" w:hAnsi="Book Antiqua" w:cs="Arial"/>
          <w:sz w:val="24"/>
          <w:szCs w:val="24"/>
        </w:rPr>
        <w:t>% en comparación con el 2021</w:t>
      </w:r>
      <w:r w:rsidRPr="00755ABB">
        <w:rPr>
          <w:rFonts w:ascii="Book Antiqua" w:eastAsia="Calibri" w:hAnsi="Book Antiqua" w:cs="Arial"/>
          <w:sz w:val="24"/>
          <w:szCs w:val="24"/>
        </w:rPr>
        <w:t>.</w:t>
      </w:r>
    </w:p>
    <w:p w14:paraId="1299E225" w14:textId="77777777" w:rsidR="00495801" w:rsidRPr="00495801" w:rsidRDefault="00495801" w:rsidP="00495801">
      <w:pPr>
        <w:spacing w:after="0" w:line="276" w:lineRule="auto"/>
        <w:jc w:val="both"/>
        <w:rPr>
          <w:rFonts w:ascii="Book Antiqua" w:eastAsia="Calibri" w:hAnsi="Book Antiqua" w:cs="Arial"/>
          <w:sz w:val="24"/>
          <w:szCs w:val="24"/>
        </w:rPr>
      </w:pPr>
    </w:p>
    <w:p w14:paraId="34856774" w14:textId="77777777"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 xml:space="preserve">Se resalta que los casos inactivos corresponden a aquellos expedientes que tengan seis meses (en expedientes principales) o un mes (en procesos incidentales) de no cumplir con las prevenciones hechas a la parte promovente del proceso para proseguir el mismo.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0BA3C3" w14:textId="13B3287F" w:rsidR="008A5759" w:rsidRDefault="008A5759" w:rsidP="009C01E1">
      <w:pPr>
        <w:spacing w:line="276" w:lineRule="auto"/>
        <w:jc w:val="both"/>
        <w:rPr>
          <w:rFonts w:ascii="Book Antiqua" w:hAnsi="Book Antiqua"/>
          <w:sz w:val="24"/>
          <w:szCs w:val="24"/>
        </w:rPr>
      </w:pPr>
    </w:p>
    <w:p w14:paraId="5B72D20F" w14:textId="1DC343D0" w:rsidR="00E575BA" w:rsidRPr="00E575BA" w:rsidRDefault="00E575BA" w:rsidP="00E575BA">
      <w:pPr>
        <w:spacing w:after="0" w:line="276" w:lineRule="auto"/>
        <w:jc w:val="both"/>
        <w:rPr>
          <w:rFonts w:ascii="Book Antiqua" w:eastAsia="Calibri" w:hAnsi="Book Antiqua" w:cs="Arial"/>
          <w:sz w:val="24"/>
          <w:szCs w:val="24"/>
        </w:rPr>
      </w:pPr>
      <w:r w:rsidRPr="00E575BA">
        <w:rPr>
          <w:rFonts w:ascii="Book Antiqua" w:eastAsia="Calibri" w:hAnsi="Book Antiqua" w:cs="Arial"/>
          <w:sz w:val="24"/>
          <w:szCs w:val="24"/>
        </w:rPr>
        <w:t>En el siguiente gráfico se detalla, la cantidad de asuntos terminados en incidentes y en segunda instancia por los Juzgados Especializados de Familia, durante el periodo del 2018 al 20</w:t>
      </w:r>
      <w:r w:rsidR="002F6C6F">
        <w:rPr>
          <w:rFonts w:ascii="Book Antiqua" w:eastAsia="Calibri" w:hAnsi="Book Antiqua" w:cs="Arial"/>
          <w:sz w:val="24"/>
          <w:szCs w:val="24"/>
        </w:rPr>
        <w:t>2</w:t>
      </w:r>
      <w:r w:rsidR="001912C5">
        <w:rPr>
          <w:rFonts w:ascii="Book Antiqua" w:eastAsia="Calibri" w:hAnsi="Book Antiqua" w:cs="Arial"/>
          <w:sz w:val="24"/>
          <w:szCs w:val="24"/>
        </w:rPr>
        <w:t>2</w:t>
      </w:r>
      <w:r w:rsidRPr="00E575BA">
        <w:rPr>
          <w:rFonts w:ascii="Book Antiqua" w:eastAsia="Calibri" w:hAnsi="Book Antiqua" w:cs="Arial"/>
          <w:sz w:val="24"/>
          <w:szCs w:val="24"/>
        </w:rPr>
        <w:t xml:space="preserve">; se aclara que </w:t>
      </w:r>
      <w:r w:rsidR="002F6C6F">
        <w:rPr>
          <w:rFonts w:ascii="Book Antiqua" w:eastAsia="Calibri" w:hAnsi="Book Antiqua" w:cs="Arial"/>
          <w:sz w:val="24"/>
          <w:szCs w:val="24"/>
        </w:rPr>
        <w:t>esto</w:t>
      </w:r>
      <w:r w:rsidRPr="00E575BA">
        <w:rPr>
          <w:rFonts w:ascii="Book Antiqua" w:eastAsia="Calibri" w:hAnsi="Book Antiqua" w:cs="Arial"/>
          <w:sz w:val="24"/>
          <w:szCs w:val="24"/>
        </w:rPr>
        <w:t>s</w:t>
      </w:r>
      <w:r w:rsidR="002F6C6F">
        <w:rPr>
          <w:rFonts w:ascii="Book Antiqua" w:eastAsia="Calibri" w:hAnsi="Book Antiqua" w:cs="Arial"/>
          <w:sz w:val="24"/>
          <w:szCs w:val="24"/>
        </w:rPr>
        <w:t xml:space="preserve"> datos s</w:t>
      </w:r>
      <w:r w:rsidRPr="00E575BA">
        <w:rPr>
          <w:rFonts w:ascii="Book Antiqua" w:eastAsia="Calibri" w:hAnsi="Book Antiqua" w:cs="Arial"/>
          <w:sz w:val="24"/>
          <w:szCs w:val="24"/>
        </w:rPr>
        <w:t>e registra</w:t>
      </w:r>
      <w:r w:rsidR="002F6C6F">
        <w:rPr>
          <w:rFonts w:ascii="Book Antiqua" w:eastAsia="Calibri" w:hAnsi="Book Antiqua" w:cs="Arial"/>
          <w:sz w:val="24"/>
          <w:szCs w:val="24"/>
        </w:rPr>
        <w:t>n a partir del 2018</w:t>
      </w:r>
      <w:r w:rsidRPr="00E575BA">
        <w:rPr>
          <w:rFonts w:ascii="Book Antiqua" w:eastAsia="Calibri" w:hAnsi="Book Antiqua" w:cs="Arial"/>
          <w:sz w:val="24"/>
          <w:szCs w:val="24"/>
        </w:rPr>
        <w:t>.</w:t>
      </w:r>
    </w:p>
    <w:p w14:paraId="5EF17977" w14:textId="77777777" w:rsidR="00E575BA" w:rsidRPr="00E575BA" w:rsidRDefault="00E575BA" w:rsidP="00E575BA">
      <w:pPr>
        <w:spacing w:after="0" w:line="276" w:lineRule="auto"/>
        <w:jc w:val="both"/>
        <w:rPr>
          <w:rFonts w:ascii="Book Antiqua" w:eastAsia="Calibri" w:hAnsi="Book Antiqua" w:cs="Arial"/>
          <w:sz w:val="24"/>
          <w:szCs w:val="24"/>
        </w:rPr>
      </w:pPr>
    </w:p>
    <w:p w14:paraId="70CDB946" w14:textId="566C6699" w:rsidR="00E575BA" w:rsidRPr="0042149B" w:rsidRDefault="00E575BA" w:rsidP="00E575BA">
      <w:pPr>
        <w:keepNext/>
        <w:numPr>
          <w:ilvl w:val="12"/>
          <w:numId w:val="0"/>
        </w:numPr>
        <w:spacing w:after="0" w:line="276" w:lineRule="auto"/>
        <w:jc w:val="center"/>
        <w:rPr>
          <w:rFonts w:ascii="Book Antiqua" w:eastAsia="Calibri" w:hAnsi="Book Antiqua" w:cs="Arial"/>
          <w:b/>
          <w:bCs/>
          <w:color w:val="1F497D"/>
          <w:lang w:val="es-ES" w:eastAsia="es-ES"/>
        </w:rPr>
      </w:pPr>
      <w:r w:rsidRPr="0042149B">
        <w:rPr>
          <w:rFonts w:ascii="Book Antiqua" w:eastAsia="Calibri" w:hAnsi="Book Antiqua" w:cs="Arial"/>
          <w:b/>
          <w:bCs/>
          <w:color w:val="1F497D"/>
          <w:lang w:val="es-ES" w:eastAsia="es-ES"/>
        </w:rPr>
        <w:t xml:space="preserve">Gráfico </w:t>
      </w:r>
      <w:r w:rsidRPr="0042149B">
        <w:rPr>
          <w:rFonts w:ascii="Book Antiqua" w:eastAsia="Calibri" w:hAnsi="Book Antiqua" w:cs="Arial"/>
          <w:b/>
          <w:bCs/>
          <w:color w:val="1F497D"/>
          <w:lang w:val="es-ES" w:eastAsia="es-ES"/>
        </w:rPr>
        <w:fldChar w:fldCharType="begin"/>
      </w:r>
      <w:r w:rsidRPr="0042149B">
        <w:rPr>
          <w:rFonts w:ascii="Book Antiqua" w:eastAsia="Calibri" w:hAnsi="Book Antiqua" w:cs="Arial"/>
          <w:b/>
          <w:bCs/>
          <w:color w:val="1F497D"/>
          <w:lang w:val="es-ES" w:eastAsia="es-ES"/>
        </w:rPr>
        <w:instrText xml:space="preserve"> SEQ Gráfico \* ARABIC </w:instrText>
      </w:r>
      <w:r w:rsidRPr="0042149B">
        <w:rPr>
          <w:rFonts w:ascii="Book Antiqua" w:eastAsia="Calibri" w:hAnsi="Book Antiqua" w:cs="Arial"/>
          <w:b/>
          <w:bCs/>
          <w:color w:val="1F497D"/>
          <w:lang w:val="es-ES" w:eastAsia="es-ES"/>
        </w:rPr>
        <w:fldChar w:fldCharType="separate"/>
      </w:r>
      <w:r w:rsidR="009B739E" w:rsidRPr="0042149B">
        <w:rPr>
          <w:rFonts w:ascii="Book Antiqua" w:eastAsia="Calibri" w:hAnsi="Book Antiqua" w:cs="Arial"/>
          <w:b/>
          <w:bCs/>
          <w:noProof/>
          <w:color w:val="1F497D"/>
          <w:lang w:val="es-ES" w:eastAsia="es-ES"/>
        </w:rPr>
        <w:t>4</w:t>
      </w:r>
      <w:r w:rsidRPr="0042149B">
        <w:rPr>
          <w:rFonts w:ascii="Book Antiqua" w:eastAsia="Calibri" w:hAnsi="Book Antiqua" w:cs="Arial"/>
          <w:b/>
          <w:bCs/>
          <w:color w:val="1F497D"/>
          <w:lang w:val="es-ES" w:eastAsia="es-ES"/>
        </w:rPr>
        <w:fldChar w:fldCharType="end"/>
      </w:r>
    </w:p>
    <w:p w14:paraId="406AEDD8" w14:textId="77777777" w:rsidR="0042149B" w:rsidRDefault="00E575BA" w:rsidP="00E575BA">
      <w:pPr>
        <w:keepNext/>
        <w:numPr>
          <w:ilvl w:val="12"/>
          <w:numId w:val="0"/>
        </w:numPr>
        <w:spacing w:after="0" w:line="276" w:lineRule="auto"/>
        <w:jc w:val="center"/>
        <w:rPr>
          <w:rFonts w:ascii="Book Antiqua" w:eastAsia="Times New Roman" w:hAnsi="Book Antiqua" w:cs="Arial"/>
          <w:b/>
          <w:bCs/>
          <w:color w:val="1F497D"/>
          <w:lang w:eastAsia="es-ES"/>
        </w:rPr>
      </w:pPr>
      <w:r w:rsidRPr="0042149B">
        <w:rPr>
          <w:rFonts w:ascii="Book Antiqua" w:eastAsia="Times New Roman" w:hAnsi="Book Antiqua" w:cs="Arial"/>
          <w:b/>
          <w:bCs/>
          <w:color w:val="1F497D"/>
          <w:lang w:eastAsia="es-ES"/>
        </w:rPr>
        <w:t xml:space="preserve">Movimiento histórico de los asuntos terminados en segunda instancia </w:t>
      </w:r>
    </w:p>
    <w:p w14:paraId="09D14938" w14:textId="77777777" w:rsidR="0042149B" w:rsidRDefault="00E575BA" w:rsidP="00E575BA">
      <w:pPr>
        <w:keepNext/>
        <w:numPr>
          <w:ilvl w:val="12"/>
          <w:numId w:val="0"/>
        </w:numPr>
        <w:spacing w:after="0" w:line="276" w:lineRule="auto"/>
        <w:jc w:val="center"/>
        <w:rPr>
          <w:rFonts w:ascii="Book Antiqua" w:eastAsia="Times New Roman" w:hAnsi="Book Antiqua" w:cs="Arial"/>
          <w:b/>
          <w:bCs/>
          <w:color w:val="1F497D"/>
          <w:lang w:eastAsia="es-ES"/>
        </w:rPr>
      </w:pPr>
      <w:r w:rsidRPr="0042149B">
        <w:rPr>
          <w:rFonts w:ascii="Book Antiqua" w:eastAsia="Times New Roman" w:hAnsi="Book Antiqua" w:cs="Arial"/>
          <w:b/>
          <w:bCs/>
          <w:color w:val="1F497D"/>
          <w:lang w:eastAsia="es-ES"/>
        </w:rPr>
        <w:t xml:space="preserve">e incidentes en los Juzgados Especializados de la materia de Familia, </w:t>
      </w:r>
    </w:p>
    <w:p w14:paraId="1F49939D" w14:textId="61335859" w:rsidR="00E575BA" w:rsidRPr="0042149B" w:rsidRDefault="00E575BA" w:rsidP="00E575BA">
      <w:pPr>
        <w:keepNext/>
        <w:numPr>
          <w:ilvl w:val="12"/>
          <w:numId w:val="0"/>
        </w:numPr>
        <w:spacing w:after="0" w:line="276" w:lineRule="auto"/>
        <w:jc w:val="center"/>
        <w:rPr>
          <w:rFonts w:ascii="Book Antiqua" w:eastAsia="Times New Roman" w:hAnsi="Book Antiqua" w:cs="Arial"/>
          <w:b/>
          <w:bCs/>
          <w:color w:val="1F497D"/>
          <w:lang w:eastAsia="es-ES"/>
        </w:rPr>
      </w:pPr>
      <w:r w:rsidRPr="0042149B">
        <w:rPr>
          <w:rFonts w:ascii="Book Antiqua" w:eastAsia="Times New Roman" w:hAnsi="Book Antiqua" w:cs="Arial"/>
          <w:b/>
          <w:bCs/>
          <w:color w:val="1F497D"/>
          <w:lang w:eastAsia="es-ES"/>
        </w:rPr>
        <w:t>del 2018 al 20</w:t>
      </w:r>
      <w:r w:rsidR="00B45ABF" w:rsidRPr="0042149B">
        <w:rPr>
          <w:rFonts w:ascii="Book Antiqua" w:eastAsia="Times New Roman" w:hAnsi="Book Antiqua" w:cs="Arial"/>
          <w:b/>
          <w:bCs/>
          <w:color w:val="1F497D"/>
          <w:lang w:eastAsia="es-ES"/>
        </w:rPr>
        <w:t>2</w:t>
      </w:r>
      <w:r w:rsidR="000C2758" w:rsidRPr="0042149B">
        <w:rPr>
          <w:rFonts w:ascii="Book Antiqua" w:eastAsia="Times New Roman" w:hAnsi="Book Antiqua" w:cs="Arial"/>
          <w:b/>
          <w:bCs/>
          <w:color w:val="1F497D"/>
          <w:lang w:eastAsia="es-ES"/>
        </w:rPr>
        <w:t>2</w:t>
      </w:r>
    </w:p>
    <w:p w14:paraId="5B2549D5" w14:textId="60F04486" w:rsidR="00462E4A" w:rsidRDefault="002D7FB0" w:rsidP="00606CFA">
      <w:pPr>
        <w:spacing w:after="0" w:line="240" w:lineRule="auto"/>
        <w:jc w:val="center"/>
        <w:rPr>
          <w:rFonts w:ascii="Book Antiqua" w:hAnsi="Book Antiqua"/>
          <w:sz w:val="24"/>
          <w:szCs w:val="24"/>
        </w:rPr>
      </w:pPr>
      <w:r>
        <w:rPr>
          <w:noProof/>
        </w:rPr>
        <w:drawing>
          <wp:inline distT="0" distB="0" distL="0" distR="0" wp14:anchorId="7C81C595" wp14:editId="1985DD77">
            <wp:extent cx="4572000" cy="2774950"/>
            <wp:effectExtent l="0" t="0" r="0" b="6350"/>
            <wp:docPr id="7" name="Gráfico 7">
              <a:extLst xmlns:a="http://schemas.openxmlformats.org/drawingml/2006/main">
                <a:ext uri="{FF2B5EF4-FFF2-40B4-BE49-F238E27FC236}">
                  <a16:creationId xmlns:a16="http://schemas.microsoft.com/office/drawing/2014/main" id="{B0176BB2-CCF5-4778-BD11-6F3DF2ED88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908A2FD" w14:textId="77777777"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0C2758">
        <w:rPr>
          <w:rFonts w:ascii="Book Antiqua" w:hAnsi="Book Antiqua"/>
          <w:b/>
          <w:bCs/>
          <w:i/>
          <w:iCs/>
          <w:sz w:val="20"/>
          <w:szCs w:val="20"/>
        </w:rPr>
        <w:t>Fuente:</w:t>
      </w:r>
      <w:r w:rsidRPr="00680793">
        <w:rPr>
          <w:rFonts w:ascii="Book Antiqua" w:hAnsi="Book Antiqua"/>
          <w:i/>
          <w:iCs/>
          <w:sz w:val="20"/>
          <w:szCs w:val="20"/>
        </w:rPr>
        <w:t xml:space="preserve"> Subproceso de Modernización Institucional, con datos del Subproceso de Estadística </w:t>
      </w:r>
    </w:p>
    <w:p w14:paraId="25BAD34C" w14:textId="77777777" w:rsidR="00606CFA"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del 2017 al 202</w:t>
      </w:r>
      <w:r w:rsidR="00606CFA">
        <w:rPr>
          <w:rFonts w:ascii="Book Antiqua" w:hAnsi="Book Antiqua"/>
          <w:i/>
          <w:iCs/>
          <w:sz w:val="20"/>
          <w:szCs w:val="20"/>
        </w:rPr>
        <w:t>2 y consulta de SIGMA</w:t>
      </w:r>
      <w:r w:rsidRPr="00680793">
        <w:rPr>
          <w:rFonts w:ascii="Book Antiqua" w:hAnsi="Book Antiqua"/>
          <w:i/>
          <w:iCs/>
          <w:sz w:val="20"/>
          <w:szCs w:val="20"/>
        </w:rPr>
        <w:t xml:space="preserve"> (los datos de incidentes y segunda instancia se registran </w:t>
      </w:r>
    </w:p>
    <w:p w14:paraId="6837D3AE" w14:textId="4C907013" w:rsidR="00680793" w:rsidRDefault="00606CFA"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00680793" w:rsidRPr="00680793">
        <w:rPr>
          <w:rFonts w:ascii="Book Antiqua" w:hAnsi="Book Antiqua"/>
          <w:i/>
          <w:iCs/>
          <w:sz w:val="20"/>
          <w:szCs w:val="20"/>
        </w:rPr>
        <w:t>a partir del 201</w:t>
      </w:r>
      <w:r>
        <w:rPr>
          <w:rFonts w:ascii="Book Antiqua" w:hAnsi="Book Antiqua"/>
          <w:i/>
          <w:iCs/>
          <w:sz w:val="20"/>
          <w:szCs w:val="20"/>
        </w:rPr>
        <w:t>8</w:t>
      </w:r>
      <w:r w:rsidR="00680793" w:rsidRPr="00680793">
        <w:rPr>
          <w:rFonts w:ascii="Book Antiqua" w:hAnsi="Book Antiqua"/>
          <w:i/>
          <w:iCs/>
          <w:sz w:val="20"/>
          <w:szCs w:val="20"/>
        </w:rPr>
        <w:t>).</w:t>
      </w:r>
    </w:p>
    <w:p w14:paraId="1A514161" w14:textId="77777777" w:rsidR="000727BD" w:rsidRDefault="000727BD" w:rsidP="000727BD">
      <w:pPr>
        <w:spacing w:after="10" w:line="276" w:lineRule="auto"/>
        <w:jc w:val="both"/>
        <w:rPr>
          <w:rFonts w:ascii="Book Antiqua" w:hAnsi="Book Antiqua"/>
          <w:i/>
          <w:iCs/>
          <w:sz w:val="20"/>
          <w:szCs w:val="20"/>
        </w:rPr>
      </w:pPr>
    </w:p>
    <w:p w14:paraId="3F41B4BE" w14:textId="27857D85" w:rsidR="00443B6B" w:rsidRPr="00443B6B" w:rsidRDefault="00443B6B" w:rsidP="00443B6B">
      <w:pPr>
        <w:spacing w:after="0" w:line="276" w:lineRule="auto"/>
        <w:jc w:val="both"/>
        <w:rPr>
          <w:rFonts w:ascii="Book Antiqua" w:eastAsia="Calibri" w:hAnsi="Book Antiqua" w:cs="Arial"/>
          <w:sz w:val="24"/>
          <w:szCs w:val="24"/>
        </w:rPr>
      </w:pPr>
      <w:r w:rsidRPr="00443B6B">
        <w:rPr>
          <w:rFonts w:ascii="Book Antiqua" w:eastAsia="Calibri" w:hAnsi="Book Antiqua" w:cs="Arial"/>
          <w:sz w:val="24"/>
          <w:szCs w:val="24"/>
        </w:rPr>
        <w:t xml:space="preserve">En cuanto a la cantidad de asuntos que se resolvieron en segunda instancia, se tiene </w:t>
      </w:r>
      <w:r w:rsidR="00380ACA" w:rsidRPr="00443B6B">
        <w:rPr>
          <w:rFonts w:ascii="Book Antiqua" w:eastAsia="Calibri" w:hAnsi="Book Antiqua" w:cs="Arial"/>
          <w:sz w:val="24"/>
          <w:szCs w:val="24"/>
        </w:rPr>
        <w:t>una disminución</w:t>
      </w:r>
      <w:r w:rsidR="0042149B">
        <w:rPr>
          <w:rFonts w:ascii="Book Antiqua" w:eastAsia="Calibri" w:hAnsi="Book Antiqua" w:cs="Arial"/>
          <w:sz w:val="24"/>
          <w:szCs w:val="24"/>
        </w:rPr>
        <w:t xml:space="preserve"> </w:t>
      </w:r>
      <w:r w:rsidRPr="00443B6B">
        <w:rPr>
          <w:rFonts w:ascii="Book Antiqua" w:eastAsia="Calibri" w:hAnsi="Book Antiqua" w:cs="Arial"/>
          <w:sz w:val="24"/>
          <w:szCs w:val="24"/>
        </w:rPr>
        <w:t xml:space="preserve">de </w:t>
      </w:r>
      <w:r w:rsidR="002D7FB0">
        <w:rPr>
          <w:rFonts w:ascii="Book Antiqua" w:eastAsia="Calibri" w:hAnsi="Book Antiqua" w:cs="Arial"/>
          <w:sz w:val="24"/>
          <w:szCs w:val="24"/>
        </w:rPr>
        <w:t>6</w:t>
      </w:r>
      <w:r w:rsidR="0042149B">
        <w:rPr>
          <w:rFonts w:ascii="Book Antiqua" w:eastAsia="Calibri" w:hAnsi="Book Antiqua" w:cs="Arial"/>
          <w:sz w:val="24"/>
          <w:szCs w:val="24"/>
        </w:rPr>
        <w:t>2</w:t>
      </w:r>
      <w:r w:rsidR="002D7FB0">
        <w:rPr>
          <w:rFonts w:ascii="Book Antiqua" w:eastAsia="Calibri" w:hAnsi="Book Antiqua" w:cs="Arial"/>
          <w:sz w:val="24"/>
          <w:szCs w:val="24"/>
        </w:rPr>
        <w:t>0</w:t>
      </w:r>
      <w:r w:rsidRPr="00A85E8E">
        <w:rPr>
          <w:rFonts w:ascii="Book Antiqua" w:eastAsia="Calibri" w:hAnsi="Book Antiqua" w:cs="Arial"/>
          <w:sz w:val="24"/>
          <w:szCs w:val="24"/>
        </w:rPr>
        <w:t xml:space="preserve"> (</w:t>
      </w:r>
      <w:r w:rsidR="002D7FB0">
        <w:rPr>
          <w:rFonts w:ascii="Book Antiqua" w:eastAsia="Calibri" w:hAnsi="Book Antiqua" w:cs="Arial"/>
          <w:sz w:val="24"/>
          <w:szCs w:val="24"/>
        </w:rPr>
        <w:t>12</w:t>
      </w:r>
      <w:r w:rsidRPr="00A85E8E">
        <w:rPr>
          <w:rFonts w:ascii="Book Antiqua" w:eastAsia="Calibri" w:hAnsi="Book Antiqua" w:cs="Arial"/>
          <w:sz w:val="24"/>
          <w:szCs w:val="24"/>
        </w:rPr>
        <w:t>%) asuntos m</w:t>
      </w:r>
      <w:r w:rsidR="0042149B">
        <w:rPr>
          <w:rFonts w:ascii="Book Antiqua" w:eastAsia="Calibri" w:hAnsi="Book Antiqua" w:cs="Arial"/>
          <w:sz w:val="24"/>
          <w:szCs w:val="24"/>
        </w:rPr>
        <w:t xml:space="preserve">enos </w:t>
      </w:r>
      <w:r w:rsidRPr="00A85E8E">
        <w:rPr>
          <w:rFonts w:ascii="Book Antiqua" w:eastAsia="Calibri" w:hAnsi="Book Antiqua" w:cs="Arial"/>
          <w:sz w:val="24"/>
          <w:szCs w:val="24"/>
        </w:rPr>
        <w:t>en el 20</w:t>
      </w:r>
      <w:r w:rsidR="00AD1BB7" w:rsidRPr="00A85E8E">
        <w:rPr>
          <w:rFonts w:ascii="Book Antiqua" w:eastAsia="Calibri" w:hAnsi="Book Antiqua" w:cs="Arial"/>
          <w:sz w:val="24"/>
          <w:szCs w:val="24"/>
        </w:rPr>
        <w:t>2</w:t>
      </w:r>
      <w:r w:rsidR="0042149B">
        <w:rPr>
          <w:rFonts w:ascii="Book Antiqua" w:eastAsia="Calibri" w:hAnsi="Book Antiqua" w:cs="Arial"/>
          <w:sz w:val="24"/>
          <w:szCs w:val="24"/>
        </w:rPr>
        <w:t>2</w:t>
      </w:r>
      <w:r w:rsidRPr="00A85E8E">
        <w:rPr>
          <w:rFonts w:ascii="Book Antiqua" w:eastAsia="Calibri" w:hAnsi="Book Antiqua" w:cs="Arial"/>
          <w:sz w:val="24"/>
          <w:szCs w:val="24"/>
        </w:rPr>
        <w:t xml:space="preserve"> en comparación con su antecesor el 20</w:t>
      </w:r>
      <w:r w:rsidR="00AD1BB7" w:rsidRPr="00A85E8E">
        <w:rPr>
          <w:rFonts w:ascii="Book Antiqua" w:eastAsia="Calibri" w:hAnsi="Book Antiqua" w:cs="Arial"/>
          <w:sz w:val="24"/>
          <w:szCs w:val="24"/>
        </w:rPr>
        <w:t>2</w:t>
      </w:r>
      <w:r w:rsidR="0042149B">
        <w:rPr>
          <w:rFonts w:ascii="Book Antiqua" w:eastAsia="Calibri" w:hAnsi="Book Antiqua" w:cs="Arial"/>
          <w:sz w:val="24"/>
          <w:szCs w:val="24"/>
        </w:rPr>
        <w:t>1</w:t>
      </w:r>
      <w:r w:rsidR="009C20C5">
        <w:rPr>
          <w:rFonts w:ascii="Book Antiqua" w:eastAsia="Calibri" w:hAnsi="Book Antiqua" w:cs="Arial"/>
          <w:sz w:val="24"/>
          <w:szCs w:val="24"/>
        </w:rPr>
        <w:t>. E</w:t>
      </w:r>
      <w:r w:rsidRPr="00A85E8E">
        <w:rPr>
          <w:rFonts w:ascii="Book Antiqua" w:eastAsia="Calibri" w:hAnsi="Book Antiqua" w:cs="Arial"/>
          <w:sz w:val="24"/>
          <w:szCs w:val="24"/>
        </w:rPr>
        <w:t xml:space="preserve">n cuanto a los incidentes, se tiene un </w:t>
      </w:r>
      <w:r w:rsidR="0042149B">
        <w:rPr>
          <w:rFonts w:ascii="Book Antiqua" w:eastAsia="Calibri" w:hAnsi="Book Antiqua" w:cs="Arial"/>
          <w:sz w:val="24"/>
          <w:szCs w:val="24"/>
        </w:rPr>
        <w:t>aumento</w:t>
      </w:r>
      <w:r w:rsidRPr="00A85E8E">
        <w:rPr>
          <w:rFonts w:ascii="Book Antiqua" w:eastAsia="Calibri" w:hAnsi="Book Antiqua" w:cs="Arial"/>
          <w:sz w:val="24"/>
          <w:szCs w:val="24"/>
        </w:rPr>
        <w:t xml:space="preserve"> de un </w:t>
      </w:r>
      <w:r w:rsidR="002D7FB0">
        <w:rPr>
          <w:rFonts w:ascii="Book Antiqua" w:eastAsia="Calibri" w:hAnsi="Book Antiqua" w:cs="Arial"/>
          <w:sz w:val="24"/>
          <w:szCs w:val="24"/>
        </w:rPr>
        <w:t>7</w:t>
      </w:r>
      <w:r w:rsidRPr="00A85E8E">
        <w:rPr>
          <w:rFonts w:ascii="Book Antiqua" w:eastAsia="Calibri" w:hAnsi="Book Antiqua" w:cs="Arial"/>
          <w:sz w:val="24"/>
          <w:szCs w:val="24"/>
        </w:rPr>
        <w:t xml:space="preserve">% </w:t>
      </w:r>
      <w:r w:rsidR="0042149B">
        <w:rPr>
          <w:rFonts w:ascii="Book Antiqua" w:eastAsia="Calibri" w:hAnsi="Book Antiqua" w:cs="Arial"/>
          <w:sz w:val="24"/>
          <w:szCs w:val="24"/>
        </w:rPr>
        <w:t xml:space="preserve">en el 2022 </w:t>
      </w:r>
      <w:r w:rsidRPr="00443B6B">
        <w:rPr>
          <w:rFonts w:ascii="Book Antiqua" w:eastAsia="Calibri" w:hAnsi="Book Antiqua" w:cs="Arial"/>
          <w:sz w:val="24"/>
          <w:szCs w:val="24"/>
        </w:rPr>
        <w:t>con relación a su antecesor el 20</w:t>
      </w:r>
      <w:r w:rsidR="00B22B6F">
        <w:rPr>
          <w:rFonts w:ascii="Book Antiqua" w:eastAsia="Calibri" w:hAnsi="Book Antiqua" w:cs="Arial"/>
          <w:sz w:val="24"/>
          <w:szCs w:val="24"/>
        </w:rPr>
        <w:t>2</w:t>
      </w:r>
      <w:r w:rsidR="0042149B">
        <w:rPr>
          <w:rFonts w:ascii="Book Antiqua" w:eastAsia="Calibri" w:hAnsi="Book Antiqua" w:cs="Arial"/>
          <w:sz w:val="24"/>
          <w:szCs w:val="24"/>
        </w:rPr>
        <w:t>1</w:t>
      </w:r>
      <w:r w:rsidR="00D46A12">
        <w:rPr>
          <w:rFonts w:ascii="Book Antiqua" w:eastAsia="Calibri" w:hAnsi="Book Antiqua" w:cs="Arial"/>
          <w:sz w:val="24"/>
          <w:szCs w:val="24"/>
        </w:rPr>
        <w:t>.</w:t>
      </w:r>
    </w:p>
    <w:p w14:paraId="56BFB942" w14:textId="77777777" w:rsidR="00443B6B" w:rsidRPr="00443B6B" w:rsidRDefault="00443B6B" w:rsidP="00443B6B">
      <w:pPr>
        <w:spacing w:after="0" w:line="276" w:lineRule="auto"/>
        <w:jc w:val="both"/>
        <w:rPr>
          <w:rFonts w:ascii="Book Antiqua" w:eastAsia="Calibri" w:hAnsi="Book Antiqua" w:cs="Arial"/>
          <w:sz w:val="24"/>
          <w:szCs w:val="24"/>
        </w:rPr>
      </w:pPr>
    </w:p>
    <w:p w14:paraId="143309D2" w14:textId="72732AE6" w:rsidR="00443B6B" w:rsidRPr="00443B6B" w:rsidRDefault="00443B6B" w:rsidP="00443B6B">
      <w:pPr>
        <w:spacing w:after="0" w:line="276" w:lineRule="auto"/>
        <w:jc w:val="both"/>
        <w:rPr>
          <w:rFonts w:ascii="Book Antiqua" w:eastAsia="Calibri" w:hAnsi="Book Antiqua" w:cs="Arial"/>
          <w:sz w:val="24"/>
          <w:szCs w:val="24"/>
        </w:rPr>
      </w:pPr>
      <w:r w:rsidRPr="00443B6B">
        <w:rPr>
          <w:rFonts w:ascii="Book Antiqua" w:eastAsia="Calibri" w:hAnsi="Book Antiqua" w:cs="Arial"/>
          <w:sz w:val="24"/>
          <w:szCs w:val="24"/>
        </w:rPr>
        <w:t>A continuación, se detalla la cantidad de asuntos finalizados por persona juzgadora, en los Juzgados Especializados de Familia del país, durante el periodo del 2018 al 20</w:t>
      </w:r>
      <w:r>
        <w:rPr>
          <w:rFonts w:ascii="Book Antiqua" w:eastAsia="Calibri" w:hAnsi="Book Antiqua" w:cs="Arial"/>
          <w:sz w:val="24"/>
          <w:szCs w:val="24"/>
        </w:rPr>
        <w:t>2</w:t>
      </w:r>
      <w:r w:rsidR="0042149B">
        <w:rPr>
          <w:rFonts w:ascii="Book Antiqua" w:eastAsia="Calibri" w:hAnsi="Book Antiqua" w:cs="Arial"/>
          <w:sz w:val="24"/>
          <w:szCs w:val="24"/>
        </w:rPr>
        <w:t>2</w:t>
      </w:r>
      <w:r w:rsidRPr="00443B6B">
        <w:rPr>
          <w:rFonts w:ascii="Book Antiqua" w:eastAsia="Calibri" w:hAnsi="Book Antiqua" w:cs="Arial"/>
          <w:sz w:val="24"/>
          <w:szCs w:val="24"/>
        </w:rPr>
        <w:t xml:space="preserve">. </w:t>
      </w:r>
    </w:p>
    <w:p w14:paraId="050C85E6" w14:textId="4EE02C5D" w:rsidR="00443B6B" w:rsidRDefault="00443B6B" w:rsidP="00443B6B">
      <w:pPr>
        <w:spacing w:after="0" w:line="276" w:lineRule="auto"/>
        <w:jc w:val="both"/>
        <w:rPr>
          <w:rFonts w:ascii="Book Antiqua" w:eastAsia="Calibri" w:hAnsi="Book Antiqua" w:cs="Arial"/>
          <w:sz w:val="24"/>
          <w:szCs w:val="24"/>
        </w:rPr>
      </w:pPr>
    </w:p>
    <w:p w14:paraId="0912D7D6" w14:textId="32EEDD5F" w:rsidR="0093653B" w:rsidRDefault="0093653B" w:rsidP="00443B6B">
      <w:pPr>
        <w:spacing w:after="0" w:line="276" w:lineRule="auto"/>
        <w:jc w:val="both"/>
        <w:rPr>
          <w:rFonts w:ascii="Book Antiqua" w:eastAsia="Calibri" w:hAnsi="Book Antiqua" w:cs="Arial"/>
          <w:sz w:val="24"/>
          <w:szCs w:val="24"/>
        </w:rPr>
      </w:pPr>
    </w:p>
    <w:p w14:paraId="10AF5AEF" w14:textId="77777777" w:rsidR="0093653B" w:rsidRPr="00443B6B" w:rsidRDefault="0093653B" w:rsidP="00443B6B">
      <w:pPr>
        <w:spacing w:after="0" w:line="276" w:lineRule="auto"/>
        <w:jc w:val="both"/>
        <w:rPr>
          <w:rFonts w:ascii="Book Antiqua" w:eastAsia="Calibri" w:hAnsi="Book Antiqua" w:cs="Arial"/>
          <w:sz w:val="24"/>
          <w:szCs w:val="24"/>
        </w:rPr>
      </w:pPr>
    </w:p>
    <w:p w14:paraId="4C797C68" w14:textId="5A56F619" w:rsidR="00443B6B" w:rsidRPr="0042149B" w:rsidRDefault="00443B6B" w:rsidP="00443B6B">
      <w:pPr>
        <w:keepNext/>
        <w:numPr>
          <w:ilvl w:val="12"/>
          <w:numId w:val="0"/>
        </w:numPr>
        <w:spacing w:after="0" w:line="276" w:lineRule="auto"/>
        <w:jc w:val="center"/>
        <w:rPr>
          <w:rFonts w:ascii="Book Antiqua" w:eastAsia="Calibri" w:hAnsi="Book Antiqua" w:cs="Arial"/>
          <w:b/>
          <w:bCs/>
          <w:color w:val="1F497D"/>
          <w:sz w:val="20"/>
          <w:szCs w:val="20"/>
          <w:lang w:val="es-ES" w:eastAsia="es-ES"/>
        </w:rPr>
      </w:pPr>
      <w:r w:rsidRPr="0042149B">
        <w:rPr>
          <w:rFonts w:ascii="Book Antiqua" w:eastAsia="Calibri" w:hAnsi="Book Antiqua" w:cs="Arial"/>
          <w:b/>
          <w:bCs/>
          <w:color w:val="1F497D"/>
          <w:sz w:val="20"/>
          <w:szCs w:val="20"/>
          <w:lang w:val="es-ES" w:eastAsia="es-ES"/>
        </w:rPr>
        <w:t xml:space="preserve">Cuadro </w:t>
      </w:r>
      <w:r w:rsidRPr="0042149B">
        <w:rPr>
          <w:rFonts w:ascii="Book Antiqua" w:eastAsia="Calibri" w:hAnsi="Book Antiqua" w:cs="Arial"/>
          <w:b/>
          <w:bCs/>
          <w:color w:val="1F497D"/>
          <w:sz w:val="20"/>
          <w:szCs w:val="20"/>
          <w:lang w:val="es-ES" w:eastAsia="es-ES"/>
        </w:rPr>
        <w:fldChar w:fldCharType="begin"/>
      </w:r>
      <w:r w:rsidRPr="0042149B">
        <w:rPr>
          <w:rFonts w:ascii="Book Antiqua" w:eastAsia="Calibri" w:hAnsi="Book Antiqua" w:cs="Arial"/>
          <w:b/>
          <w:bCs/>
          <w:color w:val="1F497D"/>
          <w:sz w:val="20"/>
          <w:szCs w:val="20"/>
          <w:lang w:val="es-ES" w:eastAsia="es-ES"/>
        </w:rPr>
        <w:instrText xml:space="preserve"> SEQ Cuadro \* ARABIC </w:instrText>
      </w:r>
      <w:r w:rsidRPr="0042149B">
        <w:rPr>
          <w:rFonts w:ascii="Book Antiqua" w:eastAsia="Calibri" w:hAnsi="Book Antiqua" w:cs="Arial"/>
          <w:b/>
          <w:bCs/>
          <w:color w:val="1F497D"/>
          <w:sz w:val="20"/>
          <w:szCs w:val="20"/>
          <w:lang w:val="es-ES" w:eastAsia="es-ES"/>
        </w:rPr>
        <w:fldChar w:fldCharType="separate"/>
      </w:r>
      <w:r w:rsidR="009B739E" w:rsidRPr="0042149B">
        <w:rPr>
          <w:rFonts w:ascii="Book Antiqua" w:eastAsia="Calibri" w:hAnsi="Book Antiqua" w:cs="Arial"/>
          <w:b/>
          <w:bCs/>
          <w:color w:val="1F497D"/>
          <w:sz w:val="20"/>
          <w:szCs w:val="20"/>
          <w:lang w:val="es-ES" w:eastAsia="es-ES"/>
        </w:rPr>
        <w:t>6</w:t>
      </w:r>
      <w:r w:rsidRPr="0042149B">
        <w:rPr>
          <w:rFonts w:ascii="Book Antiqua" w:eastAsia="Calibri" w:hAnsi="Book Antiqua" w:cs="Arial"/>
          <w:b/>
          <w:bCs/>
          <w:color w:val="1F497D"/>
          <w:sz w:val="20"/>
          <w:szCs w:val="20"/>
          <w:lang w:val="es-ES" w:eastAsia="es-ES"/>
        </w:rPr>
        <w:fldChar w:fldCharType="end"/>
      </w:r>
    </w:p>
    <w:p w14:paraId="1B4445EC" w14:textId="77777777" w:rsidR="00AC4190" w:rsidRPr="00E944DA" w:rsidRDefault="00443B6B" w:rsidP="00443B6B">
      <w:pPr>
        <w:keepNext/>
        <w:numPr>
          <w:ilvl w:val="12"/>
          <w:numId w:val="0"/>
        </w:numPr>
        <w:spacing w:after="0" w:line="276" w:lineRule="auto"/>
        <w:jc w:val="center"/>
        <w:rPr>
          <w:rFonts w:ascii="Book Antiqua" w:eastAsia="Times New Roman" w:hAnsi="Book Antiqua" w:cs="Arial"/>
          <w:b/>
          <w:bCs/>
          <w:color w:val="1F497D"/>
          <w:lang w:eastAsia="es-ES"/>
        </w:rPr>
      </w:pPr>
      <w:r w:rsidRPr="00E944DA">
        <w:rPr>
          <w:rFonts w:ascii="Book Antiqua" w:eastAsia="Times New Roman" w:hAnsi="Book Antiqua" w:cs="Arial"/>
          <w:b/>
          <w:bCs/>
          <w:color w:val="1F497D"/>
          <w:lang w:eastAsia="es-ES"/>
        </w:rPr>
        <w:t xml:space="preserve">Movimiento histórico de la salida por persona juzgadora en los Juzgados </w:t>
      </w:r>
    </w:p>
    <w:p w14:paraId="6BA66FEE" w14:textId="13B087B5" w:rsidR="00443B6B" w:rsidRDefault="00443B6B" w:rsidP="00443B6B">
      <w:pPr>
        <w:keepNext/>
        <w:numPr>
          <w:ilvl w:val="12"/>
          <w:numId w:val="0"/>
        </w:numPr>
        <w:spacing w:after="0" w:line="276" w:lineRule="auto"/>
        <w:jc w:val="center"/>
        <w:rPr>
          <w:rFonts w:ascii="Book Antiqua" w:eastAsia="Times New Roman" w:hAnsi="Book Antiqua" w:cs="Arial"/>
          <w:b/>
          <w:bCs/>
          <w:color w:val="1F497D"/>
          <w:lang w:eastAsia="es-ES"/>
        </w:rPr>
      </w:pPr>
      <w:r w:rsidRPr="00E944DA">
        <w:rPr>
          <w:rFonts w:ascii="Book Antiqua" w:eastAsia="Times New Roman" w:hAnsi="Book Antiqua" w:cs="Arial"/>
          <w:b/>
          <w:bCs/>
          <w:color w:val="1F497D"/>
          <w:lang w:eastAsia="es-ES"/>
        </w:rPr>
        <w:t>Especializados de la materia de Familia, del 201</w:t>
      </w:r>
      <w:r w:rsidR="007339CB" w:rsidRPr="00E944DA">
        <w:rPr>
          <w:rFonts w:ascii="Book Antiqua" w:eastAsia="Times New Roman" w:hAnsi="Book Antiqua" w:cs="Arial"/>
          <w:b/>
          <w:bCs/>
          <w:color w:val="1F497D"/>
          <w:lang w:eastAsia="es-ES"/>
        </w:rPr>
        <w:t>7</w:t>
      </w:r>
      <w:r w:rsidRPr="00E944DA">
        <w:rPr>
          <w:rFonts w:ascii="Book Antiqua" w:eastAsia="Times New Roman" w:hAnsi="Book Antiqua" w:cs="Arial"/>
          <w:b/>
          <w:bCs/>
          <w:color w:val="1F497D"/>
          <w:lang w:eastAsia="es-ES"/>
        </w:rPr>
        <w:t xml:space="preserve"> al 202</w:t>
      </w:r>
      <w:r w:rsidR="0042149B" w:rsidRPr="00E944DA">
        <w:rPr>
          <w:rFonts w:ascii="Book Antiqua" w:eastAsia="Times New Roman" w:hAnsi="Book Antiqua" w:cs="Arial"/>
          <w:b/>
          <w:bCs/>
          <w:color w:val="1F497D"/>
          <w:lang w:eastAsia="es-ES"/>
        </w:rPr>
        <w:t>2</w:t>
      </w:r>
    </w:p>
    <w:tbl>
      <w:tblPr>
        <w:tblW w:w="10763" w:type="dxa"/>
        <w:jc w:val="center"/>
        <w:tblCellMar>
          <w:left w:w="70" w:type="dxa"/>
          <w:right w:w="70" w:type="dxa"/>
        </w:tblCellMar>
        <w:tblLook w:val="04A0" w:firstRow="1" w:lastRow="0" w:firstColumn="1" w:lastColumn="0" w:noHBand="0" w:noVBand="1"/>
      </w:tblPr>
      <w:tblGrid>
        <w:gridCol w:w="3660"/>
        <w:gridCol w:w="1300"/>
        <w:gridCol w:w="1340"/>
        <w:gridCol w:w="2380"/>
        <w:gridCol w:w="2083"/>
      </w:tblGrid>
      <w:tr w:rsidR="00EC3893" w:rsidRPr="00EC3893" w14:paraId="26376634" w14:textId="77777777" w:rsidTr="00612E7C">
        <w:trPr>
          <w:trHeight w:val="790"/>
          <w:jc w:val="center"/>
        </w:trPr>
        <w:tc>
          <w:tcPr>
            <w:tcW w:w="366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159F8ACF"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Motivo de termino</w:t>
            </w:r>
          </w:p>
        </w:tc>
        <w:tc>
          <w:tcPr>
            <w:tcW w:w="1300" w:type="dxa"/>
            <w:tcBorders>
              <w:top w:val="single" w:sz="8" w:space="0" w:color="auto"/>
              <w:left w:val="nil"/>
              <w:bottom w:val="nil"/>
              <w:right w:val="single" w:sz="8" w:space="0" w:color="auto"/>
            </w:tcBorders>
            <w:shd w:val="clear" w:color="000000" w:fill="002060"/>
            <w:vAlign w:val="center"/>
            <w:hideMark/>
          </w:tcPr>
          <w:p w14:paraId="249CF68D"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 xml:space="preserve">Terminados Total </w:t>
            </w:r>
            <w:r w:rsidRPr="00EC3893">
              <w:rPr>
                <w:rFonts w:ascii="Book Antiqua" w:eastAsia="Times New Roman" w:hAnsi="Book Antiqua" w:cs="Calibri"/>
                <w:b/>
                <w:bCs/>
                <w:color w:val="FFFFFF"/>
                <w:sz w:val="20"/>
                <w:szCs w:val="20"/>
                <w:lang w:eastAsia="es-CR"/>
              </w:rPr>
              <w:br/>
              <w:t>2017-2022</w:t>
            </w:r>
          </w:p>
        </w:tc>
        <w:tc>
          <w:tcPr>
            <w:tcW w:w="1340" w:type="dxa"/>
            <w:tcBorders>
              <w:top w:val="single" w:sz="8" w:space="0" w:color="auto"/>
              <w:left w:val="nil"/>
              <w:bottom w:val="nil"/>
              <w:right w:val="single" w:sz="8" w:space="0" w:color="auto"/>
            </w:tcBorders>
            <w:shd w:val="clear" w:color="000000" w:fill="002060"/>
            <w:vAlign w:val="center"/>
            <w:hideMark/>
          </w:tcPr>
          <w:p w14:paraId="34AB4069"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 xml:space="preserve">Promedio mensual de Terminado </w:t>
            </w:r>
          </w:p>
        </w:tc>
        <w:tc>
          <w:tcPr>
            <w:tcW w:w="2380" w:type="dxa"/>
            <w:tcBorders>
              <w:top w:val="single" w:sz="8" w:space="0" w:color="auto"/>
              <w:left w:val="nil"/>
              <w:bottom w:val="nil"/>
              <w:right w:val="single" w:sz="8" w:space="0" w:color="auto"/>
            </w:tcBorders>
            <w:shd w:val="clear" w:color="000000" w:fill="002060"/>
            <w:vAlign w:val="center"/>
            <w:hideMark/>
          </w:tcPr>
          <w:p w14:paraId="28D2D709"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Porcentaje Promedio de terminado</w:t>
            </w:r>
          </w:p>
        </w:tc>
        <w:tc>
          <w:tcPr>
            <w:tcW w:w="2083" w:type="dxa"/>
            <w:tcBorders>
              <w:top w:val="single" w:sz="8" w:space="0" w:color="auto"/>
              <w:left w:val="nil"/>
              <w:bottom w:val="nil"/>
              <w:right w:val="single" w:sz="8" w:space="0" w:color="auto"/>
            </w:tcBorders>
            <w:shd w:val="clear" w:color="000000" w:fill="002060"/>
            <w:vAlign w:val="center"/>
            <w:hideMark/>
          </w:tcPr>
          <w:p w14:paraId="3B903469"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 xml:space="preserve">Terminado por tipo por Juez por Mes </w:t>
            </w:r>
          </w:p>
        </w:tc>
      </w:tr>
      <w:tr w:rsidR="00EC3893" w:rsidRPr="00EC3893" w14:paraId="40530160" w14:textId="77777777" w:rsidTr="00612E7C">
        <w:trPr>
          <w:trHeight w:val="300"/>
          <w:jc w:val="center"/>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3658AC5D" w14:textId="77777777" w:rsidR="00EC3893" w:rsidRPr="00EC3893" w:rsidRDefault="00EC3893" w:rsidP="00EC3893">
            <w:pPr>
              <w:spacing w:after="0" w:line="240" w:lineRule="auto"/>
              <w:jc w:val="both"/>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Sentencia dictada</w:t>
            </w:r>
          </w:p>
        </w:tc>
        <w:tc>
          <w:tcPr>
            <w:tcW w:w="1300" w:type="dxa"/>
            <w:tcBorders>
              <w:top w:val="single" w:sz="8" w:space="0" w:color="auto"/>
              <w:left w:val="nil"/>
              <w:bottom w:val="single" w:sz="8" w:space="0" w:color="auto"/>
              <w:right w:val="single" w:sz="8" w:space="0" w:color="auto"/>
            </w:tcBorders>
            <w:shd w:val="clear" w:color="000000" w:fill="FFFFFF"/>
            <w:vAlign w:val="center"/>
            <w:hideMark/>
          </w:tcPr>
          <w:p w14:paraId="02D92C9A"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52812</w:t>
            </w:r>
          </w:p>
        </w:tc>
        <w:tc>
          <w:tcPr>
            <w:tcW w:w="1340" w:type="dxa"/>
            <w:tcBorders>
              <w:top w:val="single" w:sz="8" w:space="0" w:color="auto"/>
              <w:left w:val="nil"/>
              <w:bottom w:val="single" w:sz="8" w:space="0" w:color="auto"/>
              <w:right w:val="single" w:sz="8" w:space="0" w:color="auto"/>
            </w:tcBorders>
            <w:shd w:val="clear" w:color="000000" w:fill="FFFFFF"/>
            <w:noWrap/>
            <w:vAlign w:val="center"/>
            <w:hideMark/>
          </w:tcPr>
          <w:p w14:paraId="6090C7FD"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782</w:t>
            </w:r>
          </w:p>
        </w:tc>
        <w:tc>
          <w:tcPr>
            <w:tcW w:w="2380" w:type="dxa"/>
            <w:tcBorders>
              <w:top w:val="single" w:sz="8" w:space="0" w:color="auto"/>
              <w:left w:val="nil"/>
              <w:bottom w:val="single" w:sz="8" w:space="0" w:color="auto"/>
              <w:right w:val="single" w:sz="8" w:space="0" w:color="auto"/>
            </w:tcBorders>
            <w:shd w:val="clear" w:color="000000" w:fill="FFFFFF"/>
            <w:vAlign w:val="center"/>
            <w:hideMark/>
          </w:tcPr>
          <w:p w14:paraId="2D553005"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40%</w:t>
            </w:r>
          </w:p>
        </w:tc>
        <w:tc>
          <w:tcPr>
            <w:tcW w:w="2083" w:type="dxa"/>
            <w:tcBorders>
              <w:top w:val="single" w:sz="8" w:space="0" w:color="auto"/>
              <w:left w:val="nil"/>
              <w:bottom w:val="single" w:sz="8" w:space="0" w:color="auto"/>
              <w:right w:val="single" w:sz="8" w:space="0" w:color="auto"/>
            </w:tcBorders>
            <w:shd w:val="clear" w:color="000000" w:fill="FFFFFF"/>
            <w:vAlign w:val="center"/>
            <w:hideMark/>
          </w:tcPr>
          <w:p w14:paraId="38200B01"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22</w:t>
            </w:r>
          </w:p>
        </w:tc>
      </w:tr>
      <w:tr w:rsidR="00EC3893" w:rsidRPr="00EC3893" w14:paraId="5AA5F8CD" w14:textId="77777777" w:rsidTr="00612E7C">
        <w:trPr>
          <w:trHeight w:val="300"/>
          <w:jc w:val="center"/>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4B689BD0" w14:textId="77777777" w:rsidR="00EC3893" w:rsidRPr="00EC3893" w:rsidRDefault="00EC3893" w:rsidP="00EC3893">
            <w:pPr>
              <w:spacing w:after="0" w:line="240" w:lineRule="auto"/>
              <w:jc w:val="both"/>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Divorcio o separación por mutuo</w:t>
            </w:r>
          </w:p>
        </w:tc>
        <w:tc>
          <w:tcPr>
            <w:tcW w:w="1300" w:type="dxa"/>
            <w:tcBorders>
              <w:top w:val="nil"/>
              <w:left w:val="nil"/>
              <w:bottom w:val="single" w:sz="8" w:space="0" w:color="auto"/>
              <w:right w:val="single" w:sz="8" w:space="0" w:color="auto"/>
            </w:tcBorders>
            <w:shd w:val="clear" w:color="auto" w:fill="auto"/>
            <w:vAlign w:val="center"/>
            <w:hideMark/>
          </w:tcPr>
          <w:p w14:paraId="072E4F89"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26603</w:t>
            </w:r>
          </w:p>
        </w:tc>
        <w:tc>
          <w:tcPr>
            <w:tcW w:w="1340" w:type="dxa"/>
            <w:tcBorders>
              <w:top w:val="nil"/>
              <w:left w:val="nil"/>
              <w:bottom w:val="single" w:sz="8" w:space="0" w:color="auto"/>
              <w:right w:val="single" w:sz="8" w:space="0" w:color="auto"/>
            </w:tcBorders>
            <w:shd w:val="clear" w:color="auto" w:fill="auto"/>
            <w:noWrap/>
            <w:vAlign w:val="center"/>
            <w:hideMark/>
          </w:tcPr>
          <w:p w14:paraId="16ADED80"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394</w:t>
            </w:r>
          </w:p>
        </w:tc>
        <w:tc>
          <w:tcPr>
            <w:tcW w:w="2380" w:type="dxa"/>
            <w:tcBorders>
              <w:top w:val="nil"/>
              <w:left w:val="nil"/>
              <w:bottom w:val="single" w:sz="8" w:space="0" w:color="auto"/>
              <w:right w:val="single" w:sz="8" w:space="0" w:color="auto"/>
            </w:tcBorders>
            <w:shd w:val="clear" w:color="auto" w:fill="auto"/>
            <w:vAlign w:val="center"/>
            <w:hideMark/>
          </w:tcPr>
          <w:p w14:paraId="297CF9DB"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20%</w:t>
            </w:r>
          </w:p>
        </w:tc>
        <w:tc>
          <w:tcPr>
            <w:tcW w:w="2083" w:type="dxa"/>
            <w:tcBorders>
              <w:top w:val="nil"/>
              <w:left w:val="nil"/>
              <w:bottom w:val="single" w:sz="8" w:space="0" w:color="auto"/>
              <w:right w:val="single" w:sz="8" w:space="0" w:color="auto"/>
            </w:tcBorders>
            <w:shd w:val="clear" w:color="auto" w:fill="auto"/>
            <w:vAlign w:val="center"/>
            <w:hideMark/>
          </w:tcPr>
          <w:p w14:paraId="3A89FC6F"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11</w:t>
            </w:r>
          </w:p>
        </w:tc>
      </w:tr>
      <w:tr w:rsidR="00EC3893" w:rsidRPr="00EC3893" w14:paraId="12E014B0" w14:textId="77777777" w:rsidTr="00612E7C">
        <w:trPr>
          <w:trHeight w:val="300"/>
          <w:jc w:val="center"/>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2C46BF71" w14:textId="77777777" w:rsidR="00EC3893" w:rsidRPr="00EC3893" w:rsidRDefault="00EC3893" w:rsidP="00EC3893">
            <w:pPr>
              <w:spacing w:after="0" w:line="240" w:lineRule="auto"/>
              <w:jc w:val="both"/>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Sentencia de segunda instancia</w:t>
            </w:r>
          </w:p>
        </w:tc>
        <w:tc>
          <w:tcPr>
            <w:tcW w:w="1300" w:type="dxa"/>
            <w:tcBorders>
              <w:top w:val="nil"/>
              <w:left w:val="nil"/>
              <w:bottom w:val="single" w:sz="8" w:space="0" w:color="auto"/>
              <w:right w:val="single" w:sz="8" w:space="0" w:color="auto"/>
            </w:tcBorders>
            <w:shd w:val="clear" w:color="auto" w:fill="auto"/>
            <w:vAlign w:val="center"/>
            <w:hideMark/>
          </w:tcPr>
          <w:p w14:paraId="312B2C44"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23791</w:t>
            </w:r>
          </w:p>
        </w:tc>
        <w:tc>
          <w:tcPr>
            <w:tcW w:w="1340" w:type="dxa"/>
            <w:tcBorders>
              <w:top w:val="nil"/>
              <w:left w:val="nil"/>
              <w:bottom w:val="single" w:sz="8" w:space="0" w:color="auto"/>
              <w:right w:val="single" w:sz="8" w:space="0" w:color="auto"/>
            </w:tcBorders>
            <w:shd w:val="clear" w:color="auto" w:fill="auto"/>
            <w:noWrap/>
            <w:vAlign w:val="center"/>
            <w:hideMark/>
          </w:tcPr>
          <w:p w14:paraId="604DFADA"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423</w:t>
            </w:r>
          </w:p>
        </w:tc>
        <w:tc>
          <w:tcPr>
            <w:tcW w:w="2380" w:type="dxa"/>
            <w:tcBorders>
              <w:top w:val="nil"/>
              <w:left w:val="nil"/>
              <w:bottom w:val="single" w:sz="8" w:space="0" w:color="auto"/>
              <w:right w:val="single" w:sz="8" w:space="0" w:color="auto"/>
            </w:tcBorders>
            <w:shd w:val="clear" w:color="auto" w:fill="auto"/>
            <w:vAlign w:val="center"/>
            <w:hideMark/>
          </w:tcPr>
          <w:p w14:paraId="2A9D6858"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18%</w:t>
            </w:r>
          </w:p>
        </w:tc>
        <w:tc>
          <w:tcPr>
            <w:tcW w:w="2083" w:type="dxa"/>
            <w:tcBorders>
              <w:top w:val="nil"/>
              <w:left w:val="nil"/>
              <w:bottom w:val="single" w:sz="8" w:space="0" w:color="auto"/>
              <w:right w:val="single" w:sz="8" w:space="0" w:color="auto"/>
            </w:tcBorders>
            <w:shd w:val="clear" w:color="auto" w:fill="auto"/>
            <w:vAlign w:val="center"/>
            <w:hideMark/>
          </w:tcPr>
          <w:p w14:paraId="73B8C810"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12</w:t>
            </w:r>
          </w:p>
        </w:tc>
      </w:tr>
      <w:tr w:rsidR="00EC3893" w:rsidRPr="00EC3893" w14:paraId="5AC37373" w14:textId="77777777" w:rsidTr="00612E7C">
        <w:trPr>
          <w:trHeight w:val="530"/>
          <w:jc w:val="center"/>
        </w:trPr>
        <w:tc>
          <w:tcPr>
            <w:tcW w:w="3660" w:type="dxa"/>
            <w:tcBorders>
              <w:top w:val="nil"/>
              <w:left w:val="single" w:sz="8" w:space="0" w:color="auto"/>
              <w:bottom w:val="single" w:sz="8" w:space="0" w:color="auto"/>
              <w:right w:val="single" w:sz="8" w:space="0" w:color="auto"/>
            </w:tcBorders>
            <w:shd w:val="clear" w:color="auto" w:fill="auto"/>
            <w:vAlign w:val="center"/>
          </w:tcPr>
          <w:p w14:paraId="7078E9E0" w14:textId="488C12F0" w:rsidR="00EC3893" w:rsidRPr="00EC3893" w:rsidRDefault="00EC3893" w:rsidP="00EC3893">
            <w:pPr>
              <w:spacing w:after="0" w:line="240" w:lineRule="auto"/>
              <w:jc w:val="both"/>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Sentencias homologatorias</w:t>
            </w:r>
          </w:p>
        </w:tc>
        <w:tc>
          <w:tcPr>
            <w:tcW w:w="1300" w:type="dxa"/>
            <w:tcBorders>
              <w:top w:val="nil"/>
              <w:left w:val="nil"/>
              <w:bottom w:val="single" w:sz="8" w:space="0" w:color="auto"/>
              <w:right w:val="single" w:sz="8" w:space="0" w:color="auto"/>
            </w:tcBorders>
            <w:shd w:val="clear" w:color="auto" w:fill="auto"/>
            <w:vAlign w:val="center"/>
          </w:tcPr>
          <w:p w14:paraId="69B1329B" w14:textId="40BF6C56"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15109</w:t>
            </w:r>
          </w:p>
        </w:tc>
        <w:tc>
          <w:tcPr>
            <w:tcW w:w="1340" w:type="dxa"/>
            <w:tcBorders>
              <w:top w:val="nil"/>
              <w:left w:val="nil"/>
              <w:bottom w:val="single" w:sz="8" w:space="0" w:color="auto"/>
              <w:right w:val="single" w:sz="8" w:space="0" w:color="auto"/>
            </w:tcBorders>
            <w:shd w:val="clear" w:color="auto" w:fill="auto"/>
            <w:noWrap/>
            <w:vAlign w:val="center"/>
          </w:tcPr>
          <w:p w14:paraId="4DEF4471" w14:textId="0AABEF58"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224</w:t>
            </w:r>
          </w:p>
        </w:tc>
        <w:tc>
          <w:tcPr>
            <w:tcW w:w="2380" w:type="dxa"/>
            <w:tcBorders>
              <w:top w:val="nil"/>
              <w:left w:val="nil"/>
              <w:bottom w:val="single" w:sz="8" w:space="0" w:color="auto"/>
              <w:right w:val="single" w:sz="8" w:space="0" w:color="auto"/>
            </w:tcBorders>
            <w:shd w:val="clear" w:color="auto" w:fill="auto"/>
            <w:vAlign w:val="center"/>
          </w:tcPr>
          <w:p w14:paraId="6F217E9C" w14:textId="0109BD1E"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11%</w:t>
            </w:r>
          </w:p>
        </w:tc>
        <w:tc>
          <w:tcPr>
            <w:tcW w:w="2083" w:type="dxa"/>
            <w:tcBorders>
              <w:top w:val="nil"/>
              <w:left w:val="nil"/>
              <w:bottom w:val="single" w:sz="8" w:space="0" w:color="auto"/>
              <w:right w:val="single" w:sz="8" w:space="0" w:color="auto"/>
            </w:tcBorders>
            <w:shd w:val="clear" w:color="auto" w:fill="auto"/>
            <w:vAlign w:val="center"/>
          </w:tcPr>
          <w:p w14:paraId="73032586" w14:textId="6DA8D993"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6</w:t>
            </w:r>
          </w:p>
        </w:tc>
      </w:tr>
      <w:tr w:rsidR="00EC3893" w:rsidRPr="00EC3893" w14:paraId="3FA8DE46" w14:textId="77777777" w:rsidTr="00612E7C">
        <w:trPr>
          <w:trHeight w:val="530"/>
          <w:jc w:val="center"/>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3986559E" w14:textId="77777777" w:rsidR="00EC3893" w:rsidRPr="00EC3893" w:rsidRDefault="00EC3893" w:rsidP="00EC3893">
            <w:pPr>
              <w:spacing w:after="0" w:line="240" w:lineRule="auto"/>
              <w:jc w:val="both"/>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Resoluciones por otros motivos de término</w:t>
            </w:r>
          </w:p>
        </w:tc>
        <w:tc>
          <w:tcPr>
            <w:tcW w:w="1300" w:type="dxa"/>
            <w:tcBorders>
              <w:top w:val="nil"/>
              <w:left w:val="nil"/>
              <w:bottom w:val="single" w:sz="8" w:space="0" w:color="auto"/>
              <w:right w:val="single" w:sz="8" w:space="0" w:color="auto"/>
            </w:tcBorders>
            <w:shd w:val="clear" w:color="auto" w:fill="auto"/>
            <w:vAlign w:val="center"/>
            <w:hideMark/>
          </w:tcPr>
          <w:p w14:paraId="718F5248"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13658</w:t>
            </w:r>
          </w:p>
        </w:tc>
        <w:tc>
          <w:tcPr>
            <w:tcW w:w="1340" w:type="dxa"/>
            <w:tcBorders>
              <w:top w:val="nil"/>
              <w:left w:val="nil"/>
              <w:bottom w:val="single" w:sz="8" w:space="0" w:color="auto"/>
              <w:right w:val="single" w:sz="8" w:space="0" w:color="auto"/>
            </w:tcBorders>
            <w:shd w:val="clear" w:color="auto" w:fill="auto"/>
            <w:noWrap/>
            <w:vAlign w:val="center"/>
            <w:hideMark/>
          </w:tcPr>
          <w:p w14:paraId="225483BA"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202</w:t>
            </w:r>
          </w:p>
        </w:tc>
        <w:tc>
          <w:tcPr>
            <w:tcW w:w="2380" w:type="dxa"/>
            <w:tcBorders>
              <w:top w:val="nil"/>
              <w:left w:val="nil"/>
              <w:bottom w:val="single" w:sz="8" w:space="0" w:color="auto"/>
              <w:right w:val="single" w:sz="8" w:space="0" w:color="auto"/>
            </w:tcBorders>
            <w:shd w:val="clear" w:color="auto" w:fill="auto"/>
            <w:vAlign w:val="center"/>
            <w:hideMark/>
          </w:tcPr>
          <w:p w14:paraId="1F4E3BE2"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10%</w:t>
            </w:r>
          </w:p>
        </w:tc>
        <w:tc>
          <w:tcPr>
            <w:tcW w:w="2083" w:type="dxa"/>
            <w:tcBorders>
              <w:top w:val="nil"/>
              <w:left w:val="nil"/>
              <w:bottom w:val="single" w:sz="8" w:space="0" w:color="auto"/>
              <w:right w:val="single" w:sz="8" w:space="0" w:color="auto"/>
            </w:tcBorders>
            <w:shd w:val="clear" w:color="auto" w:fill="auto"/>
            <w:vAlign w:val="center"/>
            <w:hideMark/>
          </w:tcPr>
          <w:p w14:paraId="175C0141"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6</w:t>
            </w:r>
          </w:p>
        </w:tc>
      </w:tr>
      <w:tr w:rsidR="00EC3893" w:rsidRPr="00EC3893" w14:paraId="4B657BD0" w14:textId="77777777" w:rsidTr="00612E7C">
        <w:trPr>
          <w:trHeight w:val="300"/>
          <w:jc w:val="center"/>
        </w:trPr>
        <w:tc>
          <w:tcPr>
            <w:tcW w:w="3660" w:type="dxa"/>
            <w:tcBorders>
              <w:top w:val="nil"/>
              <w:left w:val="single" w:sz="8" w:space="0" w:color="auto"/>
              <w:bottom w:val="single" w:sz="8" w:space="0" w:color="auto"/>
              <w:right w:val="single" w:sz="8" w:space="0" w:color="auto"/>
            </w:tcBorders>
            <w:shd w:val="clear" w:color="auto" w:fill="auto"/>
            <w:vAlign w:val="center"/>
            <w:hideMark/>
          </w:tcPr>
          <w:p w14:paraId="3A1C15AF" w14:textId="77777777" w:rsidR="00EC3893" w:rsidRPr="00EC3893" w:rsidRDefault="00EC3893" w:rsidP="00EC3893">
            <w:pPr>
              <w:spacing w:after="0" w:line="240" w:lineRule="auto"/>
              <w:jc w:val="both"/>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Sentencia en Incidentes</w:t>
            </w:r>
          </w:p>
        </w:tc>
        <w:tc>
          <w:tcPr>
            <w:tcW w:w="1300" w:type="dxa"/>
            <w:tcBorders>
              <w:top w:val="nil"/>
              <w:left w:val="nil"/>
              <w:bottom w:val="single" w:sz="8" w:space="0" w:color="auto"/>
              <w:right w:val="single" w:sz="8" w:space="0" w:color="auto"/>
            </w:tcBorders>
            <w:shd w:val="clear" w:color="auto" w:fill="auto"/>
            <w:vAlign w:val="center"/>
            <w:hideMark/>
          </w:tcPr>
          <w:p w14:paraId="6278AD38"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1713</w:t>
            </w:r>
          </w:p>
        </w:tc>
        <w:tc>
          <w:tcPr>
            <w:tcW w:w="1340" w:type="dxa"/>
            <w:tcBorders>
              <w:top w:val="nil"/>
              <w:left w:val="nil"/>
              <w:bottom w:val="single" w:sz="8" w:space="0" w:color="auto"/>
              <w:right w:val="single" w:sz="8" w:space="0" w:color="auto"/>
            </w:tcBorders>
            <w:shd w:val="clear" w:color="auto" w:fill="auto"/>
            <w:noWrap/>
            <w:vAlign w:val="center"/>
            <w:hideMark/>
          </w:tcPr>
          <w:p w14:paraId="4A9A2498"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30</w:t>
            </w:r>
          </w:p>
        </w:tc>
        <w:tc>
          <w:tcPr>
            <w:tcW w:w="2380" w:type="dxa"/>
            <w:tcBorders>
              <w:top w:val="nil"/>
              <w:left w:val="nil"/>
              <w:bottom w:val="single" w:sz="8" w:space="0" w:color="auto"/>
              <w:right w:val="single" w:sz="8" w:space="0" w:color="auto"/>
            </w:tcBorders>
            <w:shd w:val="clear" w:color="auto" w:fill="auto"/>
            <w:vAlign w:val="center"/>
            <w:hideMark/>
          </w:tcPr>
          <w:p w14:paraId="167AC099"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w:t>
            </w:r>
          </w:p>
        </w:tc>
        <w:tc>
          <w:tcPr>
            <w:tcW w:w="2083" w:type="dxa"/>
            <w:tcBorders>
              <w:top w:val="nil"/>
              <w:left w:val="nil"/>
              <w:bottom w:val="single" w:sz="8" w:space="0" w:color="auto"/>
              <w:right w:val="single" w:sz="8" w:space="0" w:color="auto"/>
            </w:tcBorders>
            <w:shd w:val="clear" w:color="auto" w:fill="auto"/>
            <w:vAlign w:val="center"/>
            <w:hideMark/>
          </w:tcPr>
          <w:p w14:paraId="7E3B7E34" w14:textId="77777777" w:rsidR="00EC3893" w:rsidRPr="00EC3893" w:rsidRDefault="00EC3893" w:rsidP="00EC3893">
            <w:pPr>
              <w:spacing w:after="0" w:line="240" w:lineRule="auto"/>
              <w:jc w:val="center"/>
              <w:rPr>
                <w:rFonts w:ascii="Book Antiqua" w:eastAsia="Times New Roman" w:hAnsi="Book Antiqua" w:cs="Calibri"/>
                <w:color w:val="000000"/>
                <w:sz w:val="20"/>
                <w:szCs w:val="20"/>
                <w:lang w:eastAsia="es-CR"/>
              </w:rPr>
            </w:pPr>
            <w:r w:rsidRPr="00EC3893">
              <w:rPr>
                <w:rFonts w:ascii="Book Antiqua" w:eastAsia="Times New Roman" w:hAnsi="Book Antiqua" w:cs="Calibri"/>
                <w:color w:val="000000"/>
                <w:sz w:val="20"/>
                <w:szCs w:val="20"/>
                <w:lang w:eastAsia="es-CR"/>
              </w:rPr>
              <w:t>1</w:t>
            </w:r>
          </w:p>
        </w:tc>
      </w:tr>
      <w:tr w:rsidR="00EC3893" w:rsidRPr="00EC3893" w14:paraId="4D7ACAA1" w14:textId="77777777" w:rsidTr="00612E7C">
        <w:trPr>
          <w:trHeight w:val="300"/>
          <w:jc w:val="center"/>
        </w:trPr>
        <w:tc>
          <w:tcPr>
            <w:tcW w:w="3660" w:type="dxa"/>
            <w:tcBorders>
              <w:top w:val="nil"/>
              <w:left w:val="single" w:sz="8" w:space="0" w:color="auto"/>
              <w:bottom w:val="single" w:sz="8" w:space="0" w:color="auto"/>
              <w:right w:val="single" w:sz="8" w:space="0" w:color="auto"/>
            </w:tcBorders>
            <w:shd w:val="clear" w:color="000000" w:fill="808080"/>
            <w:noWrap/>
            <w:vAlign w:val="center"/>
            <w:hideMark/>
          </w:tcPr>
          <w:p w14:paraId="0F4BBC33" w14:textId="77777777" w:rsidR="00EC3893" w:rsidRPr="00EC3893" w:rsidRDefault="00EC3893" w:rsidP="00EC3893">
            <w:pPr>
              <w:spacing w:after="0" w:line="240" w:lineRule="auto"/>
              <w:jc w:val="right"/>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Total</w:t>
            </w:r>
          </w:p>
        </w:tc>
        <w:tc>
          <w:tcPr>
            <w:tcW w:w="1300" w:type="dxa"/>
            <w:tcBorders>
              <w:top w:val="nil"/>
              <w:left w:val="nil"/>
              <w:bottom w:val="single" w:sz="8" w:space="0" w:color="auto"/>
              <w:right w:val="single" w:sz="8" w:space="0" w:color="auto"/>
            </w:tcBorders>
            <w:shd w:val="clear" w:color="000000" w:fill="808080"/>
            <w:noWrap/>
            <w:vAlign w:val="center"/>
            <w:hideMark/>
          </w:tcPr>
          <w:p w14:paraId="677F97A3"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133 686</w:t>
            </w:r>
          </w:p>
        </w:tc>
        <w:tc>
          <w:tcPr>
            <w:tcW w:w="1340" w:type="dxa"/>
            <w:tcBorders>
              <w:top w:val="nil"/>
              <w:left w:val="nil"/>
              <w:bottom w:val="single" w:sz="8" w:space="0" w:color="auto"/>
              <w:right w:val="single" w:sz="8" w:space="0" w:color="auto"/>
            </w:tcBorders>
            <w:shd w:val="clear" w:color="000000" w:fill="808080"/>
            <w:noWrap/>
            <w:vAlign w:val="center"/>
            <w:hideMark/>
          </w:tcPr>
          <w:p w14:paraId="24E94160"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2056</w:t>
            </w:r>
          </w:p>
        </w:tc>
        <w:tc>
          <w:tcPr>
            <w:tcW w:w="2380" w:type="dxa"/>
            <w:tcBorders>
              <w:top w:val="nil"/>
              <w:left w:val="nil"/>
              <w:bottom w:val="single" w:sz="8" w:space="0" w:color="auto"/>
              <w:right w:val="single" w:sz="8" w:space="0" w:color="auto"/>
            </w:tcBorders>
            <w:shd w:val="clear" w:color="000000" w:fill="808080"/>
            <w:noWrap/>
            <w:vAlign w:val="center"/>
            <w:hideMark/>
          </w:tcPr>
          <w:p w14:paraId="237DCEB4"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100%</w:t>
            </w:r>
          </w:p>
        </w:tc>
        <w:tc>
          <w:tcPr>
            <w:tcW w:w="2083" w:type="dxa"/>
            <w:tcBorders>
              <w:top w:val="nil"/>
              <w:left w:val="nil"/>
              <w:bottom w:val="single" w:sz="8" w:space="0" w:color="auto"/>
              <w:right w:val="single" w:sz="8" w:space="0" w:color="auto"/>
            </w:tcBorders>
            <w:shd w:val="clear" w:color="000000" w:fill="808080"/>
            <w:noWrap/>
            <w:vAlign w:val="center"/>
            <w:hideMark/>
          </w:tcPr>
          <w:p w14:paraId="2C6F862A" w14:textId="77777777" w:rsidR="00EC3893" w:rsidRPr="00EC3893" w:rsidRDefault="00EC3893" w:rsidP="00EC3893">
            <w:pPr>
              <w:spacing w:after="0" w:line="240" w:lineRule="auto"/>
              <w:jc w:val="center"/>
              <w:rPr>
                <w:rFonts w:ascii="Book Antiqua" w:eastAsia="Times New Roman" w:hAnsi="Book Antiqua" w:cs="Calibri"/>
                <w:b/>
                <w:bCs/>
                <w:color w:val="FFFFFF"/>
                <w:sz w:val="20"/>
                <w:szCs w:val="20"/>
                <w:lang w:eastAsia="es-CR"/>
              </w:rPr>
            </w:pPr>
            <w:r w:rsidRPr="00EC3893">
              <w:rPr>
                <w:rFonts w:ascii="Book Antiqua" w:eastAsia="Times New Roman" w:hAnsi="Book Antiqua" w:cs="Calibri"/>
                <w:b/>
                <w:bCs/>
                <w:color w:val="FFFFFF"/>
                <w:sz w:val="20"/>
                <w:szCs w:val="20"/>
                <w:lang w:eastAsia="es-CR"/>
              </w:rPr>
              <w:t>59</w:t>
            </w:r>
          </w:p>
        </w:tc>
      </w:tr>
    </w:tbl>
    <w:p w14:paraId="29DD4A12" w14:textId="27E6205D" w:rsidR="0000224A" w:rsidRPr="00A27403" w:rsidRDefault="00F90085" w:rsidP="0000224A">
      <w:pPr>
        <w:spacing w:after="0" w:line="240" w:lineRule="auto"/>
        <w:jc w:val="both"/>
        <w:rPr>
          <w:rFonts w:ascii="Book Antiqua" w:hAnsi="Book Antiqua"/>
          <w:i/>
          <w:iCs/>
          <w:sz w:val="20"/>
          <w:szCs w:val="20"/>
        </w:rPr>
      </w:pPr>
      <w:r w:rsidRPr="00A27403">
        <w:rPr>
          <w:rFonts w:ascii="Book Antiqua" w:hAnsi="Book Antiqua"/>
          <w:b/>
          <w:bCs/>
          <w:i/>
          <w:iCs/>
          <w:sz w:val="20"/>
          <w:szCs w:val="20"/>
        </w:rPr>
        <w:t>Fuente:</w:t>
      </w:r>
      <w:r w:rsidRPr="00A27403">
        <w:rPr>
          <w:rFonts w:ascii="Book Antiqua" w:hAnsi="Book Antiqua"/>
          <w:i/>
          <w:iCs/>
          <w:sz w:val="20"/>
          <w:szCs w:val="20"/>
        </w:rPr>
        <w:t xml:space="preserve"> Subproceso de Modernización Institucional, con datos del Subproceso de Estadística del 2017 al 202</w:t>
      </w:r>
      <w:r w:rsidR="0000224A" w:rsidRPr="00A27403">
        <w:rPr>
          <w:rFonts w:ascii="Book Antiqua" w:hAnsi="Book Antiqua"/>
          <w:i/>
          <w:iCs/>
          <w:sz w:val="20"/>
          <w:szCs w:val="20"/>
        </w:rPr>
        <w:t>2 y consulta del Balance General Interactivo del 22/2/2023</w:t>
      </w:r>
      <w:r w:rsidRPr="00A27403">
        <w:rPr>
          <w:rFonts w:ascii="Book Antiqua" w:hAnsi="Book Antiqua"/>
          <w:i/>
          <w:iCs/>
          <w:sz w:val="20"/>
          <w:szCs w:val="20"/>
        </w:rPr>
        <w:t xml:space="preserve">. </w:t>
      </w:r>
    </w:p>
    <w:p w14:paraId="58035302" w14:textId="2DABED4F" w:rsidR="008A5759" w:rsidRPr="00A27403" w:rsidRDefault="00F90085" w:rsidP="0000224A">
      <w:pPr>
        <w:spacing w:after="0" w:line="240" w:lineRule="auto"/>
        <w:jc w:val="both"/>
        <w:rPr>
          <w:rFonts w:ascii="Book Antiqua" w:hAnsi="Book Antiqua"/>
          <w:i/>
          <w:iCs/>
          <w:sz w:val="20"/>
          <w:szCs w:val="20"/>
        </w:rPr>
      </w:pPr>
      <w:r w:rsidRPr="00A27403">
        <w:rPr>
          <w:rFonts w:ascii="Book Antiqua" w:hAnsi="Book Antiqua"/>
          <w:b/>
          <w:bCs/>
          <w:i/>
          <w:iCs/>
          <w:sz w:val="20"/>
          <w:szCs w:val="20"/>
        </w:rPr>
        <w:t>Nota</w:t>
      </w:r>
      <w:r w:rsidR="0000224A" w:rsidRPr="00A27403">
        <w:rPr>
          <w:rFonts w:ascii="Book Antiqua" w:hAnsi="Book Antiqua"/>
          <w:b/>
          <w:bCs/>
          <w:i/>
          <w:iCs/>
          <w:sz w:val="20"/>
          <w:szCs w:val="20"/>
        </w:rPr>
        <w:t>:</w:t>
      </w:r>
      <w:r w:rsidRPr="00A27403">
        <w:rPr>
          <w:rFonts w:ascii="Book Antiqua" w:hAnsi="Book Antiqua"/>
          <w:i/>
          <w:iCs/>
          <w:sz w:val="20"/>
          <w:szCs w:val="20"/>
        </w:rPr>
        <w:t xml:space="preserve"> Respecto a los datos reportados como sentencia dictada en 2018 y 2019, se realizó una depuración, ya que </w:t>
      </w:r>
      <w:r w:rsidR="00F17AFD" w:rsidRPr="00A27403">
        <w:rPr>
          <w:rFonts w:ascii="Book Antiqua" w:hAnsi="Book Antiqua"/>
          <w:i/>
          <w:iCs/>
          <w:sz w:val="20"/>
          <w:szCs w:val="20"/>
        </w:rPr>
        <w:t xml:space="preserve">se </w:t>
      </w:r>
      <w:r w:rsidRPr="00A27403">
        <w:rPr>
          <w:rFonts w:ascii="Book Antiqua" w:hAnsi="Book Antiqua"/>
          <w:i/>
          <w:iCs/>
          <w:sz w:val="20"/>
          <w:szCs w:val="20"/>
        </w:rPr>
        <w:t>identificaron asuntos "de divorcio por mutuo" en esa categoría</w:t>
      </w:r>
      <w:r w:rsidR="00D46A12" w:rsidRPr="00A27403">
        <w:rPr>
          <w:rFonts w:ascii="Book Antiqua" w:hAnsi="Book Antiqua"/>
          <w:i/>
          <w:iCs/>
          <w:sz w:val="20"/>
          <w:szCs w:val="20"/>
        </w:rPr>
        <w:t>.</w:t>
      </w:r>
    </w:p>
    <w:p w14:paraId="25823039" w14:textId="77777777" w:rsidR="00F90085" w:rsidRPr="00F90085" w:rsidRDefault="00F90085" w:rsidP="009C01E1">
      <w:pPr>
        <w:spacing w:line="276" w:lineRule="auto"/>
        <w:jc w:val="both"/>
        <w:rPr>
          <w:rFonts w:ascii="Book Antiqua" w:hAnsi="Book Antiqua"/>
          <w:i/>
          <w:iCs/>
        </w:rPr>
      </w:pPr>
    </w:p>
    <w:p w14:paraId="30064F25" w14:textId="350D97B6" w:rsidR="00D84964" w:rsidRPr="00A27403" w:rsidRDefault="00D84964" w:rsidP="00D84964">
      <w:pPr>
        <w:spacing w:after="0" w:line="276" w:lineRule="auto"/>
        <w:jc w:val="both"/>
        <w:rPr>
          <w:rFonts w:ascii="Book Antiqua" w:eastAsia="Calibri" w:hAnsi="Book Antiqua" w:cs="Arial"/>
          <w:sz w:val="24"/>
          <w:szCs w:val="24"/>
        </w:rPr>
      </w:pPr>
      <w:r w:rsidRPr="00A27403">
        <w:rPr>
          <w:rFonts w:ascii="Book Antiqua" w:eastAsia="Calibri" w:hAnsi="Book Antiqua" w:cs="Arial"/>
          <w:sz w:val="24"/>
          <w:szCs w:val="24"/>
        </w:rPr>
        <w:t xml:space="preserve">De la información del cuadro anterior, se visualiza que </w:t>
      </w:r>
      <w:r w:rsidR="00A27403" w:rsidRPr="00A27403">
        <w:rPr>
          <w:rFonts w:ascii="Book Antiqua" w:eastAsia="Calibri" w:hAnsi="Book Antiqua" w:cs="Arial"/>
          <w:sz w:val="24"/>
          <w:szCs w:val="24"/>
        </w:rPr>
        <w:t xml:space="preserve">la cantidad de </w:t>
      </w:r>
      <w:r w:rsidR="00EC3893">
        <w:rPr>
          <w:rFonts w:ascii="Book Antiqua" w:eastAsia="Calibri" w:hAnsi="Book Antiqua" w:cs="Arial"/>
          <w:sz w:val="24"/>
          <w:szCs w:val="24"/>
        </w:rPr>
        <w:t xml:space="preserve">casos </w:t>
      </w:r>
      <w:r w:rsidR="00A27403" w:rsidRPr="00A27403">
        <w:rPr>
          <w:rFonts w:ascii="Book Antiqua" w:eastAsia="Calibri" w:hAnsi="Book Antiqua" w:cs="Arial"/>
          <w:sz w:val="24"/>
          <w:szCs w:val="24"/>
        </w:rPr>
        <w:t>terminados</w:t>
      </w:r>
      <w:r w:rsidRPr="00A27403">
        <w:rPr>
          <w:rFonts w:ascii="Book Antiqua" w:eastAsia="Calibri" w:hAnsi="Book Antiqua" w:cs="Arial"/>
          <w:sz w:val="24"/>
          <w:szCs w:val="24"/>
        </w:rPr>
        <w:t xml:space="preserve"> </w:t>
      </w:r>
      <w:r w:rsidR="00EC3893">
        <w:rPr>
          <w:rFonts w:ascii="Book Antiqua" w:eastAsia="Calibri" w:hAnsi="Book Antiqua" w:cs="Arial"/>
          <w:sz w:val="24"/>
          <w:szCs w:val="24"/>
        </w:rPr>
        <w:t xml:space="preserve">para el periodo </w:t>
      </w:r>
      <w:r w:rsidRPr="00A27403">
        <w:rPr>
          <w:rFonts w:ascii="Book Antiqua" w:eastAsia="Calibri" w:hAnsi="Book Antiqua" w:cs="Arial"/>
          <w:sz w:val="24"/>
          <w:szCs w:val="24"/>
        </w:rPr>
        <w:t xml:space="preserve">anual </w:t>
      </w:r>
      <w:r w:rsidR="00EC3893">
        <w:rPr>
          <w:rFonts w:ascii="Book Antiqua" w:eastAsia="Calibri" w:hAnsi="Book Antiqua" w:cs="Arial"/>
          <w:sz w:val="24"/>
          <w:szCs w:val="24"/>
        </w:rPr>
        <w:t xml:space="preserve">2017-2022 </w:t>
      </w:r>
      <w:r w:rsidRPr="00A27403">
        <w:rPr>
          <w:rFonts w:ascii="Book Antiqua" w:eastAsia="Calibri" w:hAnsi="Book Antiqua" w:cs="Arial"/>
          <w:sz w:val="24"/>
          <w:szCs w:val="24"/>
        </w:rPr>
        <w:t xml:space="preserve">es de </w:t>
      </w:r>
      <w:r w:rsidR="0065054D" w:rsidRPr="00A27403">
        <w:rPr>
          <w:rFonts w:ascii="Book Antiqua" w:eastAsia="Calibri" w:hAnsi="Book Antiqua" w:cs="Arial"/>
          <w:sz w:val="24"/>
          <w:szCs w:val="24"/>
        </w:rPr>
        <w:t>1</w:t>
      </w:r>
      <w:r w:rsidR="00A27403" w:rsidRPr="00A27403">
        <w:rPr>
          <w:rFonts w:ascii="Book Antiqua" w:eastAsia="Calibri" w:hAnsi="Book Antiqua" w:cs="Arial"/>
          <w:sz w:val="24"/>
          <w:szCs w:val="24"/>
        </w:rPr>
        <w:t>3</w:t>
      </w:r>
      <w:r w:rsidR="00EC3893">
        <w:rPr>
          <w:rFonts w:ascii="Book Antiqua" w:eastAsia="Calibri" w:hAnsi="Book Antiqua" w:cs="Arial"/>
          <w:sz w:val="24"/>
          <w:szCs w:val="24"/>
        </w:rPr>
        <w:t>3</w:t>
      </w:r>
      <w:r w:rsidR="0065054D" w:rsidRPr="00A27403">
        <w:rPr>
          <w:rFonts w:ascii="Book Antiqua" w:eastAsia="Calibri" w:hAnsi="Book Antiqua" w:cs="Arial"/>
          <w:sz w:val="24"/>
          <w:szCs w:val="24"/>
        </w:rPr>
        <w:t xml:space="preserve"> </w:t>
      </w:r>
      <w:r w:rsidR="00A27403" w:rsidRPr="00A27403">
        <w:rPr>
          <w:rFonts w:ascii="Book Antiqua" w:eastAsia="Calibri" w:hAnsi="Book Antiqua" w:cs="Arial"/>
          <w:sz w:val="24"/>
          <w:szCs w:val="24"/>
        </w:rPr>
        <w:t>6</w:t>
      </w:r>
      <w:r w:rsidR="00EC3893">
        <w:rPr>
          <w:rFonts w:ascii="Book Antiqua" w:eastAsia="Calibri" w:hAnsi="Book Antiqua" w:cs="Arial"/>
          <w:sz w:val="24"/>
          <w:szCs w:val="24"/>
        </w:rPr>
        <w:t>8</w:t>
      </w:r>
      <w:r w:rsidR="00A27403" w:rsidRPr="00A27403">
        <w:rPr>
          <w:rFonts w:ascii="Book Antiqua" w:eastAsia="Calibri" w:hAnsi="Book Antiqua" w:cs="Arial"/>
          <w:sz w:val="24"/>
          <w:szCs w:val="24"/>
        </w:rPr>
        <w:t>6</w:t>
      </w:r>
      <w:r w:rsidRPr="00A27403">
        <w:rPr>
          <w:rFonts w:ascii="Book Antiqua" w:eastAsia="Calibri" w:hAnsi="Book Antiqua" w:cs="Arial"/>
          <w:sz w:val="24"/>
          <w:szCs w:val="24"/>
        </w:rPr>
        <w:t xml:space="preserve"> (</w:t>
      </w:r>
      <w:r w:rsidR="009A22D7" w:rsidRPr="00A27403">
        <w:rPr>
          <w:rFonts w:ascii="Book Antiqua" w:eastAsia="Calibri" w:hAnsi="Book Antiqua" w:cs="Arial"/>
          <w:sz w:val="24"/>
          <w:szCs w:val="24"/>
        </w:rPr>
        <w:t>2 </w:t>
      </w:r>
      <w:r w:rsidR="00A27403" w:rsidRPr="00A27403">
        <w:rPr>
          <w:rFonts w:ascii="Book Antiqua" w:eastAsia="Calibri" w:hAnsi="Book Antiqua" w:cs="Arial"/>
          <w:sz w:val="24"/>
          <w:szCs w:val="24"/>
        </w:rPr>
        <w:t>0</w:t>
      </w:r>
      <w:r w:rsidR="00EC3893">
        <w:rPr>
          <w:rFonts w:ascii="Book Antiqua" w:eastAsia="Calibri" w:hAnsi="Book Antiqua" w:cs="Arial"/>
          <w:sz w:val="24"/>
          <w:szCs w:val="24"/>
        </w:rPr>
        <w:t>56</w:t>
      </w:r>
      <w:r w:rsidR="009A22D7" w:rsidRPr="00A27403">
        <w:rPr>
          <w:rFonts w:ascii="Book Antiqua" w:eastAsia="Calibri" w:hAnsi="Book Antiqua" w:cs="Arial"/>
          <w:sz w:val="24"/>
          <w:szCs w:val="24"/>
        </w:rPr>
        <w:t xml:space="preserve"> </w:t>
      </w:r>
      <w:r w:rsidRPr="00A27403">
        <w:rPr>
          <w:rFonts w:ascii="Book Antiqua" w:eastAsia="Calibri" w:hAnsi="Book Antiqua" w:cs="Arial"/>
          <w:sz w:val="24"/>
          <w:szCs w:val="24"/>
        </w:rPr>
        <w:t xml:space="preserve">por mes), lo que equivale a </w:t>
      </w:r>
      <w:r w:rsidR="00A27403" w:rsidRPr="00A27403">
        <w:rPr>
          <w:rFonts w:ascii="Book Antiqua" w:eastAsia="Calibri" w:hAnsi="Book Antiqua" w:cs="Arial"/>
          <w:sz w:val="24"/>
          <w:szCs w:val="24"/>
        </w:rPr>
        <w:t>5</w:t>
      </w:r>
      <w:r w:rsidR="00EC3893">
        <w:rPr>
          <w:rFonts w:ascii="Book Antiqua" w:eastAsia="Calibri" w:hAnsi="Book Antiqua" w:cs="Arial"/>
          <w:sz w:val="24"/>
          <w:szCs w:val="24"/>
        </w:rPr>
        <w:t>9</w:t>
      </w:r>
      <w:r w:rsidR="00A27403" w:rsidRPr="00A27403">
        <w:rPr>
          <w:rFonts w:ascii="Book Antiqua" w:eastAsia="Calibri" w:hAnsi="Book Antiqua" w:cs="Arial"/>
          <w:sz w:val="24"/>
          <w:szCs w:val="24"/>
        </w:rPr>
        <w:t xml:space="preserve"> </w:t>
      </w:r>
      <w:r w:rsidRPr="00A27403">
        <w:rPr>
          <w:rFonts w:ascii="Book Antiqua" w:eastAsia="Calibri" w:hAnsi="Book Antiqua" w:cs="Arial"/>
          <w:sz w:val="24"/>
          <w:szCs w:val="24"/>
        </w:rPr>
        <w:t>expedientes por persona juzgadora, el motivo de t</w:t>
      </w:r>
      <w:r w:rsidR="00D46A12" w:rsidRPr="00A27403">
        <w:rPr>
          <w:rFonts w:ascii="Book Antiqua" w:eastAsia="Calibri" w:hAnsi="Book Antiqua" w:cs="Arial"/>
          <w:sz w:val="24"/>
          <w:szCs w:val="24"/>
        </w:rPr>
        <w:t>é</w:t>
      </w:r>
      <w:r w:rsidRPr="00A27403">
        <w:rPr>
          <w:rFonts w:ascii="Book Antiqua" w:eastAsia="Calibri" w:hAnsi="Book Antiqua" w:cs="Arial"/>
          <w:sz w:val="24"/>
          <w:szCs w:val="24"/>
        </w:rPr>
        <w:t xml:space="preserve">rmino más representativo </w:t>
      </w:r>
      <w:r w:rsidR="009A22D7" w:rsidRPr="00A27403">
        <w:rPr>
          <w:rFonts w:ascii="Book Antiqua" w:eastAsia="Calibri" w:hAnsi="Book Antiqua" w:cs="Arial"/>
          <w:sz w:val="24"/>
          <w:szCs w:val="24"/>
        </w:rPr>
        <w:t xml:space="preserve">es la Sentencia Dictada con un </w:t>
      </w:r>
      <w:r w:rsidR="00EC3893">
        <w:rPr>
          <w:rFonts w:ascii="Book Antiqua" w:eastAsia="Calibri" w:hAnsi="Book Antiqua" w:cs="Arial"/>
          <w:sz w:val="24"/>
          <w:szCs w:val="24"/>
        </w:rPr>
        <w:t>40</w:t>
      </w:r>
      <w:r w:rsidR="009A22D7" w:rsidRPr="00A27403">
        <w:rPr>
          <w:rFonts w:ascii="Book Antiqua" w:eastAsia="Calibri" w:hAnsi="Book Antiqua" w:cs="Arial"/>
          <w:sz w:val="24"/>
          <w:szCs w:val="24"/>
        </w:rPr>
        <w:t xml:space="preserve">%, el </w:t>
      </w:r>
      <w:r w:rsidRPr="00A27403">
        <w:rPr>
          <w:rFonts w:ascii="Book Antiqua" w:eastAsia="Calibri" w:hAnsi="Book Antiqua" w:cs="Arial"/>
          <w:sz w:val="24"/>
          <w:szCs w:val="24"/>
        </w:rPr>
        <w:t xml:space="preserve">Divorcio o separación por mutuo con un </w:t>
      </w:r>
      <w:r w:rsidR="009A22D7" w:rsidRPr="00A27403">
        <w:rPr>
          <w:rFonts w:ascii="Book Antiqua" w:eastAsia="Calibri" w:hAnsi="Book Antiqua" w:cs="Arial"/>
          <w:sz w:val="24"/>
          <w:szCs w:val="24"/>
        </w:rPr>
        <w:t>2</w:t>
      </w:r>
      <w:r w:rsidR="00EC3893">
        <w:rPr>
          <w:rFonts w:ascii="Book Antiqua" w:eastAsia="Calibri" w:hAnsi="Book Antiqua" w:cs="Arial"/>
          <w:sz w:val="24"/>
          <w:szCs w:val="24"/>
        </w:rPr>
        <w:t>0</w:t>
      </w:r>
      <w:r w:rsidRPr="00A27403">
        <w:rPr>
          <w:rFonts w:ascii="Book Antiqua" w:eastAsia="Calibri" w:hAnsi="Book Antiqua" w:cs="Arial"/>
          <w:sz w:val="24"/>
          <w:szCs w:val="24"/>
        </w:rPr>
        <w:t xml:space="preserve">%, seguido de </w:t>
      </w:r>
      <w:r w:rsidR="00EC3893" w:rsidRPr="00A27403">
        <w:rPr>
          <w:rFonts w:ascii="Book Antiqua" w:eastAsia="Calibri" w:hAnsi="Book Antiqua" w:cs="Arial"/>
          <w:sz w:val="24"/>
          <w:szCs w:val="24"/>
        </w:rPr>
        <w:t>las sentencias de segunda instancia con 1</w:t>
      </w:r>
      <w:r w:rsidR="00EC3893">
        <w:rPr>
          <w:rFonts w:ascii="Book Antiqua" w:eastAsia="Calibri" w:hAnsi="Book Antiqua" w:cs="Arial"/>
          <w:sz w:val="24"/>
          <w:szCs w:val="24"/>
        </w:rPr>
        <w:t>8</w:t>
      </w:r>
      <w:r w:rsidR="00EC3893" w:rsidRPr="00A27403">
        <w:rPr>
          <w:rFonts w:ascii="Book Antiqua" w:eastAsia="Calibri" w:hAnsi="Book Antiqua" w:cs="Arial"/>
          <w:sz w:val="24"/>
          <w:szCs w:val="24"/>
        </w:rPr>
        <w:t>%</w:t>
      </w:r>
      <w:r w:rsidR="00EC3893">
        <w:rPr>
          <w:rFonts w:ascii="Book Antiqua" w:eastAsia="Calibri" w:hAnsi="Book Antiqua" w:cs="Arial"/>
          <w:sz w:val="24"/>
          <w:szCs w:val="24"/>
        </w:rPr>
        <w:t xml:space="preserve">, </w:t>
      </w:r>
      <w:r w:rsidR="009A22D7" w:rsidRPr="00A27403">
        <w:rPr>
          <w:rFonts w:ascii="Book Antiqua" w:eastAsia="Calibri" w:hAnsi="Book Antiqua" w:cs="Arial"/>
          <w:sz w:val="24"/>
          <w:szCs w:val="24"/>
        </w:rPr>
        <w:t xml:space="preserve">las </w:t>
      </w:r>
      <w:r w:rsidR="00EC3893">
        <w:rPr>
          <w:rFonts w:ascii="Book Antiqua" w:eastAsia="Calibri" w:hAnsi="Book Antiqua" w:cs="Arial"/>
          <w:sz w:val="24"/>
          <w:szCs w:val="24"/>
        </w:rPr>
        <w:t xml:space="preserve">sentencias por </w:t>
      </w:r>
      <w:r w:rsidRPr="00A27403">
        <w:rPr>
          <w:rFonts w:ascii="Book Antiqua" w:eastAsia="Calibri" w:hAnsi="Book Antiqua" w:cs="Arial"/>
          <w:sz w:val="24"/>
          <w:szCs w:val="24"/>
        </w:rPr>
        <w:t xml:space="preserve">homologaciones </w:t>
      </w:r>
      <w:r w:rsidR="00EC3893">
        <w:rPr>
          <w:rFonts w:ascii="Book Antiqua" w:eastAsia="Calibri" w:hAnsi="Book Antiqua" w:cs="Arial"/>
          <w:sz w:val="24"/>
          <w:szCs w:val="24"/>
        </w:rPr>
        <w:t xml:space="preserve">un 11% </w:t>
      </w:r>
      <w:r w:rsidR="00EC3893" w:rsidRPr="00A27403">
        <w:rPr>
          <w:rFonts w:ascii="Book Antiqua" w:eastAsia="Calibri" w:hAnsi="Book Antiqua" w:cs="Arial"/>
          <w:sz w:val="24"/>
          <w:szCs w:val="24"/>
        </w:rPr>
        <w:t>resoluciones por otros motivos de término con un 1</w:t>
      </w:r>
      <w:r w:rsidR="00EC3893">
        <w:rPr>
          <w:rFonts w:ascii="Book Antiqua" w:eastAsia="Calibri" w:hAnsi="Book Antiqua" w:cs="Arial"/>
          <w:sz w:val="24"/>
          <w:szCs w:val="24"/>
        </w:rPr>
        <w:t>0</w:t>
      </w:r>
      <w:r w:rsidR="00EC3893" w:rsidRPr="00A27403">
        <w:rPr>
          <w:rFonts w:ascii="Book Antiqua" w:eastAsia="Calibri" w:hAnsi="Book Antiqua" w:cs="Arial"/>
          <w:sz w:val="24"/>
          <w:szCs w:val="24"/>
        </w:rPr>
        <w:t xml:space="preserve">%,  y </w:t>
      </w:r>
      <w:r w:rsidR="00EC3893">
        <w:rPr>
          <w:rFonts w:ascii="Book Antiqua" w:eastAsia="Calibri" w:hAnsi="Book Antiqua" w:cs="Arial"/>
          <w:sz w:val="24"/>
          <w:szCs w:val="24"/>
        </w:rPr>
        <w:t xml:space="preserve">las sentencias de </w:t>
      </w:r>
      <w:r w:rsidRPr="00A27403">
        <w:rPr>
          <w:rFonts w:ascii="Book Antiqua" w:eastAsia="Calibri" w:hAnsi="Book Antiqua" w:cs="Arial"/>
          <w:sz w:val="24"/>
          <w:szCs w:val="24"/>
        </w:rPr>
        <w:t xml:space="preserve">incidentes con un </w:t>
      </w:r>
      <w:r w:rsidR="00A27403" w:rsidRPr="00A27403">
        <w:rPr>
          <w:rFonts w:ascii="Book Antiqua" w:eastAsia="Calibri" w:hAnsi="Book Antiqua" w:cs="Arial"/>
          <w:sz w:val="24"/>
          <w:szCs w:val="24"/>
        </w:rPr>
        <w:t>1</w:t>
      </w:r>
      <w:r w:rsidRPr="00A27403">
        <w:rPr>
          <w:rFonts w:ascii="Book Antiqua" w:eastAsia="Calibri" w:hAnsi="Book Antiqua" w:cs="Arial"/>
          <w:sz w:val="24"/>
          <w:szCs w:val="24"/>
        </w:rPr>
        <w:t>% respectivamente.</w:t>
      </w:r>
    </w:p>
    <w:p w14:paraId="7D1706F8" w14:textId="77777777" w:rsidR="00D84964" w:rsidRPr="00B96228" w:rsidRDefault="00D84964" w:rsidP="00D84964">
      <w:pPr>
        <w:spacing w:after="0" w:line="276" w:lineRule="auto"/>
        <w:jc w:val="both"/>
        <w:rPr>
          <w:rFonts w:ascii="Book Antiqua" w:eastAsia="Calibri" w:hAnsi="Book Antiqua" w:cs="Arial"/>
          <w:sz w:val="24"/>
          <w:szCs w:val="24"/>
          <w:highlight w:val="cyan"/>
        </w:rPr>
      </w:pPr>
    </w:p>
    <w:p w14:paraId="777351B3" w14:textId="6B9C4DB9" w:rsidR="00D84964" w:rsidRPr="00A27403" w:rsidRDefault="00D84964" w:rsidP="00D84964">
      <w:pPr>
        <w:spacing w:after="0" w:line="276" w:lineRule="auto"/>
        <w:jc w:val="both"/>
        <w:rPr>
          <w:rFonts w:ascii="Book Antiqua" w:eastAsia="Calibri" w:hAnsi="Book Antiqua" w:cs="Arial"/>
          <w:sz w:val="24"/>
          <w:szCs w:val="24"/>
        </w:rPr>
      </w:pPr>
      <w:r w:rsidRPr="00A27403">
        <w:rPr>
          <w:rFonts w:ascii="Book Antiqua" w:eastAsia="Calibri" w:hAnsi="Book Antiqua" w:cs="Arial"/>
          <w:sz w:val="24"/>
          <w:szCs w:val="24"/>
        </w:rPr>
        <w:t xml:space="preserve">Al analizar, el ingreso y salida mensual por persona juzgadora, </w:t>
      </w:r>
      <w:r w:rsidR="00EC3893">
        <w:rPr>
          <w:rFonts w:ascii="Book Antiqua" w:eastAsia="Calibri" w:hAnsi="Book Antiqua" w:cs="Arial"/>
          <w:sz w:val="24"/>
          <w:szCs w:val="24"/>
        </w:rPr>
        <w:t xml:space="preserve">para el periodo 2017-2022, </w:t>
      </w:r>
      <w:r w:rsidRPr="00A27403">
        <w:rPr>
          <w:rFonts w:ascii="Book Antiqua" w:eastAsia="Calibri" w:hAnsi="Book Antiqua" w:cs="Arial"/>
          <w:sz w:val="24"/>
          <w:szCs w:val="24"/>
        </w:rPr>
        <w:t xml:space="preserve">se tienen </w:t>
      </w:r>
      <w:r w:rsidR="009A22D7" w:rsidRPr="00A27403">
        <w:rPr>
          <w:rFonts w:ascii="Book Antiqua" w:eastAsia="Calibri" w:hAnsi="Book Antiqua" w:cs="Arial"/>
          <w:sz w:val="24"/>
          <w:szCs w:val="24"/>
        </w:rPr>
        <w:t>8</w:t>
      </w:r>
      <w:r w:rsidR="00EC3893">
        <w:rPr>
          <w:rFonts w:ascii="Book Antiqua" w:eastAsia="Calibri" w:hAnsi="Book Antiqua" w:cs="Arial"/>
          <w:sz w:val="24"/>
          <w:szCs w:val="24"/>
        </w:rPr>
        <w:t>1</w:t>
      </w:r>
      <w:r w:rsidRPr="00A27403">
        <w:rPr>
          <w:rFonts w:ascii="Book Antiqua" w:eastAsia="Calibri" w:hAnsi="Book Antiqua" w:cs="Arial"/>
          <w:sz w:val="24"/>
          <w:szCs w:val="24"/>
        </w:rPr>
        <w:t xml:space="preserve"> y </w:t>
      </w:r>
      <w:r w:rsidR="00A27403" w:rsidRPr="00A27403">
        <w:rPr>
          <w:rFonts w:ascii="Book Antiqua" w:eastAsia="Calibri" w:hAnsi="Book Antiqua" w:cs="Arial"/>
          <w:sz w:val="24"/>
          <w:szCs w:val="24"/>
        </w:rPr>
        <w:t>5</w:t>
      </w:r>
      <w:r w:rsidR="00EC3893">
        <w:rPr>
          <w:rFonts w:ascii="Book Antiqua" w:eastAsia="Calibri" w:hAnsi="Book Antiqua" w:cs="Arial"/>
          <w:sz w:val="24"/>
          <w:szCs w:val="24"/>
        </w:rPr>
        <w:t>9</w:t>
      </w:r>
      <w:r w:rsidRPr="00A27403">
        <w:rPr>
          <w:rFonts w:ascii="Book Antiqua" w:eastAsia="Calibri" w:hAnsi="Book Antiqua" w:cs="Arial"/>
          <w:sz w:val="24"/>
          <w:szCs w:val="24"/>
        </w:rPr>
        <w:t xml:space="preserve"> asuntos respectivamente. </w:t>
      </w:r>
    </w:p>
    <w:p w14:paraId="1E1238BD" w14:textId="77777777" w:rsidR="00D84964" w:rsidRPr="00B96228" w:rsidRDefault="00D84964" w:rsidP="00D84964">
      <w:pPr>
        <w:spacing w:after="0" w:line="276" w:lineRule="auto"/>
        <w:jc w:val="both"/>
        <w:rPr>
          <w:rFonts w:ascii="Book Antiqua" w:eastAsia="Calibri" w:hAnsi="Book Antiqua" w:cs="Arial"/>
          <w:sz w:val="24"/>
          <w:szCs w:val="24"/>
          <w:highlight w:val="cyan"/>
        </w:rPr>
      </w:pPr>
    </w:p>
    <w:p w14:paraId="372E5174" w14:textId="6449C6D8" w:rsidR="00D46A12" w:rsidRDefault="00D84964" w:rsidP="00D84964">
      <w:pPr>
        <w:spacing w:after="0" w:line="276" w:lineRule="auto"/>
        <w:jc w:val="both"/>
        <w:rPr>
          <w:rFonts w:ascii="Book Antiqua" w:eastAsia="Calibri" w:hAnsi="Book Antiqua" w:cs="Arial"/>
          <w:sz w:val="24"/>
          <w:szCs w:val="24"/>
        </w:rPr>
      </w:pPr>
      <w:r w:rsidRPr="00B2692A">
        <w:rPr>
          <w:rFonts w:ascii="Book Antiqua" w:eastAsia="Calibri" w:hAnsi="Book Antiqua" w:cs="Arial"/>
          <w:sz w:val="24"/>
          <w:szCs w:val="24"/>
        </w:rPr>
        <w:t>Al graficar en conjunto la entrada total de casos (entrados+ testimonio de piezas + reentrados), los terminados totales (terminados +inactivos) y el circulante al finalizar el periodo de 201</w:t>
      </w:r>
      <w:r w:rsidR="006F0107" w:rsidRPr="00B2692A">
        <w:rPr>
          <w:rFonts w:ascii="Book Antiqua" w:eastAsia="Calibri" w:hAnsi="Book Antiqua" w:cs="Arial"/>
          <w:sz w:val="24"/>
          <w:szCs w:val="24"/>
        </w:rPr>
        <w:t>7</w:t>
      </w:r>
      <w:r w:rsidRPr="00B2692A">
        <w:rPr>
          <w:rFonts w:ascii="Book Antiqua" w:eastAsia="Calibri" w:hAnsi="Book Antiqua" w:cs="Arial"/>
          <w:sz w:val="24"/>
          <w:szCs w:val="24"/>
        </w:rPr>
        <w:t xml:space="preserve"> a 20</w:t>
      </w:r>
      <w:r w:rsidR="006F0107" w:rsidRPr="00B2692A">
        <w:rPr>
          <w:rFonts w:ascii="Book Antiqua" w:eastAsia="Calibri" w:hAnsi="Book Antiqua" w:cs="Arial"/>
          <w:sz w:val="24"/>
          <w:szCs w:val="24"/>
        </w:rPr>
        <w:t>2</w:t>
      </w:r>
      <w:r w:rsidR="007C5EC0" w:rsidRPr="00B2692A">
        <w:rPr>
          <w:rFonts w:ascii="Book Antiqua" w:eastAsia="Calibri" w:hAnsi="Book Antiqua" w:cs="Arial"/>
          <w:sz w:val="24"/>
          <w:szCs w:val="24"/>
        </w:rPr>
        <w:t>2</w:t>
      </w:r>
      <w:r w:rsidRPr="00B2692A">
        <w:rPr>
          <w:rFonts w:ascii="Book Antiqua" w:eastAsia="Calibri" w:hAnsi="Book Antiqua" w:cs="Arial"/>
          <w:sz w:val="24"/>
          <w:szCs w:val="24"/>
        </w:rPr>
        <w:t xml:space="preserve"> se obtiene que se terminan </w:t>
      </w:r>
      <w:r w:rsidR="006530E3">
        <w:rPr>
          <w:rFonts w:ascii="Book Antiqua" w:eastAsia="Calibri" w:hAnsi="Book Antiqua" w:cs="Arial"/>
          <w:sz w:val="24"/>
          <w:szCs w:val="24"/>
        </w:rPr>
        <w:t xml:space="preserve">menos </w:t>
      </w:r>
      <w:r w:rsidR="00D46A12" w:rsidRPr="00B2692A">
        <w:rPr>
          <w:rFonts w:ascii="Book Antiqua" w:eastAsia="Calibri" w:hAnsi="Book Antiqua" w:cs="Arial"/>
          <w:sz w:val="24"/>
          <w:szCs w:val="24"/>
        </w:rPr>
        <w:t xml:space="preserve">asuntos </w:t>
      </w:r>
      <w:r w:rsidR="000D0A66" w:rsidRPr="00B2692A">
        <w:rPr>
          <w:rFonts w:ascii="Book Antiqua" w:eastAsia="Calibri" w:hAnsi="Book Antiqua" w:cs="Arial"/>
          <w:sz w:val="24"/>
          <w:szCs w:val="24"/>
        </w:rPr>
        <w:t xml:space="preserve">de los </w:t>
      </w:r>
      <w:r w:rsidRPr="00B2692A">
        <w:rPr>
          <w:rFonts w:ascii="Book Antiqua" w:eastAsia="Calibri" w:hAnsi="Book Antiqua" w:cs="Arial"/>
          <w:sz w:val="24"/>
          <w:szCs w:val="24"/>
        </w:rPr>
        <w:t xml:space="preserve">que entran nuevos </w:t>
      </w:r>
      <w:r w:rsidR="00B2692A" w:rsidRPr="00B2692A">
        <w:rPr>
          <w:rFonts w:ascii="Book Antiqua" w:eastAsia="Calibri" w:hAnsi="Book Antiqua" w:cs="Arial"/>
          <w:sz w:val="24"/>
          <w:szCs w:val="24"/>
        </w:rPr>
        <w:t xml:space="preserve">durante los primeros tres </w:t>
      </w:r>
      <w:r w:rsidRPr="00B2692A">
        <w:rPr>
          <w:rFonts w:ascii="Book Antiqua" w:eastAsia="Calibri" w:hAnsi="Book Antiqua" w:cs="Arial"/>
          <w:sz w:val="24"/>
          <w:szCs w:val="24"/>
        </w:rPr>
        <w:t>año</w:t>
      </w:r>
      <w:r w:rsidR="00B2692A" w:rsidRPr="00B2692A">
        <w:rPr>
          <w:rFonts w:ascii="Book Antiqua" w:eastAsia="Calibri" w:hAnsi="Book Antiqua" w:cs="Arial"/>
          <w:sz w:val="24"/>
          <w:szCs w:val="24"/>
        </w:rPr>
        <w:t>s</w:t>
      </w:r>
      <w:r w:rsidRPr="00B2692A">
        <w:rPr>
          <w:rFonts w:ascii="Book Antiqua" w:eastAsia="Calibri" w:hAnsi="Book Antiqua" w:cs="Arial"/>
          <w:sz w:val="24"/>
          <w:szCs w:val="24"/>
        </w:rPr>
        <w:t xml:space="preserve">. La mayor diferencia entre lo entrado y lo terminado se reportó </w:t>
      </w:r>
      <w:r w:rsidR="00F52449" w:rsidRPr="00B2692A">
        <w:rPr>
          <w:rFonts w:ascii="Book Antiqua" w:eastAsia="Calibri" w:hAnsi="Book Antiqua" w:cs="Arial"/>
          <w:sz w:val="24"/>
          <w:szCs w:val="24"/>
        </w:rPr>
        <w:t xml:space="preserve">en </w:t>
      </w:r>
      <w:r w:rsidRPr="00B2692A">
        <w:rPr>
          <w:rFonts w:ascii="Book Antiqua" w:eastAsia="Calibri" w:hAnsi="Book Antiqua" w:cs="Arial"/>
          <w:sz w:val="24"/>
          <w:szCs w:val="24"/>
        </w:rPr>
        <w:t xml:space="preserve">2018, con una diferencia de </w:t>
      </w:r>
      <w:r w:rsidR="00792F0C" w:rsidRPr="00B2692A">
        <w:rPr>
          <w:rFonts w:ascii="Book Antiqua" w:eastAsia="Calibri" w:hAnsi="Book Antiqua" w:cs="Arial"/>
          <w:sz w:val="24"/>
          <w:szCs w:val="24"/>
        </w:rPr>
        <w:t>889</w:t>
      </w:r>
      <w:r w:rsidRPr="00B2692A">
        <w:rPr>
          <w:rFonts w:ascii="Book Antiqua" w:eastAsia="Calibri" w:hAnsi="Book Antiqua" w:cs="Arial"/>
          <w:sz w:val="24"/>
          <w:szCs w:val="24"/>
        </w:rPr>
        <w:t xml:space="preserve"> casos,</w:t>
      </w:r>
      <w:r w:rsidRPr="00D84964">
        <w:rPr>
          <w:rFonts w:ascii="Book Antiqua" w:eastAsia="Calibri" w:hAnsi="Book Antiqua" w:cs="Arial"/>
          <w:sz w:val="24"/>
          <w:szCs w:val="24"/>
        </w:rPr>
        <w:t xml:space="preserve"> </w:t>
      </w:r>
      <w:r w:rsidR="00D46A12">
        <w:rPr>
          <w:rFonts w:ascii="Book Antiqua" w:eastAsia="Calibri" w:hAnsi="Book Antiqua" w:cs="Arial"/>
          <w:sz w:val="24"/>
          <w:szCs w:val="24"/>
        </w:rPr>
        <w:t>lo que produjo un incremento en</w:t>
      </w:r>
      <w:r w:rsidRPr="00D84964">
        <w:rPr>
          <w:rFonts w:ascii="Book Antiqua" w:eastAsia="Calibri" w:hAnsi="Book Antiqua" w:cs="Arial"/>
          <w:sz w:val="24"/>
          <w:szCs w:val="24"/>
        </w:rPr>
        <w:t xml:space="preserve"> el circulante de 13</w:t>
      </w:r>
      <w:r w:rsidR="00D46A12">
        <w:rPr>
          <w:rFonts w:ascii="Book Antiqua" w:eastAsia="Calibri" w:hAnsi="Book Antiqua" w:cs="Arial"/>
          <w:sz w:val="24"/>
          <w:szCs w:val="24"/>
        </w:rPr>
        <w:t> </w:t>
      </w:r>
      <w:r w:rsidRPr="00D84964">
        <w:rPr>
          <w:rFonts w:ascii="Book Antiqua" w:eastAsia="Calibri" w:hAnsi="Book Antiqua" w:cs="Arial"/>
          <w:sz w:val="24"/>
          <w:szCs w:val="24"/>
        </w:rPr>
        <w:t>698</w:t>
      </w:r>
      <w:r w:rsidR="00D46A12">
        <w:rPr>
          <w:rFonts w:ascii="Book Antiqua" w:eastAsia="Calibri" w:hAnsi="Book Antiqua" w:cs="Arial"/>
          <w:sz w:val="24"/>
          <w:szCs w:val="24"/>
        </w:rPr>
        <w:t xml:space="preserve"> en el 2017 </w:t>
      </w:r>
      <w:r w:rsidRPr="00D84964">
        <w:rPr>
          <w:rFonts w:ascii="Book Antiqua" w:eastAsia="Calibri" w:hAnsi="Book Antiqua" w:cs="Arial"/>
          <w:sz w:val="24"/>
          <w:szCs w:val="24"/>
        </w:rPr>
        <w:t>a 14</w:t>
      </w:r>
      <w:r w:rsidR="00F52449">
        <w:rPr>
          <w:rFonts w:ascii="Book Antiqua" w:eastAsia="Calibri" w:hAnsi="Book Antiqua" w:cs="Arial"/>
          <w:sz w:val="24"/>
          <w:szCs w:val="24"/>
        </w:rPr>
        <w:t xml:space="preserve"> </w:t>
      </w:r>
      <w:r w:rsidRPr="00D84964">
        <w:rPr>
          <w:rFonts w:ascii="Book Antiqua" w:eastAsia="Calibri" w:hAnsi="Book Antiqua" w:cs="Arial"/>
          <w:sz w:val="24"/>
          <w:szCs w:val="24"/>
        </w:rPr>
        <w:t xml:space="preserve">443 expedientes </w:t>
      </w:r>
      <w:r w:rsidR="00D46A12">
        <w:rPr>
          <w:rFonts w:ascii="Book Antiqua" w:eastAsia="Calibri" w:hAnsi="Book Antiqua" w:cs="Arial"/>
          <w:sz w:val="24"/>
          <w:szCs w:val="24"/>
        </w:rPr>
        <w:t xml:space="preserve">en </w:t>
      </w:r>
      <w:r w:rsidRPr="00D84964">
        <w:rPr>
          <w:rFonts w:ascii="Book Antiqua" w:eastAsia="Calibri" w:hAnsi="Book Antiqua" w:cs="Arial"/>
          <w:sz w:val="24"/>
          <w:szCs w:val="24"/>
        </w:rPr>
        <w:t>2018, como se muestra en el siguiente gráfico</w:t>
      </w:r>
      <w:r w:rsidR="00D46A12">
        <w:rPr>
          <w:rFonts w:ascii="Book Antiqua" w:eastAsia="Calibri" w:hAnsi="Book Antiqua" w:cs="Arial"/>
          <w:sz w:val="24"/>
          <w:szCs w:val="24"/>
        </w:rPr>
        <w:t xml:space="preserve">. </w:t>
      </w:r>
    </w:p>
    <w:p w14:paraId="4ECCF380" w14:textId="5FD26482" w:rsidR="000A094F" w:rsidRDefault="00D46A12" w:rsidP="00D8496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al considerar el 2021, un año en donde las oficinas </w:t>
      </w:r>
      <w:r w:rsidR="00B2692A">
        <w:rPr>
          <w:rFonts w:ascii="Book Antiqua" w:eastAsia="Calibri" w:hAnsi="Book Antiqua" w:cs="Arial"/>
          <w:sz w:val="24"/>
          <w:szCs w:val="24"/>
        </w:rPr>
        <w:t>realizaron</w:t>
      </w:r>
      <w:r>
        <w:rPr>
          <w:rFonts w:ascii="Book Antiqua" w:eastAsia="Calibri" w:hAnsi="Book Antiqua" w:cs="Arial"/>
          <w:sz w:val="24"/>
          <w:szCs w:val="24"/>
        </w:rPr>
        <w:t xml:space="preserve"> esfuerzos para reactivar los servicios, </w:t>
      </w:r>
      <w:r w:rsidR="00B2692A">
        <w:rPr>
          <w:rFonts w:ascii="Book Antiqua" w:eastAsia="Calibri" w:hAnsi="Book Antiqua" w:cs="Arial"/>
          <w:sz w:val="24"/>
          <w:szCs w:val="24"/>
        </w:rPr>
        <w:t>y que</w:t>
      </w:r>
      <w:r>
        <w:rPr>
          <w:rFonts w:ascii="Book Antiqua" w:eastAsia="Calibri" w:hAnsi="Book Antiqua" w:cs="Arial"/>
          <w:sz w:val="24"/>
          <w:szCs w:val="24"/>
        </w:rPr>
        <w:t xml:space="preserve"> desde el 2020 la institución </w:t>
      </w:r>
      <w:r w:rsidR="00BE6683">
        <w:rPr>
          <w:rFonts w:ascii="Book Antiqua" w:eastAsia="Calibri" w:hAnsi="Book Antiqua" w:cs="Arial"/>
          <w:sz w:val="24"/>
          <w:szCs w:val="24"/>
        </w:rPr>
        <w:t>aprueba</w:t>
      </w:r>
      <w:r>
        <w:rPr>
          <w:rFonts w:ascii="Book Antiqua" w:eastAsia="Calibri" w:hAnsi="Book Antiqua" w:cs="Arial"/>
          <w:sz w:val="24"/>
          <w:szCs w:val="24"/>
        </w:rPr>
        <w:t xml:space="preserve"> protocolos para la celebración de audiencias por medios electrónicos, entre otros, se logra observar que para </w:t>
      </w:r>
      <w:r w:rsidR="00FA705F">
        <w:rPr>
          <w:rFonts w:ascii="Book Antiqua" w:eastAsia="Calibri" w:hAnsi="Book Antiqua" w:cs="Arial"/>
          <w:sz w:val="24"/>
          <w:szCs w:val="24"/>
        </w:rPr>
        <w:t xml:space="preserve">el periodo </w:t>
      </w:r>
      <w:r>
        <w:rPr>
          <w:rFonts w:ascii="Book Antiqua" w:eastAsia="Calibri" w:hAnsi="Book Antiqua" w:cs="Arial"/>
          <w:sz w:val="24"/>
          <w:szCs w:val="24"/>
        </w:rPr>
        <w:t>2020</w:t>
      </w:r>
      <w:r w:rsidR="00FA705F">
        <w:rPr>
          <w:rFonts w:ascii="Book Antiqua" w:eastAsia="Calibri" w:hAnsi="Book Antiqua" w:cs="Arial"/>
          <w:sz w:val="24"/>
          <w:szCs w:val="24"/>
        </w:rPr>
        <w:t xml:space="preserve">-2022, </w:t>
      </w:r>
      <w:r w:rsidR="000A094F">
        <w:rPr>
          <w:rFonts w:ascii="Book Antiqua" w:eastAsia="Calibri" w:hAnsi="Book Antiqua" w:cs="Arial"/>
          <w:sz w:val="24"/>
          <w:szCs w:val="24"/>
        </w:rPr>
        <w:t>se logró cubrir la entrada</w:t>
      </w:r>
      <w:r w:rsidR="00B2692A">
        <w:rPr>
          <w:rFonts w:ascii="Book Antiqua" w:eastAsia="Calibri" w:hAnsi="Book Antiqua" w:cs="Arial"/>
          <w:sz w:val="24"/>
          <w:szCs w:val="24"/>
        </w:rPr>
        <w:t xml:space="preserve"> y </w:t>
      </w:r>
      <w:r w:rsidR="000005D1">
        <w:rPr>
          <w:rFonts w:ascii="Book Antiqua" w:eastAsia="Calibri" w:hAnsi="Book Antiqua" w:cs="Arial"/>
          <w:sz w:val="24"/>
          <w:szCs w:val="24"/>
        </w:rPr>
        <w:t>contribuir con la disminución del circulante</w:t>
      </w:r>
      <w:r w:rsidR="000A094F">
        <w:rPr>
          <w:rFonts w:ascii="Book Antiqua" w:eastAsia="Calibri" w:hAnsi="Book Antiqua" w:cs="Arial"/>
          <w:sz w:val="24"/>
          <w:szCs w:val="24"/>
        </w:rPr>
        <w:t>. Incluso para 202</w:t>
      </w:r>
      <w:r w:rsidR="00FA705F">
        <w:rPr>
          <w:rFonts w:ascii="Book Antiqua" w:eastAsia="Calibri" w:hAnsi="Book Antiqua" w:cs="Arial"/>
          <w:sz w:val="24"/>
          <w:szCs w:val="24"/>
        </w:rPr>
        <w:t>2</w:t>
      </w:r>
      <w:r w:rsidR="000A094F">
        <w:rPr>
          <w:rFonts w:ascii="Book Antiqua" w:eastAsia="Calibri" w:hAnsi="Book Antiqua" w:cs="Arial"/>
          <w:sz w:val="24"/>
          <w:szCs w:val="24"/>
        </w:rPr>
        <w:t xml:space="preserve">, se reportó una disminución en circulante de </w:t>
      </w:r>
      <w:r w:rsidR="006530E3">
        <w:rPr>
          <w:rFonts w:ascii="Book Antiqua" w:eastAsia="Calibri" w:hAnsi="Book Antiqua" w:cs="Arial"/>
          <w:sz w:val="24"/>
          <w:szCs w:val="24"/>
        </w:rPr>
        <w:t>642</w:t>
      </w:r>
      <w:r w:rsidR="000A094F">
        <w:rPr>
          <w:rFonts w:ascii="Book Antiqua" w:eastAsia="Calibri" w:hAnsi="Book Antiqua" w:cs="Arial"/>
          <w:sz w:val="24"/>
          <w:szCs w:val="24"/>
        </w:rPr>
        <w:t xml:space="preserve"> </w:t>
      </w:r>
      <w:r w:rsidR="006530E3">
        <w:rPr>
          <w:rFonts w:ascii="Book Antiqua" w:eastAsia="Calibri" w:hAnsi="Book Antiqua" w:cs="Arial"/>
          <w:sz w:val="24"/>
          <w:szCs w:val="24"/>
        </w:rPr>
        <w:t xml:space="preserve">(5%) </w:t>
      </w:r>
      <w:r w:rsidR="000A094F">
        <w:rPr>
          <w:rFonts w:ascii="Book Antiqua" w:eastAsia="Calibri" w:hAnsi="Book Antiqua" w:cs="Arial"/>
          <w:sz w:val="24"/>
          <w:szCs w:val="24"/>
        </w:rPr>
        <w:t>asuntos</w:t>
      </w:r>
      <w:r w:rsidR="000005D1">
        <w:rPr>
          <w:rFonts w:ascii="Book Antiqua" w:eastAsia="Calibri" w:hAnsi="Book Antiqua" w:cs="Arial"/>
          <w:sz w:val="24"/>
          <w:szCs w:val="24"/>
        </w:rPr>
        <w:t xml:space="preserve"> en comparación con el 202</w:t>
      </w:r>
      <w:r w:rsidR="006530E3">
        <w:rPr>
          <w:rFonts w:ascii="Book Antiqua" w:eastAsia="Calibri" w:hAnsi="Book Antiqua" w:cs="Arial"/>
          <w:sz w:val="24"/>
          <w:szCs w:val="24"/>
        </w:rPr>
        <w:t>1</w:t>
      </w:r>
      <w:r w:rsidR="000A094F">
        <w:rPr>
          <w:rFonts w:ascii="Book Antiqua" w:eastAsia="Calibri" w:hAnsi="Book Antiqua" w:cs="Arial"/>
          <w:sz w:val="24"/>
          <w:szCs w:val="24"/>
        </w:rPr>
        <w:t xml:space="preserve">.  </w:t>
      </w:r>
    </w:p>
    <w:p w14:paraId="3C17761D" w14:textId="7F440965" w:rsidR="00D84964" w:rsidRPr="00D84964" w:rsidRDefault="00D84964" w:rsidP="00D84964">
      <w:pPr>
        <w:spacing w:after="0" w:line="276" w:lineRule="auto"/>
        <w:jc w:val="both"/>
        <w:rPr>
          <w:rFonts w:ascii="Book Antiqua" w:eastAsia="Calibri" w:hAnsi="Book Antiqua" w:cs="Arial"/>
          <w:sz w:val="24"/>
          <w:szCs w:val="24"/>
        </w:rPr>
      </w:pPr>
    </w:p>
    <w:p w14:paraId="2C8568F3" w14:textId="2ADB54A7" w:rsidR="00C10C3C" w:rsidRPr="00C10C3C" w:rsidRDefault="00C10C3C" w:rsidP="00C10C3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10C3C">
        <w:rPr>
          <w:rFonts w:ascii="Book Antiqua" w:eastAsia="Calibri" w:hAnsi="Book Antiqua" w:cs="Arial"/>
          <w:b/>
          <w:bCs/>
          <w:color w:val="1F497D"/>
          <w:szCs w:val="24"/>
          <w:lang w:val="es-ES" w:eastAsia="es-ES"/>
        </w:rPr>
        <w:t xml:space="preserve">Gráfico </w:t>
      </w:r>
      <w:r w:rsidRPr="00C10C3C">
        <w:rPr>
          <w:rFonts w:ascii="Book Antiqua" w:eastAsia="Calibri" w:hAnsi="Book Antiqua" w:cs="Arial"/>
          <w:b/>
          <w:bCs/>
          <w:color w:val="1F497D"/>
          <w:szCs w:val="24"/>
          <w:lang w:val="es-ES" w:eastAsia="es-ES"/>
        </w:rPr>
        <w:fldChar w:fldCharType="begin"/>
      </w:r>
      <w:r w:rsidRPr="00C10C3C">
        <w:rPr>
          <w:rFonts w:ascii="Book Antiqua" w:eastAsia="Calibri" w:hAnsi="Book Antiqua" w:cs="Arial"/>
          <w:b/>
          <w:bCs/>
          <w:color w:val="1F497D"/>
          <w:szCs w:val="24"/>
          <w:lang w:val="es-ES" w:eastAsia="es-ES"/>
        </w:rPr>
        <w:instrText xml:space="preserve"> SEQ Gráfico \* ARABIC </w:instrText>
      </w:r>
      <w:r w:rsidRPr="00C10C3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5</w:t>
      </w:r>
      <w:r w:rsidRPr="00C10C3C">
        <w:rPr>
          <w:rFonts w:ascii="Book Antiqua" w:eastAsia="Calibri" w:hAnsi="Book Antiqua" w:cs="Arial"/>
          <w:b/>
          <w:bCs/>
          <w:color w:val="1F497D"/>
          <w:szCs w:val="24"/>
          <w:lang w:val="es-ES" w:eastAsia="es-ES"/>
        </w:rPr>
        <w:fldChar w:fldCharType="end"/>
      </w:r>
      <w:r w:rsidRPr="00C10C3C">
        <w:rPr>
          <w:rFonts w:ascii="Book Antiqua" w:eastAsia="Calibri" w:hAnsi="Book Antiqua" w:cs="Arial"/>
          <w:b/>
          <w:bCs/>
          <w:color w:val="1F497D"/>
          <w:szCs w:val="24"/>
          <w:lang w:val="es-ES" w:eastAsia="es-ES"/>
        </w:rPr>
        <w:t xml:space="preserve"> </w:t>
      </w:r>
    </w:p>
    <w:p w14:paraId="1517F99D" w14:textId="1B449C77" w:rsidR="00C10C3C" w:rsidRPr="00C10C3C" w:rsidRDefault="00C10C3C" w:rsidP="005D537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10C3C">
        <w:rPr>
          <w:rFonts w:ascii="Book Antiqua" w:eastAsia="Calibri" w:hAnsi="Book Antiqua" w:cs="Arial"/>
          <w:b/>
          <w:bCs/>
          <w:color w:val="1F497D"/>
          <w:szCs w:val="24"/>
          <w:lang w:val="es-ES" w:eastAsia="es-ES"/>
        </w:rPr>
        <w:t>Entrad</w:t>
      </w:r>
      <w:r w:rsidR="000C2758">
        <w:rPr>
          <w:rFonts w:ascii="Book Antiqua" w:eastAsia="Calibri" w:hAnsi="Book Antiqua" w:cs="Arial"/>
          <w:b/>
          <w:bCs/>
          <w:color w:val="1F497D"/>
          <w:szCs w:val="24"/>
          <w:lang w:val="es-ES" w:eastAsia="es-ES"/>
        </w:rPr>
        <w:t>a</w:t>
      </w:r>
      <w:r w:rsidRPr="00C10C3C">
        <w:rPr>
          <w:rFonts w:ascii="Book Antiqua" w:eastAsia="Calibri" w:hAnsi="Book Antiqua" w:cs="Arial"/>
          <w:b/>
          <w:bCs/>
          <w:color w:val="1F497D"/>
          <w:szCs w:val="24"/>
          <w:lang w:val="es-ES" w:eastAsia="es-ES"/>
        </w:rPr>
        <w:t xml:space="preserve"> total, terminado total y circulante</w:t>
      </w:r>
    </w:p>
    <w:p w14:paraId="01881D23" w14:textId="535D71D4" w:rsidR="008A5759" w:rsidRDefault="00C10C3C" w:rsidP="00FA705F">
      <w:pPr>
        <w:spacing w:after="0" w:line="240" w:lineRule="auto"/>
        <w:jc w:val="center"/>
        <w:rPr>
          <w:noProof/>
        </w:rPr>
      </w:pPr>
      <w:r w:rsidRPr="005D5370">
        <w:rPr>
          <w:rFonts w:ascii="Book Antiqua" w:eastAsia="Calibri" w:hAnsi="Book Antiqua" w:cs="Arial"/>
          <w:b/>
          <w:bCs/>
          <w:color w:val="1F497D"/>
          <w:szCs w:val="24"/>
          <w:lang w:val="es-ES" w:eastAsia="es-ES"/>
        </w:rPr>
        <w:t>de 201</w:t>
      </w:r>
      <w:r w:rsidR="005D5370">
        <w:rPr>
          <w:rFonts w:ascii="Book Antiqua" w:eastAsia="Calibri" w:hAnsi="Book Antiqua" w:cs="Arial"/>
          <w:b/>
          <w:bCs/>
          <w:color w:val="1F497D"/>
          <w:szCs w:val="24"/>
          <w:lang w:val="es-ES" w:eastAsia="es-ES"/>
        </w:rPr>
        <w:t>7</w:t>
      </w:r>
      <w:r w:rsidRPr="005D5370">
        <w:rPr>
          <w:rFonts w:ascii="Book Antiqua" w:eastAsia="Calibri" w:hAnsi="Book Antiqua" w:cs="Arial"/>
          <w:b/>
          <w:bCs/>
          <w:color w:val="1F497D"/>
          <w:szCs w:val="24"/>
          <w:lang w:val="es-ES" w:eastAsia="es-ES"/>
        </w:rPr>
        <w:t xml:space="preserve"> a 20</w:t>
      </w:r>
      <w:r w:rsidR="005D5370">
        <w:rPr>
          <w:rFonts w:ascii="Book Antiqua" w:eastAsia="Calibri" w:hAnsi="Book Antiqua" w:cs="Arial"/>
          <w:b/>
          <w:bCs/>
          <w:color w:val="1F497D"/>
          <w:szCs w:val="24"/>
          <w:lang w:val="es-ES" w:eastAsia="es-ES"/>
        </w:rPr>
        <w:t>2</w:t>
      </w:r>
      <w:r w:rsidR="000C2758">
        <w:rPr>
          <w:rFonts w:ascii="Book Antiqua" w:eastAsia="Calibri" w:hAnsi="Book Antiqua" w:cs="Arial"/>
          <w:b/>
          <w:bCs/>
          <w:color w:val="1F497D"/>
          <w:szCs w:val="24"/>
          <w:lang w:val="es-ES" w:eastAsia="es-ES"/>
        </w:rPr>
        <w:t>2</w:t>
      </w:r>
      <w:r w:rsidRPr="005D5370">
        <w:rPr>
          <w:rFonts w:ascii="Book Antiqua" w:eastAsia="Calibri" w:hAnsi="Book Antiqua" w:cs="Arial"/>
          <w:b/>
          <w:bCs/>
          <w:color w:val="1F497D"/>
          <w:szCs w:val="24"/>
          <w:lang w:val="es-ES" w:eastAsia="es-ES"/>
        </w:rPr>
        <w:t xml:space="preserve">, </w:t>
      </w:r>
      <w:r w:rsidR="005D5370">
        <w:rPr>
          <w:rFonts w:ascii="Book Antiqua" w:eastAsia="Calibri" w:hAnsi="Book Antiqua" w:cs="Arial"/>
          <w:b/>
          <w:bCs/>
          <w:color w:val="1F497D"/>
          <w:szCs w:val="24"/>
          <w:lang w:val="es-ES" w:eastAsia="es-ES"/>
        </w:rPr>
        <w:t>J</w:t>
      </w:r>
      <w:r w:rsidRPr="005D5370">
        <w:rPr>
          <w:rFonts w:ascii="Book Antiqua" w:eastAsia="Calibri" w:hAnsi="Book Antiqua" w:cs="Arial"/>
          <w:b/>
          <w:bCs/>
          <w:color w:val="1F497D"/>
          <w:szCs w:val="24"/>
          <w:lang w:val="es-ES" w:eastAsia="es-ES"/>
        </w:rPr>
        <w:t xml:space="preserve">uzgados </w:t>
      </w:r>
      <w:r w:rsidR="005D5370">
        <w:rPr>
          <w:rFonts w:ascii="Book Antiqua" w:eastAsia="Calibri" w:hAnsi="Book Antiqua" w:cs="Arial"/>
          <w:b/>
          <w:bCs/>
          <w:color w:val="1F497D"/>
          <w:szCs w:val="24"/>
          <w:lang w:val="es-ES" w:eastAsia="es-ES"/>
        </w:rPr>
        <w:t>E</w:t>
      </w:r>
      <w:r w:rsidRPr="005D5370">
        <w:rPr>
          <w:rFonts w:ascii="Book Antiqua" w:eastAsia="Calibri" w:hAnsi="Book Antiqua" w:cs="Arial"/>
          <w:b/>
          <w:bCs/>
          <w:color w:val="1F497D"/>
          <w:szCs w:val="24"/>
          <w:lang w:val="es-ES" w:eastAsia="es-ES"/>
        </w:rPr>
        <w:t>specializados en materia Familia</w:t>
      </w:r>
    </w:p>
    <w:p w14:paraId="42E4A868" w14:textId="68EEB183" w:rsidR="00B2692A" w:rsidRDefault="006530E3" w:rsidP="00FA705F">
      <w:pPr>
        <w:spacing w:after="0" w:line="240" w:lineRule="auto"/>
        <w:jc w:val="center"/>
        <w:rPr>
          <w:rFonts w:ascii="Book Antiqua" w:hAnsi="Book Antiqua"/>
          <w:sz w:val="24"/>
          <w:szCs w:val="24"/>
        </w:rPr>
      </w:pPr>
      <w:r>
        <w:rPr>
          <w:noProof/>
        </w:rPr>
        <w:drawing>
          <wp:inline distT="0" distB="0" distL="0" distR="0" wp14:anchorId="281CEE7F" wp14:editId="79B587F2">
            <wp:extent cx="5562600" cy="2635250"/>
            <wp:effectExtent l="0" t="0" r="0" b="12700"/>
            <wp:docPr id="9" name="Gráfico 9">
              <a:extLst xmlns:a="http://schemas.openxmlformats.org/drawingml/2006/main">
                <a:ext uri="{FF2B5EF4-FFF2-40B4-BE49-F238E27FC236}">
                  <a16:creationId xmlns:a16="http://schemas.microsoft.com/office/drawing/2014/main" id="{9EB720EB-EF01-452E-8D23-94258844BC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557D07F" w14:textId="77903C02" w:rsidR="005D749E" w:rsidRPr="000D0A66" w:rsidRDefault="000D0A66" w:rsidP="007C5EC0">
      <w:pPr>
        <w:spacing w:after="0" w:line="240" w:lineRule="auto"/>
        <w:ind w:right="284"/>
        <w:jc w:val="both"/>
        <w:rPr>
          <w:rFonts w:ascii="Book Antiqua" w:hAnsi="Book Antiqua"/>
          <w:i/>
          <w:iCs/>
          <w:sz w:val="20"/>
          <w:szCs w:val="20"/>
        </w:rPr>
      </w:pPr>
      <w:r w:rsidRPr="007C5EC0">
        <w:rPr>
          <w:rFonts w:ascii="Book Antiqua" w:hAnsi="Book Antiqua"/>
          <w:b/>
          <w:bCs/>
          <w:i/>
          <w:iCs/>
          <w:sz w:val="20"/>
          <w:szCs w:val="20"/>
        </w:rPr>
        <w:t>Fuente:</w:t>
      </w:r>
      <w:r w:rsidRPr="000D0A66">
        <w:rPr>
          <w:rFonts w:ascii="Book Antiqua" w:hAnsi="Book Antiqua"/>
          <w:i/>
          <w:iCs/>
          <w:sz w:val="20"/>
          <w:szCs w:val="20"/>
        </w:rPr>
        <w:t xml:space="preserve"> Subproceso de Modernización Institucional</w:t>
      </w:r>
      <w:bookmarkStart w:id="20" w:name="_Hlk129157804"/>
      <w:r w:rsidRPr="000D0A66">
        <w:rPr>
          <w:rFonts w:ascii="Book Antiqua" w:hAnsi="Book Antiqua"/>
          <w:i/>
          <w:iCs/>
          <w:sz w:val="20"/>
          <w:szCs w:val="20"/>
        </w:rPr>
        <w:t>, con datos del Subproceso de Estadística del 201</w:t>
      </w:r>
      <w:r>
        <w:rPr>
          <w:rFonts w:ascii="Book Antiqua" w:hAnsi="Book Antiqua"/>
          <w:i/>
          <w:iCs/>
          <w:sz w:val="20"/>
          <w:szCs w:val="20"/>
        </w:rPr>
        <w:t>7</w:t>
      </w:r>
      <w:r w:rsidRPr="000D0A66">
        <w:rPr>
          <w:rFonts w:ascii="Book Antiqua" w:hAnsi="Book Antiqua"/>
          <w:i/>
          <w:iCs/>
          <w:sz w:val="20"/>
          <w:szCs w:val="20"/>
        </w:rPr>
        <w:t xml:space="preserve"> al 20</w:t>
      </w:r>
      <w:r>
        <w:rPr>
          <w:rFonts w:ascii="Book Antiqua" w:hAnsi="Book Antiqua"/>
          <w:i/>
          <w:iCs/>
          <w:sz w:val="20"/>
          <w:szCs w:val="20"/>
        </w:rPr>
        <w:t>2</w:t>
      </w:r>
      <w:r w:rsidR="00FA705F">
        <w:rPr>
          <w:rFonts w:ascii="Book Antiqua" w:hAnsi="Book Antiqua"/>
          <w:i/>
          <w:iCs/>
          <w:sz w:val="20"/>
          <w:szCs w:val="20"/>
        </w:rPr>
        <w:t xml:space="preserve">2 y el Balance General Interactivo, consulta del </w:t>
      </w:r>
      <w:r w:rsidR="006530E3">
        <w:rPr>
          <w:rFonts w:ascii="Book Antiqua" w:hAnsi="Book Antiqua"/>
          <w:i/>
          <w:iCs/>
          <w:sz w:val="20"/>
          <w:szCs w:val="20"/>
        </w:rPr>
        <w:t>7</w:t>
      </w:r>
      <w:r w:rsidR="00FA705F">
        <w:rPr>
          <w:rFonts w:ascii="Book Antiqua" w:hAnsi="Book Antiqua"/>
          <w:i/>
          <w:iCs/>
          <w:sz w:val="20"/>
          <w:szCs w:val="20"/>
        </w:rPr>
        <w:t>/0</w:t>
      </w:r>
      <w:r w:rsidR="006530E3">
        <w:rPr>
          <w:rFonts w:ascii="Book Antiqua" w:hAnsi="Book Antiqua"/>
          <w:i/>
          <w:iCs/>
          <w:sz w:val="20"/>
          <w:szCs w:val="20"/>
        </w:rPr>
        <w:t>3</w:t>
      </w:r>
      <w:r w:rsidR="00FA705F">
        <w:rPr>
          <w:rFonts w:ascii="Book Antiqua" w:hAnsi="Book Antiqua"/>
          <w:i/>
          <w:iCs/>
          <w:sz w:val="20"/>
          <w:szCs w:val="20"/>
        </w:rPr>
        <w:t>/202</w:t>
      </w:r>
      <w:r w:rsidR="006530E3">
        <w:rPr>
          <w:rFonts w:ascii="Book Antiqua" w:hAnsi="Book Antiqua"/>
          <w:i/>
          <w:iCs/>
          <w:sz w:val="20"/>
          <w:szCs w:val="20"/>
        </w:rPr>
        <w:t>3</w:t>
      </w:r>
      <w:bookmarkEnd w:id="20"/>
      <w:r w:rsidR="00FA705F">
        <w:rPr>
          <w:rFonts w:ascii="Book Antiqua" w:hAnsi="Book Antiqua"/>
          <w:i/>
          <w:iCs/>
          <w:sz w:val="20"/>
          <w:szCs w:val="20"/>
        </w:rPr>
        <w:t>.</w:t>
      </w:r>
    </w:p>
    <w:p w14:paraId="48840BEC" w14:textId="63A708AF" w:rsidR="005D749E" w:rsidRDefault="005D749E" w:rsidP="009C01E1">
      <w:pPr>
        <w:spacing w:line="276" w:lineRule="auto"/>
        <w:jc w:val="both"/>
        <w:rPr>
          <w:rFonts w:ascii="Book Antiqua" w:hAnsi="Book Antiqua"/>
          <w:sz w:val="24"/>
          <w:szCs w:val="24"/>
        </w:rPr>
      </w:pPr>
    </w:p>
    <w:p w14:paraId="65C8D74E" w14:textId="77777777" w:rsidR="00792F0C" w:rsidRPr="008D6799" w:rsidRDefault="00792F0C"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Plazos por tipo de proceso</w:t>
      </w:r>
    </w:p>
    <w:p w14:paraId="339B823C" w14:textId="77777777" w:rsidR="009C6BEF" w:rsidRPr="009C6BEF" w:rsidRDefault="009C6BEF" w:rsidP="009C6BEF">
      <w:pPr>
        <w:spacing w:after="0" w:line="240" w:lineRule="auto"/>
        <w:jc w:val="both"/>
        <w:rPr>
          <w:rFonts w:ascii="Book Antiqua" w:eastAsia="Calibri" w:hAnsi="Book Antiqua" w:cs="Arial"/>
          <w:lang w:val="es-ES_tradnl"/>
        </w:rPr>
      </w:pPr>
    </w:p>
    <w:p w14:paraId="29434C5A" w14:textId="698B448F" w:rsidR="004B0BF5" w:rsidRDefault="00756438" w:rsidP="00D4475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004B0BF5" w:rsidRPr="004B0BF5">
        <w:rPr>
          <w:rFonts w:ascii="Book Antiqua" w:eastAsia="Calibri" w:hAnsi="Book Antiqua" w:cs="Arial"/>
          <w:sz w:val="24"/>
          <w:szCs w:val="24"/>
        </w:rPr>
        <w:t xml:space="preserve">rangos de duración </w:t>
      </w:r>
      <w:r>
        <w:rPr>
          <w:rFonts w:ascii="Book Antiqua" w:eastAsia="Calibri" w:hAnsi="Book Antiqua" w:cs="Arial"/>
          <w:sz w:val="24"/>
          <w:szCs w:val="24"/>
        </w:rPr>
        <w:t xml:space="preserve">corresponden al </w:t>
      </w:r>
      <w:r w:rsidR="004B0BF5" w:rsidRPr="004B0BF5">
        <w:rPr>
          <w:rFonts w:ascii="Book Antiqua" w:eastAsia="Calibri" w:hAnsi="Book Antiqua" w:cs="Arial"/>
          <w:sz w:val="24"/>
          <w:szCs w:val="24"/>
        </w:rPr>
        <w:t xml:space="preserve">plazo legal, </w:t>
      </w:r>
      <w:r>
        <w:rPr>
          <w:rFonts w:ascii="Book Antiqua" w:eastAsia="Calibri" w:hAnsi="Book Antiqua" w:cs="Arial"/>
          <w:sz w:val="24"/>
          <w:szCs w:val="24"/>
        </w:rPr>
        <w:t xml:space="preserve">o </w:t>
      </w:r>
      <w:r w:rsidRPr="004B0BF5">
        <w:rPr>
          <w:rFonts w:ascii="Book Antiqua" w:eastAsia="Calibri" w:hAnsi="Book Antiqua" w:cs="Arial"/>
          <w:sz w:val="24"/>
          <w:szCs w:val="24"/>
        </w:rPr>
        <w:t>se encuentran dentro del criterio experto según informe 1212-PLA-EV-2020</w:t>
      </w:r>
      <w:r w:rsidR="00F30D3B">
        <w:rPr>
          <w:rFonts w:ascii="Book Antiqua" w:eastAsia="Calibri" w:hAnsi="Book Antiqua" w:cs="Arial"/>
          <w:sz w:val="24"/>
          <w:szCs w:val="24"/>
        </w:rPr>
        <w:t>,</w:t>
      </w:r>
      <w:r w:rsidR="00D44759">
        <w:rPr>
          <w:rFonts w:ascii="Book Antiqua" w:eastAsia="Calibri" w:hAnsi="Book Antiqua" w:cs="Arial"/>
          <w:sz w:val="24"/>
          <w:szCs w:val="24"/>
        </w:rPr>
        <w:t xml:space="preserve"> aprobado por Consejo Superior en sesión </w:t>
      </w:r>
      <w:r w:rsidR="00D44759" w:rsidRPr="00D44759">
        <w:rPr>
          <w:rFonts w:ascii="Book Antiqua" w:eastAsia="Calibri" w:hAnsi="Book Antiqua" w:cs="Arial"/>
          <w:sz w:val="24"/>
          <w:szCs w:val="24"/>
        </w:rPr>
        <w:t xml:space="preserve">82-2020 celebrada el 20 de agosto del 2020, </w:t>
      </w:r>
      <w:r w:rsidR="00D44759">
        <w:rPr>
          <w:rFonts w:ascii="Book Antiqua" w:eastAsia="Calibri" w:hAnsi="Book Antiqua" w:cs="Arial"/>
          <w:sz w:val="24"/>
          <w:szCs w:val="24"/>
        </w:rPr>
        <w:t>artículo</w:t>
      </w:r>
      <w:r w:rsidR="00D44759" w:rsidRPr="00D44759">
        <w:rPr>
          <w:rFonts w:ascii="Book Antiqua" w:eastAsia="Calibri" w:hAnsi="Book Antiqua" w:cs="Arial"/>
          <w:sz w:val="24"/>
          <w:szCs w:val="24"/>
        </w:rPr>
        <w:t xml:space="preserve"> XLI</w:t>
      </w:r>
      <w:r w:rsidR="00D44759">
        <w:rPr>
          <w:rFonts w:ascii="Book Antiqua" w:eastAsia="Calibri" w:hAnsi="Book Antiqua" w:cs="Arial"/>
          <w:sz w:val="24"/>
          <w:szCs w:val="24"/>
        </w:rPr>
        <w:t>-Circular</w:t>
      </w:r>
      <w:r w:rsidR="008C33E2">
        <w:rPr>
          <w:rFonts w:ascii="Book Antiqua" w:eastAsia="Calibri" w:hAnsi="Book Antiqua" w:cs="Arial"/>
          <w:sz w:val="24"/>
          <w:szCs w:val="24"/>
        </w:rPr>
        <w:t>es 96-2021 y 213-2021</w:t>
      </w:r>
      <w:r w:rsidR="004869C5">
        <w:rPr>
          <w:rFonts w:ascii="Book Antiqua" w:eastAsia="Calibri" w:hAnsi="Book Antiqua" w:cs="Arial"/>
          <w:sz w:val="24"/>
          <w:szCs w:val="24"/>
        </w:rPr>
        <w:t>.</w:t>
      </w:r>
    </w:p>
    <w:p w14:paraId="1ED20109" w14:textId="797E7D00" w:rsidR="00BC185D" w:rsidRDefault="00BC185D" w:rsidP="00D44759">
      <w:pPr>
        <w:spacing w:after="0" w:line="276" w:lineRule="auto"/>
        <w:jc w:val="both"/>
        <w:rPr>
          <w:rFonts w:ascii="Book Antiqua" w:eastAsia="Calibri" w:hAnsi="Book Antiqua" w:cs="Arial"/>
          <w:sz w:val="24"/>
          <w:szCs w:val="24"/>
        </w:rPr>
      </w:pPr>
    </w:p>
    <w:p w14:paraId="048E54D3" w14:textId="6358E4D0" w:rsidR="00BC185D" w:rsidRDefault="00BC185D" w:rsidP="00D44759">
      <w:pPr>
        <w:spacing w:after="0" w:line="276" w:lineRule="auto"/>
        <w:jc w:val="both"/>
        <w:rPr>
          <w:rFonts w:ascii="Book Antiqua" w:eastAsia="Calibri" w:hAnsi="Book Antiqua" w:cs="Arial"/>
          <w:sz w:val="24"/>
          <w:szCs w:val="24"/>
        </w:rPr>
      </w:pPr>
    </w:p>
    <w:p w14:paraId="644EE84F" w14:textId="77777777" w:rsidR="00BC185D" w:rsidRDefault="00BC185D" w:rsidP="00D44759">
      <w:pPr>
        <w:spacing w:after="0" w:line="276" w:lineRule="auto"/>
        <w:jc w:val="both"/>
        <w:rPr>
          <w:rFonts w:ascii="Book Antiqua" w:eastAsia="Calibri" w:hAnsi="Book Antiqua" w:cs="Arial"/>
          <w:sz w:val="24"/>
          <w:szCs w:val="24"/>
        </w:rPr>
      </w:pPr>
    </w:p>
    <w:p w14:paraId="2C9BED16" w14:textId="77777777" w:rsidR="004869C5" w:rsidRPr="004B0BF5" w:rsidRDefault="004869C5" w:rsidP="00D44759">
      <w:pPr>
        <w:spacing w:after="0" w:line="276" w:lineRule="auto"/>
        <w:jc w:val="both"/>
        <w:rPr>
          <w:rFonts w:ascii="Book Antiqua" w:eastAsia="Calibri" w:hAnsi="Book Antiqua" w:cs="Arial"/>
          <w:sz w:val="24"/>
          <w:szCs w:val="24"/>
        </w:rPr>
      </w:pPr>
    </w:p>
    <w:p w14:paraId="1CF47E2C" w14:textId="19EAC7BA" w:rsidR="00352675" w:rsidRPr="00352675" w:rsidRDefault="00352675" w:rsidP="00352675">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21" w:name="_Hlk128038968"/>
      <w:r w:rsidRPr="00352675">
        <w:rPr>
          <w:rFonts w:ascii="Book Antiqua" w:eastAsia="Calibri" w:hAnsi="Book Antiqua" w:cs="Arial"/>
          <w:b/>
          <w:bCs/>
          <w:color w:val="1F497D"/>
          <w:szCs w:val="24"/>
          <w:lang w:val="es-ES" w:eastAsia="es-ES"/>
        </w:rPr>
        <w:t xml:space="preserve">Ilustración </w:t>
      </w:r>
      <w:r w:rsidRPr="00352675">
        <w:rPr>
          <w:rFonts w:ascii="Book Antiqua" w:eastAsia="Calibri" w:hAnsi="Book Antiqua" w:cs="Arial"/>
          <w:b/>
          <w:bCs/>
          <w:color w:val="1F497D"/>
          <w:szCs w:val="24"/>
          <w:lang w:val="es-ES" w:eastAsia="es-ES"/>
        </w:rPr>
        <w:fldChar w:fldCharType="begin"/>
      </w:r>
      <w:r w:rsidRPr="00352675">
        <w:rPr>
          <w:rFonts w:ascii="Book Antiqua" w:eastAsia="Calibri" w:hAnsi="Book Antiqua" w:cs="Arial"/>
          <w:b/>
          <w:bCs/>
          <w:color w:val="1F497D"/>
          <w:szCs w:val="24"/>
          <w:lang w:val="es-ES" w:eastAsia="es-ES"/>
        </w:rPr>
        <w:instrText xml:space="preserve"> SEQ Ilustración \* ARABIC </w:instrText>
      </w:r>
      <w:r w:rsidRPr="003526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2</w:t>
      </w:r>
      <w:r w:rsidRPr="00352675">
        <w:rPr>
          <w:rFonts w:ascii="Book Antiqua" w:eastAsia="Calibri" w:hAnsi="Book Antiqua" w:cs="Arial"/>
          <w:b/>
          <w:bCs/>
          <w:color w:val="1F497D"/>
          <w:szCs w:val="24"/>
          <w:lang w:val="es-ES" w:eastAsia="es-ES"/>
        </w:rPr>
        <w:fldChar w:fldCharType="end"/>
      </w:r>
    </w:p>
    <w:bookmarkEnd w:id="21"/>
    <w:p w14:paraId="6A99144E" w14:textId="03C08516" w:rsidR="00352675" w:rsidRPr="00352675" w:rsidRDefault="00352675" w:rsidP="00352675">
      <w:pPr>
        <w:spacing w:after="0" w:line="240"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Plazos legales y según criterio experto </w:t>
      </w:r>
    </w:p>
    <w:p w14:paraId="3D65185E" w14:textId="0BBE47B4" w:rsidR="00352675" w:rsidRPr="00352675" w:rsidRDefault="00352675" w:rsidP="00352675">
      <w:pPr>
        <w:spacing w:after="0" w:line="276" w:lineRule="auto"/>
        <w:jc w:val="center"/>
        <w:rPr>
          <w:rFonts w:ascii="Book Antiqua" w:eastAsia="Calibri" w:hAnsi="Book Antiqua" w:cs="Arial"/>
          <w:sz w:val="24"/>
          <w:szCs w:val="24"/>
        </w:rPr>
      </w:pPr>
    </w:p>
    <w:p w14:paraId="64100024" w14:textId="4D5DCC49" w:rsidR="008C33E2" w:rsidRDefault="008C33E2" w:rsidP="001D0C10">
      <w:pPr>
        <w:spacing w:after="0" w:line="276" w:lineRule="auto"/>
        <w:jc w:val="center"/>
        <w:rPr>
          <w:rFonts w:ascii="Book Antiqua" w:eastAsia="Calibri" w:hAnsi="Book Antiqua" w:cs="Arial"/>
          <w:i/>
          <w:iCs/>
          <w:sz w:val="20"/>
          <w:szCs w:val="20"/>
        </w:rPr>
      </w:pPr>
      <w:r>
        <w:rPr>
          <w:noProof/>
        </w:rPr>
        <w:drawing>
          <wp:inline distT="0" distB="0" distL="0" distR="0" wp14:anchorId="2272DC8C" wp14:editId="0C0702BF">
            <wp:extent cx="3566160" cy="1170159"/>
            <wp:effectExtent l="0" t="0" r="0" b="0"/>
            <wp:docPr id="12" name="Picture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9"/>
                    <a:stretch>
                      <a:fillRect/>
                    </a:stretch>
                  </pic:blipFill>
                  <pic:spPr>
                    <a:xfrm>
                      <a:off x="0" y="0"/>
                      <a:ext cx="3590636" cy="1178190"/>
                    </a:xfrm>
                    <a:prstGeom prst="rect">
                      <a:avLst/>
                    </a:prstGeom>
                  </pic:spPr>
                </pic:pic>
              </a:graphicData>
            </a:graphic>
          </wp:inline>
        </w:drawing>
      </w:r>
    </w:p>
    <w:p w14:paraId="6A64AA9C" w14:textId="2913B1B3" w:rsidR="00352675" w:rsidRPr="00352675" w:rsidRDefault="00352675" w:rsidP="001D0C10">
      <w:pPr>
        <w:spacing w:after="0" w:line="276" w:lineRule="auto"/>
        <w:jc w:val="center"/>
        <w:rPr>
          <w:rFonts w:ascii="Book Antiqua" w:eastAsia="Calibri" w:hAnsi="Book Antiqua" w:cs="Arial"/>
          <w:sz w:val="24"/>
          <w:szCs w:val="24"/>
        </w:rPr>
      </w:pPr>
      <w:r w:rsidRPr="000C2758">
        <w:rPr>
          <w:rFonts w:ascii="Book Antiqua" w:eastAsia="Calibri" w:hAnsi="Book Antiqua" w:cs="Arial"/>
          <w:b/>
          <w:bCs/>
          <w:i/>
          <w:iCs/>
          <w:sz w:val="20"/>
          <w:szCs w:val="20"/>
        </w:rPr>
        <w:t>Fuente</w:t>
      </w:r>
      <w:r w:rsidR="000C2758">
        <w:rPr>
          <w:rFonts w:ascii="Book Antiqua" w:eastAsia="Calibri" w:hAnsi="Book Antiqua" w:cs="Arial"/>
          <w:b/>
          <w:bCs/>
          <w:i/>
          <w:iCs/>
          <w:sz w:val="20"/>
          <w:szCs w:val="20"/>
        </w:rPr>
        <w:t>:</w:t>
      </w:r>
      <w:r w:rsidRPr="00352675">
        <w:rPr>
          <w:rFonts w:ascii="Book Antiqua" w:eastAsia="Calibri" w:hAnsi="Book Antiqua" w:cs="Arial"/>
          <w:i/>
          <w:iCs/>
          <w:sz w:val="20"/>
          <w:szCs w:val="20"/>
        </w:rPr>
        <w:t xml:space="preserve"> </w:t>
      </w:r>
      <w:r w:rsidR="008C33E2">
        <w:rPr>
          <w:rFonts w:ascii="Book Antiqua" w:eastAsia="Calibri" w:hAnsi="Book Antiqua" w:cs="Arial"/>
          <w:i/>
          <w:iCs/>
          <w:sz w:val="20"/>
          <w:szCs w:val="20"/>
        </w:rPr>
        <w:t>Circular 213-2021</w:t>
      </w:r>
      <w:r w:rsidRPr="00352675">
        <w:rPr>
          <w:rFonts w:ascii="Book Antiqua" w:eastAsia="Calibri" w:hAnsi="Book Antiqua" w:cs="Arial"/>
          <w:i/>
          <w:iCs/>
          <w:sz w:val="20"/>
          <w:szCs w:val="20"/>
        </w:rPr>
        <w:t>.</w:t>
      </w:r>
    </w:p>
    <w:p w14:paraId="224F4FE0" w14:textId="79159FE5" w:rsidR="00E9767C" w:rsidRDefault="00E9767C" w:rsidP="009C01E1">
      <w:pPr>
        <w:spacing w:line="276" w:lineRule="auto"/>
        <w:jc w:val="both"/>
        <w:rPr>
          <w:rFonts w:ascii="Book Antiqua" w:hAnsi="Book Antiqua"/>
          <w:sz w:val="24"/>
          <w:szCs w:val="24"/>
        </w:rPr>
      </w:pPr>
    </w:p>
    <w:p w14:paraId="1533D6E9" w14:textId="19C5182A" w:rsidR="00B80873" w:rsidRDefault="00B80873" w:rsidP="00B80873">
      <w:pPr>
        <w:spacing w:after="0" w:line="276" w:lineRule="auto"/>
        <w:jc w:val="both"/>
        <w:rPr>
          <w:rFonts w:ascii="Book Antiqua" w:eastAsia="Calibri" w:hAnsi="Book Antiqua" w:cs="Arial"/>
          <w:sz w:val="24"/>
          <w:szCs w:val="24"/>
        </w:rPr>
      </w:pPr>
      <w:r w:rsidRPr="00B80873">
        <w:rPr>
          <w:rFonts w:ascii="Book Antiqua" w:eastAsia="Calibri" w:hAnsi="Book Antiqua" w:cs="Arial"/>
          <w:sz w:val="24"/>
          <w:szCs w:val="24"/>
        </w:rPr>
        <w:t>Cabe mencionar que como oportunidad de mejora se gestionó con la Dirección de Tecnología de la Información</w:t>
      </w:r>
      <w:r w:rsidR="008C33E2">
        <w:rPr>
          <w:rFonts w:ascii="Book Antiqua" w:eastAsia="Calibri" w:hAnsi="Book Antiqua" w:cs="Arial"/>
          <w:sz w:val="24"/>
          <w:szCs w:val="24"/>
        </w:rPr>
        <w:t xml:space="preserve"> desde el 2020, la creación de</w:t>
      </w:r>
      <w:r w:rsidRPr="00B80873">
        <w:rPr>
          <w:rFonts w:ascii="Book Antiqua" w:eastAsia="Calibri" w:hAnsi="Book Antiqua" w:cs="Arial"/>
          <w:sz w:val="24"/>
          <w:szCs w:val="24"/>
        </w:rPr>
        <w:t xml:space="preserve"> </w:t>
      </w:r>
      <w:r w:rsidR="008C33E2">
        <w:rPr>
          <w:rFonts w:ascii="Book Antiqua" w:eastAsia="Calibri" w:hAnsi="Book Antiqua" w:cs="Arial"/>
          <w:sz w:val="24"/>
          <w:szCs w:val="24"/>
        </w:rPr>
        <w:t>un reporte en SIGMA</w:t>
      </w:r>
      <w:r w:rsidRPr="00756438">
        <w:rPr>
          <w:rFonts w:ascii="Book Antiqua" w:eastAsia="Calibri" w:hAnsi="Book Antiqua" w:cs="Arial"/>
          <w:sz w:val="24"/>
          <w:szCs w:val="24"/>
        </w:rPr>
        <w:t xml:space="preserve"> para visualizar por código</w:t>
      </w:r>
      <w:r w:rsidRPr="00792F0C">
        <w:rPr>
          <w:rFonts w:ascii="Book Antiqua" w:eastAsia="Calibri" w:hAnsi="Book Antiqua" w:cs="Arial"/>
          <w:sz w:val="24"/>
          <w:szCs w:val="24"/>
        </w:rPr>
        <w:t xml:space="preserve"> de colores aquellos rangos de duración que sobrepas</w:t>
      </w:r>
      <w:r w:rsidR="008C33E2">
        <w:rPr>
          <w:rFonts w:ascii="Book Antiqua" w:eastAsia="Calibri" w:hAnsi="Book Antiqua" w:cs="Arial"/>
          <w:sz w:val="24"/>
          <w:szCs w:val="24"/>
        </w:rPr>
        <w:t>a</w:t>
      </w:r>
      <w:r w:rsidRPr="00792F0C">
        <w:rPr>
          <w:rFonts w:ascii="Book Antiqua" w:eastAsia="Calibri" w:hAnsi="Book Antiqua" w:cs="Arial"/>
          <w:sz w:val="24"/>
          <w:szCs w:val="24"/>
        </w:rPr>
        <w:t>n los parámetros legales o de criterio experto, de forma que las mismas oficinas</w:t>
      </w:r>
      <w:r w:rsidRPr="00B80873">
        <w:rPr>
          <w:rFonts w:ascii="Book Antiqua" w:eastAsia="Calibri" w:hAnsi="Book Antiqua" w:cs="Arial"/>
          <w:sz w:val="24"/>
          <w:szCs w:val="24"/>
        </w:rPr>
        <w:t xml:space="preserve"> se autogestionen y puedan dar atención a aquellas causas que superen los rangos estándar; tanto para la cejilla de duración de casos activos como la cejilla de duraciones de casos terminados.</w:t>
      </w:r>
      <w:r w:rsidR="008C33E2">
        <w:rPr>
          <w:rFonts w:ascii="Book Antiqua" w:eastAsia="Calibri" w:hAnsi="Book Antiqua" w:cs="Arial"/>
          <w:sz w:val="24"/>
          <w:szCs w:val="24"/>
        </w:rPr>
        <w:t xml:space="preserve"> </w:t>
      </w:r>
    </w:p>
    <w:p w14:paraId="34454A0F" w14:textId="6136F9A3" w:rsidR="00756438" w:rsidRDefault="00756438" w:rsidP="00B80873">
      <w:pPr>
        <w:spacing w:after="0" w:line="276" w:lineRule="auto"/>
        <w:jc w:val="both"/>
        <w:rPr>
          <w:rFonts w:ascii="Book Antiqua" w:eastAsia="Calibri" w:hAnsi="Book Antiqua" w:cs="Arial"/>
          <w:sz w:val="24"/>
          <w:szCs w:val="24"/>
        </w:rPr>
      </w:pPr>
    </w:p>
    <w:p w14:paraId="35AE6262" w14:textId="258BA73B" w:rsidR="00756438" w:rsidRDefault="00756438" w:rsidP="00756438">
      <w:pPr>
        <w:spacing w:after="0" w:line="276" w:lineRule="auto"/>
        <w:jc w:val="both"/>
        <w:rPr>
          <w:rFonts w:ascii="Book Antiqua" w:eastAsia="Calibri" w:hAnsi="Book Antiqua" w:cs="Arial"/>
          <w:sz w:val="24"/>
          <w:szCs w:val="24"/>
        </w:rPr>
      </w:pPr>
      <w:r w:rsidRPr="007C0526">
        <w:rPr>
          <w:rFonts w:ascii="Book Antiqua" w:eastAsia="Calibri" w:hAnsi="Book Antiqua" w:cs="Arial"/>
          <w:sz w:val="24"/>
          <w:szCs w:val="24"/>
        </w:rPr>
        <w:t>En cuanto a la duración de los procesos, para el 202</w:t>
      </w:r>
      <w:r w:rsidR="00E416D6" w:rsidRPr="007C0526">
        <w:rPr>
          <w:rFonts w:ascii="Book Antiqua" w:eastAsia="Calibri" w:hAnsi="Book Antiqua" w:cs="Arial"/>
          <w:sz w:val="24"/>
          <w:szCs w:val="24"/>
        </w:rPr>
        <w:t>2</w:t>
      </w:r>
      <w:r w:rsidRPr="007C0526">
        <w:rPr>
          <w:rFonts w:ascii="Book Antiqua" w:eastAsia="Calibri" w:hAnsi="Book Antiqua" w:cs="Arial"/>
          <w:sz w:val="24"/>
          <w:szCs w:val="24"/>
        </w:rPr>
        <w:t>, en los Juzgados especializados en materia de Familia se registr</w:t>
      </w:r>
      <w:r w:rsidR="008C33E2" w:rsidRPr="007C0526">
        <w:rPr>
          <w:rFonts w:ascii="Book Antiqua" w:eastAsia="Calibri" w:hAnsi="Book Antiqua" w:cs="Arial"/>
          <w:sz w:val="24"/>
          <w:szCs w:val="24"/>
        </w:rPr>
        <w:t>ó</w:t>
      </w:r>
      <w:r w:rsidRPr="007C0526">
        <w:rPr>
          <w:rFonts w:ascii="Book Antiqua" w:eastAsia="Calibri" w:hAnsi="Book Antiqua" w:cs="Arial"/>
          <w:sz w:val="24"/>
          <w:szCs w:val="24"/>
        </w:rPr>
        <w:t xml:space="preserve"> una duración promedio de </w:t>
      </w:r>
      <w:r w:rsidR="004E3394" w:rsidRPr="007C0526">
        <w:rPr>
          <w:rFonts w:ascii="Book Antiqua" w:eastAsia="Calibri" w:hAnsi="Book Antiqua" w:cs="Arial"/>
          <w:sz w:val="24"/>
          <w:szCs w:val="24"/>
        </w:rPr>
        <w:t>8</w:t>
      </w:r>
      <w:r w:rsidRPr="007C0526">
        <w:rPr>
          <w:rFonts w:ascii="Book Antiqua" w:eastAsia="Calibri" w:hAnsi="Book Antiqua" w:cs="Arial"/>
          <w:sz w:val="24"/>
          <w:szCs w:val="24"/>
        </w:rPr>
        <w:t xml:space="preserve"> meses</w:t>
      </w:r>
      <w:r w:rsidR="007C0526" w:rsidRPr="007C0526">
        <w:rPr>
          <w:rFonts w:ascii="Book Antiqua" w:eastAsia="Calibri" w:hAnsi="Book Antiqua" w:cs="Arial"/>
          <w:sz w:val="24"/>
          <w:szCs w:val="24"/>
        </w:rPr>
        <w:t>,</w:t>
      </w:r>
      <w:r w:rsidR="004E3394" w:rsidRPr="007C0526">
        <w:rPr>
          <w:rFonts w:ascii="Book Antiqua" w:eastAsia="Calibri" w:hAnsi="Book Antiqua" w:cs="Arial"/>
          <w:sz w:val="24"/>
          <w:szCs w:val="24"/>
        </w:rPr>
        <w:t xml:space="preserve"> 2 semanas</w:t>
      </w:r>
      <w:r w:rsidRPr="007C0526">
        <w:rPr>
          <w:rFonts w:ascii="Book Antiqua" w:eastAsia="Calibri" w:hAnsi="Book Antiqua" w:cs="Arial"/>
          <w:sz w:val="24"/>
          <w:szCs w:val="24"/>
        </w:rPr>
        <w:t xml:space="preserve">; </w:t>
      </w:r>
      <w:r w:rsidR="007C0526" w:rsidRPr="007C0526">
        <w:rPr>
          <w:rFonts w:ascii="Book Antiqua" w:eastAsia="Calibri" w:hAnsi="Book Antiqua" w:cs="Arial"/>
          <w:sz w:val="24"/>
          <w:szCs w:val="24"/>
        </w:rPr>
        <w:t xml:space="preserve">entre </w:t>
      </w:r>
      <w:r w:rsidRPr="007C0526">
        <w:rPr>
          <w:rFonts w:ascii="Book Antiqua" w:eastAsia="Calibri" w:hAnsi="Book Antiqua" w:cs="Arial"/>
          <w:sz w:val="24"/>
          <w:szCs w:val="24"/>
        </w:rPr>
        <w:t>l</w:t>
      </w:r>
      <w:r w:rsidR="007C0526" w:rsidRPr="007C0526">
        <w:rPr>
          <w:rFonts w:ascii="Book Antiqua" w:eastAsia="Calibri" w:hAnsi="Book Antiqua" w:cs="Arial"/>
          <w:sz w:val="24"/>
          <w:szCs w:val="24"/>
        </w:rPr>
        <w:t>os procesos que tardaron más tiempo</w:t>
      </w:r>
      <w:r w:rsidRPr="007C0526">
        <w:rPr>
          <w:rFonts w:ascii="Book Antiqua" w:eastAsia="Calibri" w:hAnsi="Book Antiqua" w:cs="Arial"/>
          <w:sz w:val="24"/>
          <w:szCs w:val="24"/>
        </w:rPr>
        <w:t xml:space="preserve"> </w:t>
      </w:r>
      <w:r w:rsidR="007C0526" w:rsidRPr="007C0526">
        <w:rPr>
          <w:rFonts w:ascii="Book Antiqua" w:eastAsia="Calibri" w:hAnsi="Book Antiqua" w:cs="Arial"/>
          <w:sz w:val="24"/>
          <w:szCs w:val="24"/>
        </w:rPr>
        <w:t xml:space="preserve">están, </w:t>
      </w:r>
      <w:r w:rsidR="004E3394" w:rsidRPr="007C0526">
        <w:rPr>
          <w:rFonts w:ascii="Book Antiqua" w:eastAsia="Calibri" w:hAnsi="Book Antiqua" w:cs="Arial"/>
          <w:sz w:val="24"/>
          <w:szCs w:val="24"/>
        </w:rPr>
        <w:t>muerte de algunas de las partes 1</w:t>
      </w:r>
      <w:r w:rsidR="007C0526" w:rsidRPr="007C0526">
        <w:rPr>
          <w:rFonts w:ascii="Book Antiqua" w:eastAsia="Calibri" w:hAnsi="Book Antiqua" w:cs="Arial"/>
          <w:sz w:val="24"/>
          <w:szCs w:val="24"/>
        </w:rPr>
        <w:t>7</w:t>
      </w:r>
      <w:r w:rsidR="004E3394" w:rsidRPr="007C0526">
        <w:rPr>
          <w:rFonts w:ascii="Book Antiqua" w:eastAsia="Calibri" w:hAnsi="Book Antiqua" w:cs="Arial"/>
          <w:sz w:val="24"/>
          <w:szCs w:val="24"/>
        </w:rPr>
        <w:t xml:space="preserve"> meses</w:t>
      </w:r>
      <w:r w:rsidR="007C0526" w:rsidRPr="007C0526">
        <w:rPr>
          <w:rFonts w:ascii="Book Antiqua" w:eastAsia="Calibri" w:hAnsi="Book Antiqua" w:cs="Arial"/>
          <w:sz w:val="24"/>
          <w:szCs w:val="24"/>
        </w:rPr>
        <w:t xml:space="preserve">, una semana, excepción previa 15 meses, incompetencia internacional, 13 meses, 3 semanas, deserción 12 meses, 2 semanas,  entre otros; y los que duraron menos tiempo, </w:t>
      </w:r>
      <w:bookmarkStart w:id="22" w:name="_Hlk129161843"/>
      <w:r w:rsidR="007C0526" w:rsidRPr="007C0526">
        <w:rPr>
          <w:rFonts w:ascii="Book Antiqua" w:eastAsia="Calibri" w:hAnsi="Book Antiqua" w:cs="Arial"/>
          <w:sz w:val="24"/>
          <w:szCs w:val="24"/>
        </w:rPr>
        <w:t>arreglo extrajudicial sin homologación con una duración de un mes</w:t>
      </w:r>
      <w:bookmarkEnd w:id="22"/>
      <w:r w:rsidR="007C0526" w:rsidRPr="007C0526">
        <w:rPr>
          <w:rFonts w:ascii="Book Antiqua" w:eastAsia="Calibri" w:hAnsi="Book Antiqua" w:cs="Arial"/>
          <w:sz w:val="24"/>
          <w:szCs w:val="24"/>
        </w:rPr>
        <w:t>, l</w:t>
      </w:r>
      <w:r w:rsidRPr="007C0526">
        <w:rPr>
          <w:rFonts w:ascii="Book Antiqua" w:eastAsia="Calibri" w:hAnsi="Book Antiqua" w:cs="Arial"/>
          <w:sz w:val="24"/>
          <w:szCs w:val="24"/>
        </w:rPr>
        <w:t>a inhibitoria / recusación / excusa 2 meses</w:t>
      </w:r>
      <w:r w:rsidR="007C0526" w:rsidRPr="007C0526">
        <w:rPr>
          <w:rFonts w:ascii="Book Antiqua" w:eastAsia="Calibri" w:hAnsi="Book Antiqua" w:cs="Arial"/>
          <w:sz w:val="24"/>
          <w:szCs w:val="24"/>
        </w:rPr>
        <w:t>, 2</w:t>
      </w:r>
      <w:r w:rsidRPr="007C0526">
        <w:rPr>
          <w:rFonts w:ascii="Book Antiqua" w:eastAsia="Calibri" w:hAnsi="Book Antiqua" w:cs="Arial"/>
          <w:sz w:val="24"/>
          <w:szCs w:val="24"/>
        </w:rPr>
        <w:t xml:space="preserve"> semanas, </w:t>
      </w:r>
      <w:r w:rsidR="007C0526" w:rsidRPr="007C0526">
        <w:rPr>
          <w:rFonts w:ascii="Book Antiqua" w:eastAsia="Calibri" w:hAnsi="Book Antiqua" w:cs="Arial"/>
          <w:sz w:val="24"/>
          <w:szCs w:val="24"/>
        </w:rPr>
        <w:t>entre otros.</w:t>
      </w:r>
    </w:p>
    <w:p w14:paraId="1513DA67" w14:textId="77777777" w:rsidR="00756438" w:rsidRDefault="00756438" w:rsidP="00B80873">
      <w:pPr>
        <w:spacing w:after="0" w:line="276" w:lineRule="auto"/>
        <w:jc w:val="both"/>
        <w:rPr>
          <w:rFonts w:ascii="Book Antiqua" w:eastAsia="Calibri" w:hAnsi="Book Antiqua" w:cs="Arial"/>
          <w:sz w:val="24"/>
          <w:szCs w:val="24"/>
        </w:rPr>
      </w:pPr>
    </w:p>
    <w:p w14:paraId="4094F906" w14:textId="552C0AA0"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7</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E222104" w14:textId="77777777" w:rsidR="001212F0" w:rsidRPr="004E3394"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E3394">
        <w:rPr>
          <w:rFonts w:ascii="Book Antiqua" w:eastAsia="Calibri" w:hAnsi="Book Antiqua" w:cs="Arial"/>
          <w:b/>
          <w:bCs/>
          <w:color w:val="1F497D"/>
          <w:szCs w:val="24"/>
          <w:lang w:val="es-ES" w:eastAsia="es-ES"/>
        </w:rPr>
        <w:t xml:space="preserve">Duración promedio y cantidad de casos terminados por tipo </w:t>
      </w:r>
    </w:p>
    <w:p w14:paraId="6E595504" w14:textId="32403900" w:rsid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E3394">
        <w:rPr>
          <w:rFonts w:ascii="Book Antiqua" w:eastAsia="Calibri" w:hAnsi="Book Antiqua" w:cs="Arial"/>
          <w:b/>
          <w:bCs/>
          <w:color w:val="1F497D"/>
          <w:szCs w:val="24"/>
          <w:lang w:val="es-ES" w:eastAsia="es-ES"/>
        </w:rPr>
        <w:t>de proceso para los juzgados especializados en materia Familia 202</w:t>
      </w:r>
      <w:r w:rsidR="00E416D6" w:rsidRPr="004E3394">
        <w:rPr>
          <w:rFonts w:ascii="Book Antiqua" w:eastAsia="Calibri" w:hAnsi="Book Antiqua" w:cs="Arial"/>
          <w:b/>
          <w:bCs/>
          <w:color w:val="1F497D"/>
          <w:szCs w:val="24"/>
          <w:lang w:val="es-ES" w:eastAsia="es-ES"/>
        </w:rPr>
        <w:t>2</w:t>
      </w:r>
    </w:p>
    <w:tbl>
      <w:tblPr>
        <w:tblW w:w="6760" w:type="dxa"/>
        <w:jc w:val="center"/>
        <w:tblCellMar>
          <w:left w:w="70" w:type="dxa"/>
          <w:right w:w="70" w:type="dxa"/>
        </w:tblCellMar>
        <w:tblLook w:val="04A0" w:firstRow="1" w:lastRow="0" w:firstColumn="1" w:lastColumn="0" w:noHBand="0" w:noVBand="1"/>
      </w:tblPr>
      <w:tblGrid>
        <w:gridCol w:w="3812"/>
        <w:gridCol w:w="1389"/>
        <w:gridCol w:w="1559"/>
      </w:tblGrid>
      <w:tr w:rsidR="004E3394" w:rsidRPr="004E3394" w14:paraId="7DD10CD3" w14:textId="77777777" w:rsidTr="004E3394">
        <w:trPr>
          <w:trHeight w:val="870"/>
          <w:jc w:val="center"/>
        </w:trPr>
        <w:tc>
          <w:tcPr>
            <w:tcW w:w="3812" w:type="dxa"/>
            <w:tcBorders>
              <w:top w:val="single" w:sz="8" w:space="0" w:color="auto"/>
              <w:left w:val="single" w:sz="8" w:space="0" w:color="auto"/>
              <w:bottom w:val="nil"/>
              <w:right w:val="single" w:sz="8" w:space="0" w:color="auto"/>
            </w:tcBorders>
            <w:shd w:val="clear" w:color="000000" w:fill="002060"/>
            <w:vAlign w:val="center"/>
            <w:hideMark/>
          </w:tcPr>
          <w:p w14:paraId="19D176FC" w14:textId="77777777" w:rsidR="004E3394" w:rsidRPr="004E3394" w:rsidRDefault="004E3394" w:rsidP="004E3394">
            <w:pPr>
              <w:spacing w:after="0" w:line="240" w:lineRule="auto"/>
              <w:jc w:val="center"/>
              <w:rPr>
                <w:rFonts w:ascii="Book Antiqua" w:eastAsia="Times New Roman" w:hAnsi="Book Antiqua" w:cs="Calibri"/>
                <w:b/>
                <w:bCs/>
                <w:color w:val="FFFFFF"/>
                <w:lang w:eastAsia="es-CR"/>
              </w:rPr>
            </w:pPr>
            <w:r w:rsidRPr="004E3394">
              <w:rPr>
                <w:rFonts w:ascii="Book Antiqua" w:eastAsia="Times New Roman" w:hAnsi="Book Antiqua" w:cs="Calibri"/>
                <w:b/>
                <w:bCs/>
                <w:color w:val="FFFFFF"/>
                <w:lang w:eastAsia="es-CR"/>
              </w:rPr>
              <w:t>Tipo de Proceso</w:t>
            </w:r>
          </w:p>
        </w:tc>
        <w:tc>
          <w:tcPr>
            <w:tcW w:w="1389" w:type="dxa"/>
            <w:tcBorders>
              <w:top w:val="single" w:sz="8" w:space="0" w:color="auto"/>
              <w:left w:val="nil"/>
              <w:bottom w:val="nil"/>
              <w:right w:val="single" w:sz="8" w:space="0" w:color="auto"/>
            </w:tcBorders>
            <w:shd w:val="clear" w:color="000000" w:fill="002060"/>
            <w:vAlign w:val="center"/>
            <w:hideMark/>
          </w:tcPr>
          <w:p w14:paraId="13CE63F0" w14:textId="77777777" w:rsidR="004E3394" w:rsidRPr="004E3394" w:rsidRDefault="004E3394" w:rsidP="004E3394">
            <w:pPr>
              <w:spacing w:after="0" w:line="240" w:lineRule="auto"/>
              <w:jc w:val="center"/>
              <w:rPr>
                <w:rFonts w:ascii="Book Antiqua" w:eastAsia="Times New Roman" w:hAnsi="Book Antiqua" w:cs="Calibri"/>
                <w:b/>
                <w:bCs/>
                <w:color w:val="FFFFFF"/>
                <w:lang w:eastAsia="es-CR"/>
              </w:rPr>
            </w:pPr>
            <w:r w:rsidRPr="004E3394">
              <w:rPr>
                <w:rFonts w:ascii="Book Antiqua" w:eastAsia="Times New Roman" w:hAnsi="Book Antiqua" w:cs="Calibri"/>
                <w:b/>
                <w:bCs/>
                <w:color w:val="FFFFFF"/>
                <w:lang w:eastAsia="es-CR"/>
              </w:rPr>
              <w:t>Cantidad registrada en 2022</w:t>
            </w:r>
          </w:p>
        </w:tc>
        <w:tc>
          <w:tcPr>
            <w:tcW w:w="1559" w:type="dxa"/>
            <w:tcBorders>
              <w:top w:val="single" w:sz="8" w:space="0" w:color="auto"/>
              <w:left w:val="nil"/>
              <w:bottom w:val="nil"/>
              <w:right w:val="single" w:sz="8" w:space="0" w:color="auto"/>
            </w:tcBorders>
            <w:shd w:val="clear" w:color="000000" w:fill="002060"/>
            <w:vAlign w:val="center"/>
            <w:hideMark/>
          </w:tcPr>
          <w:p w14:paraId="6FDC9F1D" w14:textId="77777777" w:rsidR="004E3394" w:rsidRPr="004E3394" w:rsidRDefault="004E3394" w:rsidP="004E3394">
            <w:pPr>
              <w:spacing w:after="0" w:line="240" w:lineRule="auto"/>
              <w:jc w:val="center"/>
              <w:rPr>
                <w:rFonts w:ascii="Book Antiqua" w:eastAsia="Times New Roman" w:hAnsi="Book Antiqua" w:cs="Calibri"/>
                <w:b/>
                <w:bCs/>
                <w:color w:val="FFFFFF"/>
                <w:lang w:eastAsia="es-CR"/>
              </w:rPr>
            </w:pPr>
            <w:r w:rsidRPr="004E3394">
              <w:rPr>
                <w:rFonts w:ascii="Book Antiqua" w:eastAsia="Times New Roman" w:hAnsi="Book Antiqua" w:cs="Calibri"/>
                <w:b/>
                <w:bCs/>
                <w:color w:val="FFFFFF"/>
                <w:lang w:eastAsia="es-CR"/>
              </w:rPr>
              <w:t>Promedio de Duración (meses)</w:t>
            </w:r>
          </w:p>
        </w:tc>
      </w:tr>
      <w:tr w:rsidR="004E3394" w:rsidRPr="004E3394" w14:paraId="4F93FE75" w14:textId="77777777" w:rsidTr="004E3394">
        <w:trPr>
          <w:trHeight w:val="290"/>
          <w:jc w:val="center"/>
        </w:trPr>
        <w:tc>
          <w:tcPr>
            <w:tcW w:w="38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5ED11"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Acumulación</w:t>
            </w:r>
          </w:p>
        </w:tc>
        <w:tc>
          <w:tcPr>
            <w:tcW w:w="1389" w:type="dxa"/>
            <w:tcBorders>
              <w:top w:val="single" w:sz="4" w:space="0" w:color="auto"/>
              <w:left w:val="nil"/>
              <w:bottom w:val="single" w:sz="4" w:space="0" w:color="auto"/>
              <w:right w:val="single" w:sz="4" w:space="0" w:color="auto"/>
            </w:tcBorders>
            <w:shd w:val="clear" w:color="auto" w:fill="auto"/>
            <w:noWrap/>
            <w:vAlign w:val="bottom"/>
            <w:hideMark/>
          </w:tcPr>
          <w:p w14:paraId="2AC48D1A"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239</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165F5D0"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5,0</w:t>
            </w:r>
          </w:p>
        </w:tc>
      </w:tr>
      <w:tr w:rsidR="004E3394" w:rsidRPr="004E3394" w14:paraId="108AAC8C"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7B95BCCC"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Arreglo extrajudicial sin homologación</w:t>
            </w:r>
          </w:p>
        </w:tc>
        <w:tc>
          <w:tcPr>
            <w:tcW w:w="1389" w:type="dxa"/>
            <w:tcBorders>
              <w:top w:val="nil"/>
              <w:left w:val="nil"/>
              <w:bottom w:val="single" w:sz="4" w:space="0" w:color="auto"/>
              <w:right w:val="single" w:sz="4" w:space="0" w:color="auto"/>
            </w:tcBorders>
            <w:shd w:val="clear" w:color="auto" w:fill="auto"/>
            <w:noWrap/>
            <w:vAlign w:val="bottom"/>
            <w:hideMark/>
          </w:tcPr>
          <w:p w14:paraId="3A78C656"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2</w:t>
            </w:r>
          </w:p>
        </w:tc>
        <w:tc>
          <w:tcPr>
            <w:tcW w:w="1559" w:type="dxa"/>
            <w:tcBorders>
              <w:top w:val="nil"/>
              <w:left w:val="nil"/>
              <w:bottom w:val="single" w:sz="4" w:space="0" w:color="auto"/>
              <w:right w:val="single" w:sz="4" w:space="0" w:color="auto"/>
            </w:tcBorders>
            <w:shd w:val="clear" w:color="auto" w:fill="auto"/>
            <w:noWrap/>
            <w:vAlign w:val="center"/>
            <w:hideMark/>
          </w:tcPr>
          <w:p w14:paraId="465D9E32"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0,9</w:t>
            </w:r>
          </w:p>
        </w:tc>
      </w:tr>
      <w:tr w:rsidR="004E3394" w:rsidRPr="004E3394" w14:paraId="4447CF8A"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330A3C2B"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Demanda Inadmisible</w:t>
            </w:r>
          </w:p>
        </w:tc>
        <w:tc>
          <w:tcPr>
            <w:tcW w:w="1389" w:type="dxa"/>
            <w:tcBorders>
              <w:top w:val="nil"/>
              <w:left w:val="nil"/>
              <w:bottom w:val="single" w:sz="4" w:space="0" w:color="auto"/>
              <w:right w:val="single" w:sz="4" w:space="0" w:color="auto"/>
            </w:tcBorders>
            <w:shd w:val="clear" w:color="auto" w:fill="auto"/>
            <w:noWrap/>
            <w:vAlign w:val="bottom"/>
            <w:hideMark/>
          </w:tcPr>
          <w:p w14:paraId="2AB31823"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669</w:t>
            </w:r>
          </w:p>
        </w:tc>
        <w:tc>
          <w:tcPr>
            <w:tcW w:w="1559" w:type="dxa"/>
            <w:tcBorders>
              <w:top w:val="nil"/>
              <w:left w:val="nil"/>
              <w:bottom w:val="single" w:sz="4" w:space="0" w:color="auto"/>
              <w:right w:val="single" w:sz="4" w:space="0" w:color="auto"/>
            </w:tcBorders>
            <w:shd w:val="clear" w:color="auto" w:fill="auto"/>
            <w:noWrap/>
            <w:vAlign w:val="center"/>
            <w:hideMark/>
          </w:tcPr>
          <w:p w14:paraId="33B1BA60"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4,1</w:t>
            </w:r>
          </w:p>
        </w:tc>
      </w:tr>
      <w:tr w:rsidR="004E3394" w:rsidRPr="004E3394" w14:paraId="6668F429"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vAlign w:val="center"/>
            <w:hideMark/>
          </w:tcPr>
          <w:p w14:paraId="11F1B2BC"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Deserción</w:t>
            </w:r>
          </w:p>
        </w:tc>
        <w:tc>
          <w:tcPr>
            <w:tcW w:w="1389" w:type="dxa"/>
            <w:tcBorders>
              <w:top w:val="nil"/>
              <w:left w:val="nil"/>
              <w:bottom w:val="single" w:sz="4" w:space="0" w:color="auto"/>
              <w:right w:val="single" w:sz="4" w:space="0" w:color="auto"/>
            </w:tcBorders>
            <w:shd w:val="clear" w:color="auto" w:fill="auto"/>
            <w:noWrap/>
            <w:vAlign w:val="bottom"/>
            <w:hideMark/>
          </w:tcPr>
          <w:p w14:paraId="0062825C"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618</w:t>
            </w:r>
          </w:p>
        </w:tc>
        <w:tc>
          <w:tcPr>
            <w:tcW w:w="1559" w:type="dxa"/>
            <w:tcBorders>
              <w:top w:val="nil"/>
              <w:left w:val="nil"/>
              <w:bottom w:val="single" w:sz="4" w:space="0" w:color="auto"/>
              <w:right w:val="single" w:sz="4" w:space="0" w:color="auto"/>
            </w:tcBorders>
            <w:shd w:val="clear" w:color="000000" w:fill="FFFFFF"/>
            <w:noWrap/>
            <w:vAlign w:val="center"/>
            <w:hideMark/>
          </w:tcPr>
          <w:p w14:paraId="5E2FAF67"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13,5</w:t>
            </w:r>
          </w:p>
        </w:tc>
      </w:tr>
      <w:tr w:rsidR="004E3394" w:rsidRPr="004E3394" w14:paraId="0177343A"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636BA6C7"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Desistimiento</w:t>
            </w:r>
          </w:p>
        </w:tc>
        <w:tc>
          <w:tcPr>
            <w:tcW w:w="1389" w:type="dxa"/>
            <w:tcBorders>
              <w:top w:val="nil"/>
              <w:left w:val="nil"/>
              <w:bottom w:val="single" w:sz="4" w:space="0" w:color="auto"/>
              <w:right w:val="single" w:sz="4" w:space="0" w:color="auto"/>
            </w:tcBorders>
            <w:shd w:val="clear" w:color="auto" w:fill="auto"/>
            <w:noWrap/>
            <w:vAlign w:val="bottom"/>
            <w:hideMark/>
          </w:tcPr>
          <w:p w14:paraId="33EA10FC"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567</w:t>
            </w:r>
          </w:p>
        </w:tc>
        <w:tc>
          <w:tcPr>
            <w:tcW w:w="1559" w:type="dxa"/>
            <w:tcBorders>
              <w:top w:val="nil"/>
              <w:left w:val="nil"/>
              <w:bottom w:val="single" w:sz="4" w:space="0" w:color="auto"/>
              <w:right w:val="single" w:sz="4" w:space="0" w:color="auto"/>
            </w:tcBorders>
            <w:shd w:val="clear" w:color="000000" w:fill="FFFFFF"/>
            <w:noWrap/>
            <w:vAlign w:val="center"/>
            <w:hideMark/>
          </w:tcPr>
          <w:p w14:paraId="359A7494"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10,2</w:t>
            </w:r>
          </w:p>
        </w:tc>
      </w:tr>
      <w:tr w:rsidR="004E3394" w:rsidRPr="004E3394" w14:paraId="0A02D0E4"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vAlign w:val="center"/>
            <w:hideMark/>
          </w:tcPr>
          <w:p w14:paraId="551B3C1B"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Excepción previa</w:t>
            </w:r>
          </w:p>
        </w:tc>
        <w:tc>
          <w:tcPr>
            <w:tcW w:w="1389" w:type="dxa"/>
            <w:tcBorders>
              <w:top w:val="nil"/>
              <w:left w:val="nil"/>
              <w:bottom w:val="single" w:sz="4" w:space="0" w:color="auto"/>
              <w:right w:val="single" w:sz="4" w:space="0" w:color="auto"/>
            </w:tcBorders>
            <w:shd w:val="clear" w:color="auto" w:fill="auto"/>
            <w:noWrap/>
            <w:vAlign w:val="bottom"/>
            <w:hideMark/>
          </w:tcPr>
          <w:p w14:paraId="10DDCA01"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5</w:t>
            </w:r>
          </w:p>
        </w:tc>
        <w:tc>
          <w:tcPr>
            <w:tcW w:w="1559" w:type="dxa"/>
            <w:tcBorders>
              <w:top w:val="nil"/>
              <w:left w:val="nil"/>
              <w:bottom w:val="single" w:sz="4" w:space="0" w:color="auto"/>
              <w:right w:val="single" w:sz="4" w:space="0" w:color="auto"/>
            </w:tcBorders>
            <w:shd w:val="clear" w:color="000000" w:fill="FFFFFF"/>
            <w:noWrap/>
            <w:vAlign w:val="center"/>
            <w:hideMark/>
          </w:tcPr>
          <w:p w14:paraId="279B4069"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15,1</w:t>
            </w:r>
          </w:p>
        </w:tc>
      </w:tr>
      <w:tr w:rsidR="004E3394" w:rsidRPr="004E3394" w14:paraId="0B843058"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29147F04"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Ejecución cumplida</w:t>
            </w:r>
          </w:p>
        </w:tc>
        <w:tc>
          <w:tcPr>
            <w:tcW w:w="1389" w:type="dxa"/>
            <w:tcBorders>
              <w:top w:val="nil"/>
              <w:left w:val="nil"/>
              <w:bottom w:val="single" w:sz="4" w:space="0" w:color="auto"/>
              <w:right w:val="single" w:sz="4" w:space="0" w:color="auto"/>
            </w:tcBorders>
            <w:shd w:val="clear" w:color="auto" w:fill="auto"/>
            <w:noWrap/>
            <w:vAlign w:val="bottom"/>
            <w:hideMark/>
          </w:tcPr>
          <w:p w14:paraId="12597B2C"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5</w:t>
            </w:r>
          </w:p>
        </w:tc>
        <w:tc>
          <w:tcPr>
            <w:tcW w:w="1559" w:type="dxa"/>
            <w:tcBorders>
              <w:top w:val="nil"/>
              <w:left w:val="nil"/>
              <w:bottom w:val="single" w:sz="4" w:space="0" w:color="auto"/>
              <w:right w:val="single" w:sz="4" w:space="0" w:color="auto"/>
            </w:tcBorders>
            <w:shd w:val="clear" w:color="000000" w:fill="FFFFFF"/>
            <w:noWrap/>
            <w:vAlign w:val="center"/>
            <w:hideMark/>
          </w:tcPr>
          <w:p w14:paraId="0DD6FBBD"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9,0</w:t>
            </w:r>
          </w:p>
        </w:tc>
      </w:tr>
      <w:tr w:rsidR="004E3394" w:rsidRPr="004E3394" w14:paraId="0E4EEDA9"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693F59A9"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Incompetencia</w:t>
            </w:r>
          </w:p>
        </w:tc>
        <w:tc>
          <w:tcPr>
            <w:tcW w:w="1389" w:type="dxa"/>
            <w:tcBorders>
              <w:top w:val="nil"/>
              <w:left w:val="nil"/>
              <w:bottom w:val="single" w:sz="4" w:space="0" w:color="auto"/>
              <w:right w:val="single" w:sz="4" w:space="0" w:color="auto"/>
            </w:tcBorders>
            <w:shd w:val="clear" w:color="auto" w:fill="auto"/>
            <w:noWrap/>
            <w:vAlign w:val="bottom"/>
            <w:hideMark/>
          </w:tcPr>
          <w:p w14:paraId="3E5FA35A"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1 763</w:t>
            </w:r>
          </w:p>
        </w:tc>
        <w:tc>
          <w:tcPr>
            <w:tcW w:w="1559" w:type="dxa"/>
            <w:tcBorders>
              <w:top w:val="nil"/>
              <w:left w:val="nil"/>
              <w:bottom w:val="single" w:sz="4" w:space="0" w:color="auto"/>
              <w:right w:val="single" w:sz="4" w:space="0" w:color="auto"/>
            </w:tcBorders>
            <w:shd w:val="clear" w:color="000000" w:fill="FFFFFF"/>
            <w:noWrap/>
            <w:vAlign w:val="center"/>
            <w:hideMark/>
          </w:tcPr>
          <w:p w14:paraId="760A904E"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2,6</w:t>
            </w:r>
          </w:p>
        </w:tc>
      </w:tr>
      <w:tr w:rsidR="004E3394" w:rsidRPr="004E3394" w14:paraId="5B4394A7"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05002079"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Incompetencia internacional</w:t>
            </w:r>
          </w:p>
        </w:tc>
        <w:tc>
          <w:tcPr>
            <w:tcW w:w="1389" w:type="dxa"/>
            <w:tcBorders>
              <w:top w:val="nil"/>
              <w:left w:val="nil"/>
              <w:bottom w:val="single" w:sz="4" w:space="0" w:color="auto"/>
              <w:right w:val="single" w:sz="4" w:space="0" w:color="auto"/>
            </w:tcBorders>
            <w:shd w:val="clear" w:color="auto" w:fill="auto"/>
            <w:noWrap/>
            <w:vAlign w:val="bottom"/>
            <w:hideMark/>
          </w:tcPr>
          <w:p w14:paraId="70EA7EA5"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7</w:t>
            </w:r>
          </w:p>
        </w:tc>
        <w:tc>
          <w:tcPr>
            <w:tcW w:w="1559" w:type="dxa"/>
            <w:tcBorders>
              <w:top w:val="nil"/>
              <w:left w:val="nil"/>
              <w:bottom w:val="single" w:sz="4" w:space="0" w:color="auto"/>
              <w:right w:val="single" w:sz="4" w:space="0" w:color="auto"/>
            </w:tcBorders>
            <w:shd w:val="clear" w:color="000000" w:fill="FFFFFF"/>
            <w:noWrap/>
            <w:vAlign w:val="center"/>
            <w:hideMark/>
          </w:tcPr>
          <w:p w14:paraId="6F098516"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13,8</w:t>
            </w:r>
          </w:p>
        </w:tc>
      </w:tr>
      <w:tr w:rsidR="004E3394" w:rsidRPr="004E3394" w14:paraId="55B32AA8"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4AAAA7A7"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Inhibitoria / Recusación / Excusa</w:t>
            </w:r>
          </w:p>
        </w:tc>
        <w:tc>
          <w:tcPr>
            <w:tcW w:w="1389" w:type="dxa"/>
            <w:tcBorders>
              <w:top w:val="nil"/>
              <w:left w:val="nil"/>
              <w:bottom w:val="single" w:sz="4" w:space="0" w:color="auto"/>
              <w:right w:val="single" w:sz="4" w:space="0" w:color="auto"/>
            </w:tcBorders>
            <w:shd w:val="clear" w:color="auto" w:fill="auto"/>
            <w:noWrap/>
            <w:vAlign w:val="bottom"/>
            <w:hideMark/>
          </w:tcPr>
          <w:p w14:paraId="0FEE9B78"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4FCF105A"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2,5</w:t>
            </w:r>
          </w:p>
        </w:tc>
      </w:tr>
      <w:tr w:rsidR="004E3394" w:rsidRPr="004E3394" w14:paraId="064628D8"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55784054"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Matrimonios realizado o archivado</w:t>
            </w:r>
          </w:p>
        </w:tc>
        <w:tc>
          <w:tcPr>
            <w:tcW w:w="1389" w:type="dxa"/>
            <w:tcBorders>
              <w:top w:val="nil"/>
              <w:left w:val="nil"/>
              <w:bottom w:val="single" w:sz="4" w:space="0" w:color="auto"/>
              <w:right w:val="single" w:sz="4" w:space="0" w:color="auto"/>
            </w:tcBorders>
            <w:shd w:val="clear" w:color="auto" w:fill="auto"/>
            <w:noWrap/>
            <w:vAlign w:val="bottom"/>
            <w:hideMark/>
          </w:tcPr>
          <w:p w14:paraId="0148B36E"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679</w:t>
            </w:r>
          </w:p>
        </w:tc>
        <w:tc>
          <w:tcPr>
            <w:tcW w:w="1559" w:type="dxa"/>
            <w:tcBorders>
              <w:top w:val="nil"/>
              <w:left w:val="nil"/>
              <w:bottom w:val="single" w:sz="4" w:space="0" w:color="auto"/>
              <w:right w:val="single" w:sz="4" w:space="0" w:color="auto"/>
            </w:tcBorders>
            <w:shd w:val="clear" w:color="000000" w:fill="FFFFFF"/>
            <w:noWrap/>
            <w:vAlign w:val="center"/>
            <w:hideMark/>
          </w:tcPr>
          <w:p w14:paraId="5D183F6D"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4,5</w:t>
            </w:r>
          </w:p>
        </w:tc>
      </w:tr>
      <w:tr w:rsidR="004E3394" w:rsidRPr="004E3394" w14:paraId="2D6BE67D"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4C99A928"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Muerte de alguna de las partes</w:t>
            </w:r>
          </w:p>
        </w:tc>
        <w:tc>
          <w:tcPr>
            <w:tcW w:w="1389" w:type="dxa"/>
            <w:tcBorders>
              <w:top w:val="nil"/>
              <w:left w:val="nil"/>
              <w:bottom w:val="single" w:sz="4" w:space="0" w:color="auto"/>
              <w:right w:val="single" w:sz="4" w:space="0" w:color="auto"/>
            </w:tcBorders>
            <w:shd w:val="clear" w:color="auto" w:fill="auto"/>
            <w:noWrap/>
            <w:vAlign w:val="bottom"/>
            <w:hideMark/>
          </w:tcPr>
          <w:p w14:paraId="3DFB3055"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170</w:t>
            </w:r>
          </w:p>
        </w:tc>
        <w:tc>
          <w:tcPr>
            <w:tcW w:w="1559" w:type="dxa"/>
            <w:tcBorders>
              <w:top w:val="nil"/>
              <w:left w:val="nil"/>
              <w:bottom w:val="single" w:sz="4" w:space="0" w:color="auto"/>
              <w:right w:val="single" w:sz="4" w:space="0" w:color="auto"/>
            </w:tcBorders>
            <w:shd w:val="clear" w:color="000000" w:fill="FFFFFF"/>
            <w:noWrap/>
            <w:vAlign w:val="center"/>
            <w:hideMark/>
          </w:tcPr>
          <w:p w14:paraId="687A0DAF"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17,2</w:t>
            </w:r>
          </w:p>
        </w:tc>
      </w:tr>
      <w:tr w:rsidR="004E3394" w:rsidRPr="004E3394" w14:paraId="49799BA6"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1F76232D" w14:textId="5F0FC872"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Por oposici</w:t>
            </w:r>
            <w:r>
              <w:rPr>
                <w:rFonts w:ascii="Book Antiqua" w:eastAsia="Times New Roman" w:hAnsi="Book Antiqua" w:cs="Calibri"/>
                <w:color w:val="000000"/>
                <w:lang w:eastAsia="es-CR"/>
              </w:rPr>
              <w:t>ó</w:t>
            </w:r>
            <w:r w:rsidRPr="004E3394">
              <w:rPr>
                <w:rFonts w:ascii="Book Antiqua" w:eastAsia="Times New Roman" w:hAnsi="Book Antiqua" w:cs="Calibri"/>
                <w:color w:val="000000"/>
                <w:lang w:eastAsia="es-CR"/>
              </w:rPr>
              <w:t>n, art 821 CPC</w:t>
            </w:r>
          </w:p>
        </w:tc>
        <w:tc>
          <w:tcPr>
            <w:tcW w:w="1389" w:type="dxa"/>
            <w:tcBorders>
              <w:top w:val="nil"/>
              <w:left w:val="nil"/>
              <w:bottom w:val="single" w:sz="4" w:space="0" w:color="auto"/>
              <w:right w:val="single" w:sz="4" w:space="0" w:color="auto"/>
            </w:tcBorders>
            <w:shd w:val="clear" w:color="auto" w:fill="auto"/>
            <w:noWrap/>
            <w:vAlign w:val="bottom"/>
            <w:hideMark/>
          </w:tcPr>
          <w:p w14:paraId="1230400E"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1</w:t>
            </w:r>
          </w:p>
        </w:tc>
        <w:tc>
          <w:tcPr>
            <w:tcW w:w="1559" w:type="dxa"/>
            <w:tcBorders>
              <w:top w:val="nil"/>
              <w:left w:val="nil"/>
              <w:bottom w:val="single" w:sz="4" w:space="0" w:color="auto"/>
              <w:right w:val="single" w:sz="4" w:space="0" w:color="auto"/>
            </w:tcBorders>
            <w:shd w:val="clear" w:color="000000" w:fill="FFFFFF"/>
            <w:noWrap/>
            <w:vAlign w:val="center"/>
            <w:hideMark/>
          </w:tcPr>
          <w:p w14:paraId="6016103B"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11,9</w:t>
            </w:r>
          </w:p>
        </w:tc>
      </w:tr>
      <w:tr w:rsidR="004E3394" w:rsidRPr="004E3394" w14:paraId="787224BB"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5954FE94"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Rechazo de plano</w:t>
            </w:r>
          </w:p>
        </w:tc>
        <w:tc>
          <w:tcPr>
            <w:tcW w:w="1389" w:type="dxa"/>
            <w:tcBorders>
              <w:top w:val="nil"/>
              <w:left w:val="nil"/>
              <w:bottom w:val="single" w:sz="4" w:space="0" w:color="auto"/>
              <w:right w:val="single" w:sz="4" w:space="0" w:color="auto"/>
            </w:tcBorders>
            <w:shd w:val="clear" w:color="auto" w:fill="auto"/>
            <w:noWrap/>
            <w:vAlign w:val="bottom"/>
            <w:hideMark/>
          </w:tcPr>
          <w:p w14:paraId="2CB7545A"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446</w:t>
            </w:r>
          </w:p>
        </w:tc>
        <w:tc>
          <w:tcPr>
            <w:tcW w:w="1559" w:type="dxa"/>
            <w:tcBorders>
              <w:top w:val="nil"/>
              <w:left w:val="nil"/>
              <w:bottom w:val="single" w:sz="4" w:space="0" w:color="auto"/>
              <w:right w:val="single" w:sz="4" w:space="0" w:color="auto"/>
            </w:tcBorders>
            <w:shd w:val="clear" w:color="000000" w:fill="FFFFFF"/>
            <w:noWrap/>
            <w:vAlign w:val="center"/>
            <w:hideMark/>
          </w:tcPr>
          <w:p w14:paraId="102BB958"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5,5</w:t>
            </w:r>
          </w:p>
        </w:tc>
      </w:tr>
      <w:tr w:rsidR="004E3394" w:rsidRPr="004E3394" w14:paraId="7026EE10"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4DF809E0"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Resuelto por RAC-Conciliación</w:t>
            </w:r>
          </w:p>
        </w:tc>
        <w:tc>
          <w:tcPr>
            <w:tcW w:w="1389" w:type="dxa"/>
            <w:tcBorders>
              <w:top w:val="nil"/>
              <w:left w:val="nil"/>
              <w:bottom w:val="single" w:sz="4" w:space="0" w:color="auto"/>
              <w:right w:val="single" w:sz="4" w:space="0" w:color="auto"/>
            </w:tcBorders>
            <w:shd w:val="clear" w:color="auto" w:fill="auto"/>
            <w:noWrap/>
            <w:vAlign w:val="bottom"/>
            <w:hideMark/>
          </w:tcPr>
          <w:p w14:paraId="3F9FBE9A"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49</w:t>
            </w:r>
          </w:p>
        </w:tc>
        <w:tc>
          <w:tcPr>
            <w:tcW w:w="1559" w:type="dxa"/>
            <w:tcBorders>
              <w:top w:val="nil"/>
              <w:left w:val="nil"/>
              <w:bottom w:val="single" w:sz="4" w:space="0" w:color="auto"/>
              <w:right w:val="single" w:sz="4" w:space="0" w:color="auto"/>
            </w:tcBorders>
            <w:shd w:val="clear" w:color="000000" w:fill="FFFFFF"/>
            <w:noWrap/>
            <w:vAlign w:val="center"/>
            <w:hideMark/>
          </w:tcPr>
          <w:p w14:paraId="6E5FE6D2"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6,7</w:t>
            </w:r>
          </w:p>
        </w:tc>
      </w:tr>
      <w:tr w:rsidR="004E3394" w:rsidRPr="004E3394" w14:paraId="434DC55E"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2087CBAF"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Sentencia dictada</w:t>
            </w:r>
          </w:p>
        </w:tc>
        <w:tc>
          <w:tcPr>
            <w:tcW w:w="1389" w:type="dxa"/>
            <w:tcBorders>
              <w:top w:val="nil"/>
              <w:left w:val="nil"/>
              <w:bottom w:val="single" w:sz="4" w:space="0" w:color="auto"/>
              <w:right w:val="single" w:sz="4" w:space="0" w:color="auto"/>
            </w:tcBorders>
            <w:shd w:val="clear" w:color="auto" w:fill="auto"/>
            <w:noWrap/>
            <w:vAlign w:val="bottom"/>
            <w:hideMark/>
          </w:tcPr>
          <w:p w14:paraId="149DB365"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11 088</w:t>
            </w:r>
          </w:p>
        </w:tc>
        <w:tc>
          <w:tcPr>
            <w:tcW w:w="1559" w:type="dxa"/>
            <w:tcBorders>
              <w:top w:val="nil"/>
              <w:left w:val="nil"/>
              <w:bottom w:val="single" w:sz="4" w:space="0" w:color="auto"/>
              <w:right w:val="single" w:sz="4" w:space="0" w:color="auto"/>
            </w:tcBorders>
            <w:shd w:val="clear" w:color="000000" w:fill="FFFFFF"/>
            <w:noWrap/>
            <w:vAlign w:val="center"/>
            <w:hideMark/>
          </w:tcPr>
          <w:p w14:paraId="00F7F3BA"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11,7</w:t>
            </w:r>
          </w:p>
        </w:tc>
      </w:tr>
      <w:tr w:rsidR="004E3394" w:rsidRPr="004E3394" w14:paraId="0FCB3DED"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199973BB"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Sentencia homologatoria</w:t>
            </w:r>
          </w:p>
        </w:tc>
        <w:tc>
          <w:tcPr>
            <w:tcW w:w="1389" w:type="dxa"/>
            <w:tcBorders>
              <w:top w:val="nil"/>
              <w:left w:val="nil"/>
              <w:bottom w:val="single" w:sz="4" w:space="0" w:color="auto"/>
              <w:right w:val="single" w:sz="4" w:space="0" w:color="auto"/>
            </w:tcBorders>
            <w:shd w:val="clear" w:color="auto" w:fill="auto"/>
            <w:noWrap/>
            <w:vAlign w:val="bottom"/>
            <w:hideMark/>
          </w:tcPr>
          <w:p w14:paraId="2EF97DF0"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5 906</w:t>
            </w:r>
          </w:p>
        </w:tc>
        <w:tc>
          <w:tcPr>
            <w:tcW w:w="1559" w:type="dxa"/>
            <w:tcBorders>
              <w:top w:val="nil"/>
              <w:left w:val="nil"/>
              <w:bottom w:val="single" w:sz="4" w:space="0" w:color="auto"/>
              <w:right w:val="single" w:sz="4" w:space="0" w:color="auto"/>
            </w:tcBorders>
            <w:shd w:val="clear" w:color="000000" w:fill="FFFFFF"/>
            <w:noWrap/>
            <w:vAlign w:val="center"/>
            <w:hideMark/>
          </w:tcPr>
          <w:p w14:paraId="34613216"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5,6</w:t>
            </w:r>
          </w:p>
        </w:tc>
      </w:tr>
      <w:tr w:rsidR="004E3394" w:rsidRPr="004E3394" w14:paraId="7F663467"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03136EF7"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Por solicitud de partes</w:t>
            </w:r>
          </w:p>
        </w:tc>
        <w:tc>
          <w:tcPr>
            <w:tcW w:w="1389" w:type="dxa"/>
            <w:tcBorders>
              <w:top w:val="nil"/>
              <w:left w:val="nil"/>
              <w:bottom w:val="single" w:sz="4" w:space="0" w:color="auto"/>
              <w:right w:val="single" w:sz="4" w:space="0" w:color="auto"/>
            </w:tcBorders>
            <w:shd w:val="clear" w:color="auto" w:fill="auto"/>
            <w:noWrap/>
            <w:vAlign w:val="bottom"/>
            <w:hideMark/>
          </w:tcPr>
          <w:p w14:paraId="1B94A03F"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210</w:t>
            </w:r>
          </w:p>
        </w:tc>
        <w:tc>
          <w:tcPr>
            <w:tcW w:w="1559" w:type="dxa"/>
            <w:tcBorders>
              <w:top w:val="nil"/>
              <w:left w:val="nil"/>
              <w:bottom w:val="single" w:sz="4" w:space="0" w:color="auto"/>
              <w:right w:val="single" w:sz="4" w:space="0" w:color="auto"/>
            </w:tcBorders>
            <w:shd w:val="clear" w:color="000000" w:fill="FFFFFF"/>
            <w:noWrap/>
            <w:vAlign w:val="center"/>
            <w:hideMark/>
          </w:tcPr>
          <w:p w14:paraId="2FD4524E"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10,2</w:t>
            </w:r>
          </w:p>
        </w:tc>
      </w:tr>
      <w:tr w:rsidR="004E3394" w:rsidRPr="004E3394" w14:paraId="050541EB" w14:textId="77777777" w:rsidTr="004E3394">
        <w:trPr>
          <w:trHeight w:val="290"/>
          <w:jc w:val="center"/>
        </w:trPr>
        <w:tc>
          <w:tcPr>
            <w:tcW w:w="3812" w:type="dxa"/>
            <w:tcBorders>
              <w:top w:val="nil"/>
              <w:left w:val="single" w:sz="4" w:space="0" w:color="auto"/>
              <w:bottom w:val="single" w:sz="4" w:space="0" w:color="auto"/>
              <w:right w:val="single" w:sz="4" w:space="0" w:color="auto"/>
            </w:tcBorders>
            <w:shd w:val="clear" w:color="auto" w:fill="auto"/>
            <w:noWrap/>
            <w:vAlign w:val="center"/>
            <w:hideMark/>
          </w:tcPr>
          <w:p w14:paraId="0EF54ADB" w14:textId="77777777" w:rsidR="004E3394" w:rsidRPr="004E3394" w:rsidRDefault="004E3394" w:rsidP="004E3394">
            <w:pPr>
              <w:spacing w:after="0" w:line="240" w:lineRule="auto"/>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Otros motivos</w:t>
            </w:r>
          </w:p>
        </w:tc>
        <w:tc>
          <w:tcPr>
            <w:tcW w:w="1389" w:type="dxa"/>
            <w:tcBorders>
              <w:top w:val="nil"/>
              <w:left w:val="nil"/>
              <w:bottom w:val="single" w:sz="4" w:space="0" w:color="auto"/>
              <w:right w:val="single" w:sz="4" w:space="0" w:color="auto"/>
            </w:tcBorders>
            <w:shd w:val="clear" w:color="auto" w:fill="auto"/>
            <w:noWrap/>
            <w:vAlign w:val="bottom"/>
            <w:hideMark/>
          </w:tcPr>
          <w:p w14:paraId="73457BB6" w14:textId="77777777" w:rsidR="004E3394" w:rsidRPr="004E3394" w:rsidRDefault="004E3394" w:rsidP="004E3394">
            <w:pPr>
              <w:spacing w:after="0" w:line="240" w:lineRule="auto"/>
              <w:jc w:val="center"/>
              <w:rPr>
                <w:rFonts w:ascii="Times New Roman" w:eastAsia="Times New Roman" w:hAnsi="Times New Roman" w:cs="Times New Roman"/>
                <w:lang w:eastAsia="es-CR"/>
              </w:rPr>
            </w:pPr>
            <w:r w:rsidRPr="004E3394">
              <w:rPr>
                <w:rFonts w:ascii="Times New Roman" w:eastAsia="Times New Roman" w:hAnsi="Times New Roman" w:cs="Times New Roman"/>
                <w:lang w:eastAsia="es-CR"/>
              </w:rPr>
              <w:t>1 343</w:t>
            </w:r>
          </w:p>
        </w:tc>
        <w:tc>
          <w:tcPr>
            <w:tcW w:w="1559" w:type="dxa"/>
            <w:tcBorders>
              <w:top w:val="nil"/>
              <w:left w:val="nil"/>
              <w:bottom w:val="single" w:sz="4" w:space="0" w:color="auto"/>
              <w:right w:val="single" w:sz="4" w:space="0" w:color="auto"/>
            </w:tcBorders>
            <w:shd w:val="clear" w:color="000000" w:fill="FFFFFF"/>
            <w:noWrap/>
            <w:vAlign w:val="center"/>
            <w:hideMark/>
          </w:tcPr>
          <w:p w14:paraId="4BA7F23F" w14:textId="77777777" w:rsidR="004E3394" w:rsidRPr="004E3394" w:rsidRDefault="004E3394" w:rsidP="004E3394">
            <w:pPr>
              <w:spacing w:after="0" w:line="240" w:lineRule="auto"/>
              <w:jc w:val="center"/>
              <w:rPr>
                <w:rFonts w:ascii="Book Antiqua" w:eastAsia="Times New Roman" w:hAnsi="Book Antiqua" w:cs="Calibri"/>
                <w:color w:val="000000"/>
                <w:lang w:eastAsia="es-CR"/>
              </w:rPr>
            </w:pPr>
            <w:r w:rsidRPr="004E3394">
              <w:rPr>
                <w:rFonts w:ascii="Book Antiqua" w:eastAsia="Times New Roman" w:hAnsi="Book Antiqua" w:cs="Calibri"/>
                <w:color w:val="000000"/>
                <w:lang w:eastAsia="es-CR"/>
              </w:rPr>
              <w:t>11,7</w:t>
            </w:r>
          </w:p>
        </w:tc>
      </w:tr>
      <w:tr w:rsidR="004E3394" w:rsidRPr="004E3394" w14:paraId="449F417E" w14:textId="77777777" w:rsidTr="004E3394">
        <w:trPr>
          <w:trHeight w:val="290"/>
          <w:jc w:val="center"/>
        </w:trPr>
        <w:tc>
          <w:tcPr>
            <w:tcW w:w="3812" w:type="dxa"/>
            <w:tcBorders>
              <w:top w:val="nil"/>
              <w:left w:val="nil"/>
              <w:bottom w:val="nil"/>
              <w:right w:val="nil"/>
            </w:tcBorders>
            <w:shd w:val="clear" w:color="000000" w:fill="808080"/>
            <w:noWrap/>
            <w:vAlign w:val="center"/>
            <w:hideMark/>
          </w:tcPr>
          <w:p w14:paraId="35BE7E7B" w14:textId="77777777" w:rsidR="004E3394" w:rsidRPr="004E3394" w:rsidRDefault="004E3394" w:rsidP="004E3394">
            <w:pPr>
              <w:spacing w:after="0" w:line="240" w:lineRule="auto"/>
              <w:jc w:val="right"/>
              <w:rPr>
                <w:rFonts w:ascii="Book Antiqua" w:eastAsia="Times New Roman" w:hAnsi="Book Antiqua" w:cs="Calibri"/>
                <w:color w:val="FFFFFF"/>
                <w:lang w:eastAsia="es-CR"/>
              </w:rPr>
            </w:pPr>
            <w:r w:rsidRPr="004E3394">
              <w:rPr>
                <w:rFonts w:ascii="Book Antiqua" w:eastAsia="Times New Roman" w:hAnsi="Book Antiqua" w:cs="Calibri"/>
                <w:color w:val="FFFFFF"/>
                <w:lang w:eastAsia="es-CR"/>
              </w:rPr>
              <w:t> Total</w:t>
            </w:r>
          </w:p>
        </w:tc>
        <w:tc>
          <w:tcPr>
            <w:tcW w:w="1389" w:type="dxa"/>
            <w:tcBorders>
              <w:top w:val="nil"/>
              <w:left w:val="nil"/>
              <w:bottom w:val="nil"/>
              <w:right w:val="nil"/>
            </w:tcBorders>
            <w:shd w:val="clear" w:color="000000" w:fill="808080"/>
            <w:noWrap/>
            <w:vAlign w:val="center"/>
            <w:hideMark/>
          </w:tcPr>
          <w:p w14:paraId="680711AB" w14:textId="77777777" w:rsidR="004E3394" w:rsidRPr="004E3394" w:rsidRDefault="004E3394" w:rsidP="004E3394">
            <w:pPr>
              <w:spacing w:after="0" w:line="240" w:lineRule="auto"/>
              <w:jc w:val="center"/>
              <w:rPr>
                <w:rFonts w:ascii="Book Antiqua" w:eastAsia="Times New Roman" w:hAnsi="Book Antiqua" w:cs="Calibri"/>
                <w:color w:val="FFFFFF"/>
                <w:lang w:eastAsia="es-CR"/>
              </w:rPr>
            </w:pPr>
            <w:r w:rsidRPr="004E3394">
              <w:rPr>
                <w:rFonts w:ascii="Book Antiqua" w:eastAsia="Times New Roman" w:hAnsi="Book Antiqua" w:cs="Calibri"/>
                <w:color w:val="FFFFFF"/>
                <w:lang w:eastAsia="es-CR"/>
              </w:rPr>
              <w:t>23 769</w:t>
            </w:r>
          </w:p>
        </w:tc>
        <w:tc>
          <w:tcPr>
            <w:tcW w:w="1559" w:type="dxa"/>
            <w:tcBorders>
              <w:top w:val="nil"/>
              <w:left w:val="nil"/>
              <w:bottom w:val="nil"/>
              <w:right w:val="nil"/>
            </w:tcBorders>
            <w:shd w:val="clear" w:color="000000" w:fill="808080"/>
            <w:noWrap/>
            <w:vAlign w:val="bottom"/>
            <w:hideMark/>
          </w:tcPr>
          <w:p w14:paraId="723DB6EB" w14:textId="77777777" w:rsidR="004E3394" w:rsidRPr="004E3394" w:rsidRDefault="004E3394" w:rsidP="004E3394">
            <w:pPr>
              <w:spacing w:after="0" w:line="240" w:lineRule="auto"/>
              <w:rPr>
                <w:rFonts w:ascii="Calibri" w:eastAsia="Times New Roman" w:hAnsi="Calibri" w:cs="Calibri"/>
                <w:color w:val="000000"/>
                <w:lang w:eastAsia="es-CR"/>
              </w:rPr>
            </w:pPr>
            <w:r w:rsidRPr="004E3394">
              <w:rPr>
                <w:rFonts w:ascii="Calibri" w:eastAsia="Times New Roman" w:hAnsi="Calibri" w:cs="Calibri"/>
                <w:color w:val="000000"/>
                <w:lang w:eastAsia="es-CR"/>
              </w:rPr>
              <w:t> </w:t>
            </w:r>
          </w:p>
        </w:tc>
      </w:tr>
      <w:tr w:rsidR="004E3394" w:rsidRPr="004E3394" w14:paraId="18A22A06" w14:textId="77777777" w:rsidTr="004E3394">
        <w:trPr>
          <w:trHeight w:val="290"/>
          <w:jc w:val="center"/>
        </w:trPr>
        <w:tc>
          <w:tcPr>
            <w:tcW w:w="3812" w:type="dxa"/>
            <w:tcBorders>
              <w:top w:val="nil"/>
              <w:left w:val="nil"/>
              <w:bottom w:val="nil"/>
              <w:right w:val="nil"/>
            </w:tcBorders>
            <w:shd w:val="clear" w:color="000000" w:fill="808080"/>
            <w:noWrap/>
            <w:vAlign w:val="center"/>
            <w:hideMark/>
          </w:tcPr>
          <w:p w14:paraId="2CA05CCF" w14:textId="77777777" w:rsidR="004E3394" w:rsidRPr="004E3394" w:rsidRDefault="004E3394" w:rsidP="004E3394">
            <w:pPr>
              <w:spacing w:after="0" w:line="240" w:lineRule="auto"/>
              <w:jc w:val="right"/>
              <w:rPr>
                <w:rFonts w:ascii="Book Antiqua" w:eastAsia="Times New Roman" w:hAnsi="Book Antiqua" w:cs="Calibri"/>
                <w:color w:val="FFFFFF"/>
                <w:lang w:eastAsia="es-CR"/>
              </w:rPr>
            </w:pPr>
            <w:r w:rsidRPr="004E3394">
              <w:rPr>
                <w:rFonts w:ascii="Book Antiqua" w:eastAsia="Times New Roman" w:hAnsi="Book Antiqua" w:cs="Calibri"/>
                <w:color w:val="FFFFFF"/>
                <w:lang w:eastAsia="es-CR"/>
              </w:rPr>
              <w:t>Promedio</w:t>
            </w:r>
          </w:p>
        </w:tc>
        <w:tc>
          <w:tcPr>
            <w:tcW w:w="1389" w:type="dxa"/>
            <w:tcBorders>
              <w:top w:val="nil"/>
              <w:left w:val="nil"/>
              <w:bottom w:val="nil"/>
              <w:right w:val="nil"/>
            </w:tcBorders>
            <w:shd w:val="clear" w:color="000000" w:fill="808080"/>
            <w:noWrap/>
            <w:vAlign w:val="center"/>
            <w:hideMark/>
          </w:tcPr>
          <w:p w14:paraId="1F154978" w14:textId="77777777" w:rsidR="004E3394" w:rsidRPr="004E3394" w:rsidRDefault="004E3394" w:rsidP="004E3394">
            <w:pPr>
              <w:spacing w:after="0" w:line="240" w:lineRule="auto"/>
              <w:jc w:val="center"/>
              <w:rPr>
                <w:rFonts w:ascii="Book Antiqua" w:eastAsia="Times New Roman" w:hAnsi="Book Antiqua" w:cs="Calibri"/>
                <w:color w:val="FFFFFF"/>
                <w:lang w:eastAsia="es-CR"/>
              </w:rPr>
            </w:pPr>
            <w:r w:rsidRPr="004E3394">
              <w:rPr>
                <w:rFonts w:ascii="Book Antiqua" w:eastAsia="Times New Roman" w:hAnsi="Book Antiqua" w:cs="Calibri"/>
                <w:color w:val="FFFFFF"/>
                <w:lang w:eastAsia="es-CR"/>
              </w:rPr>
              <w:t> </w:t>
            </w:r>
          </w:p>
        </w:tc>
        <w:tc>
          <w:tcPr>
            <w:tcW w:w="1559" w:type="dxa"/>
            <w:tcBorders>
              <w:top w:val="nil"/>
              <w:left w:val="nil"/>
              <w:bottom w:val="nil"/>
              <w:right w:val="nil"/>
            </w:tcBorders>
            <w:shd w:val="clear" w:color="000000" w:fill="808080"/>
            <w:noWrap/>
            <w:vAlign w:val="center"/>
            <w:hideMark/>
          </w:tcPr>
          <w:p w14:paraId="0EB03306" w14:textId="77777777" w:rsidR="004E3394" w:rsidRPr="004E3394" w:rsidRDefault="004E3394" w:rsidP="004E3394">
            <w:pPr>
              <w:spacing w:after="0" w:line="240" w:lineRule="auto"/>
              <w:jc w:val="center"/>
              <w:rPr>
                <w:rFonts w:ascii="Book Antiqua" w:eastAsia="Times New Roman" w:hAnsi="Book Antiqua" w:cs="Calibri"/>
                <w:color w:val="FFFFFF"/>
                <w:lang w:eastAsia="es-CR"/>
              </w:rPr>
            </w:pPr>
            <w:r w:rsidRPr="004E3394">
              <w:rPr>
                <w:rFonts w:ascii="Book Antiqua" w:eastAsia="Times New Roman" w:hAnsi="Book Antiqua" w:cs="Calibri"/>
                <w:color w:val="FFFFFF"/>
                <w:lang w:eastAsia="es-CR"/>
              </w:rPr>
              <w:t>8,5</w:t>
            </w:r>
          </w:p>
        </w:tc>
      </w:tr>
    </w:tbl>
    <w:p w14:paraId="5C8D98C7" w14:textId="77777777" w:rsidR="00C935F6" w:rsidRDefault="00756438" w:rsidP="00C935F6">
      <w:pPr>
        <w:spacing w:after="0" w:line="240" w:lineRule="auto"/>
        <w:jc w:val="both"/>
        <w:rPr>
          <w:rFonts w:ascii="Book Antiqua" w:eastAsia="Calibri" w:hAnsi="Book Antiqua" w:cs="Arial"/>
          <w:i/>
          <w:iCs/>
          <w:lang w:val="es-ES" w:eastAsia="es-ES"/>
        </w:rPr>
      </w:pPr>
      <w:r>
        <w:rPr>
          <w:rFonts w:ascii="Book Antiqua" w:eastAsia="Calibri" w:hAnsi="Book Antiqua" w:cs="Arial"/>
          <w:lang w:val="es-ES" w:eastAsia="es-ES"/>
        </w:rPr>
        <w:t xml:space="preserve">                   </w:t>
      </w:r>
      <w:r w:rsidRPr="00ED2ACB">
        <w:rPr>
          <w:rFonts w:ascii="Book Antiqua" w:eastAsia="Calibri" w:hAnsi="Book Antiqua" w:cs="Arial"/>
          <w:b/>
          <w:bCs/>
          <w:i/>
          <w:iCs/>
          <w:lang w:val="es-ES" w:eastAsia="es-ES"/>
        </w:rPr>
        <w:t>Fuente:</w:t>
      </w:r>
      <w:r w:rsidRPr="00756438">
        <w:rPr>
          <w:rFonts w:ascii="Book Antiqua" w:eastAsia="Calibri" w:hAnsi="Book Antiqua" w:cs="Arial"/>
          <w:i/>
          <w:iCs/>
          <w:lang w:val="es-ES" w:eastAsia="es-ES"/>
        </w:rPr>
        <w:t xml:space="preserve"> Modernización Instituciona</w:t>
      </w:r>
      <w:r w:rsidR="00C935F6" w:rsidRPr="00C935F6">
        <w:rPr>
          <w:rFonts w:ascii="Book Antiqua" w:eastAsia="Calibri" w:hAnsi="Book Antiqua" w:cs="Arial"/>
          <w:i/>
          <w:iCs/>
          <w:lang w:val="es-ES" w:eastAsia="es-ES"/>
        </w:rPr>
        <w:t xml:space="preserve"> con datos del Subproceso de Estadística</w:t>
      </w:r>
      <w:r w:rsidR="00C935F6">
        <w:rPr>
          <w:rFonts w:ascii="Book Antiqua" w:eastAsia="Calibri" w:hAnsi="Book Antiqua" w:cs="Arial"/>
          <w:i/>
          <w:iCs/>
          <w:lang w:val="es-ES" w:eastAsia="es-ES"/>
        </w:rPr>
        <w:t xml:space="preserve">, </w:t>
      </w:r>
    </w:p>
    <w:p w14:paraId="79D34CA4" w14:textId="5D102F9E" w:rsidR="00ED5768" w:rsidRPr="00756438" w:rsidRDefault="00C935F6" w:rsidP="00C935F6">
      <w:pPr>
        <w:spacing w:after="0" w:line="240" w:lineRule="auto"/>
        <w:jc w:val="both"/>
        <w:rPr>
          <w:rFonts w:ascii="Book Antiqua" w:eastAsia="Calibri" w:hAnsi="Book Antiqua" w:cs="Arial"/>
          <w:i/>
          <w:iCs/>
          <w:lang w:val="es-ES" w:eastAsia="es-ES"/>
        </w:rPr>
      </w:pPr>
      <w:r>
        <w:rPr>
          <w:rFonts w:ascii="Book Antiqua" w:eastAsia="Calibri" w:hAnsi="Book Antiqua" w:cs="Arial"/>
          <w:i/>
          <w:iCs/>
          <w:lang w:val="es-ES" w:eastAsia="es-ES"/>
        </w:rPr>
        <w:t xml:space="preserve">                  </w:t>
      </w:r>
      <w:r w:rsidRPr="00C935F6">
        <w:rPr>
          <w:rFonts w:ascii="Book Antiqua" w:eastAsia="Calibri" w:hAnsi="Book Antiqua" w:cs="Arial"/>
          <w:i/>
          <w:iCs/>
          <w:lang w:val="es-ES" w:eastAsia="es-ES"/>
        </w:rPr>
        <w:t>consulta del 7/03/2023</w:t>
      </w:r>
      <w:r w:rsidR="00756438">
        <w:rPr>
          <w:rFonts w:ascii="Book Antiqua" w:eastAsia="Calibri" w:hAnsi="Book Antiqua" w:cs="Arial"/>
          <w:i/>
          <w:iCs/>
          <w:lang w:val="es-ES" w:eastAsia="es-ES"/>
        </w:rPr>
        <w:t>.</w:t>
      </w:r>
    </w:p>
    <w:p w14:paraId="645B4C33" w14:textId="1D87277B" w:rsidR="00ED5768" w:rsidRDefault="00ED5768" w:rsidP="001212F0">
      <w:pPr>
        <w:spacing w:after="0" w:line="240" w:lineRule="auto"/>
        <w:jc w:val="both"/>
        <w:rPr>
          <w:rFonts w:ascii="Book Antiqua" w:eastAsia="Calibri" w:hAnsi="Book Antiqua" w:cs="Arial"/>
          <w:lang w:val="es-ES" w:eastAsia="es-ES"/>
        </w:rPr>
      </w:pPr>
    </w:p>
    <w:p w14:paraId="79AEF84A" w14:textId="32D8A4C1" w:rsidR="00182B25" w:rsidRPr="00182B25" w:rsidRDefault="00182B25" w:rsidP="00182B25">
      <w:pPr>
        <w:spacing w:after="0" w:line="276" w:lineRule="auto"/>
        <w:jc w:val="both"/>
        <w:rPr>
          <w:rFonts w:ascii="Book Antiqua" w:eastAsia="Calibri" w:hAnsi="Book Antiqua" w:cs="Arial"/>
          <w:sz w:val="24"/>
          <w:szCs w:val="24"/>
        </w:rPr>
      </w:pPr>
      <w:r w:rsidRPr="00182B25">
        <w:rPr>
          <w:rFonts w:ascii="Book Antiqua" w:eastAsia="Calibri" w:hAnsi="Book Antiqua" w:cs="Arial"/>
          <w:sz w:val="24"/>
          <w:szCs w:val="24"/>
        </w:rPr>
        <w:t xml:space="preserve">Se hace necesario ajustar los esfuerzos para reducir los tiempos de proceso, en miras de mejorar la respuesta a las personas usuarias y en línea con las recomendaciones emanadas por la Contraloría General de la República. Para ello </w:t>
      </w:r>
      <w:r w:rsidR="004F4D50">
        <w:rPr>
          <w:rFonts w:ascii="Book Antiqua" w:eastAsia="Calibri" w:hAnsi="Book Antiqua" w:cs="Arial"/>
          <w:sz w:val="24"/>
          <w:szCs w:val="24"/>
        </w:rPr>
        <w:t xml:space="preserve">de parte del Consejo Superior, se emitió la circular 96-2021 donde las oficinas tanto en materia de Familia como Pensiones Alimentarias, tienen la obligación de cada 3 meses generar este reporte, revisar los expedientes </w:t>
      </w:r>
      <w:r w:rsidR="004F4D50" w:rsidRPr="00461604">
        <w:rPr>
          <w:rFonts w:ascii="Book Antiqua" w:eastAsia="Calibri" w:hAnsi="Book Antiqua" w:cs="Arial"/>
          <w:sz w:val="24"/>
          <w:szCs w:val="24"/>
        </w:rPr>
        <w:t>activos que presentan mayor duración en trámite (fase demanda-demostrativa-conclusiva) según plazo legal y criterio experto sin ser resueltos para que procedan a estar promoviendo una pronta resolución del proceso</w:t>
      </w:r>
      <w:r w:rsidR="004F4D50">
        <w:rPr>
          <w:rFonts w:ascii="Book Antiqua" w:eastAsia="Calibri" w:hAnsi="Book Antiqua" w:cs="Arial"/>
          <w:sz w:val="24"/>
          <w:szCs w:val="24"/>
        </w:rPr>
        <w:t xml:space="preserve"> e incluso certificar al Subproceso de Estadística que esta revisión se realizó.</w:t>
      </w:r>
      <w:r w:rsidRPr="00182B25">
        <w:rPr>
          <w:rFonts w:ascii="Book Antiqua" w:eastAsia="Calibri" w:hAnsi="Book Antiqua" w:cs="Arial"/>
          <w:sz w:val="24"/>
          <w:szCs w:val="24"/>
        </w:rPr>
        <w:t xml:space="preserve"> </w:t>
      </w:r>
    </w:p>
    <w:p w14:paraId="426E54E6" w14:textId="3A4B4BA8" w:rsidR="00C36C20" w:rsidRDefault="00C36C20" w:rsidP="009C01E1">
      <w:pPr>
        <w:spacing w:line="276" w:lineRule="auto"/>
        <w:jc w:val="both"/>
        <w:rPr>
          <w:rFonts w:ascii="Book Antiqua" w:hAnsi="Book Antiqua"/>
          <w:sz w:val="24"/>
          <w:szCs w:val="24"/>
        </w:rPr>
      </w:pPr>
    </w:p>
    <w:p w14:paraId="12F11027" w14:textId="77777777" w:rsidR="00635117" w:rsidRPr="008D6799" w:rsidRDefault="00635117" w:rsidP="008D6799">
      <w:pPr>
        <w:spacing w:after="0" w:line="276" w:lineRule="auto"/>
        <w:jc w:val="both"/>
        <w:rPr>
          <w:rFonts w:ascii="Book Antiqua" w:eastAsia="Calibri" w:hAnsi="Book Antiqua" w:cs="Arial"/>
          <w:b/>
          <w:bCs/>
          <w:sz w:val="24"/>
          <w:szCs w:val="24"/>
        </w:rPr>
      </w:pPr>
      <w:r w:rsidRPr="00E371E6">
        <w:rPr>
          <w:rFonts w:ascii="Book Antiqua" w:eastAsia="Calibri" w:hAnsi="Book Antiqua" w:cs="Arial"/>
          <w:b/>
          <w:bCs/>
          <w:sz w:val="24"/>
          <w:szCs w:val="24"/>
        </w:rPr>
        <w:t>Circulante por fase</w:t>
      </w:r>
      <w:r w:rsidRPr="008D6799">
        <w:rPr>
          <w:rFonts w:ascii="Book Antiqua" w:eastAsia="Calibri" w:hAnsi="Book Antiqua" w:cs="Arial"/>
          <w:b/>
          <w:bCs/>
          <w:sz w:val="24"/>
          <w:szCs w:val="24"/>
        </w:rPr>
        <w:t xml:space="preserve"> </w:t>
      </w:r>
    </w:p>
    <w:p w14:paraId="08E056E5" w14:textId="77777777" w:rsidR="00635117" w:rsidRPr="008D6799" w:rsidRDefault="00635117" w:rsidP="00BE047A">
      <w:pPr>
        <w:spacing w:after="0" w:line="276" w:lineRule="auto"/>
        <w:jc w:val="both"/>
        <w:rPr>
          <w:rFonts w:ascii="Book Antiqua" w:eastAsia="Calibri" w:hAnsi="Book Antiqua" w:cs="Arial"/>
          <w:b/>
          <w:bCs/>
          <w:sz w:val="24"/>
          <w:szCs w:val="24"/>
        </w:rPr>
      </w:pPr>
    </w:p>
    <w:p w14:paraId="4BA172C2" w14:textId="1B4040CA" w:rsidR="00BE047A" w:rsidRPr="00BE047A" w:rsidRDefault="00BE047A" w:rsidP="00BE047A">
      <w:pPr>
        <w:spacing w:after="0" w:line="276" w:lineRule="auto"/>
        <w:jc w:val="both"/>
        <w:rPr>
          <w:rFonts w:ascii="Book Antiqua" w:eastAsia="Calibri" w:hAnsi="Book Antiqua" w:cs="Arial"/>
          <w:sz w:val="24"/>
          <w:szCs w:val="24"/>
        </w:rPr>
      </w:pPr>
      <w:r w:rsidRPr="00BE047A">
        <w:rPr>
          <w:rFonts w:ascii="Book Antiqua" w:eastAsia="Calibri" w:hAnsi="Book Antiqua" w:cs="Arial"/>
          <w:sz w:val="24"/>
          <w:szCs w:val="24"/>
        </w:rPr>
        <w:t xml:space="preserve">A continuación, en el siguiente </w:t>
      </w:r>
      <w:r w:rsidR="00756438">
        <w:rPr>
          <w:rFonts w:ascii="Book Antiqua" w:eastAsia="Calibri" w:hAnsi="Book Antiqua" w:cs="Arial"/>
          <w:sz w:val="24"/>
          <w:szCs w:val="24"/>
        </w:rPr>
        <w:t>cuadro</w:t>
      </w:r>
      <w:r w:rsidRPr="00BE047A">
        <w:rPr>
          <w:rFonts w:ascii="Book Antiqua" w:eastAsia="Calibri" w:hAnsi="Book Antiqua" w:cs="Arial"/>
          <w:sz w:val="24"/>
          <w:szCs w:val="24"/>
        </w:rPr>
        <w:t xml:space="preserve"> se detalla el circulante por fase en asuntos principales de los Juzgado Especializados de Familia, durante el periodo del 201</w:t>
      </w:r>
      <w:r>
        <w:rPr>
          <w:rFonts w:ascii="Book Antiqua" w:eastAsia="Calibri" w:hAnsi="Book Antiqua" w:cs="Arial"/>
          <w:sz w:val="24"/>
          <w:szCs w:val="24"/>
        </w:rPr>
        <w:t>7</w:t>
      </w:r>
      <w:r w:rsidRPr="00BE047A">
        <w:rPr>
          <w:rFonts w:ascii="Book Antiqua" w:eastAsia="Calibri" w:hAnsi="Book Antiqua" w:cs="Arial"/>
          <w:sz w:val="24"/>
          <w:szCs w:val="24"/>
        </w:rPr>
        <w:t xml:space="preserve"> al 20</w:t>
      </w:r>
      <w:r>
        <w:rPr>
          <w:rFonts w:ascii="Book Antiqua" w:eastAsia="Calibri" w:hAnsi="Book Antiqua" w:cs="Arial"/>
          <w:sz w:val="24"/>
          <w:szCs w:val="24"/>
        </w:rPr>
        <w:t>2</w:t>
      </w:r>
      <w:r w:rsidR="00ED2ACB">
        <w:rPr>
          <w:rFonts w:ascii="Book Antiqua" w:eastAsia="Calibri" w:hAnsi="Book Antiqua" w:cs="Arial"/>
          <w:sz w:val="24"/>
          <w:szCs w:val="24"/>
        </w:rPr>
        <w:t>2</w:t>
      </w:r>
      <w:r w:rsidRPr="00BE047A">
        <w:rPr>
          <w:rFonts w:ascii="Book Antiqua" w:eastAsia="Calibri" w:hAnsi="Book Antiqua" w:cs="Arial"/>
          <w:sz w:val="24"/>
          <w:szCs w:val="24"/>
        </w:rPr>
        <w:t>.</w:t>
      </w:r>
    </w:p>
    <w:p w14:paraId="0BBC5DF6" w14:textId="77777777" w:rsidR="00BE047A" w:rsidRPr="00BE047A" w:rsidRDefault="00BE047A" w:rsidP="00BE047A">
      <w:pPr>
        <w:spacing w:after="0" w:line="276" w:lineRule="auto"/>
        <w:jc w:val="both"/>
        <w:rPr>
          <w:rFonts w:ascii="Book Antiqua" w:eastAsia="Calibri" w:hAnsi="Book Antiqua" w:cs="Arial"/>
          <w:sz w:val="24"/>
          <w:szCs w:val="24"/>
        </w:rPr>
      </w:pPr>
    </w:p>
    <w:p w14:paraId="546D65E8" w14:textId="15A08B65" w:rsidR="00BE047A" w:rsidRPr="00E416D6" w:rsidRDefault="00BE047A" w:rsidP="00BE047A">
      <w:pPr>
        <w:keepNext/>
        <w:numPr>
          <w:ilvl w:val="12"/>
          <w:numId w:val="0"/>
        </w:numPr>
        <w:spacing w:after="0" w:line="276" w:lineRule="auto"/>
        <w:jc w:val="center"/>
        <w:rPr>
          <w:rFonts w:ascii="Book Antiqua" w:eastAsia="Calibri" w:hAnsi="Book Antiqua" w:cs="Arial"/>
          <w:b/>
          <w:bCs/>
          <w:color w:val="1F497D"/>
          <w:lang w:val="es-ES" w:eastAsia="es-ES"/>
        </w:rPr>
      </w:pPr>
      <w:r w:rsidRPr="00E416D6">
        <w:rPr>
          <w:rFonts w:ascii="Book Antiqua" w:eastAsia="Calibri" w:hAnsi="Book Antiqua" w:cs="Arial"/>
          <w:b/>
          <w:bCs/>
          <w:color w:val="1F497D"/>
          <w:lang w:val="es-ES" w:eastAsia="es-ES"/>
        </w:rPr>
        <w:t xml:space="preserve">Cuadro </w:t>
      </w:r>
      <w:r w:rsidRPr="00E416D6">
        <w:rPr>
          <w:rFonts w:ascii="Book Antiqua" w:eastAsia="Calibri" w:hAnsi="Book Antiqua" w:cs="Arial"/>
          <w:b/>
          <w:bCs/>
          <w:color w:val="1F497D"/>
          <w:lang w:val="es-ES" w:eastAsia="es-ES"/>
        </w:rPr>
        <w:fldChar w:fldCharType="begin"/>
      </w:r>
      <w:r w:rsidRPr="00E416D6">
        <w:rPr>
          <w:rFonts w:ascii="Book Antiqua" w:eastAsia="Calibri" w:hAnsi="Book Antiqua" w:cs="Arial"/>
          <w:b/>
          <w:bCs/>
          <w:color w:val="1F497D"/>
          <w:lang w:val="es-ES" w:eastAsia="es-ES"/>
        </w:rPr>
        <w:instrText xml:space="preserve"> SEQ Cuadro \* ARABIC </w:instrText>
      </w:r>
      <w:r w:rsidRPr="00E416D6">
        <w:rPr>
          <w:rFonts w:ascii="Book Antiqua" w:eastAsia="Calibri" w:hAnsi="Book Antiqua" w:cs="Arial"/>
          <w:b/>
          <w:bCs/>
          <w:color w:val="1F497D"/>
          <w:lang w:val="es-ES" w:eastAsia="es-ES"/>
        </w:rPr>
        <w:fldChar w:fldCharType="separate"/>
      </w:r>
      <w:r w:rsidR="009B739E" w:rsidRPr="00E416D6">
        <w:rPr>
          <w:rFonts w:ascii="Book Antiqua" w:eastAsia="Calibri" w:hAnsi="Book Antiqua" w:cs="Arial"/>
          <w:b/>
          <w:bCs/>
          <w:color w:val="1F497D"/>
          <w:lang w:val="es-ES" w:eastAsia="es-ES"/>
        </w:rPr>
        <w:t>8</w:t>
      </w:r>
      <w:r w:rsidRPr="00E416D6">
        <w:rPr>
          <w:rFonts w:ascii="Book Antiqua" w:eastAsia="Calibri" w:hAnsi="Book Antiqua" w:cs="Arial"/>
          <w:b/>
          <w:bCs/>
          <w:color w:val="1F497D"/>
          <w:lang w:val="es-ES" w:eastAsia="es-ES"/>
        </w:rPr>
        <w:fldChar w:fldCharType="end"/>
      </w:r>
    </w:p>
    <w:p w14:paraId="03EB5053" w14:textId="77777777" w:rsidR="00BE047A" w:rsidRPr="00E416D6" w:rsidRDefault="00BE047A" w:rsidP="00BE047A">
      <w:pPr>
        <w:keepNext/>
        <w:numPr>
          <w:ilvl w:val="12"/>
          <w:numId w:val="0"/>
        </w:numPr>
        <w:spacing w:after="0" w:line="276" w:lineRule="auto"/>
        <w:jc w:val="center"/>
        <w:rPr>
          <w:rFonts w:ascii="Book Antiqua" w:eastAsia="Times New Roman" w:hAnsi="Book Antiqua" w:cs="Arial"/>
          <w:b/>
          <w:bCs/>
          <w:color w:val="1F497D"/>
          <w:lang w:eastAsia="es-ES"/>
        </w:rPr>
      </w:pPr>
      <w:r w:rsidRPr="00E416D6">
        <w:rPr>
          <w:rFonts w:ascii="Book Antiqua" w:eastAsia="Times New Roman" w:hAnsi="Book Antiqua" w:cs="Arial"/>
          <w:b/>
          <w:bCs/>
          <w:color w:val="1F497D"/>
          <w:lang w:eastAsia="es-ES"/>
        </w:rPr>
        <w:t>Movimiento histórico del circulante por fase en los</w:t>
      </w:r>
    </w:p>
    <w:p w14:paraId="757527DD" w14:textId="27B1B4F9" w:rsidR="00BE047A" w:rsidRDefault="00BE047A" w:rsidP="00BE047A">
      <w:pPr>
        <w:keepNext/>
        <w:numPr>
          <w:ilvl w:val="12"/>
          <w:numId w:val="0"/>
        </w:numPr>
        <w:spacing w:after="0" w:line="276" w:lineRule="auto"/>
        <w:jc w:val="center"/>
        <w:rPr>
          <w:rFonts w:ascii="Book Antiqua" w:eastAsia="Times New Roman" w:hAnsi="Book Antiqua" w:cs="Arial"/>
          <w:b/>
          <w:bCs/>
          <w:color w:val="1F497D"/>
          <w:lang w:eastAsia="es-ES"/>
        </w:rPr>
      </w:pPr>
      <w:r w:rsidRPr="00E416D6">
        <w:rPr>
          <w:rFonts w:ascii="Book Antiqua" w:eastAsia="Times New Roman" w:hAnsi="Book Antiqua" w:cs="Arial"/>
          <w:b/>
          <w:bCs/>
          <w:color w:val="1F497D"/>
          <w:lang w:eastAsia="es-ES"/>
        </w:rPr>
        <w:t xml:space="preserve"> Juzgados Especializados de la materia de Familia, del 2017 al 202</w:t>
      </w:r>
      <w:r w:rsidR="00ED2ACB" w:rsidRPr="00E416D6">
        <w:rPr>
          <w:rFonts w:ascii="Book Antiqua" w:eastAsia="Times New Roman" w:hAnsi="Book Antiqua" w:cs="Arial"/>
          <w:b/>
          <w:bCs/>
          <w:color w:val="1F497D"/>
          <w:lang w:eastAsia="es-ES"/>
        </w:rPr>
        <w:t>2</w:t>
      </w:r>
    </w:p>
    <w:tbl>
      <w:tblPr>
        <w:tblW w:w="10400" w:type="dxa"/>
        <w:jc w:val="center"/>
        <w:tblCellMar>
          <w:left w:w="70" w:type="dxa"/>
          <w:right w:w="70" w:type="dxa"/>
        </w:tblCellMar>
        <w:tblLook w:val="04A0" w:firstRow="1" w:lastRow="0" w:firstColumn="1" w:lastColumn="0" w:noHBand="0" w:noVBand="1"/>
      </w:tblPr>
      <w:tblGrid>
        <w:gridCol w:w="1600"/>
        <w:gridCol w:w="1200"/>
        <w:gridCol w:w="1200"/>
        <w:gridCol w:w="1200"/>
        <w:gridCol w:w="1200"/>
        <w:gridCol w:w="1200"/>
        <w:gridCol w:w="1200"/>
        <w:gridCol w:w="1600"/>
      </w:tblGrid>
      <w:tr w:rsidR="00C935F6" w:rsidRPr="00C935F6" w14:paraId="0463953B" w14:textId="77777777" w:rsidTr="00C935F6">
        <w:trPr>
          <w:trHeight w:val="590"/>
          <w:jc w:val="center"/>
        </w:trPr>
        <w:tc>
          <w:tcPr>
            <w:tcW w:w="160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6C6A08EF"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Fase</w:t>
            </w:r>
          </w:p>
        </w:tc>
        <w:tc>
          <w:tcPr>
            <w:tcW w:w="1200" w:type="dxa"/>
            <w:tcBorders>
              <w:top w:val="single" w:sz="8" w:space="0" w:color="auto"/>
              <w:left w:val="nil"/>
              <w:bottom w:val="single" w:sz="8" w:space="0" w:color="auto"/>
              <w:right w:val="single" w:sz="8" w:space="0" w:color="auto"/>
            </w:tcBorders>
            <w:shd w:val="clear" w:color="000000" w:fill="002060"/>
            <w:vAlign w:val="center"/>
            <w:hideMark/>
          </w:tcPr>
          <w:p w14:paraId="3AE5A073"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2017</w:t>
            </w:r>
          </w:p>
        </w:tc>
        <w:tc>
          <w:tcPr>
            <w:tcW w:w="1200" w:type="dxa"/>
            <w:tcBorders>
              <w:top w:val="single" w:sz="8" w:space="0" w:color="auto"/>
              <w:left w:val="nil"/>
              <w:bottom w:val="single" w:sz="8" w:space="0" w:color="auto"/>
              <w:right w:val="single" w:sz="8" w:space="0" w:color="auto"/>
            </w:tcBorders>
            <w:shd w:val="clear" w:color="000000" w:fill="002060"/>
            <w:vAlign w:val="center"/>
            <w:hideMark/>
          </w:tcPr>
          <w:p w14:paraId="16493DB6"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2018</w:t>
            </w:r>
          </w:p>
        </w:tc>
        <w:tc>
          <w:tcPr>
            <w:tcW w:w="1200" w:type="dxa"/>
            <w:tcBorders>
              <w:top w:val="single" w:sz="8" w:space="0" w:color="auto"/>
              <w:left w:val="nil"/>
              <w:bottom w:val="single" w:sz="8" w:space="0" w:color="auto"/>
              <w:right w:val="single" w:sz="8" w:space="0" w:color="auto"/>
            </w:tcBorders>
            <w:shd w:val="clear" w:color="000000" w:fill="002060"/>
            <w:vAlign w:val="center"/>
            <w:hideMark/>
          </w:tcPr>
          <w:p w14:paraId="12D1321B"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2019</w:t>
            </w:r>
          </w:p>
        </w:tc>
        <w:tc>
          <w:tcPr>
            <w:tcW w:w="1200" w:type="dxa"/>
            <w:tcBorders>
              <w:top w:val="single" w:sz="8" w:space="0" w:color="auto"/>
              <w:left w:val="nil"/>
              <w:bottom w:val="single" w:sz="8" w:space="0" w:color="auto"/>
              <w:right w:val="single" w:sz="8" w:space="0" w:color="auto"/>
            </w:tcBorders>
            <w:shd w:val="clear" w:color="000000" w:fill="002060"/>
            <w:vAlign w:val="center"/>
            <w:hideMark/>
          </w:tcPr>
          <w:p w14:paraId="7E7BF81E"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2020</w:t>
            </w:r>
          </w:p>
        </w:tc>
        <w:tc>
          <w:tcPr>
            <w:tcW w:w="1200" w:type="dxa"/>
            <w:tcBorders>
              <w:top w:val="single" w:sz="8" w:space="0" w:color="auto"/>
              <w:left w:val="nil"/>
              <w:bottom w:val="single" w:sz="8" w:space="0" w:color="auto"/>
              <w:right w:val="single" w:sz="8" w:space="0" w:color="auto"/>
            </w:tcBorders>
            <w:shd w:val="clear" w:color="000000" w:fill="002060"/>
            <w:vAlign w:val="center"/>
            <w:hideMark/>
          </w:tcPr>
          <w:p w14:paraId="74EA8D95"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2021</w:t>
            </w:r>
          </w:p>
        </w:tc>
        <w:tc>
          <w:tcPr>
            <w:tcW w:w="1200" w:type="dxa"/>
            <w:tcBorders>
              <w:top w:val="single" w:sz="8" w:space="0" w:color="auto"/>
              <w:left w:val="nil"/>
              <w:bottom w:val="single" w:sz="8" w:space="0" w:color="auto"/>
              <w:right w:val="single" w:sz="8" w:space="0" w:color="auto"/>
            </w:tcBorders>
            <w:shd w:val="clear" w:color="000000" w:fill="002060"/>
            <w:vAlign w:val="center"/>
            <w:hideMark/>
          </w:tcPr>
          <w:p w14:paraId="6546828A"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2022</w:t>
            </w:r>
          </w:p>
        </w:tc>
        <w:tc>
          <w:tcPr>
            <w:tcW w:w="1600" w:type="dxa"/>
            <w:tcBorders>
              <w:top w:val="single" w:sz="8" w:space="0" w:color="auto"/>
              <w:left w:val="nil"/>
              <w:bottom w:val="single" w:sz="8" w:space="0" w:color="auto"/>
              <w:right w:val="single" w:sz="8" w:space="0" w:color="auto"/>
            </w:tcBorders>
            <w:shd w:val="clear" w:color="000000" w:fill="002060"/>
            <w:vAlign w:val="center"/>
            <w:hideMark/>
          </w:tcPr>
          <w:p w14:paraId="5D0ADA3F"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Porcentaje en 2022</w:t>
            </w:r>
          </w:p>
        </w:tc>
      </w:tr>
      <w:tr w:rsidR="00C935F6" w:rsidRPr="00C935F6" w14:paraId="0400DB1C" w14:textId="77777777" w:rsidTr="00C935F6">
        <w:trPr>
          <w:trHeight w:val="300"/>
          <w:jc w:val="center"/>
        </w:trPr>
        <w:tc>
          <w:tcPr>
            <w:tcW w:w="1600" w:type="dxa"/>
            <w:tcBorders>
              <w:top w:val="nil"/>
              <w:left w:val="single" w:sz="8" w:space="0" w:color="auto"/>
              <w:bottom w:val="single" w:sz="8" w:space="0" w:color="auto"/>
              <w:right w:val="single" w:sz="8" w:space="0" w:color="auto"/>
            </w:tcBorders>
            <w:shd w:val="clear" w:color="000000" w:fill="FFFFFF"/>
            <w:noWrap/>
            <w:vAlign w:val="center"/>
            <w:hideMark/>
          </w:tcPr>
          <w:p w14:paraId="7B60B2F3" w14:textId="77777777" w:rsidR="00C935F6" w:rsidRPr="00C935F6" w:rsidRDefault="00C935F6" w:rsidP="00C935F6">
            <w:pPr>
              <w:spacing w:after="0" w:line="240" w:lineRule="auto"/>
              <w:jc w:val="both"/>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Demanda</w:t>
            </w:r>
          </w:p>
        </w:tc>
        <w:tc>
          <w:tcPr>
            <w:tcW w:w="1200" w:type="dxa"/>
            <w:tcBorders>
              <w:top w:val="nil"/>
              <w:left w:val="nil"/>
              <w:bottom w:val="single" w:sz="8" w:space="0" w:color="auto"/>
              <w:right w:val="single" w:sz="8" w:space="0" w:color="auto"/>
            </w:tcBorders>
            <w:shd w:val="clear" w:color="000000" w:fill="FFFFFF"/>
            <w:noWrap/>
            <w:vAlign w:val="center"/>
            <w:hideMark/>
          </w:tcPr>
          <w:p w14:paraId="47BE0F29"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11 159</w:t>
            </w:r>
          </w:p>
        </w:tc>
        <w:tc>
          <w:tcPr>
            <w:tcW w:w="1200" w:type="dxa"/>
            <w:tcBorders>
              <w:top w:val="nil"/>
              <w:left w:val="nil"/>
              <w:bottom w:val="single" w:sz="8" w:space="0" w:color="auto"/>
              <w:right w:val="single" w:sz="8" w:space="0" w:color="auto"/>
            </w:tcBorders>
            <w:shd w:val="clear" w:color="000000" w:fill="FFFFFF"/>
            <w:noWrap/>
            <w:vAlign w:val="center"/>
            <w:hideMark/>
          </w:tcPr>
          <w:p w14:paraId="61586D89"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11 575</w:t>
            </w:r>
          </w:p>
        </w:tc>
        <w:tc>
          <w:tcPr>
            <w:tcW w:w="1200" w:type="dxa"/>
            <w:tcBorders>
              <w:top w:val="nil"/>
              <w:left w:val="nil"/>
              <w:bottom w:val="single" w:sz="8" w:space="0" w:color="auto"/>
              <w:right w:val="single" w:sz="8" w:space="0" w:color="auto"/>
            </w:tcBorders>
            <w:shd w:val="clear" w:color="000000" w:fill="FFFFFF"/>
            <w:noWrap/>
            <w:vAlign w:val="center"/>
            <w:hideMark/>
          </w:tcPr>
          <w:p w14:paraId="186F1237"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12 560</w:t>
            </w:r>
          </w:p>
        </w:tc>
        <w:tc>
          <w:tcPr>
            <w:tcW w:w="1200" w:type="dxa"/>
            <w:tcBorders>
              <w:top w:val="nil"/>
              <w:left w:val="nil"/>
              <w:bottom w:val="single" w:sz="8" w:space="0" w:color="auto"/>
              <w:right w:val="single" w:sz="8" w:space="0" w:color="auto"/>
            </w:tcBorders>
            <w:shd w:val="clear" w:color="000000" w:fill="FFFFFF"/>
            <w:noWrap/>
            <w:vAlign w:val="center"/>
            <w:hideMark/>
          </w:tcPr>
          <w:p w14:paraId="781A7B9A"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9 782</w:t>
            </w:r>
          </w:p>
        </w:tc>
        <w:tc>
          <w:tcPr>
            <w:tcW w:w="1200" w:type="dxa"/>
            <w:tcBorders>
              <w:top w:val="nil"/>
              <w:left w:val="nil"/>
              <w:bottom w:val="single" w:sz="8" w:space="0" w:color="auto"/>
              <w:right w:val="single" w:sz="8" w:space="0" w:color="auto"/>
            </w:tcBorders>
            <w:shd w:val="clear" w:color="000000" w:fill="FFFFFF"/>
            <w:noWrap/>
            <w:vAlign w:val="center"/>
            <w:hideMark/>
          </w:tcPr>
          <w:p w14:paraId="2B04C8EB"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9 991</w:t>
            </w:r>
          </w:p>
        </w:tc>
        <w:tc>
          <w:tcPr>
            <w:tcW w:w="1200" w:type="dxa"/>
            <w:tcBorders>
              <w:top w:val="nil"/>
              <w:left w:val="nil"/>
              <w:bottom w:val="single" w:sz="8" w:space="0" w:color="auto"/>
              <w:right w:val="single" w:sz="8" w:space="0" w:color="auto"/>
            </w:tcBorders>
            <w:shd w:val="clear" w:color="000000" w:fill="FFFFFF"/>
            <w:noWrap/>
            <w:vAlign w:val="center"/>
            <w:hideMark/>
          </w:tcPr>
          <w:p w14:paraId="719CB084" w14:textId="77777777" w:rsidR="00C935F6" w:rsidRPr="00C935F6" w:rsidRDefault="00C935F6" w:rsidP="00C935F6">
            <w:pPr>
              <w:spacing w:after="0" w:line="240" w:lineRule="auto"/>
              <w:jc w:val="center"/>
              <w:rPr>
                <w:rFonts w:ascii="Book Antiqua" w:eastAsia="Times New Roman" w:hAnsi="Book Antiqua" w:cs="Calibri"/>
                <w:color w:val="000000"/>
                <w:sz w:val="20"/>
                <w:szCs w:val="20"/>
                <w:lang w:eastAsia="es-CR"/>
              </w:rPr>
            </w:pPr>
            <w:r w:rsidRPr="00C935F6">
              <w:rPr>
                <w:rFonts w:ascii="Book Antiqua" w:eastAsia="Times New Roman" w:hAnsi="Book Antiqua" w:cs="Calibri"/>
                <w:color w:val="000000"/>
                <w:sz w:val="20"/>
                <w:szCs w:val="20"/>
                <w:lang w:eastAsia="es-CR"/>
              </w:rPr>
              <w:t>9 546</w:t>
            </w:r>
          </w:p>
        </w:tc>
        <w:tc>
          <w:tcPr>
            <w:tcW w:w="1600" w:type="dxa"/>
            <w:tcBorders>
              <w:top w:val="nil"/>
              <w:left w:val="nil"/>
              <w:bottom w:val="single" w:sz="8" w:space="0" w:color="auto"/>
              <w:right w:val="single" w:sz="8" w:space="0" w:color="auto"/>
            </w:tcBorders>
            <w:shd w:val="clear" w:color="000000" w:fill="F2F2F2"/>
            <w:noWrap/>
            <w:vAlign w:val="center"/>
            <w:hideMark/>
          </w:tcPr>
          <w:p w14:paraId="232CAD4B" w14:textId="77777777" w:rsidR="00C935F6" w:rsidRPr="00C935F6" w:rsidRDefault="00C935F6" w:rsidP="00C935F6">
            <w:pPr>
              <w:spacing w:after="0" w:line="240" w:lineRule="auto"/>
              <w:jc w:val="center"/>
              <w:rPr>
                <w:rFonts w:ascii="Book Antiqua" w:eastAsia="Times New Roman" w:hAnsi="Book Antiqua" w:cs="Calibri"/>
                <w:b/>
                <w:bCs/>
                <w:color w:val="000000"/>
                <w:lang w:eastAsia="es-CR"/>
              </w:rPr>
            </w:pPr>
            <w:r w:rsidRPr="00C935F6">
              <w:rPr>
                <w:rFonts w:ascii="Book Antiqua" w:eastAsia="Times New Roman" w:hAnsi="Book Antiqua" w:cs="Calibri"/>
                <w:b/>
                <w:bCs/>
                <w:color w:val="000000"/>
                <w:lang w:eastAsia="es-CR"/>
              </w:rPr>
              <w:t>66%</w:t>
            </w:r>
          </w:p>
        </w:tc>
      </w:tr>
      <w:tr w:rsidR="00C935F6" w:rsidRPr="00C935F6" w14:paraId="46CEB18B" w14:textId="77777777" w:rsidTr="00C935F6">
        <w:trPr>
          <w:trHeight w:val="300"/>
          <w:jc w:val="center"/>
        </w:trPr>
        <w:tc>
          <w:tcPr>
            <w:tcW w:w="1600" w:type="dxa"/>
            <w:tcBorders>
              <w:top w:val="nil"/>
              <w:left w:val="single" w:sz="8" w:space="0" w:color="auto"/>
              <w:bottom w:val="single" w:sz="8" w:space="0" w:color="auto"/>
              <w:right w:val="single" w:sz="8" w:space="0" w:color="auto"/>
            </w:tcBorders>
            <w:shd w:val="clear" w:color="000000" w:fill="FFFFFF"/>
            <w:noWrap/>
            <w:vAlign w:val="center"/>
            <w:hideMark/>
          </w:tcPr>
          <w:p w14:paraId="2FE271E0" w14:textId="77777777" w:rsidR="00C935F6" w:rsidRPr="00C935F6" w:rsidRDefault="00C935F6" w:rsidP="00C935F6">
            <w:pPr>
              <w:spacing w:after="0" w:line="240" w:lineRule="auto"/>
              <w:jc w:val="both"/>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Demostrativa</w:t>
            </w:r>
          </w:p>
        </w:tc>
        <w:tc>
          <w:tcPr>
            <w:tcW w:w="1200" w:type="dxa"/>
            <w:tcBorders>
              <w:top w:val="nil"/>
              <w:left w:val="nil"/>
              <w:bottom w:val="single" w:sz="8" w:space="0" w:color="auto"/>
              <w:right w:val="single" w:sz="8" w:space="0" w:color="auto"/>
            </w:tcBorders>
            <w:shd w:val="clear" w:color="000000" w:fill="FFFFFF"/>
            <w:noWrap/>
            <w:vAlign w:val="center"/>
            <w:hideMark/>
          </w:tcPr>
          <w:p w14:paraId="1D377AC4"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1 585</w:t>
            </w:r>
          </w:p>
        </w:tc>
        <w:tc>
          <w:tcPr>
            <w:tcW w:w="1200" w:type="dxa"/>
            <w:tcBorders>
              <w:top w:val="nil"/>
              <w:left w:val="nil"/>
              <w:bottom w:val="single" w:sz="8" w:space="0" w:color="auto"/>
              <w:right w:val="single" w:sz="8" w:space="0" w:color="auto"/>
            </w:tcBorders>
            <w:shd w:val="clear" w:color="000000" w:fill="FFFFFF"/>
            <w:noWrap/>
            <w:vAlign w:val="center"/>
            <w:hideMark/>
          </w:tcPr>
          <w:p w14:paraId="746D6341"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1 662</w:t>
            </w:r>
          </w:p>
        </w:tc>
        <w:tc>
          <w:tcPr>
            <w:tcW w:w="1200" w:type="dxa"/>
            <w:tcBorders>
              <w:top w:val="nil"/>
              <w:left w:val="nil"/>
              <w:bottom w:val="single" w:sz="8" w:space="0" w:color="auto"/>
              <w:right w:val="single" w:sz="8" w:space="0" w:color="auto"/>
            </w:tcBorders>
            <w:shd w:val="clear" w:color="000000" w:fill="FFFFFF"/>
            <w:noWrap/>
            <w:vAlign w:val="center"/>
            <w:hideMark/>
          </w:tcPr>
          <w:p w14:paraId="23859B58"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2 023</w:t>
            </w:r>
          </w:p>
        </w:tc>
        <w:tc>
          <w:tcPr>
            <w:tcW w:w="1200" w:type="dxa"/>
            <w:tcBorders>
              <w:top w:val="nil"/>
              <w:left w:val="nil"/>
              <w:bottom w:val="single" w:sz="8" w:space="0" w:color="auto"/>
              <w:right w:val="single" w:sz="8" w:space="0" w:color="auto"/>
            </w:tcBorders>
            <w:shd w:val="clear" w:color="000000" w:fill="FFFFFF"/>
            <w:noWrap/>
            <w:vAlign w:val="center"/>
            <w:hideMark/>
          </w:tcPr>
          <w:p w14:paraId="57A533A4"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4 427</w:t>
            </w:r>
          </w:p>
        </w:tc>
        <w:tc>
          <w:tcPr>
            <w:tcW w:w="1200" w:type="dxa"/>
            <w:tcBorders>
              <w:top w:val="nil"/>
              <w:left w:val="nil"/>
              <w:bottom w:val="single" w:sz="8" w:space="0" w:color="auto"/>
              <w:right w:val="single" w:sz="8" w:space="0" w:color="auto"/>
            </w:tcBorders>
            <w:shd w:val="clear" w:color="000000" w:fill="FFFFFF"/>
            <w:noWrap/>
            <w:vAlign w:val="center"/>
            <w:hideMark/>
          </w:tcPr>
          <w:p w14:paraId="77BB0F03"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3 503</w:t>
            </w:r>
          </w:p>
        </w:tc>
        <w:tc>
          <w:tcPr>
            <w:tcW w:w="1200" w:type="dxa"/>
            <w:tcBorders>
              <w:top w:val="nil"/>
              <w:left w:val="nil"/>
              <w:bottom w:val="single" w:sz="8" w:space="0" w:color="auto"/>
              <w:right w:val="single" w:sz="8" w:space="0" w:color="auto"/>
            </w:tcBorders>
            <w:shd w:val="clear" w:color="000000" w:fill="FFFFFF"/>
            <w:noWrap/>
            <w:vAlign w:val="center"/>
            <w:hideMark/>
          </w:tcPr>
          <w:p w14:paraId="5E3BF0A1" w14:textId="77777777" w:rsidR="00C935F6" w:rsidRPr="00C935F6" w:rsidRDefault="00C935F6" w:rsidP="00C935F6">
            <w:pPr>
              <w:spacing w:after="0" w:line="240" w:lineRule="auto"/>
              <w:jc w:val="center"/>
              <w:rPr>
                <w:rFonts w:ascii="Book Antiqua" w:eastAsia="Times New Roman" w:hAnsi="Book Antiqua" w:cs="Calibri"/>
                <w:color w:val="000000"/>
                <w:sz w:val="20"/>
                <w:szCs w:val="20"/>
                <w:lang w:eastAsia="es-CR"/>
              </w:rPr>
            </w:pPr>
            <w:r w:rsidRPr="00C935F6">
              <w:rPr>
                <w:rFonts w:ascii="Book Antiqua" w:eastAsia="Times New Roman" w:hAnsi="Book Antiqua" w:cs="Calibri"/>
                <w:color w:val="000000"/>
                <w:sz w:val="20"/>
                <w:szCs w:val="20"/>
                <w:lang w:eastAsia="es-CR"/>
              </w:rPr>
              <w:t>3 474</w:t>
            </w:r>
          </w:p>
        </w:tc>
        <w:tc>
          <w:tcPr>
            <w:tcW w:w="1600" w:type="dxa"/>
            <w:tcBorders>
              <w:top w:val="nil"/>
              <w:left w:val="nil"/>
              <w:bottom w:val="single" w:sz="8" w:space="0" w:color="auto"/>
              <w:right w:val="single" w:sz="8" w:space="0" w:color="auto"/>
            </w:tcBorders>
            <w:shd w:val="clear" w:color="000000" w:fill="F2F2F2"/>
            <w:noWrap/>
            <w:vAlign w:val="center"/>
            <w:hideMark/>
          </w:tcPr>
          <w:p w14:paraId="3C8B4B25" w14:textId="77777777" w:rsidR="00C935F6" w:rsidRPr="00C935F6" w:rsidRDefault="00C935F6" w:rsidP="00C935F6">
            <w:pPr>
              <w:spacing w:after="0" w:line="240" w:lineRule="auto"/>
              <w:jc w:val="center"/>
              <w:rPr>
                <w:rFonts w:ascii="Book Antiqua" w:eastAsia="Times New Roman" w:hAnsi="Book Antiqua" w:cs="Calibri"/>
                <w:b/>
                <w:bCs/>
                <w:color w:val="000000"/>
                <w:lang w:eastAsia="es-CR"/>
              </w:rPr>
            </w:pPr>
            <w:r w:rsidRPr="00C935F6">
              <w:rPr>
                <w:rFonts w:ascii="Book Antiqua" w:eastAsia="Times New Roman" w:hAnsi="Book Antiqua" w:cs="Calibri"/>
                <w:b/>
                <w:bCs/>
                <w:color w:val="000000"/>
                <w:lang w:eastAsia="es-CR"/>
              </w:rPr>
              <w:t>24%</w:t>
            </w:r>
          </w:p>
        </w:tc>
      </w:tr>
      <w:tr w:rsidR="00C935F6" w:rsidRPr="00C935F6" w14:paraId="5D41E855" w14:textId="77777777" w:rsidTr="00C935F6">
        <w:trPr>
          <w:trHeight w:val="300"/>
          <w:jc w:val="center"/>
        </w:trPr>
        <w:tc>
          <w:tcPr>
            <w:tcW w:w="1600" w:type="dxa"/>
            <w:tcBorders>
              <w:top w:val="nil"/>
              <w:left w:val="single" w:sz="8" w:space="0" w:color="auto"/>
              <w:bottom w:val="single" w:sz="8" w:space="0" w:color="auto"/>
              <w:right w:val="single" w:sz="8" w:space="0" w:color="auto"/>
            </w:tcBorders>
            <w:shd w:val="clear" w:color="000000" w:fill="FFFFFF"/>
            <w:noWrap/>
            <w:vAlign w:val="center"/>
            <w:hideMark/>
          </w:tcPr>
          <w:p w14:paraId="027DF8F1" w14:textId="77777777" w:rsidR="00C935F6" w:rsidRPr="00C935F6" w:rsidRDefault="00C935F6" w:rsidP="00C935F6">
            <w:pPr>
              <w:spacing w:after="0" w:line="240" w:lineRule="auto"/>
              <w:jc w:val="both"/>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Conclusiva</w:t>
            </w:r>
          </w:p>
        </w:tc>
        <w:tc>
          <w:tcPr>
            <w:tcW w:w="1200" w:type="dxa"/>
            <w:tcBorders>
              <w:top w:val="nil"/>
              <w:left w:val="nil"/>
              <w:bottom w:val="single" w:sz="8" w:space="0" w:color="auto"/>
              <w:right w:val="single" w:sz="8" w:space="0" w:color="auto"/>
            </w:tcBorders>
            <w:shd w:val="clear" w:color="000000" w:fill="FFFFFF"/>
            <w:noWrap/>
            <w:vAlign w:val="center"/>
            <w:hideMark/>
          </w:tcPr>
          <w:p w14:paraId="35C3E80E"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752</w:t>
            </w:r>
          </w:p>
        </w:tc>
        <w:tc>
          <w:tcPr>
            <w:tcW w:w="1200" w:type="dxa"/>
            <w:tcBorders>
              <w:top w:val="nil"/>
              <w:left w:val="nil"/>
              <w:bottom w:val="single" w:sz="8" w:space="0" w:color="auto"/>
              <w:right w:val="single" w:sz="8" w:space="0" w:color="auto"/>
            </w:tcBorders>
            <w:shd w:val="clear" w:color="000000" w:fill="FFFFFF"/>
            <w:noWrap/>
            <w:vAlign w:val="center"/>
            <w:hideMark/>
          </w:tcPr>
          <w:p w14:paraId="37AA24E6"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980</w:t>
            </w:r>
          </w:p>
        </w:tc>
        <w:tc>
          <w:tcPr>
            <w:tcW w:w="1200" w:type="dxa"/>
            <w:tcBorders>
              <w:top w:val="nil"/>
              <w:left w:val="nil"/>
              <w:bottom w:val="single" w:sz="8" w:space="0" w:color="auto"/>
              <w:right w:val="single" w:sz="8" w:space="0" w:color="auto"/>
            </w:tcBorders>
            <w:shd w:val="clear" w:color="000000" w:fill="FFFFFF"/>
            <w:noWrap/>
            <w:vAlign w:val="center"/>
            <w:hideMark/>
          </w:tcPr>
          <w:p w14:paraId="155664CC"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876</w:t>
            </w:r>
          </w:p>
        </w:tc>
        <w:tc>
          <w:tcPr>
            <w:tcW w:w="1200" w:type="dxa"/>
            <w:tcBorders>
              <w:top w:val="nil"/>
              <w:left w:val="nil"/>
              <w:bottom w:val="single" w:sz="8" w:space="0" w:color="auto"/>
              <w:right w:val="single" w:sz="8" w:space="0" w:color="auto"/>
            </w:tcBorders>
            <w:shd w:val="clear" w:color="000000" w:fill="FFFFFF"/>
            <w:noWrap/>
            <w:vAlign w:val="center"/>
            <w:hideMark/>
          </w:tcPr>
          <w:p w14:paraId="2E65A666"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1152</w:t>
            </w:r>
          </w:p>
        </w:tc>
        <w:tc>
          <w:tcPr>
            <w:tcW w:w="1200" w:type="dxa"/>
            <w:tcBorders>
              <w:top w:val="nil"/>
              <w:left w:val="nil"/>
              <w:bottom w:val="single" w:sz="8" w:space="0" w:color="auto"/>
              <w:right w:val="single" w:sz="8" w:space="0" w:color="auto"/>
            </w:tcBorders>
            <w:shd w:val="clear" w:color="000000" w:fill="FFFFFF"/>
            <w:noWrap/>
            <w:vAlign w:val="center"/>
            <w:hideMark/>
          </w:tcPr>
          <w:p w14:paraId="0CAD6B0E"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1263</w:t>
            </w:r>
          </w:p>
        </w:tc>
        <w:tc>
          <w:tcPr>
            <w:tcW w:w="1200" w:type="dxa"/>
            <w:tcBorders>
              <w:top w:val="nil"/>
              <w:left w:val="nil"/>
              <w:bottom w:val="single" w:sz="8" w:space="0" w:color="auto"/>
              <w:right w:val="single" w:sz="8" w:space="0" w:color="auto"/>
            </w:tcBorders>
            <w:shd w:val="clear" w:color="000000" w:fill="FFFFFF"/>
            <w:noWrap/>
            <w:vAlign w:val="center"/>
            <w:hideMark/>
          </w:tcPr>
          <w:p w14:paraId="73F09CF3" w14:textId="77777777" w:rsidR="00C935F6" w:rsidRPr="00C935F6" w:rsidRDefault="00C935F6" w:rsidP="00C935F6">
            <w:pPr>
              <w:spacing w:after="0" w:line="240" w:lineRule="auto"/>
              <w:jc w:val="center"/>
              <w:rPr>
                <w:rFonts w:ascii="Book Antiqua" w:eastAsia="Times New Roman" w:hAnsi="Book Antiqua" w:cs="Calibri"/>
                <w:color w:val="000000"/>
                <w:sz w:val="20"/>
                <w:szCs w:val="20"/>
                <w:lang w:eastAsia="es-CR"/>
              </w:rPr>
            </w:pPr>
            <w:r w:rsidRPr="00C935F6">
              <w:rPr>
                <w:rFonts w:ascii="Book Antiqua" w:eastAsia="Times New Roman" w:hAnsi="Book Antiqua" w:cs="Calibri"/>
                <w:color w:val="000000"/>
                <w:sz w:val="20"/>
                <w:szCs w:val="20"/>
                <w:lang w:eastAsia="es-CR"/>
              </w:rPr>
              <w:t>1240</w:t>
            </w:r>
          </w:p>
        </w:tc>
        <w:tc>
          <w:tcPr>
            <w:tcW w:w="1600" w:type="dxa"/>
            <w:tcBorders>
              <w:top w:val="nil"/>
              <w:left w:val="nil"/>
              <w:bottom w:val="single" w:sz="8" w:space="0" w:color="auto"/>
              <w:right w:val="single" w:sz="8" w:space="0" w:color="auto"/>
            </w:tcBorders>
            <w:shd w:val="clear" w:color="000000" w:fill="F2F2F2"/>
            <w:noWrap/>
            <w:vAlign w:val="center"/>
            <w:hideMark/>
          </w:tcPr>
          <w:p w14:paraId="70C1FE33" w14:textId="77777777" w:rsidR="00C935F6" w:rsidRPr="00C935F6" w:rsidRDefault="00C935F6" w:rsidP="00C935F6">
            <w:pPr>
              <w:spacing w:after="0" w:line="240" w:lineRule="auto"/>
              <w:jc w:val="center"/>
              <w:rPr>
                <w:rFonts w:ascii="Book Antiqua" w:eastAsia="Times New Roman" w:hAnsi="Book Antiqua" w:cs="Calibri"/>
                <w:b/>
                <w:bCs/>
                <w:color w:val="000000"/>
                <w:lang w:eastAsia="es-CR"/>
              </w:rPr>
            </w:pPr>
            <w:r w:rsidRPr="00C935F6">
              <w:rPr>
                <w:rFonts w:ascii="Book Antiqua" w:eastAsia="Times New Roman" w:hAnsi="Book Antiqua" w:cs="Calibri"/>
                <w:b/>
                <w:bCs/>
                <w:color w:val="000000"/>
                <w:lang w:eastAsia="es-CR"/>
              </w:rPr>
              <w:t>9%</w:t>
            </w:r>
          </w:p>
        </w:tc>
      </w:tr>
      <w:tr w:rsidR="00C935F6" w:rsidRPr="00C935F6" w14:paraId="3CD95092" w14:textId="77777777" w:rsidTr="00C935F6">
        <w:trPr>
          <w:trHeight w:val="300"/>
          <w:jc w:val="center"/>
        </w:trPr>
        <w:tc>
          <w:tcPr>
            <w:tcW w:w="1600" w:type="dxa"/>
            <w:tcBorders>
              <w:top w:val="nil"/>
              <w:left w:val="single" w:sz="8" w:space="0" w:color="auto"/>
              <w:bottom w:val="single" w:sz="8" w:space="0" w:color="auto"/>
              <w:right w:val="single" w:sz="8" w:space="0" w:color="auto"/>
            </w:tcBorders>
            <w:shd w:val="clear" w:color="000000" w:fill="FFFFFF"/>
            <w:noWrap/>
            <w:vAlign w:val="center"/>
            <w:hideMark/>
          </w:tcPr>
          <w:p w14:paraId="447ADDD2" w14:textId="77777777" w:rsidR="00C935F6" w:rsidRPr="00C935F6" w:rsidRDefault="00C935F6" w:rsidP="00C935F6">
            <w:pPr>
              <w:spacing w:after="0" w:line="240" w:lineRule="auto"/>
              <w:jc w:val="both"/>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Ejecución</w:t>
            </w:r>
          </w:p>
        </w:tc>
        <w:tc>
          <w:tcPr>
            <w:tcW w:w="1200" w:type="dxa"/>
            <w:tcBorders>
              <w:top w:val="nil"/>
              <w:left w:val="nil"/>
              <w:bottom w:val="single" w:sz="8" w:space="0" w:color="auto"/>
              <w:right w:val="single" w:sz="8" w:space="0" w:color="auto"/>
            </w:tcBorders>
            <w:shd w:val="clear" w:color="000000" w:fill="FFFFFF"/>
            <w:noWrap/>
            <w:vAlign w:val="center"/>
            <w:hideMark/>
          </w:tcPr>
          <w:p w14:paraId="389C8C11"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202</w:t>
            </w:r>
          </w:p>
        </w:tc>
        <w:tc>
          <w:tcPr>
            <w:tcW w:w="1200" w:type="dxa"/>
            <w:tcBorders>
              <w:top w:val="nil"/>
              <w:left w:val="nil"/>
              <w:bottom w:val="single" w:sz="8" w:space="0" w:color="auto"/>
              <w:right w:val="single" w:sz="8" w:space="0" w:color="auto"/>
            </w:tcBorders>
            <w:shd w:val="clear" w:color="000000" w:fill="FFFFFF"/>
            <w:noWrap/>
            <w:vAlign w:val="center"/>
            <w:hideMark/>
          </w:tcPr>
          <w:p w14:paraId="68B64CA7"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226</w:t>
            </w:r>
          </w:p>
        </w:tc>
        <w:tc>
          <w:tcPr>
            <w:tcW w:w="1200" w:type="dxa"/>
            <w:tcBorders>
              <w:top w:val="nil"/>
              <w:left w:val="nil"/>
              <w:bottom w:val="single" w:sz="8" w:space="0" w:color="auto"/>
              <w:right w:val="single" w:sz="8" w:space="0" w:color="auto"/>
            </w:tcBorders>
            <w:shd w:val="clear" w:color="000000" w:fill="FFFFFF"/>
            <w:noWrap/>
            <w:vAlign w:val="center"/>
            <w:hideMark/>
          </w:tcPr>
          <w:p w14:paraId="34A792C3"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186</w:t>
            </w:r>
          </w:p>
        </w:tc>
        <w:tc>
          <w:tcPr>
            <w:tcW w:w="1200" w:type="dxa"/>
            <w:tcBorders>
              <w:top w:val="nil"/>
              <w:left w:val="nil"/>
              <w:bottom w:val="single" w:sz="8" w:space="0" w:color="auto"/>
              <w:right w:val="single" w:sz="8" w:space="0" w:color="auto"/>
            </w:tcBorders>
            <w:shd w:val="clear" w:color="000000" w:fill="FFFFFF"/>
            <w:noWrap/>
            <w:vAlign w:val="center"/>
            <w:hideMark/>
          </w:tcPr>
          <w:p w14:paraId="1BB6127E"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225</w:t>
            </w:r>
          </w:p>
        </w:tc>
        <w:tc>
          <w:tcPr>
            <w:tcW w:w="1200" w:type="dxa"/>
            <w:tcBorders>
              <w:top w:val="nil"/>
              <w:left w:val="nil"/>
              <w:bottom w:val="single" w:sz="8" w:space="0" w:color="auto"/>
              <w:right w:val="single" w:sz="8" w:space="0" w:color="auto"/>
            </w:tcBorders>
            <w:shd w:val="clear" w:color="000000" w:fill="FFFFFF"/>
            <w:noWrap/>
            <w:vAlign w:val="center"/>
            <w:hideMark/>
          </w:tcPr>
          <w:p w14:paraId="32F02279"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198</w:t>
            </w:r>
          </w:p>
        </w:tc>
        <w:tc>
          <w:tcPr>
            <w:tcW w:w="1200" w:type="dxa"/>
            <w:tcBorders>
              <w:top w:val="nil"/>
              <w:left w:val="nil"/>
              <w:bottom w:val="single" w:sz="8" w:space="0" w:color="auto"/>
              <w:right w:val="single" w:sz="8" w:space="0" w:color="auto"/>
            </w:tcBorders>
            <w:shd w:val="clear" w:color="000000" w:fill="FFFFFF"/>
            <w:noWrap/>
            <w:vAlign w:val="center"/>
            <w:hideMark/>
          </w:tcPr>
          <w:p w14:paraId="4167465C" w14:textId="77777777" w:rsidR="00C935F6" w:rsidRPr="00C935F6" w:rsidRDefault="00C935F6" w:rsidP="00C935F6">
            <w:pPr>
              <w:spacing w:after="0" w:line="240" w:lineRule="auto"/>
              <w:jc w:val="center"/>
              <w:rPr>
                <w:rFonts w:ascii="Book Antiqua" w:eastAsia="Times New Roman" w:hAnsi="Book Antiqua" w:cs="Calibri"/>
                <w:color w:val="000000"/>
                <w:sz w:val="20"/>
                <w:szCs w:val="20"/>
                <w:lang w:eastAsia="es-CR"/>
              </w:rPr>
            </w:pPr>
            <w:r w:rsidRPr="00C935F6">
              <w:rPr>
                <w:rFonts w:ascii="Book Antiqua" w:eastAsia="Times New Roman" w:hAnsi="Book Antiqua" w:cs="Calibri"/>
                <w:color w:val="000000"/>
                <w:sz w:val="20"/>
                <w:szCs w:val="20"/>
                <w:lang w:eastAsia="es-CR"/>
              </w:rPr>
              <w:t>202</w:t>
            </w:r>
          </w:p>
        </w:tc>
        <w:tc>
          <w:tcPr>
            <w:tcW w:w="1600" w:type="dxa"/>
            <w:tcBorders>
              <w:top w:val="nil"/>
              <w:left w:val="nil"/>
              <w:bottom w:val="single" w:sz="8" w:space="0" w:color="auto"/>
              <w:right w:val="single" w:sz="8" w:space="0" w:color="auto"/>
            </w:tcBorders>
            <w:shd w:val="clear" w:color="000000" w:fill="F2F2F2"/>
            <w:noWrap/>
            <w:vAlign w:val="center"/>
            <w:hideMark/>
          </w:tcPr>
          <w:p w14:paraId="32031F6C" w14:textId="77777777" w:rsidR="00C935F6" w:rsidRPr="00C935F6" w:rsidRDefault="00C935F6" w:rsidP="00C935F6">
            <w:pPr>
              <w:spacing w:after="0" w:line="240" w:lineRule="auto"/>
              <w:jc w:val="center"/>
              <w:rPr>
                <w:rFonts w:ascii="Book Antiqua" w:eastAsia="Times New Roman" w:hAnsi="Book Antiqua" w:cs="Calibri"/>
                <w:b/>
                <w:bCs/>
                <w:color w:val="000000"/>
                <w:lang w:eastAsia="es-CR"/>
              </w:rPr>
            </w:pPr>
            <w:r w:rsidRPr="00C935F6">
              <w:rPr>
                <w:rFonts w:ascii="Book Antiqua" w:eastAsia="Times New Roman" w:hAnsi="Book Antiqua" w:cs="Calibri"/>
                <w:b/>
                <w:bCs/>
                <w:color w:val="000000"/>
                <w:lang w:eastAsia="es-CR"/>
              </w:rPr>
              <w:t>1%</w:t>
            </w:r>
          </w:p>
        </w:tc>
      </w:tr>
      <w:tr w:rsidR="00C935F6" w:rsidRPr="00C935F6" w14:paraId="4CEFB4EA" w14:textId="77777777" w:rsidTr="00C935F6">
        <w:trPr>
          <w:trHeight w:val="300"/>
          <w:jc w:val="center"/>
        </w:trPr>
        <w:tc>
          <w:tcPr>
            <w:tcW w:w="1600" w:type="dxa"/>
            <w:tcBorders>
              <w:top w:val="nil"/>
              <w:left w:val="single" w:sz="8" w:space="0" w:color="auto"/>
              <w:bottom w:val="single" w:sz="8" w:space="0" w:color="auto"/>
              <w:right w:val="single" w:sz="8" w:space="0" w:color="auto"/>
            </w:tcBorders>
            <w:shd w:val="clear" w:color="000000" w:fill="FFFFFF"/>
            <w:noWrap/>
            <w:vAlign w:val="center"/>
            <w:hideMark/>
          </w:tcPr>
          <w:p w14:paraId="77F4BED0" w14:textId="77777777" w:rsidR="00C935F6" w:rsidRPr="00C935F6" w:rsidRDefault="00C935F6" w:rsidP="00C935F6">
            <w:pPr>
              <w:spacing w:after="0" w:line="240" w:lineRule="auto"/>
              <w:jc w:val="both"/>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Sin Fase</w:t>
            </w:r>
          </w:p>
        </w:tc>
        <w:tc>
          <w:tcPr>
            <w:tcW w:w="1200" w:type="dxa"/>
            <w:tcBorders>
              <w:top w:val="nil"/>
              <w:left w:val="nil"/>
              <w:bottom w:val="single" w:sz="8" w:space="0" w:color="auto"/>
              <w:right w:val="single" w:sz="8" w:space="0" w:color="auto"/>
            </w:tcBorders>
            <w:shd w:val="clear" w:color="000000" w:fill="FFFFFF"/>
            <w:noWrap/>
            <w:vAlign w:val="center"/>
            <w:hideMark/>
          </w:tcPr>
          <w:p w14:paraId="0349203C"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w:t>
            </w:r>
          </w:p>
        </w:tc>
        <w:tc>
          <w:tcPr>
            <w:tcW w:w="1200" w:type="dxa"/>
            <w:tcBorders>
              <w:top w:val="nil"/>
              <w:left w:val="nil"/>
              <w:bottom w:val="single" w:sz="8" w:space="0" w:color="auto"/>
              <w:right w:val="single" w:sz="8" w:space="0" w:color="auto"/>
            </w:tcBorders>
            <w:shd w:val="clear" w:color="000000" w:fill="FFFFFF"/>
            <w:noWrap/>
            <w:vAlign w:val="center"/>
            <w:hideMark/>
          </w:tcPr>
          <w:p w14:paraId="27665C37"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w:t>
            </w:r>
          </w:p>
        </w:tc>
        <w:tc>
          <w:tcPr>
            <w:tcW w:w="1200" w:type="dxa"/>
            <w:tcBorders>
              <w:top w:val="nil"/>
              <w:left w:val="nil"/>
              <w:bottom w:val="single" w:sz="8" w:space="0" w:color="auto"/>
              <w:right w:val="single" w:sz="8" w:space="0" w:color="auto"/>
            </w:tcBorders>
            <w:shd w:val="clear" w:color="000000" w:fill="FFFFFF"/>
            <w:noWrap/>
            <w:vAlign w:val="center"/>
            <w:hideMark/>
          </w:tcPr>
          <w:p w14:paraId="1CEC693A"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2</w:t>
            </w:r>
          </w:p>
        </w:tc>
        <w:tc>
          <w:tcPr>
            <w:tcW w:w="1200" w:type="dxa"/>
            <w:tcBorders>
              <w:top w:val="nil"/>
              <w:left w:val="nil"/>
              <w:bottom w:val="single" w:sz="8" w:space="0" w:color="auto"/>
              <w:right w:val="single" w:sz="8" w:space="0" w:color="auto"/>
            </w:tcBorders>
            <w:shd w:val="clear" w:color="000000" w:fill="FFFFFF"/>
            <w:noWrap/>
            <w:vAlign w:val="center"/>
            <w:hideMark/>
          </w:tcPr>
          <w:p w14:paraId="348D85E0"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47</w:t>
            </w:r>
          </w:p>
        </w:tc>
        <w:tc>
          <w:tcPr>
            <w:tcW w:w="1200" w:type="dxa"/>
            <w:tcBorders>
              <w:top w:val="nil"/>
              <w:left w:val="nil"/>
              <w:bottom w:val="single" w:sz="8" w:space="0" w:color="auto"/>
              <w:right w:val="single" w:sz="8" w:space="0" w:color="auto"/>
            </w:tcBorders>
            <w:shd w:val="clear" w:color="000000" w:fill="FFFFFF"/>
            <w:noWrap/>
            <w:vAlign w:val="center"/>
            <w:hideMark/>
          </w:tcPr>
          <w:p w14:paraId="3455B7DF" w14:textId="77777777" w:rsidR="00C935F6" w:rsidRPr="00C935F6" w:rsidRDefault="00C935F6" w:rsidP="00C935F6">
            <w:pPr>
              <w:spacing w:after="0" w:line="240" w:lineRule="auto"/>
              <w:jc w:val="center"/>
              <w:rPr>
                <w:rFonts w:ascii="Book Antiqua" w:eastAsia="Times New Roman" w:hAnsi="Book Antiqua" w:cs="Calibri"/>
                <w:color w:val="000000"/>
                <w:lang w:eastAsia="es-CR"/>
              </w:rPr>
            </w:pPr>
            <w:r w:rsidRPr="00C935F6">
              <w:rPr>
                <w:rFonts w:ascii="Book Antiqua" w:eastAsia="Times New Roman" w:hAnsi="Book Antiqua" w:cs="Calibri"/>
                <w:color w:val="000000"/>
                <w:lang w:eastAsia="es-CR"/>
              </w:rPr>
              <w:t>45</w:t>
            </w:r>
          </w:p>
        </w:tc>
        <w:tc>
          <w:tcPr>
            <w:tcW w:w="1200" w:type="dxa"/>
            <w:tcBorders>
              <w:top w:val="nil"/>
              <w:left w:val="nil"/>
              <w:bottom w:val="single" w:sz="8" w:space="0" w:color="auto"/>
              <w:right w:val="single" w:sz="8" w:space="0" w:color="auto"/>
            </w:tcBorders>
            <w:shd w:val="clear" w:color="000000" w:fill="FFFFFF"/>
            <w:noWrap/>
            <w:vAlign w:val="center"/>
            <w:hideMark/>
          </w:tcPr>
          <w:p w14:paraId="577BA327" w14:textId="77777777" w:rsidR="00C935F6" w:rsidRPr="00C935F6" w:rsidRDefault="00C935F6" w:rsidP="00C935F6">
            <w:pPr>
              <w:spacing w:after="0" w:line="240" w:lineRule="auto"/>
              <w:jc w:val="center"/>
              <w:rPr>
                <w:rFonts w:ascii="Book Antiqua" w:eastAsia="Times New Roman" w:hAnsi="Book Antiqua" w:cs="Calibri"/>
                <w:color w:val="000000"/>
                <w:sz w:val="20"/>
                <w:szCs w:val="20"/>
                <w:lang w:eastAsia="es-CR"/>
              </w:rPr>
            </w:pPr>
            <w:r w:rsidRPr="00C935F6">
              <w:rPr>
                <w:rFonts w:ascii="Book Antiqua" w:eastAsia="Times New Roman" w:hAnsi="Book Antiqua" w:cs="Calibri"/>
                <w:color w:val="000000"/>
                <w:sz w:val="20"/>
                <w:szCs w:val="20"/>
                <w:lang w:eastAsia="es-CR"/>
              </w:rPr>
              <w:t>8</w:t>
            </w:r>
          </w:p>
        </w:tc>
        <w:tc>
          <w:tcPr>
            <w:tcW w:w="1600" w:type="dxa"/>
            <w:tcBorders>
              <w:top w:val="nil"/>
              <w:left w:val="nil"/>
              <w:bottom w:val="single" w:sz="8" w:space="0" w:color="auto"/>
              <w:right w:val="single" w:sz="8" w:space="0" w:color="auto"/>
            </w:tcBorders>
            <w:shd w:val="clear" w:color="000000" w:fill="F2F2F2"/>
            <w:noWrap/>
            <w:vAlign w:val="center"/>
            <w:hideMark/>
          </w:tcPr>
          <w:p w14:paraId="3D2EF166" w14:textId="77777777" w:rsidR="00C935F6" w:rsidRPr="00C935F6" w:rsidRDefault="00C935F6" w:rsidP="00C935F6">
            <w:pPr>
              <w:spacing w:after="0" w:line="240" w:lineRule="auto"/>
              <w:jc w:val="center"/>
              <w:rPr>
                <w:rFonts w:ascii="Book Antiqua" w:eastAsia="Times New Roman" w:hAnsi="Book Antiqua" w:cs="Calibri"/>
                <w:b/>
                <w:bCs/>
                <w:color w:val="000000"/>
                <w:lang w:eastAsia="es-CR"/>
              </w:rPr>
            </w:pPr>
            <w:r w:rsidRPr="00C935F6">
              <w:rPr>
                <w:rFonts w:ascii="Book Antiqua" w:eastAsia="Times New Roman" w:hAnsi="Book Antiqua" w:cs="Calibri"/>
                <w:b/>
                <w:bCs/>
                <w:color w:val="000000"/>
                <w:lang w:eastAsia="es-CR"/>
              </w:rPr>
              <w:t>0%</w:t>
            </w:r>
          </w:p>
        </w:tc>
      </w:tr>
      <w:tr w:rsidR="00C935F6" w:rsidRPr="00C935F6" w14:paraId="2825C6C8" w14:textId="77777777" w:rsidTr="00C935F6">
        <w:trPr>
          <w:trHeight w:val="300"/>
          <w:jc w:val="center"/>
        </w:trPr>
        <w:tc>
          <w:tcPr>
            <w:tcW w:w="1600" w:type="dxa"/>
            <w:tcBorders>
              <w:top w:val="nil"/>
              <w:left w:val="single" w:sz="8" w:space="0" w:color="auto"/>
              <w:bottom w:val="single" w:sz="8" w:space="0" w:color="auto"/>
              <w:right w:val="single" w:sz="8" w:space="0" w:color="auto"/>
            </w:tcBorders>
            <w:shd w:val="clear" w:color="000000" w:fill="808080"/>
            <w:noWrap/>
            <w:vAlign w:val="center"/>
            <w:hideMark/>
          </w:tcPr>
          <w:p w14:paraId="22FC4D33" w14:textId="77777777" w:rsidR="00C935F6" w:rsidRPr="00C935F6" w:rsidRDefault="00C935F6" w:rsidP="00C935F6">
            <w:pPr>
              <w:spacing w:after="0" w:line="240" w:lineRule="auto"/>
              <w:jc w:val="right"/>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 xml:space="preserve">Total </w:t>
            </w:r>
          </w:p>
        </w:tc>
        <w:tc>
          <w:tcPr>
            <w:tcW w:w="1200" w:type="dxa"/>
            <w:tcBorders>
              <w:top w:val="nil"/>
              <w:left w:val="nil"/>
              <w:bottom w:val="single" w:sz="8" w:space="0" w:color="auto"/>
              <w:right w:val="single" w:sz="8" w:space="0" w:color="auto"/>
            </w:tcBorders>
            <w:shd w:val="clear" w:color="000000" w:fill="808080"/>
            <w:noWrap/>
            <w:vAlign w:val="center"/>
            <w:hideMark/>
          </w:tcPr>
          <w:p w14:paraId="442A6F59"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13 698</w:t>
            </w:r>
          </w:p>
        </w:tc>
        <w:tc>
          <w:tcPr>
            <w:tcW w:w="1200" w:type="dxa"/>
            <w:tcBorders>
              <w:top w:val="nil"/>
              <w:left w:val="nil"/>
              <w:bottom w:val="single" w:sz="8" w:space="0" w:color="auto"/>
              <w:right w:val="single" w:sz="8" w:space="0" w:color="auto"/>
            </w:tcBorders>
            <w:shd w:val="clear" w:color="000000" w:fill="808080"/>
            <w:noWrap/>
            <w:vAlign w:val="center"/>
            <w:hideMark/>
          </w:tcPr>
          <w:p w14:paraId="2AFE90A9"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14 443</w:t>
            </w:r>
          </w:p>
        </w:tc>
        <w:tc>
          <w:tcPr>
            <w:tcW w:w="1200" w:type="dxa"/>
            <w:tcBorders>
              <w:top w:val="nil"/>
              <w:left w:val="nil"/>
              <w:bottom w:val="single" w:sz="8" w:space="0" w:color="auto"/>
              <w:right w:val="single" w:sz="8" w:space="0" w:color="auto"/>
            </w:tcBorders>
            <w:shd w:val="clear" w:color="000000" w:fill="808080"/>
            <w:noWrap/>
            <w:vAlign w:val="center"/>
            <w:hideMark/>
          </w:tcPr>
          <w:p w14:paraId="03006962"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15 647</w:t>
            </w:r>
          </w:p>
        </w:tc>
        <w:tc>
          <w:tcPr>
            <w:tcW w:w="1200" w:type="dxa"/>
            <w:tcBorders>
              <w:top w:val="nil"/>
              <w:left w:val="nil"/>
              <w:bottom w:val="single" w:sz="8" w:space="0" w:color="auto"/>
              <w:right w:val="single" w:sz="8" w:space="0" w:color="auto"/>
            </w:tcBorders>
            <w:shd w:val="clear" w:color="000000" w:fill="808080"/>
            <w:noWrap/>
            <w:vAlign w:val="center"/>
            <w:hideMark/>
          </w:tcPr>
          <w:p w14:paraId="41D77ABE"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15 633</w:t>
            </w:r>
          </w:p>
        </w:tc>
        <w:tc>
          <w:tcPr>
            <w:tcW w:w="1200" w:type="dxa"/>
            <w:tcBorders>
              <w:top w:val="nil"/>
              <w:left w:val="nil"/>
              <w:bottom w:val="single" w:sz="8" w:space="0" w:color="auto"/>
              <w:right w:val="single" w:sz="8" w:space="0" w:color="auto"/>
            </w:tcBorders>
            <w:shd w:val="clear" w:color="000000" w:fill="808080"/>
            <w:noWrap/>
            <w:vAlign w:val="center"/>
            <w:hideMark/>
          </w:tcPr>
          <w:p w14:paraId="028C8FF7"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15 000</w:t>
            </w:r>
          </w:p>
        </w:tc>
        <w:tc>
          <w:tcPr>
            <w:tcW w:w="1200" w:type="dxa"/>
            <w:tcBorders>
              <w:top w:val="nil"/>
              <w:left w:val="nil"/>
              <w:bottom w:val="single" w:sz="8" w:space="0" w:color="auto"/>
              <w:right w:val="single" w:sz="8" w:space="0" w:color="auto"/>
            </w:tcBorders>
            <w:shd w:val="clear" w:color="000000" w:fill="808080"/>
            <w:noWrap/>
            <w:vAlign w:val="center"/>
            <w:hideMark/>
          </w:tcPr>
          <w:p w14:paraId="657B9F0A"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14 470</w:t>
            </w:r>
          </w:p>
        </w:tc>
        <w:tc>
          <w:tcPr>
            <w:tcW w:w="1600" w:type="dxa"/>
            <w:tcBorders>
              <w:top w:val="nil"/>
              <w:left w:val="nil"/>
              <w:bottom w:val="single" w:sz="8" w:space="0" w:color="auto"/>
              <w:right w:val="single" w:sz="8" w:space="0" w:color="auto"/>
            </w:tcBorders>
            <w:shd w:val="clear" w:color="000000" w:fill="808080"/>
            <w:noWrap/>
            <w:vAlign w:val="center"/>
            <w:hideMark/>
          </w:tcPr>
          <w:p w14:paraId="52913832" w14:textId="77777777" w:rsidR="00C935F6" w:rsidRPr="00C935F6" w:rsidRDefault="00C935F6" w:rsidP="00C935F6">
            <w:pPr>
              <w:spacing w:after="0" w:line="240" w:lineRule="auto"/>
              <w:jc w:val="center"/>
              <w:rPr>
                <w:rFonts w:ascii="Book Antiqua" w:eastAsia="Times New Roman" w:hAnsi="Book Antiqua" w:cs="Calibri"/>
                <w:b/>
                <w:bCs/>
                <w:color w:val="FFFFFF"/>
                <w:lang w:eastAsia="es-CR"/>
              </w:rPr>
            </w:pPr>
            <w:r w:rsidRPr="00C935F6">
              <w:rPr>
                <w:rFonts w:ascii="Book Antiqua" w:eastAsia="Times New Roman" w:hAnsi="Book Antiqua" w:cs="Calibri"/>
                <w:b/>
                <w:bCs/>
                <w:color w:val="FFFFFF"/>
                <w:lang w:eastAsia="es-CR"/>
              </w:rPr>
              <w:t>100%</w:t>
            </w:r>
          </w:p>
        </w:tc>
      </w:tr>
    </w:tbl>
    <w:p w14:paraId="15682ABD" w14:textId="20A30003" w:rsidR="006E1713" w:rsidRDefault="006E1713" w:rsidP="006E1713">
      <w:pPr>
        <w:pStyle w:val="Fuentes"/>
      </w:pPr>
      <w:r w:rsidRPr="00ED2ACB">
        <w:rPr>
          <w:b/>
          <w:bCs w:val="0"/>
        </w:rPr>
        <w:t>Fuente</w:t>
      </w:r>
      <w:r w:rsidRPr="00620BF4">
        <w:t xml:space="preserve">: Subproceso de Modernización </w:t>
      </w:r>
      <w:r w:rsidRPr="007D0A7F">
        <w:t>Institucional, con datos del Subproceso de Estadística del 201</w:t>
      </w:r>
      <w:r>
        <w:t>7</w:t>
      </w:r>
      <w:r w:rsidRPr="007D0A7F">
        <w:t xml:space="preserve"> al 20</w:t>
      </w:r>
      <w:r>
        <w:t>2</w:t>
      </w:r>
      <w:r w:rsidR="00B62593">
        <w:t xml:space="preserve">2 y </w:t>
      </w:r>
      <w:r w:rsidR="00E416D6">
        <w:t xml:space="preserve">consulta del </w:t>
      </w:r>
      <w:r w:rsidR="00B62593">
        <w:t>Balance General Interactivo, consulta del 7/0</w:t>
      </w:r>
      <w:r w:rsidR="00C935F6">
        <w:t>3</w:t>
      </w:r>
      <w:r w:rsidR="00B62593">
        <w:t>/202</w:t>
      </w:r>
      <w:r w:rsidR="00E416D6">
        <w:t>3</w:t>
      </w:r>
      <w:r>
        <w:t>.</w:t>
      </w:r>
    </w:p>
    <w:p w14:paraId="6218F6D2" w14:textId="77777777" w:rsidR="00B62593" w:rsidRPr="007D0A7F" w:rsidRDefault="00B62593" w:rsidP="006E1713">
      <w:pPr>
        <w:pStyle w:val="Fuentes"/>
      </w:pPr>
    </w:p>
    <w:p w14:paraId="76352ED3" w14:textId="5666AB11" w:rsidR="005622A6" w:rsidRPr="005622A6" w:rsidRDefault="006E1713" w:rsidP="005622A6">
      <w:pPr>
        <w:spacing w:after="0" w:line="276" w:lineRule="auto"/>
        <w:jc w:val="both"/>
        <w:rPr>
          <w:rFonts w:ascii="Book Antiqua" w:eastAsia="Calibri" w:hAnsi="Book Antiqua" w:cs="Arial"/>
          <w:sz w:val="24"/>
          <w:szCs w:val="24"/>
        </w:rPr>
      </w:pPr>
      <w:r>
        <w:rPr>
          <w:rFonts w:ascii="Book Antiqua" w:hAnsi="Book Antiqua"/>
          <w:sz w:val="24"/>
          <w:szCs w:val="24"/>
        </w:rPr>
        <w:t>C</w:t>
      </w:r>
      <w:r w:rsidR="005622A6" w:rsidRPr="005622A6">
        <w:rPr>
          <w:rFonts w:ascii="Book Antiqua" w:eastAsia="Calibri" w:hAnsi="Book Antiqua" w:cs="Arial"/>
          <w:sz w:val="24"/>
          <w:szCs w:val="24"/>
        </w:rPr>
        <w:t xml:space="preserve">omo se observa en el cuadro anterior, </w:t>
      </w:r>
      <w:r w:rsidR="0008308E">
        <w:rPr>
          <w:rFonts w:ascii="Book Antiqua" w:eastAsia="Calibri" w:hAnsi="Book Antiqua" w:cs="Arial"/>
          <w:sz w:val="24"/>
          <w:szCs w:val="24"/>
        </w:rPr>
        <w:t>desde el</w:t>
      </w:r>
      <w:r w:rsidR="007D3766">
        <w:rPr>
          <w:rFonts w:ascii="Book Antiqua" w:eastAsia="Calibri" w:hAnsi="Book Antiqua" w:cs="Arial"/>
          <w:sz w:val="24"/>
          <w:szCs w:val="24"/>
        </w:rPr>
        <w:t xml:space="preserve"> 2017 al 20</w:t>
      </w:r>
      <w:r w:rsidR="00B62593">
        <w:rPr>
          <w:rFonts w:ascii="Book Antiqua" w:eastAsia="Calibri" w:hAnsi="Book Antiqua" w:cs="Arial"/>
          <w:sz w:val="24"/>
          <w:szCs w:val="24"/>
        </w:rPr>
        <w:t>2</w:t>
      </w:r>
      <w:r w:rsidR="0008308E">
        <w:rPr>
          <w:rFonts w:ascii="Book Antiqua" w:eastAsia="Calibri" w:hAnsi="Book Antiqua" w:cs="Arial"/>
          <w:sz w:val="24"/>
          <w:szCs w:val="24"/>
        </w:rPr>
        <w:t>2</w:t>
      </w:r>
      <w:r w:rsidR="002F0BF2">
        <w:rPr>
          <w:rFonts w:ascii="Book Antiqua" w:eastAsia="Calibri" w:hAnsi="Book Antiqua" w:cs="Arial"/>
          <w:sz w:val="24"/>
          <w:szCs w:val="24"/>
        </w:rPr>
        <w:t xml:space="preserve"> se tiene un</w:t>
      </w:r>
      <w:r w:rsidR="0008308E">
        <w:rPr>
          <w:rFonts w:ascii="Book Antiqua" w:eastAsia="Calibri" w:hAnsi="Book Antiqua" w:cs="Arial"/>
          <w:sz w:val="24"/>
          <w:szCs w:val="24"/>
        </w:rPr>
        <w:t>a tendencia a la alza</w:t>
      </w:r>
      <w:r w:rsidR="002F0BF2">
        <w:rPr>
          <w:rFonts w:ascii="Book Antiqua" w:eastAsia="Calibri" w:hAnsi="Book Antiqua" w:cs="Arial"/>
          <w:sz w:val="24"/>
          <w:szCs w:val="24"/>
        </w:rPr>
        <w:t xml:space="preserve">, </w:t>
      </w:r>
      <w:r w:rsidR="0008308E">
        <w:rPr>
          <w:rFonts w:ascii="Book Antiqua" w:eastAsia="Calibri" w:hAnsi="Book Antiqua" w:cs="Arial"/>
          <w:sz w:val="24"/>
          <w:szCs w:val="24"/>
        </w:rPr>
        <w:t xml:space="preserve">al comparar los últimos tres años, se observa una </w:t>
      </w:r>
      <w:r w:rsidR="002F0BF2">
        <w:rPr>
          <w:rFonts w:ascii="Book Antiqua" w:eastAsia="Calibri" w:hAnsi="Book Antiqua" w:cs="Arial"/>
          <w:sz w:val="24"/>
          <w:szCs w:val="24"/>
        </w:rPr>
        <w:t>disminu</w:t>
      </w:r>
      <w:r w:rsidR="0008308E">
        <w:rPr>
          <w:rFonts w:ascii="Book Antiqua" w:eastAsia="Calibri" w:hAnsi="Book Antiqua" w:cs="Arial"/>
          <w:sz w:val="24"/>
          <w:szCs w:val="24"/>
        </w:rPr>
        <w:t>ción</w:t>
      </w:r>
      <w:r w:rsidR="005622A6" w:rsidRPr="005622A6">
        <w:rPr>
          <w:rFonts w:ascii="Book Antiqua" w:eastAsia="Calibri" w:hAnsi="Book Antiqua" w:cs="Arial"/>
          <w:sz w:val="24"/>
          <w:szCs w:val="24"/>
        </w:rPr>
        <w:t xml:space="preserve">, pasando de </w:t>
      </w:r>
      <w:r w:rsidR="005622A6" w:rsidRPr="006E1713">
        <w:rPr>
          <w:rFonts w:ascii="Book Antiqua" w:eastAsia="Calibri" w:hAnsi="Book Antiqua" w:cs="Arial"/>
          <w:sz w:val="24"/>
          <w:szCs w:val="24"/>
        </w:rPr>
        <w:t>1</w:t>
      </w:r>
      <w:r w:rsidR="00176109" w:rsidRPr="006E1713">
        <w:rPr>
          <w:rFonts w:ascii="Book Antiqua" w:eastAsia="Calibri" w:hAnsi="Book Antiqua" w:cs="Arial"/>
          <w:sz w:val="24"/>
          <w:szCs w:val="24"/>
        </w:rPr>
        <w:t>5</w:t>
      </w:r>
      <w:r w:rsidR="005622A6" w:rsidRPr="006E1713">
        <w:rPr>
          <w:rFonts w:ascii="Book Antiqua" w:eastAsia="Calibri" w:hAnsi="Book Antiqua" w:cs="Arial"/>
          <w:sz w:val="24"/>
          <w:szCs w:val="24"/>
        </w:rPr>
        <w:t xml:space="preserve"> </w:t>
      </w:r>
      <w:r w:rsidR="0008308E">
        <w:rPr>
          <w:rFonts w:ascii="Book Antiqua" w:eastAsia="Calibri" w:hAnsi="Book Antiqua" w:cs="Arial"/>
          <w:sz w:val="24"/>
          <w:szCs w:val="24"/>
        </w:rPr>
        <w:t>663</w:t>
      </w:r>
      <w:r w:rsidR="005622A6" w:rsidRPr="005622A6">
        <w:rPr>
          <w:rFonts w:ascii="Book Antiqua" w:eastAsia="Calibri" w:hAnsi="Book Antiqua" w:cs="Arial"/>
          <w:sz w:val="24"/>
          <w:szCs w:val="24"/>
        </w:rPr>
        <w:t xml:space="preserve"> al finalizar el </w:t>
      </w:r>
      <w:r w:rsidR="0008308E">
        <w:rPr>
          <w:rFonts w:ascii="Book Antiqua" w:eastAsia="Calibri" w:hAnsi="Book Antiqua" w:cs="Arial"/>
          <w:sz w:val="24"/>
          <w:szCs w:val="24"/>
        </w:rPr>
        <w:t xml:space="preserve">2020 </w:t>
      </w:r>
      <w:r w:rsidR="005622A6" w:rsidRPr="006E1713">
        <w:rPr>
          <w:rFonts w:ascii="Book Antiqua" w:eastAsia="Calibri" w:hAnsi="Book Antiqua" w:cs="Arial"/>
          <w:sz w:val="24"/>
          <w:szCs w:val="24"/>
        </w:rPr>
        <w:t>a 1</w:t>
      </w:r>
      <w:r w:rsidR="0008308E">
        <w:rPr>
          <w:rFonts w:ascii="Book Antiqua" w:eastAsia="Calibri" w:hAnsi="Book Antiqua" w:cs="Arial"/>
          <w:sz w:val="24"/>
          <w:szCs w:val="24"/>
        </w:rPr>
        <w:t>4</w:t>
      </w:r>
      <w:r w:rsidR="005622A6" w:rsidRPr="006E1713">
        <w:rPr>
          <w:rFonts w:ascii="Book Antiqua" w:eastAsia="Calibri" w:hAnsi="Book Antiqua" w:cs="Arial"/>
          <w:sz w:val="24"/>
          <w:szCs w:val="24"/>
        </w:rPr>
        <w:t xml:space="preserve"> </w:t>
      </w:r>
      <w:r w:rsidR="0008308E">
        <w:rPr>
          <w:rFonts w:ascii="Book Antiqua" w:eastAsia="Calibri" w:hAnsi="Book Antiqua" w:cs="Arial"/>
          <w:sz w:val="24"/>
          <w:szCs w:val="24"/>
        </w:rPr>
        <w:t>470</w:t>
      </w:r>
      <w:r w:rsidR="005622A6" w:rsidRPr="006E1713">
        <w:rPr>
          <w:rFonts w:ascii="Book Antiqua" w:eastAsia="Calibri" w:hAnsi="Book Antiqua" w:cs="Arial"/>
          <w:sz w:val="24"/>
          <w:szCs w:val="24"/>
        </w:rPr>
        <w:t xml:space="preserve"> en 20</w:t>
      </w:r>
      <w:r w:rsidR="00361456" w:rsidRPr="006E1713">
        <w:rPr>
          <w:rFonts w:ascii="Book Antiqua" w:eastAsia="Calibri" w:hAnsi="Book Antiqua" w:cs="Arial"/>
          <w:sz w:val="24"/>
          <w:szCs w:val="24"/>
        </w:rPr>
        <w:t>2</w:t>
      </w:r>
      <w:r w:rsidR="00B62593">
        <w:rPr>
          <w:rFonts w:ascii="Book Antiqua" w:eastAsia="Calibri" w:hAnsi="Book Antiqua" w:cs="Arial"/>
          <w:sz w:val="24"/>
          <w:szCs w:val="24"/>
        </w:rPr>
        <w:t>2</w:t>
      </w:r>
      <w:r w:rsidR="005622A6" w:rsidRPr="006E1713">
        <w:rPr>
          <w:rFonts w:ascii="Book Antiqua" w:eastAsia="Calibri" w:hAnsi="Book Antiqua" w:cs="Arial"/>
          <w:sz w:val="24"/>
          <w:szCs w:val="24"/>
        </w:rPr>
        <w:t xml:space="preserve">.  </w:t>
      </w:r>
      <w:r w:rsidR="00801A62" w:rsidRPr="006E1713">
        <w:rPr>
          <w:rFonts w:ascii="Book Antiqua" w:eastAsia="Calibri" w:hAnsi="Book Antiqua" w:cs="Arial"/>
          <w:sz w:val="24"/>
          <w:szCs w:val="24"/>
        </w:rPr>
        <w:t>Como</w:t>
      </w:r>
      <w:r w:rsidR="00801A62">
        <w:rPr>
          <w:rFonts w:ascii="Book Antiqua" w:eastAsia="Calibri" w:hAnsi="Book Antiqua" w:cs="Arial"/>
          <w:sz w:val="24"/>
          <w:szCs w:val="24"/>
        </w:rPr>
        <w:t xml:space="preserve"> se mencionó en párrafos anteriores</w:t>
      </w:r>
      <w:r w:rsidR="00E458DE">
        <w:rPr>
          <w:rFonts w:ascii="Book Antiqua" w:eastAsia="Calibri" w:hAnsi="Book Antiqua" w:cs="Arial"/>
          <w:sz w:val="24"/>
          <w:szCs w:val="24"/>
        </w:rPr>
        <w:t xml:space="preserve"> la pandemia nacional del Covid 19 pudo afectar el comportamiento durante el periodo</w:t>
      </w:r>
      <w:r w:rsidR="005A7E44">
        <w:rPr>
          <w:rFonts w:ascii="Book Antiqua" w:eastAsia="Calibri" w:hAnsi="Book Antiqua" w:cs="Arial"/>
          <w:sz w:val="24"/>
          <w:szCs w:val="24"/>
        </w:rPr>
        <w:t xml:space="preserve"> 2020</w:t>
      </w:r>
      <w:r w:rsidR="005622A6" w:rsidRPr="005622A6">
        <w:rPr>
          <w:rFonts w:ascii="Book Antiqua" w:eastAsia="Calibri" w:hAnsi="Book Antiqua" w:cs="Arial"/>
          <w:sz w:val="24"/>
          <w:szCs w:val="24"/>
        </w:rPr>
        <w:t>.</w:t>
      </w:r>
    </w:p>
    <w:p w14:paraId="71525274" w14:textId="77777777" w:rsidR="005622A6" w:rsidRPr="005622A6" w:rsidRDefault="005622A6" w:rsidP="005622A6">
      <w:pPr>
        <w:spacing w:after="0" w:line="276" w:lineRule="auto"/>
        <w:jc w:val="both"/>
        <w:rPr>
          <w:rFonts w:ascii="Book Antiqua" w:eastAsia="Calibri" w:hAnsi="Book Antiqua" w:cs="Arial"/>
          <w:sz w:val="24"/>
          <w:szCs w:val="24"/>
        </w:rPr>
      </w:pPr>
    </w:p>
    <w:p w14:paraId="690AB285" w14:textId="6BD47D2A" w:rsidR="00361456" w:rsidRPr="00361456" w:rsidRDefault="005622A6" w:rsidP="008313F2">
      <w:pPr>
        <w:spacing w:line="276" w:lineRule="auto"/>
        <w:jc w:val="both"/>
        <w:rPr>
          <w:rFonts w:ascii="Book Antiqua" w:eastAsia="Calibri" w:hAnsi="Book Antiqua" w:cs="Arial"/>
          <w:sz w:val="24"/>
          <w:szCs w:val="24"/>
        </w:rPr>
      </w:pPr>
      <w:r w:rsidRPr="005622A6">
        <w:rPr>
          <w:rFonts w:ascii="Book Antiqua" w:eastAsia="Calibri" w:hAnsi="Book Antiqua" w:cs="Arial"/>
          <w:sz w:val="24"/>
          <w:szCs w:val="24"/>
        </w:rPr>
        <w:t>Para 20</w:t>
      </w:r>
      <w:r w:rsidR="005A7E44">
        <w:rPr>
          <w:rFonts w:ascii="Book Antiqua" w:eastAsia="Calibri" w:hAnsi="Book Antiqua" w:cs="Arial"/>
          <w:sz w:val="24"/>
          <w:szCs w:val="24"/>
        </w:rPr>
        <w:t>2</w:t>
      </w:r>
      <w:r w:rsidR="00B62593">
        <w:rPr>
          <w:rFonts w:ascii="Book Antiqua" w:eastAsia="Calibri" w:hAnsi="Book Antiqua" w:cs="Arial"/>
          <w:sz w:val="24"/>
          <w:szCs w:val="24"/>
        </w:rPr>
        <w:t>2</w:t>
      </w:r>
      <w:r w:rsidRPr="005622A6">
        <w:rPr>
          <w:rFonts w:ascii="Book Antiqua" w:eastAsia="Calibri" w:hAnsi="Book Antiqua" w:cs="Arial"/>
          <w:sz w:val="24"/>
          <w:szCs w:val="24"/>
        </w:rPr>
        <w:t xml:space="preserve">, un </w:t>
      </w:r>
      <w:r w:rsidR="0008308E">
        <w:rPr>
          <w:rFonts w:ascii="Book Antiqua" w:eastAsia="Calibri" w:hAnsi="Book Antiqua" w:cs="Arial"/>
          <w:sz w:val="24"/>
          <w:szCs w:val="24"/>
        </w:rPr>
        <w:t>66</w:t>
      </w:r>
      <w:r w:rsidRPr="006E1713">
        <w:rPr>
          <w:rFonts w:ascii="Book Antiqua" w:eastAsia="Calibri" w:hAnsi="Book Antiqua" w:cs="Arial"/>
          <w:sz w:val="24"/>
          <w:szCs w:val="24"/>
        </w:rPr>
        <w:t xml:space="preserve">% de los asuntos en circulante se encuentran en fase de demanda, un </w:t>
      </w:r>
      <w:r w:rsidR="0008308E">
        <w:rPr>
          <w:rFonts w:ascii="Book Antiqua" w:eastAsia="Calibri" w:hAnsi="Book Antiqua" w:cs="Arial"/>
          <w:sz w:val="24"/>
          <w:szCs w:val="24"/>
        </w:rPr>
        <w:t>24</w:t>
      </w:r>
      <w:r w:rsidRPr="006E1713">
        <w:rPr>
          <w:rFonts w:ascii="Book Antiqua" w:eastAsia="Calibri" w:hAnsi="Book Antiqua" w:cs="Arial"/>
          <w:sz w:val="24"/>
          <w:szCs w:val="24"/>
        </w:rPr>
        <w:t xml:space="preserve">% en fase demostrativa, un </w:t>
      </w:r>
      <w:r w:rsidR="00B62593">
        <w:rPr>
          <w:rFonts w:ascii="Book Antiqua" w:eastAsia="Calibri" w:hAnsi="Book Antiqua" w:cs="Arial"/>
          <w:sz w:val="24"/>
          <w:szCs w:val="24"/>
        </w:rPr>
        <w:t>9</w:t>
      </w:r>
      <w:r w:rsidRPr="006E1713">
        <w:rPr>
          <w:rFonts w:ascii="Book Antiqua" w:eastAsia="Calibri" w:hAnsi="Book Antiqua" w:cs="Arial"/>
          <w:sz w:val="24"/>
          <w:szCs w:val="24"/>
        </w:rPr>
        <w:t xml:space="preserve">% en conclusiva y un </w:t>
      </w:r>
      <w:r w:rsidR="0008308E">
        <w:rPr>
          <w:rFonts w:ascii="Book Antiqua" w:eastAsia="Calibri" w:hAnsi="Book Antiqua" w:cs="Arial"/>
          <w:sz w:val="24"/>
          <w:szCs w:val="24"/>
        </w:rPr>
        <w:t>1</w:t>
      </w:r>
      <w:r w:rsidRPr="006E1713">
        <w:rPr>
          <w:rFonts w:ascii="Book Antiqua" w:eastAsia="Calibri" w:hAnsi="Book Antiqua" w:cs="Arial"/>
          <w:sz w:val="24"/>
          <w:szCs w:val="24"/>
        </w:rPr>
        <w:t>% en ejecución</w:t>
      </w:r>
      <w:r w:rsidR="00B216C3" w:rsidRPr="006E1713">
        <w:rPr>
          <w:rFonts w:ascii="Book Antiqua" w:eastAsia="Calibri" w:hAnsi="Book Antiqua" w:cs="Arial"/>
          <w:sz w:val="24"/>
          <w:szCs w:val="24"/>
        </w:rPr>
        <w:t xml:space="preserve"> y se reportan </w:t>
      </w:r>
      <w:r w:rsidR="00B62593">
        <w:rPr>
          <w:rFonts w:ascii="Book Antiqua" w:eastAsia="Calibri" w:hAnsi="Book Antiqua" w:cs="Arial"/>
          <w:sz w:val="24"/>
          <w:szCs w:val="24"/>
        </w:rPr>
        <w:t>8</w:t>
      </w:r>
      <w:r w:rsidRPr="006E1713">
        <w:rPr>
          <w:rFonts w:ascii="Book Antiqua" w:eastAsia="Calibri" w:hAnsi="Book Antiqua" w:cs="Arial"/>
          <w:sz w:val="24"/>
          <w:szCs w:val="24"/>
        </w:rPr>
        <w:t xml:space="preserve"> expedientes sin actualizar la fase en el sistema, por</w:t>
      </w:r>
      <w:r w:rsidR="00361456" w:rsidRPr="006E1713">
        <w:rPr>
          <w:rFonts w:ascii="Book Antiqua" w:eastAsia="Calibri" w:hAnsi="Book Antiqua" w:cs="Arial"/>
          <w:sz w:val="24"/>
          <w:szCs w:val="24"/>
        </w:rPr>
        <w:t xml:space="preserve"> lo que</w:t>
      </w:r>
      <w:r w:rsidR="00361456" w:rsidRPr="00361456">
        <w:rPr>
          <w:rFonts w:ascii="Book Antiqua" w:eastAsia="Calibri" w:hAnsi="Book Antiqua" w:cs="Arial"/>
          <w:sz w:val="24"/>
          <w:szCs w:val="24"/>
        </w:rPr>
        <w:t xml:space="preserve"> se insta al personal de los despachos, la importancia de mantener actualizada la información de los expedientes, ya que esta es insumo para la toma de decisiones.</w:t>
      </w:r>
    </w:p>
    <w:p w14:paraId="5A6F7693" w14:textId="77777777" w:rsidR="00361456" w:rsidRPr="00361456" w:rsidRDefault="00361456" w:rsidP="00361456">
      <w:pPr>
        <w:spacing w:after="0" w:line="276" w:lineRule="auto"/>
        <w:jc w:val="both"/>
        <w:rPr>
          <w:rFonts w:ascii="Book Antiqua" w:eastAsia="Calibri" w:hAnsi="Book Antiqua" w:cs="Arial"/>
          <w:sz w:val="24"/>
          <w:szCs w:val="24"/>
        </w:rPr>
      </w:pPr>
      <w:r w:rsidRPr="00361456">
        <w:rPr>
          <w:rFonts w:ascii="Book Antiqua" w:eastAsia="Calibri" w:hAnsi="Book Antiqua" w:cs="Arial"/>
          <w:sz w:val="24"/>
          <w:szCs w:val="24"/>
        </w:rPr>
        <w:t>Es importante mencionar que la Dirección de Planificación trabajó en la actualización y mejora de la Fórmula Estadística de materia de Familia, incluyendo el manual para su utilización. Los productos fueron enviados a Consejo Superior mediante el oficio 2043-PLA-ES-2019 (instructivo) y 186-PLA-ES-2020 (fórmula), el cual acordó en sesión 107-19 artículo XLVIII, celebrada el 10 de diciembre de 2019:</w:t>
      </w:r>
    </w:p>
    <w:p w14:paraId="4B2FA744" w14:textId="0124D294" w:rsidR="00C36C20" w:rsidRDefault="00C36C20" w:rsidP="005622A6">
      <w:pPr>
        <w:spacing w:line="276" w:lineRule="auto"/>
        <w:jc w:val="both"/>
        <w:rPr>
          <w:rFonts w:ascii="Book Antiqua" w:hAnsi="Book Antiqua"/>
          <w:sz w:val="24"/>
          <w:szCs w:val="24"/>
        </w:rPr>
      </w:pPr>
    </w:p>
    <w:p w14:paraId="0254F01C" w14:textId="6943AB5A" w:rsidR="00DC1C89" w:rsidRDefault="00DC1C89" w:rsidP="00DC1C89">
      <w:pPr>
        <w:spacing w:after="0" w:line="276" w:lineRule="auto"/>
        <w:ind w:left="567" w:right="616"/>
        <w:jc w:val="both"/>
        <w:rPr>
          <w:rFonts w:ascii="Book Antiqua" w:eastAsia="Calibri" w:hAnsi="Book Antiqua" w:cs="Arial"/>
          <w:i/>
          <w:sz w:val="24"/>
          <w:szCs w:val="24"/>
        </w:rPr>
      </w:pPr>
      <w:r w:rsidRPr="00DC1C89">
        <w:rPr>
          <w:rFonts w:ascii="Book Antiqua" w:eastAsia="Calibri" w:hAnsi="Book Antiqua" w:cs="Arial"/>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p>
    <w:p w14:paraId="17CD142B" w14:textId="0C817C8F" w:rsidR="000B3FC7" w:rsidRPr="001C2C50" w:rsidRDefault="001C2C50" w:rsidP="000B3FC7">
      <w:pPr>
        <w:spacing w:after="0" w:line="276" w:lineRule="auto"/>
        <w:jc w:val="both"/>
        <w:rPr>
          <w:rFonts w:ascii="Times New Roman" w:eastAsia="Calibri" w:hAnsi="Times New Roman" w:cs="Arial"/>
          <w:i/>
          <w:sz w:val="24"/>
          <w:szCs w:val="24"/>
          <w:lang w:val="es-ES"/>
        </w:rPr>
      </w:pPr>
      <w:r w:rsidRPr="001C2C50">
        <w:rPr>
          <w:rFonts w:ascii="Book Antiqua" w:eastAsia="Calibri" w:hAnsi="Book Antiqua" w:cs="Arial"/>
          <w:iCs/>
          <w:sz w:val="24"/>
          <w:szCs w:val="24"/>
        </w:rPr>
        <w:t>La fórmula estadística en materia de Familia fue modificada</w:t>
      </w:r>
      <w:r w:rsidR="000B3FC7">
        <w:rPr>
          <w:rFonts w:ascii="Book Antiqua" w:eastAsia="Calibri" w:hAnsi="Book Antiqua" w:cs="Arial"/>
          <w:iCs/>
          <w:sz w:val="24"/>
          <w:szCs w:val="24"/>
        </w:rPr>
        <w:t>, por</w:t>
      </w:r>
      <w:r w:rsidRPr="001C2C50">
        <w:rPr>
          <w:rFonts w:ascii="Book Antiqua" w:eastAsia="Calibri" w:hAnsi="Book Antiqua" w:cs="Arial"/>
          <w:iCs/>
          <w:sz w:val="24"/>
          <w:szCs w:val="24"/>
        </w:rPr>
        <w:t xml:space="preserve"> lo que </w:t>
      </w:r>
      <w:r w:rsidR="00B7093C">
        <w:rPr>
          <w:rFonts w:ascii="Book Antiqua" w:eastAsia="Calibri" w:hAnsi="Book Antiqua" w:cs="Arial"/>
          <w:iCs/>
          <w:sz w:val="24"/>
          <w:szCs w:val="24"/>
        </w:rPr>
        <w:t xml:space="preserve">el uso </w:t>
      </w:r>
      <w:r w:rsidR="000B3FC7" w:rsidRPr="001C2C50">
        <w:rPr>
          <w:rFonts w:ascii="Book Antiqua" w:eastAsia="Calibri" w:hAnsi="Book Antiqua" w:cs="Arial"/>
          <w:iCs/>
          <w:sz w:val="24"/>
          <w:szCs w:val="24"/>
        </w:rPr>
        <w:t>de la nueva fórmula en Familia y Pensiones es de carácter obligatorio de conformidad con la</w:t>
      </w:r>
      <w:r w:rsidR="000B3FC7" w:rsidRPr="001C2C50">
        <w:rPr>
          <w:rFonts w:ascii="Book Antiqua" w:eastAsia="Calibri" w:hAnsi="Book Antiqua" w:cs="Arial"/>
          <w:b/>
          <w:bCs/>
          <w:iCs/>
          <w:sz w:val="24"/>
          <w:szCs w:val="24"/>
        </w:rPr>
        <w:t xml:space="preserve"> circular 207-20 </w:t>
      </w:r>
      <w:r w:rsidR="000B3FC7" w:rsidRPr="001C2C50">
        <w:rPr>
          <w:rFonts w:ascii="Book Antiqua" w:eastAsia="Calibri" w:hAnsi="Book Antiqua" w:cs="Arial"/>
          <w:b/>
          <w:bCs/>
          <w:i/>
          <w:sz w:val="24"/>
          <w:szCs w:val="24"/>
        </w:rPr>
        <w:t>“</w:t>
      </w:r>
      <w:r w:rsidR="000B3FC7" w:rsidRPr="001C2C50">
        <w:rPr>
          <w:rFonts w:ascii="Book Antiqua" w:eastAsia="Calibri" w:hAnsi="Book Antiqua" w:cs="Arial"/>
          <w:i/>
          <w:color w:val="000000"/>
          <w:sz w:val="24"/>
          <w:szCs w:val="24"/>
          <w:lang w:eastAsia="es-CR"/>
        </w:rPr>
        <w:t>Obligación de uso de las nuevas fórmulas estadísticas para las materias de Familia y Pensiones Alimentarias</w:t>
      </w:r>
      <w:r w:rsidR="000B3FC7" w:rsidRPr="001C2C50">
        <w:rPr>
          <w:rFonts w:ascii="Book Antiqua" w:eastAsia="Calibri" w:hAnsi="Book Antiqua" w:cs="Arial"/>
          <w:b/>
          <w:bCs/>
          <w:i/>
          <w:sz w:val="24"/>
          <w:szCs w:val="24"/>
        </w:rPr>
        <w:t>”.</w:t>
      </w:r>
    </w:p>
    <w:p w14:paraId="793D683A" w14:textId="5764CF50" w:rsidR="001C2C50" w:rsidRPr="001C2C50" w:rsidRDefault="001C2C50" w:rsidP="001C2C50">
      <w:pPr>
        <w:spacing w:after="0" w:line="276" w:lineRule="auto"/>
        <w:jc w:val="both"/>
        <w:rPr>
          <w:rFonts w:ascii="Book Antiqua" w:eastAsia="Calibri" w:hAnsi="Book Antiqua" w:cs="Arial"/>
          <w:b/>
          <w:bCs/>
          <w:iCs/>
          <w:sz w:val="24"/>
          <w:szCs w:val="24"/>
        </w:rPr>
      </w:pPr>
    </w:p>
    <w:p w14:paraId="27EB8222" w14:textId="77777777" w:rsidR="008879A1" w:rsidRPr="008D6799" w:rsidRDefault="008879A1"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Análisis sobre la efectividad de las audiencias señaladas</w:t>
      </w:r>
    </w:p>
    <w:p w14:paraId="67D8A358" w14:textId="77777777" w:rsidR="00494ADF" w:rsidRDefault="00494ADF" w:rsidP="004C1310">
      <w:pPr>
        <w:spacing w:after="0" w:line="276" w:lineRule="auto"/>
        <w:jc w:val="both"/>
        <w:rPr>
          <w:rFonts w:ascii="Book Antiqua" w:eastAsia="Calibri" w:hAnsi="Book Antiqua" w:cs="Arial"/>
          <w:sz w:val="24"/>
          <w:szCs w:val="24"/>
        </w:rPr>
      </w:pPr>
    </w:p>
    <w:p w14:paraId="08C2E568" w14:textId="38AFEC65" w:rsidR="004C1310" w:rsidRDefault="004C1310" w:rsidP="004C1310">
      <w:pPr>
        <w:spacing w:after="0" w:line="276" w:lineRule="auto"/>
        <w:jc w:val="both"/>
        <w:rPr>
          <w:rFonts w:ascii="Book Antiqua" w:eastAsia="Calibri" w:hAnsi="Book Antiqua" w:cs="Arial"/>
          <w:sz w:val="24"/>
          <w:szCs w:val="24"/>
        </w:rPr>
      </w:pPr>
      <w:r w:rsidRPr="004C1310">
        <w:rPr>
          <w:rFonts w:ascii="Book Antiqua" w:eastAsia="Calibri" w:hAnsi="Book Antiqua" w:cs="Arial"/>
          <w:sz w:val="24"/>
          <w:szCs w:val="24"/>
        </w:rPr>
        <w:t>Seguidamente se detalla el porcentaje de la efectividad de las audiencias de acuerdo con información recopilada de los Juzgados Especializados de Familia, durante el periodo del 201</w:t>
      </w:r>
      <w:r w:rsidR="008879A1">
        <w:rPr>
          <w:rFonts w:ascii="Book Antiqua" w:eastAsia="Calibri" w:hAnsi="Book Antiqua" w:cs="Arial"/>
          <w:sz w:val="24"/>
          <w:szCs w:val="24"/>
        </w:rPr>
        <w:t>7</w:t>
      </w:r>
      <w:r w:rsidRPr="004C1310">
        <w:rPr>
          <w:rFonts w:ascii="Book Antiqua" w:eastAsia="Calibri" w:hAnsi="Book Antiqua" w:cs="Arial"/>
          <w:sz w:val="24"/>
          <w:szCs w:val="24"/>
        </w:rPr>
        <w:t xml:space="preserve"> al 20</w:t>
      </w:r>
      <w:r w:rsidR="00E16D5F">
        <w:rPr>
          <w:rFonts w:ascii="Book Antiqua" w:eastAsia="Calibri" w:hAnsi="Book Antiqua" w:cs="Arial"/>
          <w:sz w:val="24"/>
          <w:szCs w:val="24"/>
        </w:rPr>
        <w:t>2</w:t>
      </w:r>
      <w:r w:rsidR="00ED2ACB">
        <w:rPr>
          <w:rFonts w:ascii="Book Antiqua" w:eastAsia="Calibri" w:hAnsi="Book Antiqua" w:cs="Arial"/>
          <w:sz w:val="24"/>
          <w:szCs w:val="24"/>
        </w:rPr>
        <w:t>2</w:t>
      </w:r>
      <w:r w:rsidRPr="004C1310">
        <w:rPr>
          <w:rFonts w:ascii="Book Antiqua" w:eastAsia="Calibri" w:hAnsi="Book Antiqua" w:cs="Arial"/>
          <w:sz w:val="24"/>
          <w:szCs w:val="24"/>
        </w:rPr>
        <w:t>.</w:t>
      </w:r>
    </w:p>
    <w:p w14:paraId="53AAB5F4" w14:textId="77777777" w:rsidR="0093653B" w:rsidRPr="004C1310" w:rsidRDefault="0093653B" w:rsidP="004C1310">
      <w:pPr>
        <w:spacing w:after="0" w:line="276" w:lineRule="auto"/>
        <w:jc w:val="both"/>
        <w:rPr>
          <w:rFonts w:ascii="Book Antiqua" w:eastAsia="Calibri" w:hAnsi="Book Antiqua" w:cs="Arial"/>
          <w:sz w:val="24"/>
          <w:szCs w:val="24"/>
        </w:rPr>
      </w:pPr>
    </w:p>
    <w:p w14:paraId="37E769EC" w14:textId="77777777" w:rsidR="004C1310" w:rsidRPr="004C1310" w:rsidRDefault="004C1310" w:rsidP="004C1310">
      <w:pPr>
        <w:spacing w:after="0" w:line="276" w:lineRule="auto"/>
        <w:jc w:val="both"/>
        <w:rPr>
          <w:rFonts w:ascii="Book Antiqua" w:eastAsia="Calibri" w:hAnsi="Book Antiqua" w:cs="Arial"/>
          <w:sz w:val="24"/>
          <w:szCs w:val="24"/>
        </w:rPr>
      </w:pPr>
    </w:p>
    <w:p w14:paraId="43D763D7" w14:textId="4B10716A" w:rsidR="004C1310" w:rsidRPr="004C1310" w:rsidRDefault="004C1310" w:rsidP="004C131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C1310">
        <w:rPr>
          <w:rFonts w:ascii="Book Antiqua" w:eastAsia="Calibri" w:hAnsi="Book Antiqua" w:cs="Arial"/>
          <w:b/>
          <w:bCs/>
          <w:color w:val="1F497D"/>
          <w:szCs w:val="24"/>
          <w:lang w:val="es-ES" w:eastAsia="es-ES"/>
        </w:rPr>
        <w:t xml:space="preserve">Cuadro </w:t>
      </w:r>
      <w:r w:rsidRPr="004C1310">
        <w:rPr>
          <w:rFonts w:ascii="Book Antiqua" w:eastAsia="Calibri" w:hAnsi="Book Antiqua" w:cs="Arial"/>
          <w:b/>
          <w:bCs/>
          <w:color w:val="1F497D"/>
          <w:szCs w:val="24"/>
          <w:lang w:val="es-ES" w:eastAsia="es-ES"/>
        </w:rPr>
        <w:fldChar w:fldCharType="begin"/>
      </w:r>
      <w:r w:rsidRPr="004C1310">
        <w:rPr>
          <w:rFonts w:ascii="Book Antiqua" w:eastAsia="Calibri" w:hAnsi="Book Antiqua" w:cs="Arial"/>
          <w:b/>
          <w:bCs/>
          <w:color w:val="1F497D"/>
          <w:szCs w:val="24"/>
          <w:lang w:val="es-ES" w:eastAsia="es-ES"/>
        </w:rPr>
        <w:instrText xml:space="preserve"> SEQ Cuadro \* ARABIC </w:instrText>
      </w:r>
      <w:r w:rsidRPr="004C131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9</w:t>
      </w:r>
      <w:r w:rsidRPr="004C1310">
        <w:rPr>
          <w:rFonts w:ascii="Book Antiqua" w:eastAsia="Calibri" w:hAnsi="Book Antiqua" w:cs="Arial"/>
          <w:b/>
          <w:bCs/>
          <w:color w:val="1F497D"/>
          <w:szCs w:val="24"/>
          <w:lang w:val="es-ES" w:eastAsia="es-ES"/>
        </w:rPr>
        <w:fldChar w:fldCharType="end"/>
      </w:r>
    </w:p>
    <w:p w14:paraId="391E1888" w14:textId="77777777" w:rsidR="004C1310" w:rsidRPr="004C1310" w:rsidRDefault="004C1310" w:rsidP="004C1310">
      <w:pPr>
        <w:keepNext/>
        <w:numPr>
          <w:ilvl w:val="12"/>
          <w:numId w:val="0"/>
        </w:numPr>
        <w:spacing w:after="0" w:line="276" w:lineRule="auto"/>
        <w:jc w:val="center"/>
        <w:rPr>
          <w:rFonts w:ascii="Book Antiqua" w:eastAsia="Times New Roman" w:hAnsi="Book Antiqua" w:cs="Arial"/>
          <w:b/>
          <w:bCs/>
          <w:color w:val="1F497D"/>
          <w:lang w:eastAsia="es-ES"/>
        </w:rPr>
      </w:pPr>
      <w:r w:rsidRPr="004C1310">
        <w:rPr>
          <w:rFonts w:ascii="Book Antiqua" w:eastAsia="Times New Roman" w:hAnsi="Book Antiqua" w:cs="Arial"/>
          <w:b/>
          <w:bCs/>
          <w:color w:val="1F497D"/>
          <w:lang w:eastAsia="es-ES"/>
        </w:rPr>
        <w:t xml:space="preserve">Porcentaje de efectividad de audiencias en los </w:t>
      </w:r>
    </w:p>
    <w:p w14:paraId="529FE2AF" w14:textId="315CAFD1" w:rsidR="004C1310" w:rsidRDefault="004C1310" w:rsidP="004C1310">
      <w:pPr>
        <w:keepNext/>
        <w:numPr>
          <w:ilvl w:val="12"/>
          <w:numId w:val="0"/>
        </w:numPr>
        <w:spacing w:after="0" w:line="276" w:lineRule="auto"/>
        <w:jc w:val="center"/>
        <w:rPr>
          <w:rFonts w:ascii="Book Antiqua" w:eastAsia="Times New Roman" w:hAnsi="Book Antiqua" w:cs="Arial"/>
          <w:b/>
          <w:bCs/>
          <w:color w:val="1F497D"/>
          <w:lang w:eastAsia="es-ES"/>
        </w:rPr>
      </w:pPr>
      <w:r w:rsidRPr="004C1310">
        <w:rPr>
          <w:rFonts w:ascii="Book Antiqua" w:eastAsia="Times New Roman" w:hAnsi="Book Antiqua" w:cs="Arial"/>
          <w:b/>
          <w:bCs/>
          <w:color w:val="1F497D"/>
          <w:lang w:eastAsia="es-ES"/>
        </w:rPr>
        <w:t>Juzgados Especializados de Familia, del 201</w:t>
      </w:r>
      <w:r w:rsidR="00E16D5F">
        <w:rPr>
          <w:rFonts w:ascii="Book Antiqua" w:eastAsia="Times New Roman" w:hAnsi="Book Antiqua" w:cs="Arial"/>
          <w:b/>
          <w:bCs/>
          <w:color w:val="1F497D"/>
          <w:lang w:eastAsia="es-ES"/>
        </w:rPr>
        <w:t>7</w:t>
      </w:r>
      <w:r w:rsidRPr="004C1310">
        <w:rPr>
          <w:rFonts w:ascii="Book Antiqua" w:eastAsia="Times New Roman" w:hAnsi="Book Antiqua" w:cs="Arial"/>
          <w:b/>
          <w:bCs/>
          <w:color w:val="1F497D"/>
          <w:lang w:eastAsia="es-ES"/>
        </w:rPr>
        <w:t xml:space="preserve"> al 20</w:t>
      </w:r>
      <w:r w:rsidR="00E16D5F">
        <w:rPr>
          <w:rFonts w:ascii="Book Antiqua" w:eastAsia="Times New Roman" w:hAnsi="Book Antiqua" w:cs="Arial"/>
          <w:b/>
          <w:bCs/>
          <w:color w:val="1F497D"/>
          <w:lang w:eastAsia="es-ES"/>
        </w:rPr>
        <w:t>2</w:t>
      </w:r>
      <w:r w:rsidR="00ED2ACB">
        <w:rPr>
          <w:rFonts w:ascii="Book Antiqua" w:eastAsia="Times New Roman" w:hAnsi="Book Antiqua" w:cs="Arial"/>
          <w:b/>
          <w:bCs/>
          <w:color w:val="1F497D"/>
          <w:lang w:eastAsia="es-ES"/>
        </w:rPr>
        <w:t>2</w:t>
      </w:r>
    </w:p>
    <w:tbl>
      <w:tblPr>
        <w:tblW w:w="8818" w:type="dxa"/>
        <w:jc w:val="center"/>
        <w:tblCellMar>
          <w:left w:w="70" w:type="dxa"/>
          <w:right w:w="70" w:type="dxa"/>
        </w:tblCellMar>
        <w:tblLook w:val="04A0" w:firstRow="1" w:lastRow="0" w:firstColumn="1" w:lastColumn="0" w:noHBand="0" w:noVBand="1"/>
      </w:tblPr>
      <w:tblGrid>
        <w:gridCol w:w="2050"/>
        <w:gridCol w:w="1128"/>
        <w:gridCol w:w="1128"/>
        <w:gridCol w:w="1128"/>
        <w:gridCol w:w="1128"/>
        <w:gridCol w:w="1128"/>
        <w:gridCol w:w="1128"/>
      </w:tblGrid>
      <w:tr w:rsidR="00E371E6" w:rsidRPr="00E371E6" w14:paraId="529A3755" w14:textId="77777777" w:rsidTr="00E371E6">
        <w:trPr>
          <w:trHeight w:val="343"/>
          <w:jc w:val="center"/>
        </w:trPr>
        <w:tc>
          <w:tcPr>
            <w:tcW w:w="205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1B28E0FB"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Estado</w:t>
            </w:r>
          </w:p>
        </w:tc>
        <w:tc>
          <w:tcPr>
            <w:tcW w:w="1128" w:type="dxa"/>
            <w:tcBorders>
              <w:top w:val="single" w:sz="8" w:space="0" w:color="auto"/>
              <w:left w:val="nil"/>
              <w:bottom w:val="single" w:sz="8" w:space="0" w:color="auto"/>
              <w:right w:val="single" w:sz="8" w:space="0" w:color="auto"/>
            </w:tcBorders>
            <w:shd w:val="clear" w:color="000000" w:fill="002060"/>
            <w:vAlign w:val="center"/>
            <w:hideMark/>
          </w:tcPr>
          <w:p w14:paraId="0A4BBF80"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2017</w:t>
            </w:r>
          </w:p>
        </w:tc>
        <w:tc>
          <w:tcPr>
            <w:tcW w:w="1128" w:type="dxa"/>
            <w:tcBorders>
              <w:top w:val="single" w:sz="8" w:space="0" w:color="auto"/>
              <w:left w:val="nil"/>
              <w:bottom w:val="single" w:sz="8" w:space="0" w:color="auto"/>
              <w:right w:val="single" w:sz="8" w:space="0" w:color="auto"/>
            </w:tcBorders>
            <w:shd w:val="clear" w:color="000000" w:fill="002060"/>
            <w:vAlign w:val="center"/>
            <w:hideMark/>
          </w:tcPr>
          <w:p w14:paraId="16FE3B76"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2018</w:t>
            </w:r>
          </w:p>
        </w:tc>
        <w:tc>
          <w:tcPr>
            <w:tcW w:w="1128" w:type="dxa"/>
            <w:tcBorders>
              <w:top w:val="single" w:sz="8" w:space="0" w:color="auto"/>
              <w:left w:val="nil"/>
              <w:bottom w:val="single" w:sz="8" w:space="0" w:color="auto"/>
              <w:right w:val="single" w:sz="8" w:space="0" w:color="auto"/>
            </w:tcBorders>
            <w:shd w:val="clear" w:color="000000" w:fill="002060"/>
            <w:vAlign w:val="center"/>
            <w:hideMark/>
          </w:tcPr>
          <w:p w14:paraId="323BECEB"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2019</w:t>
            </w:r>
          </w:p>
        </w:tc>
        <w:tc>
          <w:tcPr>
            <w:tcW w:w="1128" w:type="dxa"/>
            <w:tcBorders>
              <w:top w:val="single" w:sz="8" w:space="0" w:color="auto"/>
              <w:left w:val="nil"/>
              <w:bottom w:val="single" w:sz="8" w:space="0" w:color="auto"/>
              <w:right w:val="single" w:sz="8" w:space="0" w:color="auto"/>
            </w:tcBorders>
            <w:shd w:val="clear" w:color="000000" w:fill="002060"/>
            <w:vAlign w:val="center"/>
            <w:hideMark/>
          </w:tcPr>
          <w:p w14:paraId="3FFCBF0D"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2020</w:t>
            </w:r>
          </w:p>
        </w:tc>
        <w:tc>
          <w:tcPr>
            <w:tcW w:w="1128" w:type="dxa"/>
            <w:tcBorders>
              <w:top w:val="single" w:sz="8" w:space="0" w:color="auto"/>
              <w:left w:val="nil"/>
              <w:bottom w:val="single" w:sz="8" w:space="0" w:color="auto"/>
              <w:right w:val="single" w:sz="8" w:space="0" w:color="auto"/>
            </w:tcBorders>
            <w:shd w:val="clear" w:color="000000" w:fill="002060"/>
            <w:vAlign w:val="center"/>
            <w:hideMark/>
          </w:tcPr>
          <w:p w14:paraId="5E3A1ABB"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2021</w:t>
            </w:r>
          </w:p>
        </w:tc>
        <w:tc>
          <w:tcPr>
            <w:tcW w:w="1128" w:type="dxa"/>
            <w:tcBorders>
              <w:top w:val="single" w:sz="8" w:space="0" w:color="auto"/>
              <w:left w:val="nil"/>
              <w:bottom w:val="single" w:sz="8" w:space="0" w:color="auto"/>
              <w:right w:val="single" w:sz="8" w:space="0" w:color="auto"/>
            </w:tcBorders>
            <w:shd w:val="clear" w:color="000000" w:fill="002060"/>
            <w:vAlign w:val="center"/>
            <w:hideMark/>
          </w:tcPr>
          <w:p w14:paraId="76205CEF"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2022</w:t>
            </w:r>
          </w:p>
        </w:tc>
      </w:tr>
      <w:tr w:rsidR="00E371E6" w:rsidRPr="00E371E6" w14:paraId="0462BC18" w14:textId="77777777" w:rsidTr="00E371E6">
        <w:trPr>
          <w:trHeight w:val="343"/>
          <w:jc w:val="center"/>
        </w:trPr>
        <w:tc>
          <w:tcPr>
            <w:tcW w:w="2050" w:type="dxa"/>
            <w:tcBorders>
              <w:top w:val="nil"/>
              <w:left w:val="single" w:sz="8" w:space="0" w:color="auto"/>
              <w:bottom w:val="single" w:sz="8" w:space="0" w:color="auto"/>
              <w:right w:val="single" w:sz="8" w:space="0" w:color="auto"/>
            </w:tcBorders>
            <w:shd w:val="clear" w:color="000000" w:fill="FFFFFF"/>
            <w:vAlign w:val="center"/>
            <w:hideMark/>
          </w:tcPr>
          <w:p w14:paraId="0149911F"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Realizado</w:t>
            </w:r>
          </w:p>
        </w:tc>
        <w:tc>
          <w:tcPr>
            <w:tcW w:w="1128" w:type="dxa"/>
            <w:tcBorders>
              <w:top w:val="nil"/>
              <w:left w:val="nil"/>
              <w:bottom w:val="single" w:sz="8" w:space="0" w:color="auto"/>
              <w:right w:val="single" w:sz="8" w:space="0" w:color="auto"/>
            </w:tcBorders>
            <w:shd w:val="clear" w:color="000000" w:fill="FFFFFF"/>
            <w:vAlign w:val="center"/>
            <w:hideMark/>
          </w:tcPr>
          <w:p w14:paraId="7E51128C"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6 756</w:t>
            </w:r>
          </w:p>
        </w:tc>
        <w:tc>
          <w:tcPr>
            <w:tcW w:w="1128" w:type="dxa"/>
            <w:tcBorders>
              <w:top w:val="nil"/>
              <w:left w:val="nil"/>
              <w:bottom w:val="single" w:sz="8" w:space="0" w:color="auto"/>
              <w:right w:val="single" w:sz="8" w:space="0" w:color="auto"/>
            </w:tcBorders>
            <w:shd w:val="clear" w:color="000000" w:fill="FFFFFF"/>
            <w:vAlign w:val="center"/>
            <w:hideMark/>
          </w:tcPr>
          <w:p w14:paraId="07417F39"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7 291</w:t>
            </w:r>
          </w:p>
        </w:tc>
        <w:tc>
          <w:tcPr>
            <w:tcW w:w="1128" w:type="dxa"/>
            <w:tcBorders>
              <w:top w:val="nil"/>
              <w:left w:val="nil"/>
              <w:bottom w:val="single" w:sz="8" w:space="0" w:color="auto"/>
              <w:right w:val="single" w:sz="8" w:space="0" w:color="auto"/>
            </w:tcBorders>
            <w:shd w:val="clear" w:color="000000" w:fill="FFFFFF"/>
            <w:vAlign w:val="center"/>
            <w:hideMark/>
          </w:tcPr>
          <w:p w14:paraId="76BA5E2F"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7 516</w:t>
            </w:r>
          </w:p>
        </w:tc>
        <w:tc>
          <w:tcPr>
            <w:tcW w:w="1128" w:type="dxa"/>
            <w:tcBorders>
              <w:top w:val="nil"/>
              <w:left w:val="nil"/>
              <w:bottom w:val="single" w:sz="8" w:space="0" w:color="auto"/>
              <w:right w:val="single" w:sz="8" w:space="0" w:color="auto"/>
            </w:tcBorders>
            <w:shd w:val="clear" w:color="000000" w:fill="FFFFFF"/>
            <w:vAlign w:val="center"/>
            <w:hideMark/>
          </w:tcPr>
          <w:p w14:paraId="66BC1EEB"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2 953</w:t>
            </w:r>
          </w:p>
        </w:tc>
        <w:tc>
          <w:tcPr>
            <w:tcW w:w="1128" w:type="dxa"/>
            <w:tcBorders>
              <w:top w:val="nil"/>
              <w:left w:val="nil"/>
              <w:bottom w:val="single" w:sz="8" w:space="0" w:color="auto"/>
              <w:right w:val="single" w:sz="8" w:space="0" w:color="auto"/>
            </w:tcBorders>
            <w:shd w:val="clear" w:color="000000" w:fill="FFFFFF"/>
            <w:vAlign w:val="center"/>
            <w:hideMark/>
          </w:tcPr>
          <w:p w14:paraId="59FB024C"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7 143</w:t>
            </w:r>
          </w:p>
        </w:tc>
        <w:tc>
          <w:tcPr>
            <w:tcW w:w="1128" w:type="dxa"/>
            <w:tcBorders>
              <w:top w:val="nil"/>
              <w:left w:val="nil"/>
              <w:bottom w:val="single" w:sz="8" w:space="0" w:color="auto"/>
              <w:right w:val="single" w:sz="8" w:space="0" w:color="auto"/>
            </w:tcBorders>
            <w:shd w:val="clear" w:color="000000" w:fill="FFFFFF"/>
            <w:vAlign w:val="center"/>
            <w:hideMark/>
          </w:tcPr>
          <w:p w14:paraId="0D941127"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8 499</w:t>
            </w:r>
          </w:p>
        </w:tc>
      </w:tr>
      <w:tr w:rsidR="00E371E6" w:rsidRPr="00E371E6" w14:paraId="72C8E969" w14:textId="77777777" w:rsidTr="00E371E6">
        <w:trPr>
          <w:trHeight w:val="343"/>
          <w:jc w:val="center"/>
        </w:trPr>
        <w:tc>
          <w:tcPr>
            <w:tcW w:w="2050" w:type="dxa"/>
            <w:tcBorders>
              <w:top w:val="nil"/>
              <w:left w:val="single" w:sz="8" w:space="0" w:color="auto"/>
              <w:bottom w:val="single" w:sz="8" w:space="0" w:color="auto"/>
              <w:right w:val="single" w:sz="8" w:space="0" w:color="auto"/>
            </w:tcBorders>
            <w:shd w:val="clear" w:color="000000" w:fill="FFFFFF"/>
            <w:vAlign w:val="center"/>
            <w:hideMark/>
          </w:tcPr>
          <w:p w14:paraId="5AD69DAA"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No Realizado</w:t>
            </w:r>
          </w:p>
        </w:tc>
        <w:tc>
          <w:tcPr>
            <w:tcW w:w="1128" w:type="dxa"/>
            <w:tcBorders>
              <w:top w:val="nil"/>
              <w:left w:val="nil"/>
              <w:bottom w:val="single" w:sz="8" w:space="0" w:color="auto"/>
              <w:right w:val="single" w:sz="8" w:space="0" w:color="auto"/>
            </w:tcBorders>
            <w:shd w:val="clear" w:color="000000" w:fill="FFFFFF"/>
            <w:vAlign w:val="center"/>
            <w:hideMark/>
          </w:tcPr>
          <w:p w14:paraId="766B5E64"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2 592</w:t>
            </w:r>
          </w:p>
        </w:tc>
        <w:tc>
          <w:tcPr>
            <w:tcW w:w="1128" w:type="dxa"/>
            <w:tcBorders>
              <w:top w:val="nil"/>
              <w:left w:val="nil"/>
              <w:bottom w:val="single" w:sz="8" w:space="0" w:color="auto"/>
              <w:right w:val="single" w:sz="8" w:space="0" w:color="auto"/>
            </w:tcBorders>
            <w:shd w:val="clear" w:color="000000" w:fill="FFFFFF"/>
            <w:vAlign w:val="center"/>
            <w:hideMark/>
          </w:tcPr>
          <w:p w14:paraId="10112827"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2 588</w:t>
            </w:r>
          </w:p>
        </w:tc>
        <w:tc>
          <w:tcPr>
            <w:tcW w:w="1128" w:type="dxa"/>
            <w:tcBorders>
              <w:top w:val="nil"/>
              <w:left w:val="nil"/>
              <w:bottom w:val="single" w:sz="8" w:space="0" w:color="auto"/>
              <w:right w:val="single" w:sz="8" w:space="0" w:color="auto"/>
            </w:tcBorders>
            <w:shd w:val="clear" w:color="000000" w:fill="FFFFFF"/>
            <w:vAlign w:val="center"/>
            <w:hideMark/>
          </w:tcPr>
          <w:p w14:paraId="7D3E2386"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2 782</w:t>
            </w:r>
          </w:p>
        </w:tc>
        <w:tc>
          <w:tcPr>
            <w:tcW w:w="1128" w:type="dxa"/>
            <w:tcBorders>
              <w:top w:val="nil"/>
              <w:left w:val="nil"/>
              <w:bottom w:val="single" w:sz="8" w:space="0" w:color="auto"/>
              <w:right w:val="single" w:sz="8" w:space="0" w:color="auto"/>
            </w:tcBorders>
            <w:shd w:val="clear" w:color="000000" w:fill="FFFFFF"/>
            <w:vAlign w:val="center"/>
            <w:hideMark/>
          </w:tcPr>
          <w:p w14:paraId="53E5D732"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1 268</w:t>
            </w:r>
          </w:p>
        </w:tc>
        <w:tc>
          <w:tcPr>
            <w:tcW w:w="1128" w:type="dxa"/>
            <w:tcBorders>
              <w:top w:val="nil"/>
              <w:left w:val="nil"/>
              <w:bottom w:val="single" w:sz="8" w:space="0" w:color="auto"/>
              <w:right w:val="single" w:sz="8" w:space="0" w:color="auto"/>
            </w:tcBorders>
            <w:shd w:val="clear" w:color="000000" w:fill="FFFFFF"/>
            <w:vAlign w:val="center"/>
            <w:hideMark/>
          </w:tcPr>
          <w:p w14:paraId="337D7B65"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2 150</w:t>
            </w:r>
          </w:p>
        </w:tc>
        <w:tc>
          <w:tcPr>
            <w:tcW w:w="1128" w:type="dxa"/>
            <w:tcBorders>
              <w:top w:val="nil"/>
              <w:left w:val="nil"/>
              <w:bottom w:val="single" w:sz="8" w:space="0" w:color="auto"/>
              <w:right w:val="single" w:sz="8" w:space="0" w:color="auto"/>
            </w:tcBorders>
            <w:shd w:val="clear" w:color="000000" w:fill="FFFFFF"/>
            <w:vAlign w:val="center"/>
            <w:hideMark/>
          </w:tcPr>
          <w:p w14:paraId="6FF3B08C"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2 888</w:t>
            </w:r>
          </w:p>
        </w:tc>
      </w:tr>
      <w:tr w:rsidR="00E371E6" w:rsidRPr="00E371E6" w14:paraId="5E3F5F27" w14:textId="77777777" w:rsidTr="00E371E6">
        <w:trPr>
          <w:trHeight w:val="343"/>
          <w:jc w:val="center"/>
        </w:trPr>
        <w:tc>
          <w:tcPr>
            <w:tcW w:w="2050" w:type="dxa"/>
            <w:tcBorders>
              <w:top w:val="nil"/>
              <w:left w:val="single" w:sz="8" w:space="0" w:color="auto"/>
              <w:bottom w:val="single" w:sz="8" w:space="0" w:color="auto"/>
              <w:right w:val="single" w:sz="8" w:space="0" w:color="auto"/>
            </w:tcBorders>
            <w:shd w:val="clear" w:color="000000" w:fill="FFFFFF"/>
            <w:vAlign w:val="center"/>
            <w:hideMark/>
          </w:tcPr>
          <w:p w14:paraId="20AF5968"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Conciliado</w:t>
            </w:r>
          </w:p>
        </w:tc>
        <w:tc>
          <w:tcPr>
            <w:tcW w:w="1128" w:type="dxa"/>
            <w:tcBorders>
              <w:top w:val="nil"/>
              <w:left w:val="nil"/>
              <w:bottom w:val="single" w:sz="8" w:space="0" w:color="auto"/>
              <w:right w:val="single" w:sz="8" w:space="0" w:color="auto"/>
            </w:tcBorders>
            <w:shd w:val="clear" w:color="000000" w:fill="FFFFFF"/>
            <w:vAlign w:val="center"/>
            <w:hideMark/>
          </w:tcPr>
          <w:p w14:paraId="0205B2CB"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725</w:t>
            </w:r>
          </w:p>
        </w:tc>
        <w:tc>
          <w:tcPr>
            <w:tcW w:w="1128" w:type="dxa"/>
            <w:tcBorders>
              <w:top w:val="nil"/>
              <w:left w:val="nil"/>
              <w:bottom w:val="single" w:sz="8" w:space="0" w:color="auto"/>
              <w:right w:val="single" w:sz="8" w:space="0" w:color="auto"/>
            </w:tcBorders>
            <w:shd w:val="clear" w:color="000000" w:fill="FFFFFF"/>
            <w:vAlign w:val="center"/>
            <w:hideMark/>
          </w:tcPr>
          <w:p w14:paraId="2FA8B837"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624</w:t>
            </w:r>
          </w:p>
        </w:tc>
        <w:tc>
          <w:tcPr>
            <w:tcW w:w="1128" w:type="dxa"/>
            <w:tcBorders>
              <w:top w:val="nil"/>
              <w:left w:val="nil"/>
              <w:bottom w:val="single" w:sz="8" w:space="0" w:color="auto"/>
              <w:right w:val="single" w:sz="8" w:space="0" w:color="auto"/>
            </w:tcBorders>
            <w:shd w:val="clear" w:color="000000" w:fill="FFFFFF"/>
            <w:vAlign w:val="center"/>
            <w:hideMark/>
          </w:tcPr>
          <w:p w14:paraId="76AFDEBC"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646</w:t>
            </w:r>
          </w:p>
        </w:tc>
        <w:tc>
          <w:tcPr>
            <w:tcW w:w="1128" w:type="dxa"/>
            <w:tcBorders>
              <w:top w:val="nil"/>
              <w:left w:val="nil"/>
              <w:bottom w:val="single" w:sz="8" w:space="0" w:color="auto"/>
              <w:right w:val="single" w:sz="8" w:space="0" w:color="auto"/>
            </w:tcBorders>
            <w:shd w:val="clear" w:color="000000" w:fill="FFFFFF"/>
            <w:vAlign w:val="center"/>
            <w:hideMark/>
          </w:tcPr>
          <w:p w14:paraId="5400D173"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432</w:t>
            </w:r>
          </w:p>
        </w:tc>
        <w:tc>
          <w:tcPr>
            <w:tcW w:w="1128" w:type="dxa"/>
            <w:tcBorders>
              <w:top w:val="nil"/>
              <w:left w:val="nil"/>
              <w:bottom w:val="single" w:sz="8" w:space="0" w:color="auto"/>
              <w:right w:val="single" w:sz="8" w:space="0" w:color="auto"/>
            </w:tcBorders>
            <w:shd w:val="clear" w:color="000000" w:fill="FFFFFF"/>
            <w:vAlign w:val="center"/>
            <w:hideMark/>
          </w:tcPr>
          <w:p w14:paraId="3E700C0F"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524</w:t>
            </w:r>
          </w:p>
        </w:tc>
        <w:tc>
          <w:tcPr>
            <w:tcW w:w="1128" w:type="dxa"/>
            <w:tcBorders>
              <w:top w:val="nil"/>
              <w:left w:val="nil"/>
              <w:bottom w:val="single" w:sz="8" w:space="0" w:color="auto"/>
              <w:right w:val="single" w:sz="8" w:space="0" w:color="auto"/>
            </w:tcBorders>
            <w:shd w:val="clear" w:color="000000" w:fill="FFFFFF"/>
            <w:vAlign w:val="center"/>
            <w:hideMark/>
          </w:tcPr>
          <w:p w14:paraId="6B8B68C6"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1 989</w:t>
            </w:r>
          </w:p>
        </w:tc>
      </w:tr>
      <w:tr w:rsidR="00E371E6" w:rsidRPr="00E371E6" w14:paraId="6135D356" w14:textId="77777777" w:rsidTr="00E371E6">
        <w:trPr>
          <w:trHeight w:val="343"/>
          <w:jc w:val="center"/>
        </w:trPr>
        <w:tc>
          <w:tcPr>
            <w:tcW w:w="2050" w:type="dxa"/>
            <w:tcBorders>
              <w:top w:val="nil"/>
              <w:left w:val="single" w:sz="8" w:space="0" w:color="auto"/>
              <w:bottom w:val="single" w:sz="8" w:space="0" w:color="auto"/>
              <w:right w:val="single" w:sz="8" w:space="0" w:color="auto"/>
            </w:tcBorders>
            <w:shd w:val="clear" w:color="000000" w:fill="FFFFFF"/>
            <w:vAlign w:val="center"/>
            <w:hideMark/>
          </w:tcPr>
          <w:p w14:paraId="4032324F"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Sin Efecto</w:t>
            </w:r>
          </w:p>
        </w:tc>
        <w:tc>
          <w:tcPr>
            <w:tcW w:w="1128" w:type="dxa"/>
            <w:tcBorders>
              <w:top w:val="nil"/>
              <w:left w:val="nil"/>
              <w:bottom w:val="single" w:sz="8" w:space="0" w:color="auto"/>
              <w:right w:val="single" w:sz="8" w:space="0" w:color="auto"/>
            </w:tcBorders>
            <w:shd w:val="clear" w:color="000000" w:fill="FFFFFF"/>
            <w:vAlign w:val="center"/>
            <w:hideMark/>
          </w:tcPr>
          <w:p w14:paraId="60C0E40D"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289</w:t>
            </w:r>
          </w:p>
        </w:tc>
        <w:tc>
          <w:tcPr>
            <w:tcW w:w="1128" w:type="dxa"/>
            <w:tcBorders>
              <w:top w:val="nil"/>
              <w:left w:val="nil"/>
              <w:bottom w:val="single" w:sz="8" w:space="0" w:color="auto"/>
              <w:right w:val="single" w:sz="8" w:space="0" w:color="auto"/>
            </w:tcBorders>
            <w:shd w:val="clear" w:color="000000" w:fill="FFFFFF"/>
            <w:vAlign w:val="center"/>
            <w:hideMark/>
          </w:tcPr>
          <w:p w14:paraId="62F9C161"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362</w:t>
            </w:r>
          </w:p>
        </w:tc>
        <w:tc>
          <w:tcPr>
            <w:tcW w:w="1128" w:type="dxa"/>
            <w:tcBorders>
              <w:top w:val="nil"/>
              <w:left w:val="nil"/>
              <w:bottom w:val="single" w:sz="8" w:space="0" w:color="auto"/>
              <w:right w:val="single" w:sz="8" w:space="0" w:color="auto"/>
            </w:tcBorders>
            <w:shd w:val="clear" w:color="000000" w:fill="FFFFFF"/>
            <w:vAlign w:val="center"/>
            <w:hideMark/>
          </w:tcPr>
          <w:p w14:paraId="227C8D57"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351</w:t>
            </w:r>
          </w:p>
        </w:tc>
        <w:tc>
          <w:tcPr>
            <w:tcW w:w="1128" w:type="dxa"/>
            <w:tcBorders>
              <w:top w:val="nil"/>
              <w:left w:val="nil"/>
              <w:bottom w:val="single" w:sz="8" w:space="0" w:color="auto"/>
              <w:right w:val="single" w:sz="8" w:space="0" w:color="auto"/>
            </w:tcBorders>
            <w:shd w:val="clear" w:color="000000" w:fill="FFFFFF"/>
            <w:vAlign w:val="center"/>
            <w:hideMark/>
          </w:tcPr>
          <w:p w14:paraId="1F471A0D"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383</w:t>
            </w:r>
          </w:p>
        </w:tc>
        <w:tc>
          <w:tcPr>
            <w:tcW w:w="1128" w:type="dxa"/>
            <w:tcBorders>
              <w:top w:val="nil"/>
              <w:left w:val="nil"/>
              <w:bottom w:val="single" w:sz="8" w:space="0" w:color="auto"/>
              <w:right w:val="single" w:sz="8" w:space="0" w:color="auto"/>
            </w:tcBorders>
            <w:shd w:val="clear" w:color="000000" w:fill="FFFFFF"/>
            <w:vAlign w:val="center"/>
            <w:hideMark/>
          </w:tcPr>
          <w:p w14:paraId="05BF173A"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202</w:t>
            </w:r>
          </w:p>
        </w:tc>
        <w:tc>
          <w:tcPr>
            <w:tcW w:w="1128" w:type="dxa"/>
            <w:tcBorders>
              <w:top w:val="nil"/>
              <w:left w:val="nil"/>
              <w:bottom w:val="single" w:sz="8" w:space="0" w:color="auto"/>
              <w:right w:val="single" w:sz="8" w:space="0" w:color="auto"/>
            </w:tcBorders>
            <w:shd w:val="clear" w:color="000000" w:fill="FFFFFF"/>
            <w:vAlign w:val="center"/>
            <w:hideMark/>
          </w:tcPr>
          <w:p w14:paraId="0EEACFE2"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302</w:t>
            </w:r>
          </w:p>
        </w:tc>
      </w:tr>
      <w:tr w:rsidR="00E371E6" w:rsidRPr="00E371E6" w14:paraId="5FEF8590" w14:textId="77777777" w:rsidTr="00E371E6">
        <w:trPr>
          <w:trHeight w:val="343"/>
          <w:jc w:val="center"/>
        </w:trPr>
        <w:tc>
          <w:tcPr>
            <w:tcW w:w="2050" w:type="dxa"/>
            <w:tcBorders>
              <w:top w:val="nil"/>
              <w:left w:val="single" w:sz="8" w:space="0" w:color="auto"/>
              <w:bottom w:val="single" w:sz="8" w:space="0" w:color="auto"/>
              <w:right w:val="single" w:sz="8" w:space="0" w:color="auto"/>
            </w:tcBorders>
            <w:shd w:val="clear" w:color="000000" w:fill="FFFFFF"/>
            <w:vAlign w:val="center"/>
            <w:hideMark/>
          </w:tcPr>
          <w:p w14:paraId="68F979F5"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Suspendido</w:t>
            </w:r>
          </w:p>
        </w:tc>
        <w:tc>
          <w:tcPr>
            <w:tcW w:w="1128" w:type="dxa"/>
            <w:tcBorders>
              <w:top w:val="nil"/>
              <w:left w:val="nil"/>
              <w:bottom w:val="single" w:sz="8" w:space="0" w:color="auto"/>
              <w:right w:val="single" w:sz="8" w:space="0" w:color="auto"/>
            </w:tcBorders>
            <w:shd w:val="clear" w:color="000000" w:fill="FFFFFF"/>
            <w:vAlign w:val="center"/>
            <w:hideMark/>
          </w:tcPr>
          <w:p w14:paraId="45C8A58A"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699</w:t>
            </w:r>
          </w:p>
        </w:tc>
        <w:tc>
          <w:tcPr>
            <w:tcW w:w="1128" w:type="dxa"/>
            <w:tcBorders>
              <w:top w:val="nil"/>
              <w:left w:val="nil"/>
              <w:bottom w:val="single" w:sz="8" w:space="0" w:color="auto"/>
              <w:right w:val="single" w:sz="8" w:space="0" w:color="auto"/>
            </w:tcBorders>
            <w:shd w:val="clear" w:color="000000" w:fill="FFFFFF"/>
            <w:vAlign w:val="center"/>
            <w:hideMark/>
          </w:tcPr>
          <w:p w14:paraId="3D836A70"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793</w:t>
            </w:r>
          </w:p>
        </w:tc>
        <w:tc>
          <w:tcPr>
            <w:tcW w:w="1128" w:type="dxa"/>
            <w:tcBorders>
              <w:top w:val="nil"/>
              <w:left w:val="nil"/>
              <w:bottom w:val="single" w:sz="8" w:space="0" w:color="auto"/>
              <w:right w:val="single" w:sz="8" w:space="0" w:color="auto"/>
            </w:tcBorders>
            <w:shd w:val="clear" w:color="000000" w:fill="FFFFFF"/>
            <w:vAlign w:val="center"/>
            <w:hideMark/>
          </w:tcPr>
          <w:p w14:paraId="75971337"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484</w:t>
            </w:r>
          </w:p>
        </w:tc>
        <w:tc>
          <w:tcPr>
            <w:tcW w:w="1128" w:type="dxa"/>
            <w:tcBorders>
              <w:top w:val="nil"/>
              <w:left w:val="nil"/>
              <w:bottom w:val="single" w:sz="8" w:space="0" w:color="auto"/>
              <w:right w:val="single" w:sz="8" w:space="0" w:color="auto"/>
            </w:tcBorders>
            <w:shd w:val="clear" w:color="000000" w:fill="FFFFFF"/>
            <w:vAlign w:val="center"/>
            <w:hideMark/>
          </w:tcPr>
          <w:p w14:paraId="3FC91E97"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1281</w:t>
            </w:r>
          </w:p>
        </w:tc>
        <w:tc>
          <w:tcPr>
            <w:tcW w:w="1128" w:type="dxa"/>
            <w:tcBorders>
              <w:top w:val="nil"/>
              <w:left w:val="nil"/>
              <w:bottom w:val="single" w:sz="8" w:space="0" w:color="auto"/>
              <w:right w:val="single" w:sz="8" w:space="0" w:color="auto"/>
            </w:tcBorders>
            <w:shd w:val="clear" w:color="000000" w:fill="FFFFFF"/>
            <w:vAlign w:val="center"/>
            <w:hideMark/>
          </w:tcPr>
          <w:p w14:paraId="21A75934"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546</w:t>
            </w:r>
          </w:p>
        </w:tc>
        <w:tc>
          <w:tcPr>
            <w:tcW w:w="1128" w:type="dxa"/>
            <w:tcBorders>
              <w:top w:val="nil"/>
              <w:left w:val="nil"/>
              <w:bottom w:val="single" w:sz="8" w:space="0" w:color="auto"/>
              <w:right w:val="single" w:sz="8" w:space="0" w:color="auto"/>
            </w:tcBorders>
            <w:shd w:val="clear" w:color="000000" w:fill="FFFFFF"/>
            <w:vAlign w:val="center"/>
            <w:hideMark/>
          </w:tcPr>
          <w:p w14:paraId="2C15EB45"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418</w:t>
            </w:r>
          </w:p>
        </w:tc>
      </w:tr>
      <w:tr w:rsidR="00E371E6" w:rsidRPr="00E371E6" w14:paraId="5C3742E1" w14:textId="77777777" w:rsidTr="00E371E6">
        <w:trPr>
          <w:trHeight w:val="343"/>
          <w:jc w:val="center"/>
        </w:trPr>
        <w:tc>
          <w:tcPr>
            <w:tcW w:w="2050" w:type="dxa"/>
            <w:tcBorders>
              <w:top w:val="nil"/>
              <w:left w:val="single" w:sz="8" w:space="0" w:color="auto"/>
              <w:bottom w:val="single" w:sz="8" w:space="0" w:color="auto"/>
              <w:right w:val="single" w:sz="8" w:space="0" w:color="auto"/>
            </w:tcBorders>
            <w:shd w:val="clear" w:color="000000" w:fill="FFFFFF"/>
            <w:vAlign w:val="center"/>
            <w:hideMark/>
          </w:tcPr>
          <w:p w14:paraId="02E3DACE"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Pendientes</w:t>
            </w:r>
          </w:p>
        </w:tc>
        <w:tc>
          <w:tcPr>
            <w:tcW w:w="1128" w:type="dxa"/>
            <w:tcBorders>
              <w:top w:val="nil"/>
              <w:left w:val="nil"/>
              <w:bottom w:val="single" w:sz="8" w:space="0" w:color="auto"/>
              <w:right w:val="single" w:sz="8" w:space="0" w:color="auto"/>
            </w:tcBorders>
            <w:shd w:val="clear" w:color="000000" w:fill="FFFFFF"/>
            <w:vAlign w:val="center"/>
            <w:hideMark/>
          </w:tcPr>
          <w:p w14:paraId="7A4DBD1E"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1 108</w:t>
            </w:r>
          </w:p>
        </w:tc>
        <w:tc>
          <w:tcPr>
            <w:tcW w:w="1128" w:type="dxa"/>
            <w:tcBorders>
              <w:top w:val="nil"/>
              <w:left w:val="nil"/>
              <w:bottom w:val="single" w:sz="8" w:space="0" w:color="auto"/>
              <w:right w:val="single" w:sz="8" w:space="0" w:color="auto"/>
            </w:tcBorders>
            <w:shd w:val="clear" w:color="000000" w:fill="FFFFFF"/>
            <w:vAlign w:val="center"/>
            <w:hideMark/>
          </w:tcPr>
          <w:p w14:paraId="135D0F28"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787</w:t>
            </w:r>
          </w:p>
        </w:tc>
        <w:tc>
          <w:tcPr>
            <w:tcW w:w="1128" w:type="dxa"/>
            <w:tcBorders>
              <w:top w:val="nil"/>
              <w:left w:val="nil"/>
              <w:bottom w:val="single" w:sz="8" w:space="0" w:color="auto"/>
              <w:right w:val="single" w:sz="8" w:space="0" w:color="auto"/>
            </w:tcBorders>
            <w:shd w:val="clear" w:color="000000" w:fill="FFFFFF"/>
            <w:vAlign w:val="center"/>
            <w:hideMark/>
          </w:tcPr>
          <w:p w14:paraId="741B2142"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255</w:t>
            </w:r>
          </w:p>
        </w:tc>
        <w:tc>
          <w:tcPr>
            <w:tcW w:w="1128" w:type="dxa"/>
            <w:tcBorders>
              <w:top w:val="nil"/>
              <w:left w:val="nil"/>
              <w:bottom w:val="single" w:sz="8" w:space="0" w:color="auto"/>
              <w:right w:val="single" w:sz="8" w:space="0" w:color="auto"/>
            </w:tcBorders>
            <w:shd w:val="clear" w:color="000000" w:fill="FFFFFF"/>
            <w:vAlign w:val="center"/>
            <w:hideMark/>
          </w:tcPr>
          <w:p w14:paraId="4FD7D5DD"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87</w:t>
            </w:r>
          </w:p>
        </w:tc>
        <w:tc>
          <w:tcPr>
            <w:tcW w:w="1128" w:type="dxa"/>
            <w:tcBorders>
              <w:top w:val="nil"/>
              <w:left w:val="nil"/>
              <w:bottom w:val="single" w:sz="8" w:space="0" w:color="auto"/>
              <w:right w:val="single" w:sz="8" w:space="0" w:color="auto"/>
            </w:tcBorders>
            <w:shd w:val="clear" w:color="000000" w:fill="FFFFFF"/>
            <w:vAlign w:val="center"/>
            <w:hideMark/>
          </w:tcPr>
          <w:p w14:paraId="263466EA"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53</w:t>
            </w:r>
          </w:p>
        </w:tc>
        <w:tc>
          <w:tcPr>
            <w:tcW w:w="1128" w:type="dxa"/>
            <w:tcBorders>
              <w:top w:val="nil"/>
              <w:left w:val="nil"/>
              <w:bottom w:val="single" w:sz="8" w:space="0" w:color="auto"/>
              <w:right w:val="single" w:sz="8" w:space="0" w:color="auto"/>
            </w:tcBorders>
            <w:shd w:val="clear" w:color="000000" w:fill="FFFFFF"/>
            <w:vAlign w:val="center"/>
            <w:hideMark/>
          </w:tcPr>
          <w:p w14:paraId="435CDA80" w14:textId="77777777" w:rsidR="00E371E6" w:rsidRPr="00E371E6" w:rsidRDefault="00E371E6" w:rsidP="00E371E6">
            <w:pPr>
              <w:spacing w:after="0" w:line="240" w:lineRule="auto"/>
              <w:jc w:val="center"/>
              <w:rPr>
                <w:rFonts w:ascii="Book Antiqua" w:eastAsia="Times New Roman" w:hAnsi="Book Antiqua" w:cs="Calibri"/>
                <w:color w:val="000000"/>
                <w:sz w:val="20"/>
                <w:szCs w:val="20"/>
                <w:lang w:eastAsia="es-CR"/>
              </w:rPr>
            </w:pPr>
            <w:r w:rsidRPr="00E371E6">
              <w:rPr>
                <w:rFonts w:ascii="Book Antiqua" w:eastAsia="Times New Roman" w:hAnsi="Book Antiqua" w:cs="Calibri"/>
                <w:color w:val="000000"/>
                <w:sz w:val="20"/>
                <w:szCs w:val="20"/>
                <w:lang w:eastAsia="es-CR"/>
              </w:rPr>
              <w:t>157</w:t>
            </w:r>
          </w:p>
        </w:tc>
      </w:tr>
      <w:tr w:rsidR="00E371E6" w:rsidRPr="00E371E6" w14:paraId="309D323E" w14:textId="77777777" w:rsidTr="00E371E6">
        <w:trPr>
          <w:trHeight w:val="343"/>
          <w:jc w:val="center"/>
        </w:trPr>
        <w:tc>
          <w:tcPr>
            <w:tcW w:w="2050" w:type="dxa"/>
            <w:tcBorders>
              <w:top w:val="nil"/>
              <w:left w:val="single" w:sz="8" w:space="0" w:color="auto"/>
              <w:bottom w:val="single" w:sz="8" w:space="0" w:color="auto"/>
              <w:right w:val="single" w:sz="8" w:space="0" w:color="auto"/>
            </w:tcBorders>
            <w:shd w:val="clear" w:color="000000" w:fill="0070C0"/>
            <w:vAlign w:val="center"/>
            <w:hideMark/>
          </w:tcPr>
          <w:p w14:paraId="4F0D9E89"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Total señalados</w:t>
            </w:r>
          </w:p>
        </w:tc>
        <w:tc>
          <w:tcPr>
            <w:tcW w:w="1128" w:type="dxa"/>
            <w:tcBorders>
              <w:top w:val="nil"/>
              <w:left w:val="nil"/>
              <w:bottom w:val="single" w:sz="8" w:space="0" w:color="auto"/>
              <w:right w:val="single" w:sz="8" w:space="0" w:color="auto"/>
            </w:tcBorders>
            <w:shd w:val="clear" w:color="000000" w:fill="0070C0"/>
            <w:vAlign w:val="center"/>
            <w:hideMark/>
          </w:tcPr>
          <w:p w14:paraId="5887BDB8"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12 169</w:t>
            </w:r>
          </w:p>
        </w:tc>
        <w:tc>
          <w:tcPr>
            <w:tcW w:w="1128" w:type="dxa"/>
            <w:tcBorders>
              <w:top w:val="nil"/>
              <w:left w:val="nil"/>
              <w:bottom w:val="single" w:sz="8" w:space="0" w:color="auto"/>
              <w:right w:val="single" w:sz="8" w:space="0" w:color="auto"/>
            </w:tcBorders>
            <w:shd w:val="clear" w:color="000000" w:fill="0070C0"/>
            <w:vAlign w:val="center"/>
            <w:hideMark/>
          </w:tcPr>
          <w:p w14:paraId="6A860E6A"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12 445</w:t>
            </w:r>
          </w:p>
        </w:tc>
        <w:tc>
          <w:tcPr>
            <w:tcW w:w="1128" w:type="dxa"/>
            <w:tcBorders>
              <w:top w:val="nil"/>
              <w:left w:val="nil"/>
              <w:bottom w:val="single" w:sz="8" w:space="0" w:color="auto"/>
              <w:right w:val="single" w:sz="8" w:space="0" w:color="auto"/>
            </w:tcBorders>
            <w:shd w:val="clear" w:color="000000" w:fill="0070C0"/>
            <w:vAlign w:val="center"/>
            <w:hideMark/>
          </w:tcPr>
          <w:p w14:paraId="33E3D8CB"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12 034</w:t>
            </w:r>
          </w:p>
        </w:tc>
        <w:tc>
          <w:tcPr>
            <w:tcW w:w="1128" w:type="dxa"/>
            <w:tcBorders>
              <w:top w:val="nil"/>
              <w:left w:val="nil"/>
              <w:bottom w:val="single" w:sz="8" w:space="0" w:color="auto"/>
              <w:right w:val="single" w:sz="8" w:space="0" w:color="auto"/>
            </w:tcBorders>
            <w:shd w:val="clear" w:color="000000" w:fill="0070C0"/>
            <w:vAlign w:val="center"/>
            <w:hideMark/>
          </w:tcPr>
          <w:p w14:paraId="4700A6E2"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6 404</w:t>
            </w:r>
          </w:p>
        </w:tc>
        <w:tc>
          <w:tcPr>
            <w:tcW w:w="1128" w:type="dxa"/>
            <w:tcBorders>
              <w:top w:val="nil"/>
              <w:left w:val="nil"/>
              <w:bottom w:val="single" w:sz="8" w:space="0" w:color="auto"/>
              <w:right w:val="single" w:sz="8" w:space="0" w:color="auto"/>
            </w:tcBorders>
            <w:shd w:val="clear" w:color="000000" w:fill="0070C0"/>
            <w:vAlign w:val="center"/>
            <w:hideMark/>
          </w:tcPr>
          <w:p w14:paraId="7F0EFC59"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10 618</w:t>
            </w:r>
          </w:p>
        </w:tc>
        <w:tc>
          <w:tcPr>
            <w:tcW w:w="1128" w:type="dxa"/>
            <w:tcBorders>
              <w:top w:val="nil"/>
              <w:left w:val="nil"/>
              <w:bottom w:val="single" w:sz="8" w:space="0" w:color="auto"/>
              <w:right w:val="single" w:sz="8" w:space="0" w:color="auto"/>
            </w:tcBorders>
            <w:shd w:val="clear" w:color="000000" w:fill="0070C0"/>
            <w:vAlign w:val="center"/>
            <w:hideMark/>
          </w:tcPr>
          <w:p w14:paraId="7CF3D0C6" w14:textId="77777777" w:rsidR="00E371E6" w:rsidRPr="00E371E6" w:rsidRDefault="00E371E6" w:rsidP="00E371E6">
            <w:pPr>
              <w:spacing w:after="0" w:line="240" w:lineRule="auto"/>
              <w:jc w:val="center"/>
              <w:rPr>
                <w:rFonts w:ascii="Book Antiqua" w:eastAsia="Times New Roman" w:hAnsi="Book Antiqua" w:cs="Calibri"/>
                <w:b/>
                <w:bCs/>
                <w:color w:val="FFFFFF"/>
                <w:sz w:val="20"/>
                <w:szCs w:val="20"/>
                <w:lang w:eastAsia="es-CR"/>
              </w:rPr>
            </w:pPr>
            <w:r w:rsidRPr="00E371E6">
              <w:rPr>
                <w:rFonts w:ascii="Book Antiqua" w:eastAsia="Times New Roman" w:hAnsi="Book Antiqua" w:cs="Calibri"/>
                <w:b/>
                <w:bCs/>
                <w:color w:val="FFFFFF"/>
                <w:sz w:val="20"/>
                <w:szCs w:val="20"/>
                <w:lang w:eastAsia="es-CR"/>
              </w:rPr>
              <w:t>14 253</w:t>
            </w:r>
          </w:p>
        </w:tc>
      </w:tr>
      <w:tr w:rsidR="00E371E6" w:rsidRPr="00E371E6" w14:paraId="2B1671DA" w14:textId="77777777" w:rsidTr="00E371E6">
        <w:trPr>
          <w:trHeight w:val="762"/>
          <w:jc w:val="center"/>
        </w:trPr>
        <w:tc>
          <w:tcPr>
            <w:tcW w:w="2050" w:type="dxa"/>
            <w:tcBorders>
              <w:top w:val="nil"/>
              <w:left w:val="single" w:sz="8" w:space="0" w:color="auto"/>
              <w:bottom w:val="single" w:sz="8" w:space="0" w:color="auto"/>
              <w:right w:val="single" w:sz="8" w:space="0" w:color="auto"/>
            </w:tcBorders>
            <w:shd w:val="clear" w:color="000000" w:fill="B8CCE4"/>
            <w:vAlign w:val="center"/>
            <w:hideMark/>
          </w:tcPr>
          <w:p w14:paraId="199D472C"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Señalamientos Promedio por mes</w:t>
            </w:r>
          </w:p>
        </w:tc>
        <w:tc>
          <w:tcPr>
            <w:tcW w:w="1128" w:type="dxa"/>
            <w:tcBorders>
              <w:top w:val="nil"/>
              <w:left w:val="nil"/>
              <w:bottom w:val="single" w:sz="8" w:space="0" w:color="auto"/>
              <w:right w:val="single" w:sz="8" w:space="0" w:color="auto"/>
            </w:tcBorders>
            <w:shd w:val="clear" w:color="000000" w:fill="B8CCE4"/>
            <w:vAlign w:val="center"/>
            <w:hideMark/>
          </w:tcPr>
          <w:p w14:paraId="41C023DF"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1082</w:t>
            </w:r>
          </w:p>
        </w:tc>
        <w:tc>
          <w:tcPr>
            <w:tcW w:w="1128" w:type="dxa"/>
            <w:tcBorders>
              <w:top w:val="nil"/>
              <w:left w:val="nil"/>
              <w:bottom w:val="single" w:sz="8" w:space="0" w:color="auto"/>
              <w:right w:val="single" w:sz="8" w:space="0" w:color="auto"/>
            </w:tcBorders>
            <w:shd w:val="clear" w:color="000000" w:fill="B8CCE4"/>
            <w:vAlign w:val="center"/>
            <w:hideMark/>
          </w:tcPr>
          <w:p w14:paraId="032D0765"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1106</w:t>
            </w:r>
          </w:p>
        </w:tc>
        <w:tc>
          <w:tcPr>
            <w:tcW w:w="1128" w:type="dxa"/>
            <w:tcBorders>
              <w:top w:val="nil"/>
              <w:left w:val="nil"/>
              <w:bottom w:val="single" w:sz="8" w:space="0" w:color="auto"/>
              <w:right w:val="single" w:sz="8" w:space="0" w:color="auto"/>
            </w:tcBorders>
            <w:shd w:val="clear" w:color="000000" w:fill="B8CCE4"/>
            <w:vAlign w:val="center"/>
            <w:hideMark/>
          </w:tcPr>
          <w:p w14:paraId="718157F3"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1070</w:t>
            </w:r>
          </w:p>
        </w:tc>
        <w:tc>
          <w:tcPr>
            <w:tcW w:w="1128" w:type="dxa"/>
            <w:tcBorders>
              <w:top w:val="nil"/>
              <w:left w:val="nil"/>
              <w:bottom w:val="single" w:sz="8" w:space="0" w:color="auto"/>
              <w:right w:val="single" w:sz="8" w:space="0" w:color="auto"/>
            </w:tcBorders>
            <w:shd w:val="clear" w:color="000000" w:fill="B8CCE4"/>
            <w:vAlign w:val="center"/>
            <w:hideMark/>
          </w:tcPr>
          <w:p w14:paraId="0A17F035"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569</w:t>
            </w:r>
          </w:p>
        </w:tc>
        <w:tc>
          <w:tcPr>
            <w:tcW w:w="1128" w:type="dxa"/>
            <w:tcBorders>
              <w:top w:val="nil"/>
              <w:left w:val="nil"/>
              <w:bottom w:val="single" w:sz="8" w:space="0" w:color="auto"/>
              <w:right w:val="single" w:sz="8" w:space="0" w:color="auto"/>
            </w:tcBorders>
            <w:shd w:val="clear" w:color="000000" w:fill="B8CCE4"/>
            <w:vAlign w:val="center"/>
            <w:hideMark/>
          </w:tcPr>
          <w:p w14:paraId="5366CD16"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944</w:t>
            </w:r>
          </w:p>
        </w:tc>
        <w:tc>
          <w:tcPr>
            <w:tcW w:w="1128" w:type="dxa"/>
            <w:tcBorders>
              <w:top w:val="nil"/>
              <w:left w:val="nil"/>
              <w:bottom w:val="single" w:sz="8" w:space="0" w:color="auto"/>
              <w:right w:val="single" w:sz="8" w:space="0" w:color="auto"/>
            </w:tcBorders>
            <w:shd w:val="clear" w:color="000000" w:fill="B8CCE4"/>
            <w:vAlign w:val="center"/>
            <w:hideMark/>
          </w:tcPr>
          <w:p w14:paraId="29D6A8CC"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1267</w:t>
            </w:r>
          </w:p>
        </w:tc>
      </w:tr>
      <w:tr w:rsidR="00E371E6" w:rsidRPr="00E371E6" w14:paraId="0B5095EA" w14:textId="77777777" w:rsidTr="00E371E6">
        <w:trPr>
          <w:trHeight w:val="852"/>
          <w:jc w:val="center"/>
        </w:trPr>
        <w:tc>
          <w:tcPr>
            <w:tcW w:w="2050" w:type="dxa"/>
            <w:tcBorders>
              <w:top w:val="nil"/>
              <w:left w:val="single" w:sz="8" w:space="0" w:color="auto"/>
              <w:bottom w:val="single" w:sz="8" w:space="0" w:color="auto"/>
              <w:right w:val="single" w:sz="8" w:space="0" w:color="auto"/>
            </w:tcBorders>
            <w:shd w:val="clear" w:color="000000" w:fill="B8CCE4"/>
            <w:vAlign w:val="center"/>
            <w:hideMark/>
          </w:tcPr>
          <w:p w14:paraId="171A8693"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Porcentaje Efectividad por periodo</w:t>
            </w:r>
          </w:p>
        </w:tc>
        <w:tc>
          <w:tcPr>
            <w:tcW w:w="1128" w:type="dxa"/>
            <w:tcBorders>
              <w:top w:val="nil"/>
              <w:left w:val="nil"/>
              <w:bottom w:val="single" w:sz="8" w:space="0" w:color="auto"/>
              <w:right w:val="single" w:sz="8" w:space="0" w:color="auto"/>
            </w:tcBorders>
            <w:shd w:val="clear" w:color="000000" w:fill="B8CCE4"/>
            <w:vAlign w:val="center"/>
            <w:hideMark/>
          </w:tcPr>
          <w:p w14:paraId="6FA968BA"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56%</w:t>
            </w:r>
          </w:p>
        </w:tc>
        <w:tc>
          <w:tcPr>
            <w:tcW w:w="1128" w:type="dxa"/>
            <w:tcBorders>
              <w:top w:val="nil"/>
              <w:left w:val="nil"/>
              <w:bottom w:val="single" w:sz="8" w:space="0" w:color="auto"/>
              <w:right w:val="single" w:sz="8" w:space="0" w:color="auto"/>
            </w:tcBorders>
            <w:shd w:val="clear" w:color="000000" w:fill="B8CCE4"/>
            <w:vAlign w:val="center"/>
            <w:hideMark/>
          </w:tcPr>
          <w:p w14:paraId="512391AB"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59%</w:t>
            </w:r>
          </w:p>
        </w:tc>
        <w:tc>
          <w:tcPr>
            <w:tcW w:w="1128" w:type="dxa"/>
            <w:tcBorders>
              <w:top w:val="nil"/>
              <w:left w:val="nil"/>
              <w:bottom w:val="single" w:sz="8" w:space="0" w:color="auto"/>
              <w:right w:val="single" w:sz="8" w:space="0" w:color="auto"/>
            </w:tcBorders>
            <w:shd w:val="clear" w:color="000000" w:fill="B8CCE4"/>
            <w:vAlign w:val="center"/>
            <w:hideMark/>
          </w:tcPr>
          <w:p w14:paraId="5C982EC0"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62%</w:t>
            </w:r>
          </w:p>
        </w:tc>
        <w:tc>
          <w:tcPr>
            <w:tcW w:w="1128" w:type="dxa"/>
            <w:tcBorders>
              <w:top w:val="nil"/>
              <w:left w:val="nil"/>
              <w:bottom w:val="single" w:sz="8" w:space="0" w:color="auto"/>
              <w:right w:val="single" w:sz="8" w:space="0" w:color="auto"/>
            </w:tcBorders>
            <w:shd w:val="clear" w:color="000000" w:fill="B8CCE4"/>
            <w:vAlign w:val="center"/>
            <w:hideMark/>
          </w:tcPr>
          <w:p w14:paraId="55466F97"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46%</w:t>
            </w:r>
          </w:p>
        </w:tc>
        <w:tc>
          <w:tcPr>
            <w:tcW w:w="1128" w:type="dxa"/>
            <w:tcBorders>
              <w:top w:val="nil"/>
              <w:left w:val="nil"/>
              <w:bottom w:val="single" w:sz="8" w:space="0" w:color="auto"/>
              <w:right w:val="single" w:sz="8" w:space="0" w:color="auto"/>
            </w:tcBorders>
            <w:shd w:val="clear" w:color="000000" w:fill="B8CCE4"/>
            <w:vAlign w:val="center"/>
            <w:hideMark/>
          </w:tcPr>
          <w:p w14:paraId="0A33C6A8"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67%</w:t>
            </w:r>
          </w:p>
        </w:tc>
        <w:tc>
          <w:tcPr>
            <w:tcW w:w="1128" w:type="dxa"/>
            <w:tcBorders>
              <w:top w:val="nil"/>
              <w:left w:val="nil"/>
              <w:bottom w:val="single" w:sz="8" w:space="0" w:color="auto"/>
              <w:right w:val="single" w:sz="8" w:space="0" w:color="auto"/>
            </w:tcBorders>
            <w:shd w:val="clear" w:color="000000" w:fill="B8CCE4"/>
            <w:vAlign w:val="center"/>
            <w:hideMark/>
          </w:tcPr>
          <w:p w14:paraId="7F58C37D" w14:textId="77777777" w:rsidR="00E371E6" w:rsidRPr="00E371E6" w:rsidRDefault="00E371E6" w:rsidP="00E371E6">
            <w:pPr>
              <w:spacing w:after="0" w:line="240" w:lineRule="auto"/>
              <w:jc w:val="center"/>
              <w:rPr>
                <w:rFonts w:ascii="Book Antiqua" w:eastAsia="Times New Roman" w:hAnsi="Book Antiqua" w:cs="Calibri"/>
                <w:b/>
                <w:bCs/>
                <w:color w:val="000000"/>
                <w:sz w:val="20"/>
                <w:szCs w:val="20"/>
                <w:lang w:eastAsia="es-CR"/>
              </w:rPr>
            </w:pPr>
            <w:r w:rsidRPr="00E371E6">
              <w:rPr>
                <w:rFonts w:ascii="Book Antiqua" w:eastAsia="Times New Roman" w:hAnsi="Book Antiqua" w:cs="Calibri"/>
                <w:b/>
                <w:bCs/>
                <w:color w:val="000000"/>
                <w:sz w:val="20"/>
                <w:szCs w:val="20"/>
                <w:lang w:eastAsia="es-CR"/>
              </w:rPr>
              <w:t>60%</w:t>
            </w:r>
          </w:p>
        </w:tc>
      </w:tr>
    </w:tbl>
    <w:p w14:paraId="2F4C74AD" w14:textId="54A2FEE0" w:rsidR="00C36C20" w:rsidRDefault="004248CC" w:rsidP="004248CC">
      <w:pPr>
        <w:spacing w:after="0" w:line="276" w:lineRule="auto"/>
        <w:rPr>
          <w:rFonts w:ascii="Book Antiqua" w:eastAsia="Calibri" w:hAnsi="Book Antiqua" w:cs="Arial"/>
          <w:i/>
          <w:iCs/>
          <w:sz w:val="20"/>
          <w:szCs w:val="20"/>
        </w:rPr>
      </w:pPr>
      <w:r w:rsidRPr="00ED2ACB">
        <w:rPr>
          <w:rFonts w:ascii="Book Antiqua" w:eastAsia="Calibri" w:hAnsi="Book Antiqua" w:cs="Arial"/>
          <w:b/>
          <w:bCs/>
          <w:i/>
          <w:iCs/>
          <w:sz w:val="20"/>
          <w:szCs w:val="20"/>
        </w:rPr>
        <w:t>Fuente:</w:t>
      </w:r>
      <w:r w:rsidRPr="004248CC">
        <w:rPr>
          <w:rFonts w:ascii="Book Antiqua" w:eastAsia="Calibri" w:hAnsi="Book Antiqua" w:cs="Arial"/>
          <w:i/>
          <w:iCs/>
          <w:sz w:val="20"/>
          <w:szCs w:val="20"/>
        </w:rPr>
        <w:t xml:space="preserve"> Subproceso de Modernización Institucional, con datos </w:t>
      </w:r>
      <w:r w:rsidR="00A35988">
        <w:rPr>
          <w:rFonts w:ascii="Book Antiqua" w:eastAsia="Calibri" w:hAnsi="Book Antiqua" w:cs="Arial"/>
          <w:i/>
          <w:iCs/>
          <w:sz w:val="20"/>
          <w:szCs w:val="20"/>
        </w:rPr>
        <w:t>suministrados por</w:t>
      </w:r>
      <w:r w:rsidRPr="004248CC">
        <w:rPr>
          <w:rFonts w:ascii="Book Antiqua" w:eastAsia="Calibri" w:hAnsi="Book Antiqua" w:cs="Arial"/>
          <w:i/>
          <w:iCs/>
          <w:sz w:val="20"/>
          <w:szCs w:val="20"/>
        </w:rPr>
        <w:t xml:space="preserve"> los Juzgados Especializados de Familia, del 201</w:t>
      </w:r>
      <w:r>
        <w:rPr>
          <w:rFonts w:ascii="Book Antiqua" w:eastAsia="Calibri" w:hAnsi="Book Antiqua" w:cs="Arial"/>
          <w:i/>
          <w:iCs/>
          <w:sz w:val="20"/>
          <w:szCs w:val="20"/>
        </w:rPr>
        <w:t>7</w:t>
      </w:r>
      <w:r w:rsidRPr="004248CC">
        <w:rPr>
          <w:rFonts w:ascii="Book Antiqua" w:eastAsia="Calibri" w:hAnsi="Book Antiqua" w:cs="Arial"/>
          <w:i/>
          <w:iCs/>
          <w:sz w:val="20"/>
          <w:szCs w:val="20"/>
        </w:rPr>
        <w:t xml:space="preserve"> al 20</w:t>
      </w:r>
      <w:r>
        <w:rPr>
          <w:rFonts w:ascii="Book Antiqua" w:eastAsia="Calibri" w:hAnsi="Book Antiqua" w:cs="Arial"/>
          <w:i/>
          <w:iCs/>
          <w:sz w:val="20"/>
          <w:szCs w:val="20"/>
        </w:rPr>
        <w:t>2</w:t>
      </w:r>
      <w:r w:rsidR="00A35988">
        <w:rPr>
          <w:rFonts w:ascii="Book Antiqua" w:eastAsia="Calibri" w:hAnsi="Book Antiqua" w:cs="Arial"/>
          <w:i/>
          <w:iCs/>
          <w:sz w:val="20"/>
          <w:szCs w:val="20"/>
        </w:rPr>
        <w:t>2</w:t>
      </w:r>
      <w:r>
        <w:rPr>
          <w:rFonts w:ascii="Book Antiqua" w:eastAsia="Calibri" w:hAnsi="Book Antiqua" w:cs="Arial"/>
          <w:i/>
          <w:iCs/>
          <w:sz w:val="20"/>
          <w:szCs w:val="20"/>
        </w:rPr>
        <w:t>.</w:t>
      </w:r>
    </w:p>
    <w:p w14:paraId="1BB63C4F" w14:textId="1B792675" w:rsidR="002946EB" w:rsidRDefault="002946EB" w:rsidP="004248CC">
      <w:pPr>
        <w:spacing w:after="0" w:line="276" w:lineRule="auto"/>
        <w:rPr>
          <w:rFonts w:ascii="Book Antiqua" w:eastAsia="Calibri" w:hAnsi="Book Antiqua" w:cs="Arial"/>
          <w:i/>
          <w:iCs/>
          <w:sz w:val="20"/>
          <w:szCs w:val="20"/>
        </w:rPr>
      </w:pPr>
      <w:bookmarkStart w:id="23" w:name="_Hlk97283229"/>
      <w:r w:rsidRPr="002768D4">
        <w:rPr>
          <w:rFonts w:ascii="Book Antiqua" w:eastAsia="Calibri" w:hAnsi="Book Antiqua" w:cs="Arial"/>
          <w:b/>
          <w:bCs/>
          <w:i/>
          <w:iCs/>
          <w:sz w:val="20"/>
          <w:szCs w:val="20"/>
        </w:rPr>
        <w:t>Nota:</w:t>
      </w:r>
      <w:r w:rsidRPr="00E371E6">
        <w:rPr>
          <w:rFonts w:ascii="Book Antiqua" w:eastAsia="Calibri" w:hAnsi="Book Antiqua" w:cs="Arial"/>
          <w:i/>
          <w:iCs/>
          <w:sz w:val="20"/>
          <w:szCs w:val="20"/>
        </w:rPr>
        <w:t xml:space="preserve"> No se recibió la información del Juzgado</w:t>
      </w:r>
      <w:r w:rsidR="00E371E6" w:rsidRPr="00E371E6">
        <w:rPr>
          <w:rFonts w:ascii="Book Antiqua" w:eastAsia="Calibri" w:hAnsi="Book Antiqua" w:cs="Arial"/>
          <w:i/>
          <w:iCs/>
          <w:sz w:val="20"/>
          <w:szCs w:val="20"/>
        </w:rPr>
        <w:t xml:space="preserve"> de Familia II Circuito Judicial de San José (Goicochea)</w:t>
      </w:r>
      <w:r w:rsidRPr="00E371E6">
        <w:rPr>
          <w:rFonts w:ascii="Book Antiqua" w:eastAsia="Calibri" w:hAnsi="Book Antiqua" w:cs="Arial"/>
          <w:i/>
          <w:iCs/>
          <w:sz w:val="20"/>
          <w:szCs w:val="20"/>
        </w:rPr>
        <w:t>.</w:t>
      </w:r>
      <w:r>
        <w:rPr>
          <w:rFonts w:ascii="Book Antiqua" w:eastAsia="Calibri" w:hAnsi="Book Antiqua" w:cs="Arial"/>
          <w:i/>
          <w:iCs/>
          <w:sz w:val="20"/>
          <w:szCs w:val="20"/>
        </w:rPr>
        <w:t xml:space="preserve"> </w:t>
      </w:r>
    </w:p>
    <w:bookmarkEnd w:id="23"/>
    <w:p w14:paraId="7B4156A4" w14:textId="7E7C5FD6" w:rsidR="004248CC" w:rsidRDefault="004248CC" w:rsidP="004248CC">
      <w:pPr>
        <w:spacing w:after="0" w:line="276" w:lineRule="auto"/>
        <w:rPr>
          <w:rFonts w:ascii="Book Antiqua" w:eastAsia="Calibri" w:hAnsi="Book Antiqua" w:cs="Arial"/>
          <w:i/>
          <w:iCs/>
          <w:sz w:val="20"/>
          <w:szCs w:val="20"/>
        </w:rPr>
      </w:pPr>
    </w:p>
    <w:p w14:paraId="7E8365DD" w14:textId="5765F91F" w:rsidR="00F40A13" w:rsidRDefault="00F40A13" w:rsidP="00F40A13">
      <w:pPr>
        <w:spacing w:after="0" w:line="276" w:lineRule="auto"/>
        <w:jc w:val="both"/>
        <w:rPr>
          <w:rFonts w:ascii="Book Antiqua" w:eastAsia="Calibri" w:hAnsi="Book Antiqua" w:cs="Arial"/>
          <w:sz w:val="24"/>
          <w:szCs w:val="24"/>
        </w:rPr>
      </w:pPr>
      <w:r w:rsidRPr="00064254">
        <w:rPr>
          <w:rFonts w:ascii="Book Antiqua" w:eastAsia="Calibri" w:hAnsi="Book Antiqua" w:cs="Arial"/>
          <w:sz w:val="24"/>
          <w:szCs w:val="24"/>
        </w:rPr>
        <w:t>La efectividad de las audiencias señaladas en la Agenda Cronos del 2017 al 202</w:t>
      </w:r>
      <w:r w:rsidR="00A35988" w:rsidRPr="00064254">
        <w:rPr>
          <w:rFonts w:ascii="Book Antiqua" w:eastAsia="Calibri" w:hAnsi="Book Antiqua" w:cs="Arial"/>
          <w:sz w:val="24"/>
          <w:szCs w:val="24"/>
        </w:rPr>
        <w:t>2</w:t>
      </w:r>
      <w:r w:rsidRPr="00064254">
        <w:rPr>
          <w:rFonts w:ascii="Book Antiqua" w:eastAsia="Calibri" w:hAnsi="Book Antiqua" w:cs="Arial"/>
          <w:sz w:val="24"/>
          <w:szCs w:val="24"/>
        </w:rPr>
        <w:t>, en los Juzgados Especializados de Familia, en promedio es de un 5</w:t>
      </w:r>
      <w:r w:rsidR="00BE0470" w:rsidRPr="00064254">
        <w:rPr>
          <w:rFonts w:ascii="Book Antiqua" w:eastAsia="Calibri" w:hAnsi="Book Antiqua" w:cs="Arial"/>
          <w:sz w:val="24"/>
          <w:szCs w:val="24"/>
        </w:rPr>
        <w:t>8</w:t>
      </w:r>
      <w:r w:rsidRPr="00064254">
        <w:rPr>
          <w:rFonts w:ascii="Book Antiqua" w:eastAsia="Calibri" w:hAnsi="Book Antiqua" w:cs="Arial"/>
          <w:sz w:val="24"/>
          <w:szCs w:val="24"/>
        </w:rPr>
        <w:t xml:space="preserve">% de realización y un promedio mensual de </w:t>
      </w:r>
      <w:r w:rsidR="002768D4" w:rsidRPr="00064254">
        <w:rPr>
          <w:rFonts w:ascii="Book Antiqua" w:eastAsia="Calibri" w:hAnsi="Book Antiqua" w:cs="Arial"/>
          <w:sz w:val="24"/>
          <w:szCs w:val="24"/>
        </w:rPr>
        <w:t>1 006</w:t>
      </w:r>
      <w:r w:rsidRPr="00064254">
        <w:rPr>
          <w:rFonts w:ascii="Book Antiqua" w:eastAsia="Calibri" w:hAnsi="Book Antiqua" w:cs="Arial"/>
          <w:sz w:val="24"/>
          <w:szCs w:val="24"/>
        </w:rPr>
        <w:t xml:space="preserve"> señalamientos, siendo el 20</w:t>
      </w:r>
      <w:r w:rsidR="00BE0470" w:rsidRPr="00064254">
        <w:rPr>
          <w:rFonts w:ascii="Book Antiqua" w:eastAsia="Calibri" w:hAnsi="Book Antiqua" w:cs="Arial"/>
          <w:sz w:val="24"/>
          <w:szCs w:val="24"/>
        </w:rPr>
        <w:t>2</w:t>
      </w:r>
      <w:r w:rsidRPr="00064254">
        <w:rPr>
          <w:rFonts w:ascii="Book Antiqua" w:eastAsia="Calibri" w:hAnsi="Book Antiqua" w:cs="Arial"/>
          <w:sz w:val="24"/>
          <w:szCs w:val="24"/>
        </w:rPr>
        <w:t>1 el de mayor efectividad con un 6</w:t>
      </w:r>
      <w:r w:rsidR="00BE0470" w:rsidRPr="00064254">
        <w:rPr>
          <w:rFonts w:ascii="Book Antiqua" w:eastAsia="Calibri" w:hAnsi="Book Antiqua" w:cs="Arial"/>
          <w:sz w:val="24"/>
          <w:szCs w:val="24"/>
        </w:rPr>
        <w:t>7</w:t>
      </w:r>
      <w:r w:rsidRPr="00064254">
        <w:rPr>
          <w:rFonts w:ascii="Book Antiqua" w:eastAsia="Calibri" w:hAnsi="Book Antiqua" w:cs="Arial"/>
          <w:sz w:val="24"/>
          <w:szCs w:val="24"/>
        </w:rPr>
        <w:t xml:space="preserve">% y el menor </w:t>
      </w:r>
      <w:r w:rsidR="002768D4" w:rsidRPr="00064254">
        <w:rPr>
          <w:rFonts w:ascii="Book Antiqua" w:eastAsia="Calibri" w:hAnsi="Book Antiqua" w:cs="Arial"/>
          <w:sz w:val="24"/>
          <w:szCs w:val="24"/>
        </w:rPr>
        <w:t xml:space="preserve">se registró </w:t>
      </w:r>
      <w:r w:rsidRPr="00064254">
        <w:rPr>
          <w:rFonts w:ascii="Book Antiqua" w:eastAsia="Calibri" w:hAnsi="Book Antiqua" w:cs="Arial"/>
          <w:sz w:val="24"/>
          <w:szCs w:val="24"/>
        </w:rPr>
        <w:t>en el 20</w:t>
      </w:r>
      <w:r w:rsidR="00BE0470" w:rsidRPr="00064254">
        <w:rPr>
          <w:rFonts w:ascii="Book Antiqua" w:eastAsia="Calibri" w:hAnsi="Book Antiqua" w:cs="Arial"/>
          <w:sz w:val="24"/>
          <w:szCs w:val="24"/>
        </w:rPr>
        <w:t>20</w:t>
      </w:r>
      <w:r w:rsidRPr="00064254">
        <w:rPr>
          <w:rFonts w:ascii="Book Antiqua" w:eastAsia="Calibri" w:hAnsi="Book Antiqua" w:cs="Arial"/>
          <w:sz w:val="24"/>
          <w:szCs w:val="24"/>
        </w:rPr>
        <w:t xml:space="preserve"> con un </w:t>
      </w:r>
      <w:r w:rsidR="00BE0470" w:rsidRPr="00064254">
        <w:rPr>
          <w:rFonts w:ascii="Book Antiqua" w:eastAsia="Calibri" w:hAnsi="Book Antiqua" w:cs="Arial"/>
          <w:sz w:val="24"/>
          <w:szCs w:val="24"/>
        </w:rPr>
        <w:t>46</w:t>
      </w:r>
      <w:r w:rsidRPr="00064254">
        <w:rPr>
          <w:rFonts w:ascii="Book Antiqua" w:eastAsia="Calibri" w:hAnsi="Book Antiqua" w:cs="Arial"/>
          <w:sz w:val="24"/>
          <w:szCs w:val="24"/>
        </w:rPr>
        <w:t xml:space="preserve">%; </w:t>
      </w:r>
      <w:r w:rsidR="002768D4" w:rsidRPr="00064254">
        <w:rPr>
          <w:rFonts w:ascii="Book Antiqua" w:eastAsia="Calibri" w:hAnsi="Book Antiqua" w:cs="Arial"/>
          <w:sz w:val="24"/>
          <w:szCs w:val="24"/>
        </w:rPr>
        <w:t>d</w:t>
      </w:r>
      <w:r w:rsidR="00FD0E90" w:rsidRPr="00064254">
        <w:rPr>
          <w:rFonts w:ascii="Book Antiqua" w:eastAsia="Calibri" w:hAnsi="Book Antiqua" w:cs="Arial"/>
          <w:sz w:val="24"/>
          <w:szCs w:val="24"/>
        </w:rPr>
        <w:t>ebe indicarse que en el 2020, existió una alta tasa de audiencias su</w:t>
      </w:r>
      <w:r w:rsidR="004F4D50" w:rsidRPr="00064254">
        <w:rPr>
          <w:rFonts w:ascii="Book Antiqua" w:eastAsia="Calibri" w:hAnsi="Book Antiqua" w:cs="Arial"/>
          <w:sz w:val="24"/>
          <w:szCs w:val="24"/>
        </w:rPr>
        <w:t>s</w:t>
      </w:r>
      <w:r w:rsidR="00FD0E90" w:rsidRPr="00064254">
        <w:rPr>
          <w:rFonts w:ascii="Book Antiqua" w:eastAsia="Calibri" w:hAnsi="Book Antiqua" w:cs="Arial"/>
          <w:sz w:val="24"/>
          <w:szCs w:val="24"/>
        </w:rPr>
        <w:t xml:space="preserve">pendidas motivadas por la pandemia </w:t>
      </w:r>
      <w:r w:rsidR="009A4115" w:rsidRPr="00064254">
        <w:rPr>
          <w:rFonts w:ascii="Book Antiqua" w:eastAsia="Calibri" w:hAnsi="Book Antiqua" w:cs="Arial"/>
          <w:sz w:val="24"/>
          <w:szCs w:val="24"/>
        </w:rPr>
        <w:t>Covid</w:t>
      </w:r>
      <w:r w:rsidR="00FD0E90" w:rsidRPr="00064254">
        <w:rPr>
          <w:rFonts w:ascii="Book Antiqua" w:eastAsia="Calibri" w:hAnsi="Book Antiqua" w:cs="Arial"/>
          <w:sz w:val="24"/>
          <w:szCs w:val="24"/>
        </w:rPr>
        <w:t xml:space="preserve"> 19</w:t>
      </w:r>
      <w:r w:rsidR="002768D4">
        <w:rPr>
          <w:rFonts w:ascii="Book Antiqua" w:eastAsia="Calibri" w:hAnsi="Book Antiqua" w:cs="Arial"/>
          <w:sz w:val="24"/>
          <w:szCs w:val="24"/>
        </w:rPr>
        <w:t xml:space="preserve">, para el 2021-2022, se observa de igual forma una disminución de un 7% en la efectividad de las audiencias para este periodo. </w:t>
      </w:r>
    </w:p>
    <w:p w14:paraId="3942D97B" w14:textId="77777777" w:rsidR="00FD0E90" w:rsidRPr="00F40A13" w:rsidRDefault="00FD0E90" w:rsidP="00F40A13">
      <w:pPr>
        <w:spacing w:after="0" w:line="276" w:lineRule="auto"/>
        <w:jc w:val="both"/>
        <w:rPr>
          <w:rFonts w:ascii="Book Antiqua" w:eastAsia="Calibri" w:hAnsi="Book Antiqua" w:cs="Arial"/>
          <w:sz w:val="24"/>
          <w:szCs w:val="24"/>
        </w:rPr>
      </w:pPr>
    </w:p>
    <w:p w14:paraId="11E7D0FD" w14:textId="38C6054C" w:rsidR="00F40A13" w:rsidRP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 xml:space="preserve">Del cuadro anterior se evidencia que </w:t>
      </w:r>
      <w:r w:rsidR="004F4D50">
        <w:rPr>
          <w:rFonts w:ascii="Book Antiqua" w:eastAsia="Calibri" w:hAnsi="Book Antiqua" w:cs="Arial"/>
          <w:sz w:val="24"/>
          <w:szCs w:val="24"/>
        </w:rPr>
        <w:t xml:space="preserve">anualmente </w:t>
      </w:r>
      <w:r w:rsidRPr="00F40A13">
        <w:rPr>
          <w:rFonts w:ascii="Book Antiqua" w:eastAsia="Calibri" w:hAnsi="Book Antiqua" w:cs="Arial"/>
          <w:sz w:val="24"/>
          <w:szCs w:val="24"/>
        </w:rPr>
        <w:t xml:space="preserve">los despachos no actualizan los datos en la Agenda Cronos, como se observa, hay más de </w:t>
      </w:r>
      <w:r w:rsidR="00D66F4A" w:rsidRPr="00D66F4A">
        <w:rPr>
          <w:rFonts w:ascii="Book Antiqua" w:eastAsia="Calibri" w:hAnsi="Book Antiqua" w:cs="Arial"/>
          <w:sz w:val="24"/>
          <w:szCs w:val="24"/>
        </w:rPr>
        <w:t>2</w:t>
      </w:r>
      <w:r w:rsidRPr="00D66F4A">
        <w:rPr>
          <w:rFonts w:ascii="Book Antiqua" w:eastAsia="Calibri" w:hAnsi="Book Antiqua" w:cs="Arial"/>
          <w:sz w:val="24"/>
          <w:szCs w:val="24"/>
        </w:rPr>
        <w:t xml:space="preserve"> 000 audiencias en estado “Pendiente” desde el 201</w:t>
      </w:r>
      <w:r w:rsidR="00D66F4A" w:rsidRPr="00D66F4A">
        <w:rPr>
          <w:rFonts w:ascii="Book Antiqua" w:eastAsia="Calibri" w:hAnsi="Book Antiqua" w:cs="Arial"/>
          <w:sz w:val="24"/>
          <w:szCs w:val="24"/>
        </w:rPr>
        <w:t>7</w:t>
      </w:r>
      <w:r w:rsidRPr="00D66F4A">
        <w:rPr>
          <w:rFonts w:ascii="Book Antiqua" w:eastAsia="Calibri" w:hAnsi="Book Antiqua" w:cs="Arial"/>
          <w:sz w:val="24"/>
          <w:szCs w:val="24"/>
        </w:rPr>
        <w:t xml:space="preserve">, </w:t>
      </w:r>
      <w:r w:rsidR="002768D4">
        <w:rPr>
          <w:rFonts w:ascii="Book Antiqua" w:eastAsia="Calibri" w:hAnsi="Book Antiqua" w:cs="Arial"/>
          <w:sz w:val="24"/>
          <w:szCs w:val="24"/>
        </w:rPr>
        <w:t xml:space="preserve"> y al comparar el 2021 con el 2022, se observa un aumento </w:t>
      </w:r>
      <w:r w:rsidR="00F43496">
        <w:rPr>
          <w:rFonts w:ascii="Book Antiqua" w:eastAsia="Calibri" w:hAnsi="Book Antiqua" w:cs="Arial"/>
          <w:sz w:val="24"/>
          <w:szCs w:val="24"/>
        </w:rPr>
        <w:t>para el 2022 de 104 señalami</w:t>
      </w:r>
      <w:r w:rsidR="002768D4">
        <w:rPr>
          <w:rFonts w:ascii="Book Antiqua" w:eastAsia="Calibri" w:hAnsi="Book Antiqua" w:cs="Arial"/>
          <w:sz w:val="24"/>
          <w:szCs w:val="24"/>
        </w:rPr>
        <w:t>en</w:t>
      </w:r>
      <w:r w:rsidR="00F43496">
        <w:rPr>
          <w:rFonts w:ascii="Book Antiqua" w:eastAsia="Calibri" w:hAnsi="Book Antiqua" w:cs="Arial"/>
          <w:sz w:val="24"/>
          <w:szCs w:val="24"/>
        </w:rPr>
        <w:t xml:space="preserve">tos en estado “pendiente”; </w:t>
      </w:r>
      <w:r w:rsidRPr="00D66F4A">
        <w:rPr>
          <w:rFonts w:ascii="Book Antiqua" w:eastAsia="Calibri" w:hAnsi="Book Antiqua" w:cs="Arial"/>
          <w:sz w:val="24"/>
          <w:szCs w:val="24"/>
        </w:rPr>
        <w:t>situación que debe ser corregida</w:t>
      </w:r>
      <w:r w:rsidRPr="00F40A13">
        <w:rPr>
          <w:rFonts w:ascii="Book Antiqua" w:eastAsia="Calibri" w:hAnsi="Book Antiqua" w:cs="Arial"/>
          <w:sz w:val="24"/>
          <w:szCs w:val="24"/>
        </w:rPr>
        <w:t xml:space="preserve"> </w:t>
      </w:r>
      <w:r w:rsidR="001C0DBC">
        <w:rPr>
          <w:rFonts w:ascii="Book Antiqua" w:eastAsia="Calibri" w:hAnsi="Book Antiqua" w:cs="Arial"/>
          <w:sz w:val="24"/>
          <w:szCs w:val="24"/>
        </w:rPr>
        <w:t>incluso como parte de las inconsistencias mes a mes, durante los 5 primeros días del mes. Si</w:t>
      </w:r>
      <w:r w:rsidR="009A4115">
        <w:rPr>
          <w:rFonts w:ascii="Book Antiqua" w:eastAsia="Calibri" w:hAnsi="Book Antiqua" w:cs="Arial"/>
          <w:sz w:val="24"/>
          <w:szCs w:val="24"/>
        </w:rPr>
        <w:t xml:space="preserve"> </w:t>
      </w:r>
      <w:r w:rsidR="001C0DBC">
        <w:rPr>
          <w:rFonts w:ascii="Book Antiqua" w:eastAsia="Calibri" w:hAnsi="Book Antiqua" w:cs="Arial"/>
          <w:sz w:val="24"/>
          <w:szCs w:val="24"/>
        </w:rPr>
        <w:t xml:space="preserve">las actualizaciones se realizan posterior a esos 5 días, no se visualizarán los cambios, ya que los informes mensuales representan el estado de la oficina a la fecha generada “foto”. </w:t>
      </w:r>
      <w:r w:rsidR="009A4115">
        <w:rPr>
          <w:rFonts w:ascii="Book Antiqua" w:eastAsia="Calibri" w:hAnsi="Book Antiqua" w:cs="Arial"/>
          <w:sz w:val="24"/>
          <w:szCs w:val="24"/>
        </w:rPr>
        <w:t>E</w:t>
      </w:r>
      <w:r w:rsidRPr="00F40A13">
        <w:rPr>
          <w:rFonts w:ascii="Book Antiqua" w:eastAsia="Calibri" w:hAnsi="Book Antiqua" w:cs="Arial"/>
          <w:sz w:val="24"/>
          <w:szCs w:val="24"/>
        </w:rPr>
        <w:t>s de suma importancia que los datos que ingresan los Despachos estén actualizados, ya que lo que no se registre, no se considera formalmente en los datos estadísticos</w:t>
      </w:r>
      <w:r w:rsidR="00FD0E90">
        <w:rPr>
          <w:rFonts w:ascii="Book Antiqua" w:eastAsia="Calibri" w:hAnsi="Book Antiqua" w:cs="Arial"/>
          <w:sz w:val="24"/>
          <w:szCs w:val="24"/>
        </w:rPr>
        <w:t xml:space="preserve">, </w:t>
      </w:r>
      <w:r w:rsidR="00A35988">
        <w:rPr>
          <w:rFonts w:ascii="Book Antiqua" w:eastAsia="Calibri" w:hAnsi="Book Antiqua" w:cs="Arial"/>
          <w:sz w:val="24"/>
          <w:szCs w:val="24"/>
        </w:rPr>
        <w:t xml:space="preserve">por lo tanto, </w:t>
      </w:r>
      <w:r w:rsidR="00FD0E90">
        <w:rPr>
          <w:rFonts w:ascii="Book Antiqua" w:eastAsia="Calibri" w:hAnsi="Book Antiqua" w:cs="Arial"/>
          <w:sz w:val="24"/>
          <w:szCs w:val="24"/>
        </w:rPr>
        <w:t>al finalizar cada mes no puede</w:t>
      </w:r>
      <w:r w:rsidR="00A35988">
        <w:rPr>
          <w:rFonts w:ascii="Book Antiqua" w:eastAsia="Calibri" w:hAnsi="Book Antiqua" w:cs="Arial"/>
          <w:sz w:val="24"/>
          <w:szCs w:val="24"/>
        </w:rPr>
        <w:t>n</w:t>
      </w:r>
      <w:r w:rsidR="00FD0E90">
        <w:rPr>
          <w:rFonts w:ascii="Book Antiqua" w:eastAsia="Calibri" w:hAnsi="Book Antiqua" w:cs="Arial"/>
          <w:sz w:val="24"/>
          <w:szCs w:val="24"/>
        </w:rPr>
        <w:t xml:space="preserve"> existir audiencias pendientes</w:t>
      </w:r>
      <w:r w:rsidR="00A35988">
        <w:rPr>
          <w:rFonts w:ascii="Book Antiqua" w:eastAsia="Calibri" w:hAnsi="Book Antiqua" w:cs="Arial"/>
          <w:sz w:val="24"/>
          <w:szCs w:val="24"/>
        </w:rPr>
        <w:t>,</w:t>
      </w:r>
      <w:r w:rsidR="00FD0E90">
        <w:rPr>
          <w:rFonts w:ascii="Book Antiqua" w:eastAsia="Calibri" w:hAnsi="Book Antiqua" w:cs="Arial"/>
          <w:sz w:val="24"/>
          <w:szCs w:val="24"/>
        </w:rPr>
        <w:t xml:space="preserve"> tuvieron que haber sido </w:t>
      </w:r>
      <w:r w:rsidR="00A35988">
        <w:rPr>
          <w:rFonts w:ascii="Book Antiqua" w:eastAsia="Calibri" w:hAnsi="Book Antiqua" w:cs="Arial"/>
          <w:sz w:val="24"/>
          <w:szCs w:val="24"/>
        </w:rPr>
        <w:t>“</w:t>
      </w:r>
      <w:r w:rsidR="00FD0E90">
        <w:rPr>
          <w:rFonts w:ascii="Book Antiqua" w:eastAsia="Calibri" w:hAnsi="Book Antiqua" w:cs="Arial"/>
          <w:sz w:val="24"/>
          <w:szCs w:val="24"/>
        </w:rPr>
        <w:t>realizadas o no realizadas</w:t>
      </w:r>
      <w:r w:rsidR="00A35988">
        <w:rPr>
          <w:rFonts w:ascii="Book Antiqua" w:eastAsia="Calibri" w:hAnsi="Book Antiqua" w:cs="Arial"/>
          <w:sz w:val="24"/>
          <w:szCs w:val="24"/>
        </w:rPr>
        <w:t>”.</w:t>
      </w:r>
    </w:p>
    <w:p w14:paraId="05493D93" w14:textId="77777777" w:rsidR="00F40A13" w:rsidRPr="00F40A13" w:rsidRDefault="00F40A13" w:rsidP="00F40A13">
      <w:pPr>
        <w:spacing w:after="0" w:line="276" w:lineRule="auto"/>
        <w:jc w:val="both"/>
        <w:rPr>
          <w:rFonts w:ascii="Book Antiqua" w:eastAsia="Calibri" w:hAnsi="Book Antiqua" w:cs="Arial"/>
          <w:sz w:val="24"/>
          <w:szCs w:val="24"/>
        </w:rPr>
      </w:pPr>
    </w:p>
    <w:p w14:paraId="1FEAE93A" w14:textId="1D46D1B1" w:rsidR="00F40A13" w:rsidRPr="00F40A13" w:rsidRDefault="00F40A13" w:rsidP="00F40A13">
      <w:pPr>
        <w:spacing w:after="0" w:line="276" w:lineRule="auto"/>
        <w:jc w:val="both"/>
        <w:rPr>
          <w:rFonts w:ascii="Book Antiqua" w:eastAsia="Calibri" w:hAnsi="Book Antiqua" w:cs="Arial"/>
          <w:sz w:val="24"/>
          <w:szCs w:val="24"/>
        </w:rPr>
      </w:pPr>
      <w:r w:rsidRPr="00064254">
        <w:rPr>
          <w:rFonts w:ascii="Book Antiqua" w:eastAsia="Calibri" w:hAnsi="Book Antiqua" w:cs="Arial"/>
          <w:sz w:val="24"/>
          <w:szCs w:val="24"/>
        </w:rPr>
        <w:t>En el siguiente cuadro, se comparan los datos registrados por los Despachos y los resultados del sistema SIGMA durante el 20</w:t>
      </w:r>
      <w:r w:rsidR="00D72FDB" w:rsidRPr="00064254">
        <w:rPr>
          <w:rFonts w:ascii="Book Antiqua" w:eastAsia="Calibri" w:hAnsi="Book Antiqua" w:cs="Arial"/>
          <w:sz w:val="24"/>
          <w:szCs w:val="24"/>
        </w:rPr>
        <w:t>2</w:t>
      </w:r>
      <w:r w:rsidR="00ED2ACB" w:rsidRPr="00064254">
        <w:rPr>
          <w:rFonts w:ascii="Book Antiqua" w:eastAsia="Calibri" w:hAnsi="Book Antiqua" w:cs="Arial"/>
          <w:sz w:val="24"/>
          <w:szCs w:val="24"/>
        </w:rPr>
        <w:t>2</w:t>
      </w:r>
      <w:r w:rsidRPr="00064254">
        <w:rPr>
          <w:rFonts w:ascii="Book Antiqua" w:eastAsia="Calibri" w:hAnsi="Book Antiqua" w:cs="Arial"/>
          <w:sz w:val="24"/>
          <w:szCs w:val="24"/>
        </w:rPr>
        <w:t>:</w:t>
      </w:r>
    </w:p>
    <w:p w14:paraId="047596F9" w14:textId="77777777" w:rsidR="005664B0" w:rsidRPr="004248CC" w:rsidRDefault="005664B0" w:rsidP="004248CC">
      <w:pPr>
        <w:spacing w:after="0" w:line="276" w:lineRule="auto"/>
        <w:rPr>
          <w:rFonts w:ascii="Book Antiqua" w:eastAsia="Calibri" w:hAnsi="Book Antiqua" w:cs="Arial"/>
          <w:i/>
          <w:iCs/>
          <w:sz w:val="20"/>
          <w:szCs w:val="20"/>
        </w:rPr>
      </w:pPr>
    </w:p>
    <w:p w14:paraId="54AE5D76" w14:textId="50DBD389" w:rsidR="00D01233" w:rsidRPr="00D01233" w:rsidRDefault="00D01233" w:rsidP="00D0123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01233">
        <w:rPr>
          <w:rFonts w:ascii="Book Antiqua" w:eastAsia="Calibri" w:hAnsi="Book Antiqua" w:cs="Arial"/>
          <w:b/>
          <w:bCs/>
          <w:color w:val="1F497D"/>
          <w:szCs w:val="24"/>
          <w:lang w:val="es-ES" w:eastAsia="es-ES"/>
        </w:rPr>
        <w:t xml:space="preserve">Cuadro </w:t>
      </w:r>
      <w:r w:rsidRPr="00D01233">
        <w:rPr>
          <w:rFonts w:ascii="Book Antiqua" w:eastAsia="Calibri" w:hAnsi="Book Antiqua" w:cs="Arial"/>
          <w:b/>
          <w:bCs/>
          <w:color w:val="1F497D"/>
          <w:szCs w:val="24"/>
          <w:lang w:val="es-ES" w:eastAsia="es-ES"/>
        </w:rPr>
        <w:fldChar w:fldCharType="begin"/>
      </w:r>
      <w:r w:rsidRPr="00D01233">
        <w:rPr>
          <w:rFonts w:ascii="Book Antiqua" w:eastAsia="Calibri" w:hAnsi="Book Antiqua" w:cs="Arial"/>
          <w:b/>
          <w:bCs/>
          <w:color w:val="1F497D"/>
          <w:szCs w:val="24"/>
          <w:lang w:val="es-ES" w:eastAsia="es-ES"/>
        </w:rPr>
        <w:instrText xml:space="preserve"> SEQ Cuadro \* ARABIC </w:instrText>
      </w:r>
      <w:r w:rsidRPr="00D01233">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10</w:t>
      </w:r>
      <w:r w:rsidRPr="00D01233">
        <w:rPr>
          <w:rFonts w:ascii="Book Antiqua" w:eastAsia="Calibri" w:hAnsi="Book Antiqua" w:cs="Arial"/>
          <w:b/>
          <w:bCs/>
          <w:color w:val="1F497D"/>
          <w:szCs w:val="24"/>
          <w:lang w:val="es-ES" w:eastAsia="es-ES"/>
        </w:rPr>
        <w:fldChar w:fldCharType="end"/>
      </w:r>
    </w:p>
    <w:p w14:paraId="4044499D" w14:textId="76ECFA84" w:rsidR="00D01233" w:rsidRDefault="00D01233" w:rsidP="00D01233">
      <w:pPr>
        <w:keepNext/>
        <w:numPr>
          <w:ilvl w:val="12"/>
          <w:numId w:val="0"/>
        </w:numPr>
        <w:spacing w:after="0" w:line="276" w:lineRule="auto"/>
        <w:jc w:val="center"/>
        <w:rPr>
          <w:rFonts w:ascii="Book Antiqua" w:eastAsia="Times New Roman" w:hAnsi="Book Antiqua" w:cs="Arial"/>
          <w:b/>
          <w:bCs/>
          <w:color w:val="1F497D"/>
          <w:lang w:eastAsia="es-ES"/>
        </w:rPr>
      </w:pPr>
      <w:r w:rsidRPr="00D01233">
        <w:rPr>
          <w:rFonts w:ascii="Book Antiqua" w:eastAsia="Times New Roman" w:hAnsi="Book Antiqua" w:cs="Arial"/>
          <w:b/>
          <w:bCs/>
          <w:color w:val="1F497D"/>
          <w:lang w:eastAsia="es-ES"/>
        </w:rPr>
        <w:t>Registro de audiencias 20</w:t>
      </w:r>
      <w:r w:rsidR="00FD0221">
        <w:rPr>
          <w:rFonts w:ascii="Book Antiqua" w:eastAsia="Times New Roman" w:hAnsi="Book Antiqua" w:cs="Arial"/>
          <w:b/>
          <w:bCs/>
          <w:color w:val="1F497D"/>
          <w:lang w:eastAsia="es-ES"/>
        </w:rPr>
        <w:t>2</w:t>
      </w:r>
      <w:r w:rsidR="00DD53D0">
        <w:rPr>
          <w:rFonts w:ascii="Book Antiqua" w:eastAsia="Times New Roman" w:hAnsi="Book Antiqua" w:cs="Arial"/>
          <w:b/>
          <w:bCs/>
          <w:color w:val="1F497D"/>
          <w:lang w:eastAsia="es-ES"/>
        </w:rPr>
        <w:t>2</w:t>
      </w:r>
      <w:r w:rsidRPr="00D01233">
        <w:rPr>
          <w:rFonts w:ascii="Book Antiqua" w:eastAsia="Times New Roman" w:hAnsi="Book Antiqua" w:cs="Arial"/>
          <w:b/>
          <w:bCs/>
          <w:color w:val="1F497D"/>
          <w:lang w:eastAsia="es-ES"/>
        </w:rPr>
        <w:t>, Juzgados Especializados de Familia y Sistema SIGMA</w:t>
      </w:r>
    </w:p>
    <w:tbl>
      <w:tblPr>
        <w:tblW w:w="8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72"/>
        <w:gridCol w:w="1371"/>
        <w:gridCol w:w="1371"/>
        <w:gridCol w:w="1371"/>
      </w:tblGrid>
      <w:tr w:rsidR="00064254" w:rsidRPr="00064254" w14:paraId="75259EFC" w14:textId="77777777" w:rsidTr="00612E7C">
        <w:trPr>
          <w:trHeight w:val="20"/>
        </w:trPr>
        <w:tc>
          <w:tcPr>
            <w:tcW w:w="4572" w:type="dxa"/>
            <w:shd w:val="clear" w:color="000000" w:fill="002060"/>
            <w:vAlign w:val="center"/>
            <w:hideMark/>
          </w:tcPr>
          <w:p w14:paraId="02AADB44" w14:textId="77777777" w:rsidR="00064254" w:rsidRPr="00064254" w:rsidRDefault="00064254" w:rsidP="00064254">
            <w:pPr>
              <w:spacing w:after="0" w:line="240" w:lineRule="auto"/>
              <w:jc w:val="center"/>
              <w:rPr>
                <w:rFonts w:ascii="Book Antiqua" w:eastAsia="Times New Roman" w:hAnsi="Book Antiqua" w:cs="Calibri"/>
                <w:b/>
                <w:bCs/>
                <w:color w:val="FFFFFF"/>
                <w:sz w:val="20"/>
                <w:szCs w:val="20"/>
                <w:lang w:eastAsia="es-CR"/>
              </w:rPr>
            </w:pPr>
            <w:r w:rsidRPr="00064254">
              <w:rPr>
                <w:rFonts w:ascii="Book Antiqua" w:eastAsia="Times New Roman" w:hAnsi="Book Antiqua" w:cs="Calibri"/>
                <w:b/>
                <w:bCs/>
                <w:color w:val="FFFFFF"/>
                <w:sz w:val="20"/>
                <w:szCs w:val="20"/>
                <w:lang w:eastAsia="es-CR"/>
              </w:rPr>
              <w:t>Despacho</w:t>
            </w:r>
          </w:p>
        </w:tc>
        <w:tc>
          <w:tcPr>
            <w:tcW w:w="1371" w:type="dxa"/>
            <w:shd w:val="clear" w:color="000000" w:fill="002060"/>
            <w:vAlign w:val="center"/>
            <w:hideMark/>
          </w:tcPr>
          <w:p w14:paraId="6FAA6B75" w14:textId="77777777" w:rsidR="00064254" w:rsidRPr="00064254" w:rsidRDefault="00064254" w:rsidP="00064254">
            <w:pPr>
              <w:spacing w:after="0" w:line="240" w:lineRule="auto"/>
              <w:jc w:val="center"/>
              <w:rPr>
                <w:rFonts w:ascii="Book Antiqua" w:eastAsia="Times New Roman" w:hAnsi="Book Antiqua" w:cs="Calibri"/>
                <w:b/>
                <w:bCs/>
                <w:color w:val="FFFFFF"/>
                <w:sz w:val="20"/>
                <w:szCs w:val="20"/>
                <w:lang w:eastAsia="es-CR"/>
              </w:rPr>
            </w:pPr>
            <w:r w:rsidRPr="00064254">
              <w:rPr>
                <w:rFonts w:ascii="Book Antiqua" w:eastAsia="Times New Roman" w:hAnsi="Book Antiqua" w:cs="Calibri"/>
                <w:b/>
                <w:bCs/>
                <w:color w:val="FFFFFF"/>
                <w:sz w:val="20"/>
                <w:szCs w:val="20"/>
                <w:lang w:eastAsia="es-CR"/>
              </w:rPr>
              <w:t>Control del Despacho (Agenda Cronos) 2022</w:t>
            </w:r>
          </w:p>
        </w:tc>
        <w:tc>
          <w:tcPr>
            <w:tcW w:w="1371" w:type="dxa"/>
            <w:shd w:val="clear" w:color="000000" w:fill="002060"/>
            <w:vAlign w:val="center"/>
            <w:hideMark/>
          </w:tcPr>
          <w:p w14:paraId="77E96AB4" w14:textId="77777777" w:rsidR="00064254" w:rsidRPr="00064254" w:rsidRDefault="00064254" w:rsidP="00064254">
            <w:pPr>
              <w:spacing w:after="0" w:line="240" w:lineRule="auto"/>
              <w:jc w:val="center"/>
              <w:rPr>
                <w:rFonts w:ascii="Book Antiqua" w:eastAsia="Times New Roman" w:hAnsi="Book Antiqua" w:cs="Calibri"/>
                <w:b/>
                <w:bCs/>
                <w:color w:val="FFFFFF"/>
                <w:sz w:val="20"/>
                <w:szCs w:val="20"/>
                <w:lang w:eastAsia="es-CR"/>
              </w:rPr>
            </w:pPr>
            <w:r w:rsidRPr="00064254">
              <w:rPr>
                <w:rFonts w:ascii="Book Antiqua" w:eastAsia="Times New Roman" w:hAnsi="Book Antiqua" w:cs="Calibri"/>
                <w:b/>
                <w:bCs/>
                <w:color w:val="FFFFFF"/>
                <w:sz w:val="20"/>
                <w:szCs w:val="20"/>
                <w:lang w:eastAsia="es-CR"/>
              </w:rPr>
              <w:t>SIGMA 2022</w:t>
            </w:r>
          </w:p>
        </w:tc>
        <w:tc>
          <w:tcPr>
            <w:tcW w:w="1371" w:type="dxa"/>
            <w:shd w:val="clear" w:color="000000" w:fill="002060"/>
            <w:vAlign w:val="center"/>
            <w:hideMark/>
          </w:tcPr>
          <w:p w14:paraId="50AF6E41" w14:textId="77777777" w:rsidR="00064254" w:rsidRPr="00064254" w:rsidRDefault="00064254" w:rsidP="00064254">
            <w:pPr>
              <w:spacing w:after="0" w:line="240" w:lineRule="auto"/>
              <w:jc w:val="center"/>
              <w:rPr>
                <w:rFonts w:ascii="Book Antiqua" w:eastAsia="Times New Roman" w:hAnsi="Book Antiqua" w:cs="Calibri"/>
                <w:b/>
                <w:bCs/>
                <w:color w:val="FFFFFF"/>
                <w:sz w:val="20"/>
                <w:szCs w:val="20"/>
                <w:lang w:eastAsia="es-CR"/>
              </w:rPr>
            </w:pPr>
            <w:r w:rsidRPr="00064254">
              <w:rPr>
                <w:rFonts w:ascii="Book Antiqua" w:eastAsia="Times New Roman" w:hAnsi="Book Antiqua" w:cs="Calibri"/>
                <w:b/>
                <w:bCs/>
                <w:color w:val="FFFFFF"/>
                <w:sz w:val="20"/>
                <w:szCs w:val="20"/>
                <w:lang w:eastAsia="es-CR"/>
              </w:rPr>
              <w:t>Diferencia</w:t>
            </w:r>
          </w:p>
        </w:tc>
      </w:tr>
      <w:tr w:rsidR="00064254" w:rsidRPr="00064254" w14:paraId="2B524181" w14:textId="77777777" w:rsidTr="00612E7C">
        <w:trPr>
          <w:trHeight w:val="20"/>
        </w:trPr>
        <w:tc>
          <w:tcPr>
            <w:tcW w:w="4572" w:type="dxa"/>
            <w:shd w:val="clear" w:color="000000" w:fill="FFFFFF"/>
            <w:vAlign w:val="center"/>
            <w:hideMark/>
          </w:tcPr>
          <w:p w14:paraId="3F510E8D"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 xml:space="preserve">Juzgado de Familia III Circ. Jud. San José </w:t>
            </w:r>
          </w:p>
        </w:tc>
        <w:tc>
          <w:tcPr>
            <w:tcW w:w="1371" w:type="dxa"/>
            <w:shd w:val="clear" w:color="000000" w:fill="FFFFFF"/>
            <w:noWrap/>
            <w:vAlign w:val="center"/>
            <w:hideMark/>
          </w:tcPr>
          <w:p w14:paraId="23A80B5F"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503</w:t>
            </w:r>
          </w:p>
        </w:tc>
        <w:tc>
          <w:tcPr>
            <w:tcW w:w="1371" w:type="dxa"/>
            <w:shd w:val="clear" w:color="000000" w:fill="FFFFFF"/>
            <w:noWrap/>
            <w:vAlign w:val="center"/>
            <w:hideMark/>
          </w:tcPr>
          <w:p w14:paraId="00C8EE51"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853</w:t>
            </w:r>
          </w:p>
        </w:tc>
        <w:tc>
          <w:tcPr>
            <w:tcW w:w="1371" w:type="dxa"/>
            <w:shd w:val="clear" w:color="auto" w:fill="auto"/>
            <w:noWrap/>
            <w:vAlign w:val="center"/>
            <w:hideMark/>
          </w:tcPr>
          <w:p w14:paraId="376B52BF"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-350</w:t>
            </w:r>
          </w:p>
        </w:tc>
      </w:tr>
      <w:tr w:rsidR="00064254" w:rsidRPr="00064254" w14:paraId="42453E0D" w14:textId="77777777" w:rsidTr="00612E7C">
        <w:trPr>
          <w:trHeight w:val="20"/>
        </w:trPr>
        <w:tc>
          <w:tcPr>
            <w:tcW w:w="4572" w:type="dxa"/>
            <w:shd w:val="clear" w:color="000000" w:fill="FFFFFF"/>
            <w:vAlign w:val="center"/>
            <w:hideMark/>
          </w:tcPr>
          <w:p w14:paraId="0DA7C82F"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Cartago</w:t>
            </w:r>
          </w:p>
        </w:tc>
        <w:tc>
          <w:tcPr>
            <w:tcW w:w="1371" w:type="dxa"/>
            <w:shd w:val="clear" w:color="000000" w:fill="FFFFFF"/>
            <w:noWrap/>
            <w:vAlign w:val="center"/>
            <w:hideMark/>
          </w:tcPr>
          <w:p w14:paraId="78B77023"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1 223</w:t>
            </w:r>
          </w:p>
        </w:tc>
        <w:tc>
          <w:tcPr>
            <w:tcW w:w="1371" w:type="dxa"/>
            <w:shd w:val="clear" w:color="000000" w:fill="FFFFFF"/>
            <w:noWrap/>
            <w:vAlign w:val="center"/>
            <w:hideMark/>
          </w:tcPr>
          <w:p w14:paraId="3055F058"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1212</w:t>
            </w:r>
          </w:p>
        </w:tc>
        <w:tc>
          <w:tcPr>
            <w:tcW w:w="1371" w:type="dxa"/>
            <w:shd w:val="clear" w:color="auto" w:fill="auto"/>
            <w:noWrap/>
            <w:vAlign w:val="center"/>
            <w:hideMark/>
          </w:tcPr>
          <w:p w14:paraId="6BF21CBC"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11</w:t>
            </w:r>
          </w:p>
        </w:tc>
      </w:tr>
      <w:tr w:rsidR="00064254" w:rsidRPr="00064254" w14:paraId="6059240C" w14:textId="77777777" w:rsidTr="00612E7C">
        <w:trPr>
          <w:trHeight w:val="20"/>
        </w:trPr>
        <w:tc>
          <w:tcPr>
            <w:tcW w:w="4572" w:type="dxa"/>
            <w:shd w:val="clear" w:color="000000" w:fill="FFFFFF"/>
            <w:vAlign w:val="center"/>
            <w:hideMark/>
          </w:tcPr>
          <w:p w14:paraId="756A45F9"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Heredia</w:t>
            </w:r>
          </w:p>
        </w:tc>
        <w:tc>
          <w:tcPr>
            <w:tcW w:w="1371" w:type="dxa"/>
            <w:shd w:val="clear" w:color="000000" w:fill="FFFFFF"/>
            <w:noWrap/>
            <w:vAlign w:val="center"/>
            <w:hideMark/>
          </w:tcPr>
          <w:p w14:paraId="090B45B7"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1237</w:t>
            </w:r>
          </w:p>
        </w:tc>
        <w:tc>
          <w:tcPr>
            <w:tcW w:w="1371" w:type="dxa"/>
            <w:shd w:val="clear" w:color="000000" w:fill="FFFFFF"/>
            <w:noWrap/>
            <w:vAlign w:val="center"/>
            <w:hideMark/>
          </w:tcPr>
          <w:p w14:paraId="107E3275"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1354</w:t>
            </w:r>
          </w:p>
        </w:tc>
        <w:tc>
          <w:tcPr>
            <w:tcW w:w="1371" w:type="dxa"/>
            <w:shd w:val="clear" w:color="auto" w:fill="auto"/>
            <w:noWrap/>
            <w:vAlign w:val="center"/>
            <w:hideMark/>
          </w:tcPr>
          <w:p w14:paraId="54627617"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-117</w:t>
            </w:r>
          </w:p>
        </w:tc>
      </w:tr>
      <w:tr w:rsidR="00064254" w:rsidRPr="00064254" w14:paraId="3A250EC8" w14:textId="77777777" w:rsidTr="00612E7C">
        <w:trPr>
          <w:trHeight w:val="20"/>
        </w:trPr>
        <w:tc>
          <w:tcPr>
            <w:tcW w:w="4572" w:type="dxa"/>
            <w:shd w:val="clear" w:color="000000" w:fill="FFFFFF"/>
            <w:vAlign w:val="center"/>
            <w:hideMark/>
          </w:tcPr>
          <w:p w14:paraId="56C8DC71"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 Circ. Jud. Alajuela</w:t>
            </w:r>
          </w:p>
        </w:tc>
        <w:tc>
          <w:tcPr>
            <w:tcW w:w="1371" w:type="dxa"/>
            <w:shd w:val="clear" w:color="000000" w:fill="FFFFFF"/>
            <w:noWrap/>
            <w:vAlign w:val="center"/>
            <w:hideMark/>
          </w:tcPr>
          <w:p w14:paraId="72BDAD18"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1 011</w:t>
            </w:r>
          </w:p>
        </w:tc>
        <w:tc>
          <w:tcPr>
            <w:tcW w:w="1371" w:type="dxa"/>
            <w:shd w:val="clear" w:color="000000" w:fill="FFFFFF"/>
            <w:noWrap/>
            <w:vAlign w:val="center"/>
            <w:hideMark/>
          </w:tcPr>
          <w:p w14:paraId="71A66DF2"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996</w:t>
            </w:r>
          </w:p>
        </w:tc>
        <w:tc>
          <w:tcPr>
            <w:tcW w:w="1371" w:type="dxa"/>
            <w:shd w:val="clear" w:color="auto" w:fill="auto"/>
            <w:noWrap/>
            <w:vAlign w:val="center"/>
            <w:hideMark/>
          </w:tcPr>
          <w:p w14:paraId="18D4E36A"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15</w:t>
            </w:r>
          </w:p>
        </w:tc>
      </w:tr>
      <w:tr w:rsidR="00064254" w:rsidRPr="00064254" w14:paraId="0010500F" w14:textId="77777777" w:rsidTr="00612E7C">
        <w:trPr>
          <w:trHeight w:val="20"/>
        </w:trPr>
        <w:tc>
          <w:tcPr>
            <w:tcW w:w="4572" w:type="dxa"/>
            <w:shd w:val="clear" w:color="000000" w:fill="FFFFFF"/>
            <w:vAlign w:val="center"/>
            <w:hideMark/>
          </w:tcPr>
          <w:p w14:paraId="3AB4EE1E"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 Circ. Jud. Zona Atlántica</w:t>
            </w:r>
          </w:p>
        </w:tc>
        <w:tc>
          <w:tcPr>
            <w:tcW w:w="1371" w:type="dxa"/>
            <w:shd w:val="clear" w:color="000000" w:fill="FFFFFF"/>
            <w:noWrap/>
            <w:vAlign w:val="center"/>
            <w:hideMark/>
          </w:tcPr>
          <w:p w14:paraId="4A1FB81C"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464</w:t>
            </w:r>
          </w:p>
        </w:tc>
        <w:tc>
          <w:tcPr>
            <w:tcW w:w="1371" w:type="dxa"/>
            <w:shd w:val="clear" w:color="000000" w:fill="FFFFFF"/>
            <w:noWrap/>
            <w:vAlign w:val="center"/>
            <w:hideMark/>
          </w:tcPr>
          <w:p w14:paraId="3DE6E164"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428</w:t>
            </w:r>
          </w:p>
        </w:tc>
        <w:tc>
          <w:tcPr>
            <w:tcW w:w="1371" w:type="dxa"/>
            <w:shd w:val="clear" w:color="auto" w:fill="auto"/>
            <w:noWrap/>
            <w:vAlign w:val="center"/>
            <w:hideMark/>
          </w:tcPr>
          <w:p w14:paraId="5D617D49"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36</w:t>
            </w:r>
          </w:p>
        </w:tc>
      </w:tr>
      <w:tr w:rsidR="00064254" w:rsidRPr="00064254" w14:paraId="693F14B0" w14:textId="77777777" w:rsidTr="00612E7C">
        <w:trPr>
          <w:trHeight w:val="20"/>
        </w:trPr>
        <w:tc>
          <w:tcPr>
            <w:tcW w:w="4572" w:type="dxa"/>
            <w:shd w:val="clear" w:color="000000" w:fill="FFFFFF"/>
            <w:vAlign w:val="center"/>
            <w:hideMark/>
          </w:tcPr>
          <w:p w14:paraId="0CDC1091"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 xml:space="preserve">Juzgado Familia I Circ. Jud. Zona Sur </w:t>
            </w:r>
          </w:p>
        </w:tc>
        <w:tc>
          <w:tcPr>
            <w:tcW w:w="1371" w:type="dxa"/>
            <w:shd w:val="clear" w:color="000000" w:fill="FFFFFF"/>
            <w:noWrap/>
            <w:vAlign w:val="center"/>
            <w:hideMark/>
          </w:tcPr>
          <w:p w14:paraId="7174383B"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381</w:t>
            </w:r>
          </w:p>
        </w:tc>
        <w:tc>
          <w:tcPr>
            <w:tcW w:w="1371" w:type="dxa"/>
            <w:shd w:val="clear" w:color="000000" w:fill="FFFFFF"/>
            <w:noWrap/>
            <w:vAlign w:val="center"/>
            <w:hideMark/>
          </w:tcPr>
          <w:p w14:paraId="129E27B7"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470</w:t>
            </w:r>
          </w:p>
        </w:tc>
        <w:tc>
          <w:tcPr>
            <w:tcW w:w="1371" w:type="dxa"/>
            <w:shd w:val="clear" w:color="auto" w:fill="auto"/>
            <w:noWrap/>
            <w:vAlign w:val="center"/>
            <w:hideMark/>
          </w:tcPr>
          <w:p w14:paraId="586657B1"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-89</w:t>
            </w:r>
          </w:p>
        </w:tc>
      </w:tr>
      <w:tr w:rsidR="00064254" w:rsidRPr="00064254" w14:paraId="53CAE44D" w14:textId="77777777" w:rsidTr="00612E7C">
        <w:trPr>
          <w:trHeight w:val="20"/>
        </w:trPr>
        <w:tc>
          <w:tcPr>
            <w:tcW w:w="4572" w:type="dxa"/>
            <w:shd w:val="clear" w:color="000000" w:fill="FFFFFF"/>
            <w:vAlign w:val="center"/>
            <w:hideMark/>
          </w:tcPr>
          <w:p w14:paraId="340999A7"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II Circ. Jud. Alajuela</w:t>
            </w:r>
          </w:p>
        </w:tc>
        <w:tc>
          <w:tcPr>
            <w:tcW w:w="1371" w:type="dxa"/>
            <w:shd w:val="clear" w:color="000000" w:fill="FFFFFF"/>
            <w:noWrap/>
            <w:vAlign w:val="center"/>
            <w:hideMark/>
          </w:tcPr>
          <w:p w14:paraId="6F585CDA"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667</w:t>
            </w:r>
          </w:p>
        </w:tc>
        <w:tc>
          <w:tcPr>
            <w:tcW w:w="1371" w:type="dxa"/>
            <w:shd w:val="clear" w:color="000000" w:fill="FFFFFF"/>
            <w:noWrap/>
            <w:vAlign w:val="center"/>
            <w:hideMark/>
          </w:tcPr>
          <w:p w14:paraId="2BEF1873"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578</w:t>
            </w:r>
          </w:p>
        </w:tc>
        <w:tc>
          <w:tcPr>
            <w:tcW w:w="1371" w:type="dxa"/>
            <w:shd w:val="clear" w:color="auto" w:fill="auto"/>
            <w:noWrap/>
            <w:vAlign w:val="center"/>
            <w:hideMark/>
          </w:tcPr>
          <w:p w14:paraId="0E89B3FF"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89</w:t>
            </w:r>
          </w:p>
        </w:tc>
      </w:tr>
      <w:tr w:rsidR="00064254" w:rsidRPr="00064254" w14:paraId="5BB5C7D9" w14:textId="77777777" w:rsidTr="00612E7C">
        <w:trPr>
          <w:trHeight w:val="20"/>
        </w:trPr>
        <w:tc>
          <w:tcPr>
            <w:tcW w:w="4572" w:type="dxa"/>
            <w:shd w:val="clear" w:color="000000" w:fill="FFFFFF"/>
            <w:vAlign w:val="center"/>
            <w:hideMark/>
          </w:tcPr>
          <w:p w14:paraId="29A52D53"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II Circ. Jud. San José</w:t>
            </w:r>
          </w:p>
        </w:tc>
        <w:tc>
          <w:tcPr>
            <w:tcW w:w="1371" w:type="dxa"/>
            <w:shd w:val="clear" w:color="000000" w:fill="FFFFFF"/>
            <w:noWrap/>
            <w:vAlign w:val="center"/>
            <w:hideMark/>
          </w:tcPr>
          <w:p w14:paraId="40C88A57"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 </w:t>
            </w:r>
          </w:p>
        </w:tc>
        <w:tc>
          <w:tcPr>
            <w:tcW w:w="1371" w:type="dxa"/>
            <w:shd w:val="clear" w:color="000000" w:fill="FFFFFF"/>
            <w:noWrap/>
            <w:vAlign w:val="center"/>
            <w:hideMark/>
          </w:tcPr>
          <w:p w14:paraId="6870067E"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669</w:t>
            </w:r>
          </w:p>
        </w:tc>
        <w:tc>
          <w:tcPr>
            <w:tcW w:w="1371" w:type="dxa"/>
            <w:shd w:val="clear" w:color="auto" w:fill="auto"/>
            <w:noWrap/>
            <w:vAlign w:val="center"/>
            <w:hideMark/>
          </w:tcPr>
          <w:p w14:paraId="2CB5F647"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669</w:t>
            </w:r>
          </w:p>
        </w:tc>
      </w:tr>
      <w:tr w:rsidR="00064254" w:rsidRPr="00064254" w14:paraId="12AA42C2" w14:textId="77777777" w:rsidTr="00612E7C">
        <w:trPr>
          <w:trHeight w:val="20"/>
        </w:trPr>
        <w:tc>
          <w:tcPr>
            <w:tcW w:w="4572" w:type="dxa"/>
            <w:shd w:val="clear" w:color="000000" w:fill="FFFFFF"/>
            <w:vAlign w:val="center"/>
            <w:hideMark/>
          </w:tcPr>
          <w:p w14:paraId="67C0C9AA"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II Circ. Jud. Zona Atlántica</w:t>
            </w:r>
          </w:p>
        </w:tc>
        <w:tc>
          <w:tcPr>
            <w:tcW w:w="1371" w:type="dxa"/>
            <w:shd w:val="clear" w:color="000000" w:fill="FFFFFF"/>
            <w:noWrap/>
            <w:vAlign w:val="center"/>
            <w:hideMark/>
          </w:tcPr>
          <w:p w14:paraId="6A0565EF"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602</w:t>
            </w:r>
          </w:p>
        </w:tc>
        <w:tc>
          <w:tcPr>
            <w:tcW w:w="1371" w:type="dxa"/>
            <w:shd w:val="clear" w:color="000000" w:fill="FFFFFF"/>
            <w:noWrap/>
            <w:vAlign w:val="center"/>
            <w:hideMark/>
          </w:tcPr>
          <w:p w14:paraId="6C24603B"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623</w:t>
            </w:r>
          </w:p>
        </w:tc>
        <w:tc>
          <w:tcPr>
            <w:tcW w:w="1371" w:type="dxa"/>
            <w:shd w:val="clear" w:color="auto" w:fill="auto"/>
            <w:noWrap/>
            <w:vAlign w:val="center"/>
            <w:hideMark/>
          </w:tcPr>
          <w:p w14:paraId="4A8CB28A"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-21</w:t>
            </w:r>
          </w:p>
        </w:tc>
      </w:tr>
      <w:tr w:rsidR="00064254" w:rsidRPr="00064254" w14:paraId="2B579F92" w14:textId="77777777" w:rsidTr="00612E7C">
        <w:trPr>
          <w:trHeight w:val="20"/>
        </w:trPr>
        <w:tc>
          <w:tcPr>
            <w:tcW w:w="4572" w:type="dxa"/>
            <w:shd w:val="clear" w:color="000000" w:fill="FFFFFF"/>
            <w:vAlign w:val="center"/>
            <w:hideMark/>
          </w:tcPr>
          <w:p w14:paraId="28CFD229"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Puntarenas</w:t>
            </w:r>
          </w:p>
        </w:tc>
        <w:tc>
          <w:tcPr>
            <w:tcW w:w="1371" w:type="dxa"/>
            <w:shd w:val="clear" w:color="000000" w:fill="FFFFFF"/>
            <w:noWrap/>
            <w:vAlign w:val="center"/>
            <w:hideMark/>
          </w:tcPr>
          <w:p w14:paraId="47BE45E3"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608</w:t>
            </w:r>
          </w:p>
        </w:tc>
        <w:tc>
          <w:tcPr>
            <w:tcW w:w="1371" w:type="dxa"/>
            <w:shd w:val="clear" w:color="000000" w:fill="FFFFFF"/>
            <w:noWrap/>
            <w:vAlign w:val="center"/>
            <w:hideMark/>
          </w:tcPr>
          <w:p w14:paraId="698BEAE2"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760</w:t>
            </w:r>
          </w:p>
        </w:tc>
        <w:tc>
          <w:tcPr>
            <w:tcW w:w="1371" w:type="dxa"/>
            <w:shd w:val="clear" w:color="auto" w:fill="auto"/>
            <w:noWrap/>
            <w:vAlign w:val="center"/>
            <w:hideMark/>
          </w:tcPr>
          <w:p w14:paraId="37BEBCA4"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-152</w:t>
            </w:r>
          </w:p>
        </w:tc>
      </w:tr>
      <w:tr w:rsidR="00064254" w:rsidRPr="00064254" w14:paraId="09A9E637" w14:textId="77777777" w:rsidTr="00612E7C">
        <w:trPr>
          <w:trHeight w:val="20"/>
        </w:trPr>
        <w:tc>
          <w:tcPr>
            <w:tcW w:w="4572" w:type="dxa"/>
            <w:shd w:val="clear" w:color="000000" w:fill="FFFFFF"/>
            <w:vAlign w:val="center"/>
            <w:hideMark/>
          </w:tcPr>
          <w:p w14:paraId="5B915C29"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Niñez y Adolescencia</w:t>
            </w:r>
          </w:p>
        </w:tc>
        <w:tc>
          <w:tcPr>
            <w:tcW w:w="1371" w:type="dxa"/>
            <w:shd w:val="clear" w:color="000000" w:fill="FFFFFF"/>
            <w:noWrap/>
            <w:vAlign w:val="center"/>
            <w:hideMark/>
          </w:tcPr>
          <w:p w14:paraId="72896C9B"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735</w:t>
            </w:r>
          </w:p>
        </w:tc>
        <w:tc>
          <w:tcPr>
            <w:tcW w:w="1371" w:type="dxa"/>
            <w:shd w:val="clear" w:color="000000" w:fill="FFFFFF"/>
            <w:noWrap/>
            <w:vAlign w:val="center"/>
            <w:hideMark/>
          </w:tcPr>
          <w:p w14:paraId="1D185CBD"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715</w:t>
            </w:r>
          </w:p>
        </w:tc>
        <w:tc>
          <w:tcPr>
            <w:tcW w:w="1371" w:type="dxa"/>
            <w:shd w:val="clear" w:color="auto" w:fill="auto"/>
            <w:noWrap/>
            <w:vAlign w:val="center"/>
            <w:hideMark/>
          </w:tcPr>
          <w:p w14:paraId="4AAA7DD3"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20</w:t>
            </w:r>
          </w:p>
        </w:tc>
      </w:tr>
      <w:tr w:rsidR="00064254" w:rsidRPr="00064254" w14:paraId="2408B5C3" w14:textId="77777777" w:rsidTr="00612E7C">
        <w:trPr>
          <w:trHeight w:val="20"/>
        </w:trPr>
        <w:tc>
          <w:tcPr>
            <w:tcW w:w="4572" w:type="dxa"/>
            <w:shd w:val="clear" w:color="000000" w:fill="FFFFFF"/>
            <w:vAlign w:val="center"/>
            <w:hideMark/>
          </w:tcPr>
          <w:p w14:paraId="55F1884C"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Primero de Familia San José</w:t>
            </w:r>
          </w:p>
        </w:tc>
        <w:tc>
          <w:tcPr>
            <w:tcW w:w="1371" w:type="dxa"/>
            <w:shd w:val="clear" w:color="000000" w:fill="FFFFFF"/>
            <w:noWrap/>
            <w:vAlign w:val="center"/>
            <w:hideMark/>
          </w:tcPr>
          <w:p w14:paraId="2E06ADEB"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532</w:t>
            </w:r>
          </w:p>
        </w:tc>
        <w:tc>
          <w:tcPr>
            <w:tcW w:w="1371" w:type="dxa"/>
            <w:shd w:val="clear" w:color="000000" w:fill="FFFFFF"/>
            <w:noWrap/>
            <w:vAlign w:val="center"/>
            <w:hideMark/>
          </w:tcPr>
          <w:p w14:paraId="514ACFD6"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526</w:t>
            </w:r>
          </w:p>
        </w:tc>
        <w:tc>
          <w:tcPr>
            <w:tcW w:w="1371" w:type="dxa"/>
            <w:shd w:val="clear" w:color="auto" w:fill="auto"/>
            <w:noWrap/>
            <w:vAlign w:val="center"/>
            <w:hideMark/>
          </w:tcPr>
          <w:p w14:paraId="3E1418D0"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6</w:t>
            </w:r>
          </w:p>
        </w:tc>
      </w:tr>
      <w:tr w:rsidR="00064254" w:rsidRPr="00064254" w14:paraId="1D1792BE" w14:textId="77777777" w:rsidTr="00612E7C">
        <w:trPr>
          <w:trHeight w:val="20"/>
        </w:trPr>
        <w:tc>
          <w:tcPr>
            <w:tcW w:w="4572" w:type="dxa"/>
            <w:shd w:val="clear" w:color="000000" w:fill="FFFFFF"/>
            <w:vAlign w:val="center"/>
            <w:hideMark/>
          </w:tcPr>
          <w:p w14:paraId="7D31B747" w14:textId="77777777" w:rsidR="00064254" w:rsidRPr="00612E7C" w:rsidRDefault="00064254" w:rsidP="00064254">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Segundo de Familia San José</w:t>
            </w:r>
          </w:p>
        </w:tc>
        <w:tc>
          <w:tcPr>
            <w:tcW w:w="1371" w:type="dxa"/>
            <w:shd w:val="clear" w:color="000000" w:fill="FFFFFF"/>
            <w:noWrap/>
            <w:vAlign w:val="center"/>
            <w:hideMark/>
          </w:tcPr>
          <w:p w14:paraId="77511CE5"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536</w:t>
            </w:r>
          </w:p>
        </w:tc>
        <w:tc>
          <w:tcPr>
            <w:tcW w:w="1371" w:type="dxa"/>
            <w:shd w:val="clear" w:color="000000" w:fill="FFFFFF"/>
            <w:noWrap/>
            <w:vAlign w:val="center"/>
            <w:hideMark/>
          </w:tcPr>
          <w:p w14:paraId="7DCE7200"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534</w:t>
            </w:r>
          </w:p>
        </w:tc>
        <w:tc>
          <w:tcPr>
            <w:tcW w:w="1371" w:type="dxa"/>
            <w:shd w:val="clear" w:color="auto" w:fill="auto"/>
            <w:noWrap/>
            <w:vAlign w:val="center"/>
            <w:hideMark/>
          </w:tcPr>
          <w:p w14:paraId="73F87118" w14:textId="77777777" w:rsidR="00064254" w:rsidRPr="00064254" w:rsidRDefault="00064254" w:rsidP="00064254">
            <w:pPr>
              <w:spacing w:after="0" w:line="240" w:lineRule="auto"/>
              <w:jc w:val="center"/>
              <w:rPr>
                <w:rFonts w:ascii="Book Antiqua" w:eastAsia="Times New Roman" w:hAnsi="Book Antiqua" w:cs="Calibri"/>
                <w:color w:val="000000"/>
                <w:sz w:val="20"/>
                <w:szCs w:val="20"/>
                <w:lang w:eastAsia="es-CR"/>
              </w:rPr>
            </w:pPr>
            <w:r w:rsidRPr="00064254">
              <w:rPr>
                <w:rFonts w:ascii="Book Antiqua" w:eastAsia="Times New Roman" w:hAnsi="Book Antiqua" w:cs="Calibri"/>
                <w:color w:val="000000"/>
                <w:sz w:val="20"/>
                <w:szCs w:val="20"/>
                <w:lang w:eastAsia="es-CR"/>
              </w:rPr>
              <w:t>2</w:t>
            </w:r>
          </w:p>
        </w:tc>
      </w:tr>
    </w:tbl>
    <w:p w14:paraId="2C3A3D7A" w14:textId="6B767D44" w:rsidR="006E6743" w:rsidRPr="00AB56D2" w:rsidRDefault="006E6743" w:rsidP="006E6743">
      <w:pPr>
        <w:spacing w:after="0" w:line="276" w:lineRule="auto"/>
        <w:jc w:val="both"/>
        <w:rPr>
          <w:rFonts w:ascii="Book Antiqua" w:eastAsia="Calibri" w:hAnsi="Book Antiqua" w:cs="Arial"/>
          <w:bCs/>
          <w:i/>
          <w:sz w:val="20"/>
          <w:szCs w:val="20"/>
        </w:rPr>
      </w:pPr>
      <w:r w:rsidRPr="00ED2ACB">
        <w:rPr>
          <w:rFonts w:ascii="Book Antiqua" w:eastAsia="Calibri" w:hAnsi="Book Antiqua" w:cs="Arial"/>
          <w:b/>
          <w:i/>
          <w:sz w:val="20"/>
          <w:szCs w:val="20"/>
        </w:rPr>
        <w:t>Fuente:</w:t>
      </w:r>
      <w:r w:rsidRPr="006E6743">
        <w:rPr>
          <w:rFonts w:ascii="Book Antiqua" w:eastAsia="Calibri" w:hAnsi="Book Antiqua" w:cs="Arial"/>
          <w:bCs/>
          <w:i/>
          <w:sz w:val="20"/>
          <w:szCs w:val="20"/>
        </w:rPr>
        <w:t xml:space="preserve"> Subproceso de Modernización Institucional, con datos </w:t>
      </w:r>
      <w:r w:rsidR="00DD53D0">
        <w:rPr>
          <w:rFonts w:ascii="Book Antiqua" w:eastAsia="Calibri" w:hAnsi="Book Antiqua" w:cs="Arial"/>
          <w:bCs/>
          <w:i/>
          <w:sz w:val="20"/>
          <w:szCs w:val="20"/>
        </w:rPr>
        <w:t>suministrados por</w:t>
      </w:r>
      <w:r w:rsidRPr="006E6743">
        <w:rPr>
          <w:rFonts w:ascii="Book Antiqua" w:eastAsia="Calibri" w:hAnsi="Book Antiqua" w:cs="Arial"/>
          <w:bCs/>
          <w:i/>
          <w:sz w:val="20"/>
          <w:szCs w:val="20"/>
        </w:rPr>
        <w:t xml:space="preserve"> los Juzgados Especializados </w:t>
      </w:r>
      <w:r w:rsidRPr="00AB56D2">
        <w:rPr>
          <w:rFonts w:ascii="Book Antiqua" w:eastAsia="Calibri" w:hAnsi="Book Antiqua" w:cs="Arial"/>
          <w:bCs/>
          <w:i/>
          <w:sz w:val="20"/>
          <w:szCs w:val="20"/>
        </w:rPr>
        <w:t>de Familia 202</w:t>
      </w:r>
      <w:r w:rsidR="00DD53D0" w:rsidRPr="00AB56D2">
        <w:rPr>
          <w:rFonts w:ascii="Book Antiqua" w:eastAsia="Calibri" w:hAnsi="Book Antiqua" w:cs="Arial"/>
          <w:bCs/>
          <w:i/>
          <w:sz w:val="20"/>
          <w:szCs w:val="20"/>
        </w:rPr>
        <w:t>2</w:t>
      </w:r>
      <w:r w:rsidR="00D66F4A" w:rsidRPr="00AB56D2">
        <w:rPr>
          <w:rFonts w:ascii="Book Antiqua" w:eastAsia="Calibri" w:hAnsi="Book Antiqua" w:cs="Arial"/>
          <w:bCs/>
          <w:i/>
          <w:sz w:val="20"/>
          <w:szCs w:val="20"/>
        </w:rPr>
        <w:t xml:space="preserve"> y SIGMA.</w:t>
      </w:r>
    </w:p>
    <w:p w14:paraId="6793091C" w14:textId="6A1ED32C" w:rsidR="004566F4" w:rsidRDefault="004566F4" w:rsidP="004566F4">
      <w:pPr>
        <w:spacing w:after="0" w:line="276" w:lineRule="auto"/>
        <w:rPr>
          <w:rFonts w:ascii="Book Antiqua" w:eastAsia="Calibri" w:hAnsi="Book Antiqua" w:cs="Arial"/>
          <w:i/>
          <w:iCs/>
          <w:sz w:val="20"/>
          <w:szCs w:val="20"/>
        </w:rPr>
      </w:pPr>
      <w:r w:rsidRPr="00AB56D2">
        <w:rPr>
          <w:rFonts w:ascii="Book Antiqua" w:eastAsia="Calibri" w:hAnsi="Book Antiqua" w:cs="Arial"/>
          <w:b/>
          <w:bCs/>
          <w:i/>
          <w:iCs/>
          <w:sz w:val="20"/>
          <w:szCs w:val="20"/>
        </w:rPr>
        <w:t>Nota:</w:t>
      </w:r>
      <w:r w:rsidRPr="00AB56D2">
        <w:rPr>
          <w:rFonts w:ascii="Book Antiqua" w:eastAsia="Calibri" w:hAnsi="Book Antiqua" w:cs="Arial"/>
          <w:i/>
          <w:iCs/>
          <w:sz w:val="20"/>
          <w:szCs w:val="20"/>
        </w:rPr>
        <w:t xml:space="preserve"> </w:t>
      </w:r>
      <w:bookmarkStart w:id="24" w:name="_Hlk128122705"/>
      <w:r w:rsidRPr="00AB56D2">
        <w:rPr>
          <w:rFonts w:ascii="Book Antiqua" w:eastAsia="Calibri" w:hAnsi="Book Antiqua" w:cs="Arial"/>
          <w:i/>
          <w:iCs/>
          <w:sz w:val="20"/>
          <w:szCs w:val="20"/>
        </w:rPr>
        <w:t xml:space="preserve">No se recibió la información del </w:t>
      </w:r>
      <w:r w:rsidR="00AB56D2" w:rsidRPr="00AB56D2">
        <w:rPr>
          <w:rFonts w:ascii="Book Antiqua" w:eastAsia="Calibri" w:hAnsi="Book Antiqua" w:cs="Arial"/>
          <w:i/>
          <w:iCs/>
          <w:sz w:val="20"/>
          <w:szCs w:val="20"/>
        </w:rPr>
        <w:t>Juzgado de Familia II Circuito Judicial de San José</w:t>
      </w:r>
      <w:r w:rsidRPr="00AB56D2">
        <w:rPr>
          <w:rFonts w:ascii="Book Antiqua" w:eastAsia="Calibri" w:hAnsi="Book Antiqua" w:cs="Arial"/>
          <w:i/>
          <w:iCs/>
          <w:sz w:val="20"/>
          <w:szCs w:val="20"/>
        </w:rPr>
        <w:t>.</w:t>
      </w:r>
      <w:r>
        <w:rPr>
          <w:rFonts w:ascii="Book Antiqua" w:eastAsia="Calibri" w:hAnsi="Book Antiqua" w:cs="Arial"/>
          <w:i/>
          <w:iCs/>
          <w:sz w:val="20"/>
          <w:szCs w:val="20"/>
        </w:rPr>
        <w:t xml:space="preserve"> </w:t>
      </w:r>
      <w:bookmarkEnd w:id="24"/>
    </w:p>
    <w:p w14:paraId="2851D52B" w14:textId="666B88F1" w:rsidR="006E6743" w:rsidRDefault="006E6743" w:rsidP="006E6743">
      <w:pPr>
        <w:spacing w:after="0" w:line="276" w:lineRule="auto"/>
        <w:jc w:val="both"/>
        <w:rPr>
          <w:rFonts w:ascii="Book Antiqua" w:eastAsia="Calibri" w:hAnsi="Book Antiqua" w:cs="Arial"/>
          <w:bCs/>
          <w:i/>
          <w:sz w:val="20"/>
          <w:szCs w:val="20"/>
        </w:rPr>
      </w:pPr>
    </w:p>
    <w:p w14:paraId="533A3EA3" w14:textId="051B1D2C" w:rsidR="006B1195" w:rsidRPr="006B1195" w:rsidRDefault="006B1195" w:rsidP="006B1195">
      <w:pPr>
        <w:spacing w:after="0" w:line="276" w:lineRule="auto"/>
        <w:jc w:val="both"/>
        <w:rPr>
          <w:rFonts w:ascii="Book Antiqua" w:eastAsia="Calibri" w:hAnsi="Book Antiqua" w:cs="Arial"/>
          <w:sz w:val="24"/>
          <w:szCs w:val="24"/>
        </w:rPr>
      </w:pPr>
      <w:r w:rsidRPr="00BE7948">
        <w:rPr>
          <w:rFonts w:ascii="Book Antiqua" w:eastAsia="Calibri" w:hAnsi="Book Antiqua" w:cs="Arial"/>
          <w:sz w:val="24"/>
          <w:szCs w:val="24"/>
        </w:rPr>
        <w:t xml:space="preserve">De los resultados anteriores, se evidencia que estos difieren para todos los Juzgados Especializados en Familia, registrando una diferencia en el total de un </w:t>
      </w:r>
      <w:r w:rsidR="00CF16A0" w:rsidRPr="00BE7948">
        <w:rPr>
          <w:rFonts w:ascii="Book Antiqua" w:eastAsia="Calibri" w:hAnsi="Book Antiqua" w:cs="Arial"/>
          <w:sz w:val="24"/>
          <w:szCs w:val="24"/>
        </w:rPr>
        <w:t>1</w:t>
      </w:r>
      <w:r w:rsidR="00BE7948" w:rsidRPr="00BE7948">
        <w:rPr>
          <w:rFonts w:ascii="Book Antiqua" w:eastAsia="Calibri" w:hAnsi="Book Antiqua" w:cs="Arial"/>
          <w:sz w:val="24"/>
          <w:szCs w:val="24"/>
        </w:rPr>
        <w:t>4</w:t>
      </w:r>
      <w:r w:rsidRPr="00BE7948">
        <w:rPr>
          <w:rFonts w:ascii="Book Antiqua" w:eastAsia="Calibri" w:hAnsi="Book Antiqua" w:cs="Arial"/>
          <w:sz w:val="24"/>
          <w:szCs w:val="24"/>
        </w:rPr>
        <w:t xml:space="preserve">% entre SIGMA y los datos de </w:t>
      </w:r>
      <w:r w:rsidR="00BE7948" w:rsidRPr="00BE7948">
        <w:rPr>
          <w:rFonts w:ascii="Book Antiqua" w:eastAsia="Calibri" w:hAnsi="Book Antiqua" w:cs="Arial"/>
          <w:sz w:val="24"/>
          <w:szCs w:val="24"/>
        </w:rPr>
        <w:t xml:space="preserve">la Agendar Cronos reportados por </w:t>
      </w:r>
      <w:r w:rsidRPr="00BE7948">
        <w:rPr>
          <w:rFonts w:ascii="Book Antiqua" w:eastAsia="Calibri" w:hAnsi="Book Antiqua" w:cs="Arial"/>
          <w:sz w:val="24"/>
          <w:szCs w:val="24"/>
        </w:rPr>
        <w:t xml:space="preserve">los </w:t>
      </w:r>
      <w:r w:rsidR="00BE7948" w:rsidRPr="00BE7948">
        <w:rPr>
          <w:rFonts w:ascii="Book Antiqua" w:eastAsia="Calibri" w:hAnsi="Book Antiqua" w:cs="Arial"/>
          <w:sz w:val="24"/>
          <w:szCs w:val="24"/>
        </w:rPr>
        <w:t>Juzgad</w:t>
      </w:r>
      <w:r w:rsidRPr="00BE7948">
        <w:rPr>
          <w:rFonts w:ascii="Book Antiqua" w:eastAsia="Calibri" w:hAnsi="Book Antiqua" w:cs="Arial"/>
          <w:sz w:val="24"/>
          <w:szCs w:val="24"/>
        </w:rPr>
        <w:t xml:space="preserve">os. De lo anterior, </w:t>
      </w:r>
      <w:r w:rsidR="00BE7948" w:rsidRPr="00BE7948">
        <w:rPr>
          <w:rFonts w:ascii="Book Antiqua" w:eastAsia="Calibri" w:hAnsi="Book Antiqua" w:cs="Arial"/>
          <w:sz w:val="24"/>
          <w:szCs w:val="24"/>
        </w:rPr>
        <w:t xml:space="preserve">se </w:t>
      </w:r>
      <w:r w:rsidRPr="00BE7948">
        <w:rPr>
          <w:rFonts w:ascii="Book Antiqua" w:eastAsia="Calibri" w:hAnsi="Book Antiqua" w:cs="Arial"/>
          <w:sz w:val="24"/>
          <w:szCs w:val="24"/>
        </w:rPr>
        <w:t>confirma que los Despachos no están realizando las revisiones de la información que se ingresa en los sistemas, por lo tanto, los datos registrados a través de este módulo no son fieles a la realidad,</w:t>
      </w:r>
      <w:r w:rsidRPr="006B1195">
        <w:rPr>
          <w:rFonts w:ascii="Book Antiqua" w:eastAsia="Calibri" w:hAnsi="Book Antiqua" w:cs="Arial"/>
          <w:sz w:val="24"/>
          <w:szCs w:val="24"/>
        </w:rPr>
        <w:t xml:space="preserve"> </w:t>
      </w:r>
      <w:r w:rsidR="00BE7948">
        <w:rPr>
          <w:rFonts w:ascii="Book Antiqua" w:eastAsia="Calibri" w:hAnsi="Book Antiqua" w:cs="Arial"/>
          <w:sz w:val="24"/>
          <w:szCs w:val="24"/>
        </w:rPr>
        <w:t>al respecto,</w:t>
      </w:r>
      <w:r w:rsidRPr="006B1195">
        <w:rPr>
          <w:rFonts w:ascii="Book Antiqua" w:eastAsia="Calibri" w:hAnsi="Book Antiqua" w:cs="Arial"/>
          <w:sz w:val="24"/>
          <w:szCs w:val="24"/>
        </w:rPr>
        <w:t xml:space="preserve"> la Institución ha generado múltiples circulares en la</w:t>
      </w:r>
      <w:r w:rsidR="00CF16A0">
        <w:rPr>
          <w:rFonts w:ascii="Book Antiqua" w:eastAsia="Calibri" w:hAnsi="Book Antiqua" w:cs="Arial"/>
          <w:sz w:val="24"/>
          <w:szCs w:val="24"/>
        </w:rPr>
        <w:t>s</w:t>
      </w:r>
      <w:r w:rsidRPr="006B1195">
        <w:rPr>
          <w:rFonts w:ascii="Book Antiqua" w:eastAsia="Calibri" w:hAnsi="Book Antiqua" w:cs="Arial"/>
          <w:sz w:val="24"/>
          <w:szCs w:val="24"/>
        </w:rPr>
        <w:t xml:space="preserve"> que </w:t>
      </w:r>
      <w:r w:rsidR="00CF16A0">
        <w:rPr>
          <w:rFonts w:ascii="Book Antiqua" w:eastAsia="Calibri" w:hAnsi="Book Antiqua" w:cs="Arial"/>
          <w:sz w:val="24"/>
          <w:szCs w:val="24"/>
        </w:rPr>
        <w:t xml:space="preserve">se indica que </w:t>
      </w:r>
      <w:r w:rsidRPr="006B1195">
        <w:rPr>
          <w:rFonts w:ascii="Book Antiqua" w:eastAsia="Calibri" w:hAnsi="Book Antiqua" w:cs="Arial"/>
          <w:sz w:val="24"/>
          <w:szCs w:val="24"/>
        </w:rPr>
        <w:t>es obligación de las personas técnicas y juzgadoras mantener la información actualizada en los sistema, lo cual también fue retomado en el informe de hallazgos de la Contraloría General de la República</w:t>
      </w:r>
      <w:r w:rsidR="001C0DBC">
        <w:rPr>
          <w:rFonts w:ascii="Book Antiqua" w:eastAsia="Calibri" w:hAnsi="Book Antiqua" w:cs="Arial"/>
          <w:sz w:val="24"/>
          <w:szCs w:val="24"/>
        </w:rPr>
        <w:t>; incluso la circular 170-2020 establece la</w:t>
      </w:r>
      <w:r w:rsidR="001C0DBC" w:rsidRPr="001D0C10">
        <w:rPr>
          <w:rFonts w:ascii="Book Antiqua" w:eastAsia="Calibri" w:hAnsi="Book Antiqua" w:cs="Arial"/>
          <w:i/>
          <w:iCs/>
          <w:sz w:val="24"/>
          <w:szCs w:val="24"/>
        </w:rPr>
        <w:t xml:space="preserve"> </w:t>
      </w:r>
      <w:r w:rsidR="001C0DBC">
        <w:rPr>
          <w:rFonts w:ascii="Book Antiqua" w:eastAsia="Calibri" w:hAnsi="Book Antiqua" w:cs="Arial"/>
          <w:i/>
          <w:iCs/>
          <w:sz w:val="24"/>
          <w:szCs w:val="24"/>
        </w:rPr>
        <w:t>“o</w:t>
      </w:r>
      <w:r w:rsidR="001C0DBC" w:rsidRPr="001D0C10">
        <w:rPr>
          <w:rFonts w:ascii="Book Antiqua" w:eastAsia="Calibri" w:hAnsi="Book Antiqua" w:cs="Arial"/>
          <w:i/>
          <w:iCs/>
          <w:sz w:val="24"/>
          <w:szCs w:val="24"/>
        </w:rPr>
        <w:t>bligación de cumplir con la corrección de inconsistencias de manera permanente, cumplimiento de circulares y actualización de los controles implementados bajo apercibimiento de aplicar el régimen disciplinario por su incumplimiento.”</w:t>
      </w:r>
      <w:r w:rsidRPr="006B1195">
        <w:rPr>
          <w:rFonts w:ascii="Book Antiqua" w:eastAsia="Calibri" w:hAnsi="Book Antiqua" w:cs="Arial"/>
          <w:sz w:val="24"/>
          <w:szCs w:val="24"/>
        </w:rPr>
        <w:t xml:space="preserve"> </w:t>
      </w:r>
    </w:p>
    <w:p w14:paraId="7C81CC27" w14:textId="77777777" w:rsidR="006B1195" w:rsidRPr="006B1195" w:rsidRDefault="006B1195" w:rsidP="006B1195">
      <w:pPr>
        <w:spacing w:after="0" w:line="276" w:lineRule="auto"/>
        <w:jc w:val="both"/>
        <w:rPr>
          <w:rFonts w:ascii="Book Antiqua" w:eastAsia="Calibri" w:hAnsi="Book Antiqua" w:cs="Arial"/>
          <w:sz w:val="24"/>
          <w:szCs w:val="24"/>
        </w:rPr>
      </w:pPr>
    </w:p>
    <w:p w14:paraId="1A81F0C7" w14:textId="08CC887F" w:rsidR="006B1195" w:rsidRDefault="006B1195" w:rsidP="006B1195">
      <w:pPr>
        <w:spacing w:after="0" w:line="276" w:lineRule="auto"/>
        <w:jc w:val="both"/>
        <w:rPr>
          <w:rFonts w:ascii="Book Antiqua" w:eastAsia="Calibri" w:hAnsi="Book Antiqua" w:cs="Arial"/>
          <w:sz w:val="24"/>
          <w:szCs w:val="24"/>
        </w:rPr>
      </w:pPr>
      <w:r w:rsidRPr="006B1195">
        <w:rPr>
          <w:rFonts w:ascii="Book Antiqua" w:eastAsia="Calibri" w:hAnsi="Book Antiqua" w:cs="Arial"/>
          <w:sz w:val="24"/>
          <w:szCs w:val="24"/>
        </w:rPr>
        <w:t>En el siguiente cuadro, se muestra la cantidad de audiencias realizadas en los Juzgados Especializados de Familia por persona juzgadora durante el periodo 20</w:t>
      </w:r>
      <w:r w:rsidR="00DD53D0">
        <w:rPr>
          <w:rFonts w:ascii="Book Antiqua" w:eastAsia="Calibri" w:hAnsi="Book Antiqua" w:cs="Arial"/>
          <w:sz w:val="24"/>
          <w:szCs w:val="24"/>
        </w:rPr>
        <w:t>20</w:t>
      </w:r>
      <w:r w:rsidRPr="006B1195">
        <w:rPr>
          <w:rFonts w:ascii="Book Antiqua" w:eastAsia="Calibri" w:hAnsi="Book Antiqua" w:cs="Arial"/>
          <w:sz w:val="24"/>
          <w:szCs w:val="24"/>
        </w:rPr>
        <w:t xml:space="preserve"> al 20</w:t>
      </w:r>
      <w:r w:rsidR="00DD53D0">
        <w:rPr>
          <w:rFonts w:ascii="Book Antiqua" w:eastAsia="Calibri" w:hAnsi="Book Antiqua" w:cs="Arial"/>
          <w:sz w:val="24"/>
          <w:szCs w:val="24"/>
        </w:rPr>
        <w:t>22</w:t>
      </w:r>
      <w:r w:rsidRPr="006B1195">
        <w:rPr>
          <w:rFonts w:ascii="Book Antiqua" w:eastAsia="Calibri" w:hAnsi="Book Antiqua" w:cs="Arial"/>
          <w:sz w:val="24"/>
          <w:szCs w:val="24"/>
        </w:rPr>
        <w:t>.</w:t>
      </w:r>
    </w:p>
    <w:p w14:paraId="0358E0D8" w14:textId="1C4F1B6B"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 xml:space="preserve">Cuadro </w:t>
      </w:r>
      <w:r w:rsidRPr="00671025">
        <w:rPr>
          <w:rFonts w:ascii="Book Antiqua" w:eastAsia="Calibri" w:hAnsi="Book Antiqua" w:cs="Arial"/>
          <w:b/>
          <w:bCs/>
          <w:color w:val="1F497D"/>
          <w:szCs w:val="24"/>
          <w:lang w:val="es-ES" w:eastAsia="es-ES"/>
        </w:rPr>
        <w:fldChar w:fldCharType="begin"/>
      </w:r>
      <w:r w:rsidRPr="00671025">
        <w:rPr>
          <w:rFonts w:ascii="Book Antiqua" w:eastAsia="Calibri" w:hAnsi="Book Antiqua" w:cs="Arial"/>
          <w:b/>
          <w:bCs/>
          <w:color w:val="1F497D"/>
          <w:szCs w:val="24"/>
          <w:lang w:val="es-ES" w:eastAsia="es-ES"/>
        </w:rPr>
        <w:instrText xml:space="preserve"> SEQ Cuadro \* ARABIC </w:instrText>
      </w:r>
      <w:r w:rsidRPr="0067102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11</w:t>
      </w:r>
      <w:r w:rsidRPr="00671025">
        <w:rPr>
          <w:rFonts w:ascii="Book Antiqua" w:eastAsia="Calibri" w:hAnsi="Book Antiqua" w:cs="Arial"/>
          <w:b/>
          <w:bCs/>
          <w:color w:val="1F497D"/>
          <w:szCs w:val="24"/>
          <w:lang w:val="es-ES" w:eastAsia="es-ES"/>
        </w:rPr>
        <w:fldChar w:fldCharType="end"/>
      </w:r>
    </w:p>
    <w:p w14:paraId="03B66835" w14:textId="77777777" w:rsidR="00671025" w:rsidRPr="00671025" w:rsidRDefault="00671025" w:rsidP="00AB56D2">
      <w:pPr>
        <w:keepNext/>
        <w:numPr>
          <w:ilvl w:val="12"/>
          <w:numId w:val="0"/>
        </w:numPr>
        <w:spacing w:after="0" w:line="240"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 xml:space="preserve">Cantidad promedio de audiencias realizadas </w:t>
      </w:r>
    </w:p>
    <w:p w14:paraId="07C87367" w14:textId="65FF83E4" w:rsidR="00671025" w:rsidRDefault="00671025" w:rsidP="00AB56D2">
      <w:pPr>
        <w:keepNext/>
        <w:numPr>
          <w:ilvl w:val="12"/>
          <w:numId w:val="0"/>
        </w:numPr>
        <w:spacing w:after="0" w:line="240"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por persona juzgadora, periodo 20</w:t>
      </w:r>
      <w:r>
        <w:rPr>
          <w:rFonts w:ascii="Book Antiqua" w:eastAsia="Calibri" w:hAnsi="Book Antiqua" w:cs="Arial"/>
          <w:b/>
          <w:bCs/>
          <w:color w:val="1F497D"/>
          <w:szCs w:val="24"/>
          <w:lang w:val="es-ES" w:eastAsia="es-ES"/>
        </w:rPr>
        <w:t>20</w:t>
      </w:r>
      <w:r w:rsidRPr="00671025">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00ED2ACB">
        <w:rPr>
          <w:rFonts w:ascii="Book Antiqua" w:eastAsia="Calibri" w:hAnsi="Book Antiqua" w:cs="Arial"/>
          <w:b/>
          <w:bCs/>
          <w:color w:val="1F497D"/>
          <w:szCs w:val="24"/>
          <w:lang w:val="es-ES" w:eastAsia="es-ES"/>
        </w:rPr>
        <w:t>2</w:t>
      </w:r>
    </w:p>
    <w:tbl>
      <w:tblPr>
        <w:tblW w:w="9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80"/>
        <w:gridCol w:w="1129"/>
        <w:gridCol w:w="1129"/>
        <w:gridCol w:w="1129"/>
        <w:gridCol w:w="1060"/>
        <w:gridCol w:w="1152"/>
        <w:gridCol w:w="1060"/>
      </w:tblGrid>
      <w:tr w:rsidR="005E1212" w:rsidRPr="005E1212" w14:paraId="2B16D0B1" w14:textId="77777777" w:rsidTr="00612E7C">
        <w:trPr>
          <w:trHeight w:val="20"/>
          <w:jc w:val="center"/>
        </w:trPr>
        <w:tc>
          <w:tcPr>
            <w:tcW w:w="2780" w:type="dxa"/>
            <w:shd w:val="clear" w:color="000000" w:fill="002060"/>
            <w:noWrap/>
            <w:vAlign w:val="center"/>
            <w:hideMark/>
          </w:tcPr>
          <w:p w14:paraId="56AAC5BB" w14:textId="77777777" w:rsidR="005E1212" w:rsidRPr="005E1212" w:rsidRDefault="005E1212" w:rsidP="005E1212">
            <w:pPr>
              <w:spacing w:after="0" w:line="240" w:lineRule="auto"/>
              <w:jc w:val="center"/>
              <w:rPr>
                <w:rFonts w:ascii="Book Antiqua" w:eastAsia="Times New Roman" w:hAnsi="Book Antiqua" w:cs="Calibri"/>
                <w:b/>
                <w:bCs/>
                <w:color w:val="FFFFFF"/>
                <w:sz w:val="20"/>
                <w:szCs w:val="20"/>
                <w:lang w:eastAsia="es-CR"/>
              </w:rPr>
            </w:pPr>
            <w:r w:rsidRPr="005E1212">
              <w:rPr>
                <w:rFonts w:ascii="Book Antiqua" w:eastAsia="Times New Roman" w:hAnsi="Book Antiqua" w:cs="Calibri"/>
                <w:b/>
                <w:bCs/>
                <w:color w:val="FFFFFF"/>
                <w:sz w:val="20"/>
                <w:szCs w:val="20"/>
                <w:lang w:eastAsia="es-CR"/>
              </w:rPr>
              <w:t>Despacho</w:t>
            </w:r>
          </w:p>
        </w:tc>
        <w:tc>
          <w:tcPr>
            <w:tcW w:w="1060" w:type="dxa"/>
            <w:shd w:val="clear" w:color="000000" w:fill="002060"/>
            <w:vAlign w:val="center"/>
            <w:hideMark/>
          </w:tcPr>
          <w:p w14:paraId="70708B25" w14:textId="77777777" w:rsidR="005E1212" w:rsidRPr="005E1212" w:rsidRDefault="005E1212" w:rsidP="005E1212">
            <w:pPr>
              <w:spacing w:after="0" w:line="240" w:lineRule="auto"/>
              <w:jc w:val="center"/>
              <w:rPr>
                <w:rFonts w:ascii="Book Antiqua" w:eastAsia="Times New Roman" w:hAnsi="Book Antiqua" w:cs="Calibri"/>
                <w:b/>
                <w:bCs/>
                <w:color w:val="FFFFFF"/>
                <w:sz w:val="20"/>
                <w:szCs w:val="20"/>
                <w:lang w:eastAsia="es-CR"/>
              </w:rPr>
            </w:pPr>
            <w:r w:rsidRPr="005E1212">
              <w:rPr>
                <w:rFonts w:ascii="Book Antiqua" w:eastAsia="Times New Roman" w:hAnsi="Book Antiqua" w:cs="Calibri"/>
                <w:b/>
                <w:bCs/>
                <w:color w:val="FFFFFF"/>
                <w:sz w:val="20"/>
                <w:szCs w:val="20"/>
                <w:lang w:eastAsia="es-CR"/>
              </w:rPr>
              <w:t>Total Aud. Realizadas 2020</w:t>
            </w:r>
          </w:p>
        </w:tc>
        <w:tc>
          <w:tcPr>
            <w:tcW w:w="1060" w:type="dxa"/>
            <w:shd w:val="clear" w:color="000000" w:fill="002060"/>
            <w:vAlign w:val="center"/>
            <w:hideMark/>
          </w:tcPr>
          <w:p w14:paraId="28970015" w14:textId="77777777" w:rsidR="005E1212" w:rsidRPr="005E1212" w:rsidRDefault="005E1212" w:rsidP="005E1212">
            <w:pPr>
              <w:spacing w:after="0" w:line="240" w:lineRule="auto"/>
              <w:jc w:val="center"/>
              <w:rPr>
                <w:rFonts w:ascii="Book Antiqua" w:eastAsia="Times New Roman" w:hAnsi="Book Antiqua" w:cs="Calibri"/>
                <w:b/>
                <w:bCs/>
                <w:color w:val="FFFFFF"/>
                <w:sz w:val="20"/>
                <w:szCs w:val="20"/>
                <w:lang w:eastAsia="es-CR"/>
              </w:rPr>
            </w:pPr>
            <w:r w:rsidRPr="005E1212">
              <w:rPr>
                <w:rFonts w:ascii="Book Antiqua" w:eastAsia="Times New Roman" w:hAnsi="Book Antiqua" w:cs="Calibri"/>
                <w:b/>
                <w:bCs/>
                <w:color w:val="FFFFFF"/>
                <w:sz w:val="20"/>
                <w:szCs w:val="20"/>
                <w:lang w:eastAsia="es-CR"/>
              </w:rPr>
              <w:t>Total Aud. Realizadas 2021</w:t>
            </w:r>
          </w:p>
        </w:tc>
        <w:tc>
          <w:tcPr>
            <w:tcW w:w="1060" w:type="dxa"/>
            <w:shd w:val="clear" w:color="000000" w:fill="002060"/>
            <w:vAlign w:val="center"/>
            <w:hideMark/>
          </w:tcPr>
          <w:p w14:paraId="43EAE000" w14:textId="77777777" w:rsidR="005E1212" w:rsidRPr="005E1212" w:rsidRDefault="005E1212" w:rsidP="005E1212">
            <w:pPr>
              <w:spacing w:after="0" w:line="240" w:lineRule="auto"/>
              <w:jc w:val="center"/>
              <w:rPr>
                <w:rFonts w:ascii="Book Antiqua" w:eastAsia="Times New Roman" w:hAnsi="Book Antiqua" w:cs="Calibri"/>
                <w:b/>
                <w:bCs/>
                <w:color w:val="FFFFFF"/>
                <w:sz w:val="20"/>
                <w:szCs w:val="20"/>
                <w:lang w:eastAsia="es-CR"/>
              </w:rPr>
            </w:pPr>
            <w:r w:rsidRPr="005E1212">
              <w:rPr>
                <w:rFonts w:ascii="Book Antiqua" w:eastAsia="Times New Roman" w:hAnsi="Book Antiqua" w:cs="Calibri"/>
                <w:b/>
                <w:bCs/>
                <w:color w:val="FFFFFF"/>
                <w:sz w:val="20"/>
                <w:szCs w:val="20"/>
                <w:lang w:eastAsia="es-CR"/>
              </w:rPr>
              <w:t>Total Aud. Realizadas 2022</w:t>
            </w:r>
          </w:p>
        </w:tc>
        <w:tc>
          <w:tcPr>
            <w:tcW w:w="1060" w:type="dxa"/>
            <w:shd w:val="clear" w:color="000000" w:fill="002060"/>
            <w:vAlign w:val="center"/>
            <w:hideMark/>
          </w:tcPr>
          <w:p w14:paraId="24A02696" w14:textId="77777777" w:rsidR="005E1212" w:rsidRPr="005E1212" w:rsidRDefault="005E1212" w:rsidP="005E1212">
            <w:pPr>
              <w:spacing w:after="0" w:line="240" w:lineRule="auto"/>
              <w:jc w:val="center"/>
              <w:rPr>
                <w:rFonts w:ascii="Book Antiqua" w:eastAsia="Times New Roman" w:hAnsi="Book Antiqua" w:cs="Calibri"/>
                <w:b/>
                <w:bCs/>
                <w:color w:val="FFFFFF"/>
                <w:sz w:val="20"/>
                <w:szCs w:val="20"/>
                <w:lang w:eastAsia="es-CR"/>
              </w:rPr>
            </w:pPr>
            <w:r w:rsidRPr="005E1212">
              <w:rPr>
                <w:rFonts w:ascii="Book Antiqua" w:eastAsia="Times New Roman" w:hAnsi="Book Antiqua" w:cs="Calibri"/>
                <w:b/>
                <w:bCs/>
                <w:color w:val="FFFFFF"/>
                <w:sz w:val="20"/>
                <w:szCs w:val="20"/>
                <w:lang w:eastAsia="es-CR"/>
              </w:rPr>
              <w:t>Promedio mensual 2020 al 2022</w:t>
            </w:r>
          </w:p>
        </w:tc>
        <w:tc>
          <w:tcPr>
            <w:tcW w:w="1060" w:type="dxa"/>
            <w:shd w:val="clear" w:color="000000" w:fill="002060"/>
            <w:vAlign w:val="center"/>
            <w:hideMark/>
          </w:tcPr>
          <w:p w14:paraId="2EF50004" w14:textId="77777777" w:rsidR="005E1212" w:rsidRPr="005E1212" w:rsidRDefault="005E1212" w:rsidP="005E1212">
            <w:pPr>
              <w:spacing w:after="0" w:line="240" w:lineRule="auto"/>
              <w:jc w:val="center"/>
              <w:rPr>
                <w:rFonts w:ascii="Book Antiqua" w:eastAsia="Times New Roman" w:hAnsi="Book Antiqua" w:cs="Calibri"/>
                <w:b/>
                <w:bCs/>
                <w:color w:val="FFFFFF"/>
                <w:sz w:val="20"/>
                <w:szCs w:val="20"/>
                <w:lang w:eastAsia="es-CR"/>
              </w:rPr>
            </w:pPr>
            <w:r w:rsidRPr="005E1212">
              <w:rPr>
                <w:rFonts w:ascii="Book Antiqua" w:eastAsia="Times New Roman" w:hAnsi="Book Antiqua" w:cs="Calibri"/>
                <w:b/>
                <w:bCs/>
                <w:color w:val="FFFFFF"/>
                <w:sz w:val="20"/>
                <w:szCs w:val="20"/>
                <w:lang w:eastAsia="es-CR"/>
              </w:rPr>
              <w:t>Cantidad de personas Juzgadoras</w:t>
            </w:r>
          </w:p>
        </w:tc>
        <w:tc>
          <w:tcPr>
            <w:tcW w:w="1060" w:type="dxa"/>
            <w:shd w:val="clear" w:color="000000" w:fill="002060"/>
            <w:vAlign w:val="center"/>
            <w:hideMark/>
          </w:tcPr>
          <w:p w14:paraId="080E63C9" w14:textId="77777777" w:rsidR="005E1212" w:rsidRPr="005E1212" w:rsidRDefault="005E1212" w:rsidP="005E1212">
            <w:pPr>
              <w:spacing w:after="0" w:line="240" w:lineRule="auto"/>
              <w:jc w:val="center"/>
              <w:rPr>
                <w:rFonts w:ascii="Book Antiqua" w:eastAsia="Times New Roman" w:hAnsi="Book Antiqua" w:cs="Calibri"/>
                <w:b/>
                <w:bCs/>
                <w:color w:val="FFFFFF"/>
                <w:sz w:val="20"/>
                <w:szCs w:val="20"/>
                <w:lang w:eastAsia="es-CR"/>
              </w:rPr>
            </w:pPr>
            <w:r w:rsidRPr="005E1212">
              <w:rPr>
                <w:rFonts w:ascii="Book Antiqua" w:eastAsia="Times New Roman" w:hAnsi="Book Antiqua" w:cs="Calibri"/>
                <w:b/>
                <w:bCs/>
                <w:color w:val="FFFFFF"/>
                <w:sz w:val="20"/>
                <w:szCs w:val="20"/>
                <w:lang w:eastAsia="es-CR"/>
              </w:rPr>
              <w:t>Cantidad mensual por Juez o Jueza</w:t>
            </w:r>
          </w:p>
        </w:tc>
      </w:tr>
      <w:tr w:rsidR="005E1212" w:rsidRPr="005E1212" w14:paraId="525FD1E3" w14:textId="77777777" w:rsidTr="00612E7C">
        <w:trPr>
          <w:trHeight w:val="20"/>
          <w:jc w:val="center"/>
        </w:trPr>
        <w:tc>
          <w:tcPr>
            <w:tcW w:w="2780" w:type="dxa"/>
            <w:shd w:val="clear" w:color="000000" w:fill="FFFFFF"/>
            <w:vAlign w:val="center"/>
            <w:hideMark/>
          </w:tcPr>
          <w:p w14:paraId="2550D265"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de Familia III Circ. Jud. San José</w:t>
            </w:r>
          </w:p>
        </w:tc>
        <w:tc>
          <w:tcPr>
            <w:tcW w:w="1060" w:type="dxa"/>
            <w:shd w:val="clear" w:color="000000" w:fill="FFFFFF"/>
            <w:vAlign w:val="center"/>
            <w:hideMark/>
          </w:tcPr>
          <w:p w14:paraId="28A43A18"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264</w:t>
            </w:r>
          </w:p>
        </w:tc>
        <w:tc>
          <w:tcPr>
            <w:tcW w:w="1060" w:type="dxa"/>
            <w:shd w:val="clear" w:color="000000" w:fill="FFFFFF"/>
            <w:noWrap/>
            <w:vAlign w:val="center"/>
            <w:hideMark/>
          </w:tcPr>
          <w:p w14:paraId="3F55768C"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643</w:t>
            </w:r>
          </w:p>
        </w:tc>
        <w:tc>
          <w:tcPr>
            <w:tcW w:w="1060" w:type="dxa"/>
            <w:shd w:val="clear" w:color="000000" w:fill="FFFFFF"/>
            <w:noWrap/>
            <w:vAlign w:val="center"/>
            <w:hideMark/>
          </w:tcPr>
          <w:p w14:paraId="4CB1ABCE"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503</w:t>
            </w:r>
          </w:p>
        </w:tc>
        <w:tc>
          <w:tcPr>
            <w:tcW w:w="1060" w:type="dxa"/>
            <w:shd w:val="clear" w:color="000000" w:fill="FFFFFF"/>
            <w:noWrap/>
            <w:vAlign w:val="center"/>
            <w:hideMark/>
          </w:tcPr>
          <w:p w14:paraId="5718DA99"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42</w:t>
            </w:r>
          </w:p>
        </w:tc>
        <w:tc>
          <w:tcPr>
            <w:tcW w:w="1060" w:type="dxa"/>
            <w:shd w:val="clear" w:color="auto" w:fill="auto"/>
            <w:noWrap/>
            <w:vAlign w:val="center"/>
            <w:hideMark/>
          </w:tcPr>
          <w:p w14:paraId="6F86F479"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w:t>
            </w:r>
          </w:p>
        </w:tc>
        <w:tc>
          <w:tcPr>
            <w:tcW w:w="1060" w:type="dxa"/>
            <w:shd w:val="clear" w:color="auto" w:fill="auto"/>
            <w:noWrap/>
            <w:vAlign w:val="center"/>
            <w:hideMark/>
          </w:tcPr>
          <w:p w14:paraId="275DBE72"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14</w:t>
            </w:r>
          </w:p>
        </w:tc>
      </w:tr>
      <w:tr w:rsidR="005E1212" w:rsidRPr="005E1212" w14:paraId="6AA429BA" w14:textId="77777777" w:rsidTr="00612E7C">
        <w:trPr>
          <w:trHeight w:val="20"/>
          <w:jc w:val="center"/>
        </w:trPr>
        <w:tc>
          <w:tcPr>
            <w:tcW w:w="2780" w:type="dxa"/>
            <w:shd w:val="clear" w:color="000000" w:fill="FFFFFF"/>
            <w:vAlign w:val="center"/>
            <w:hideMark/>
          </w:tcPr>
          <w:p w14:paraId="4103CD54"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Cartago</w:t>
            </w:r>
          </w:p>
        </w:tc>
        <w:tc>
          <w:tcPr>
            <w:tcW w:w="1060" w:type="dxa"/>
            <w:shd w:val="clear" w:color="000000" w:fill="FFFFFF"/>
            <w:vAlign w:val="center"/>
            <w:hideMark/>
          </w:tcPr>
          <w:p w14:paraId="49E8DD84"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717</w:t>
            </w:r>
          </w:p>
        </w:tc>
        <w:tc>
          <w:tcPr>
            <w:tcW w:w="1060" w:type="dxa"/>
            <w:shd w:val="clear" w:color="000000" w:fill="FFFFFF"/>
            <w:noWrap/>
            <w:vAlign w:val="center"/>
            <w:hideMark/>
          </w:tcPr>
          <w:p w14:paraId="0586EE2B"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1096</w:t>
            </w:r>
          </w:p>
        </w:tc>
        <w:tc>
          <w:tcPr>
            <w:tcW w:w="1060" w:type="dxa"/>
            <w:shd w:val="clear" w:color="000000" w:fill="FFFFFF"/>
            <w:noWrap/>
            <w:vAlign w:val="center"/>
            <w:hideMark/>
          </w:tcPr>
          <w:p w14:paraId="246B999A"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1 223</w:t>
            </w:r>
          </w:p>
        </w:tc>
        <w:tc>
          <w:tcPr>
            <w:tcW w:w="1060" w:type="dxa"/>
            <w:shd w:val="clear" w:color="000000" w:fill="FFFFFF"/>
            <w:noWrap/>
            <w:vAlign w:val="center"/>
            <w:hideMark/>
          </w:tcPr>
          <w:p w14:paraId="4EF06257"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90</w:t>
            </w:r>
          </w:p>
        </w:tc>
        <w:tc>
          <w:tcPr>
            <w:tcW w:w="1060" w:type="dxa"/>
            <w:shd w:val="clear" w:color="auto" w:fill="auto"/>
            <w:noWrap/>
            <w:vAlign w:val="center"/>
            <w:hideMark/>
          </w:tcPr>
          <w:p w14:paraId="76F982B0"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w:t>
            </w:r>
          </w:p>
        </w:tc>
        <w:tc>
          <w:tcPr>
            <w:tcW w:w="1060" w:type="dxa"/>
            <w:shd w:val="clear" w:color="auto" w:fill="auto"/>
            <w:noWrap/>
            <w:vAlign w:val="center"/>
            <w:hideMark/>
          </w:tcPr>
          <w:p w14:paraId="5D178708"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30</w:t>
            </w:r>
          </w:p>
        </w:tc>
      </w:tr>
      <w:tr w:rsidR="005E1212" w:rsidRPr="005E1212" w14:paraId="2CC54B07" w14:textId="77777777" w:rsidTr="00612E7C">
        <w:trPr>
          <w:trHeight w:val="20"/>
          <w:jc w:val="center"/>
        </w:trPr>
        <w:tc>
          <w:tcPr>
            <w:tcW w:w="2780" w:type="dxa"/>
            <w:shd w:val="clear" w:color="000000" w:fill="FFFFFF"/>
            <w:vAlign w:val="center"/>
            <w:hideMark/>
          </w:tcPr>
          <w:p w14:paraId="36E1AD05"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Heredia</w:t>
            </w:r>
          </w:p>
        </w:tc>
        <w:tc>
          <w:tcPr>
            <w:tcW w:w="1060" w:type="dxa"/>
            <w:shd w:val="clear" w:color="000000" w:fill="FFFFFF"/>
            <w:vAlign w:val="center"/>
            <w:hideMark/>
          </w:tcPr>
          <w:p w14:paraId="0AB77A9A"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378</w:t>
            </w:r>
          </w:p>
        </w:tc>
        <w:tc>
          <w:tcPr>
            <w:tcW w:w="1060" w:type="dxa"/>
            <w:shd w:val="clear" w:color="000000" w:fill="FFFFFF"/>
            <w:noWrap/>
            <w:vAlign w:val="center"/>
            <w:hideMark/>
          </w:tcPr>
          <w:p w14:paraId="3BE71AFF"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1092</w:t>
            </w:r>
          </w:p>
        </w:tc>
        <w:tc>
          <w:tcPr>
            <w:tcW w:w="1060" w:type="dxa"/>
            <w:shd w:val="clear" w:color="000000" w:fill="FFFFFF"/>
            <w:noWrap/>
            <w:vAlign w:val="center"/>
            <w:hideMark/>
          </w:tcPr>
          <w:p w14:paraId="2C037331"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1237</w:t>
            </w:r>
          </w:p>
        </w:tc>
        <w:tc>
          <w:tcPr>
            <w:tcW w:w="1060" w:type="dxa"/>
            <w:shd w:val="clear" w:color="000000" w:fill="FFFFFF"/>
            <w:noWrap/>
            <w:vAlign w:val="center"/>
            <w:hideMark/>
          </w:tcPr>
          <w:p w14:paraId="1B66EE61"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80</w:t>
            </w:r>
          </w:p>
        </w:tc>
        <w:tc>
          <w:tcPr>
            <w:tcW w:w="1060" w:type="dxa"/>
            <w:shd w:val="clear" w:color="auto" w:fill="auto"/>
            <w:noWrap/>
            <w:vAlign w:val="center"/>
            <w:hideMark/>
          </w:tcPr>
          <w:p w14:paraId="56D3AEF7"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4</w:t>
            </w:r>
          </w:p>
        </w:tc>
        <w:tc>
          <w:tcPr>
            <w:tcW w:w="1060" w:type="dxa"/>
            <w:shd w:val="clear" w:color="auto" w:fill="auto"/>
            <w:noWrap/>
            <w:vAlign w:val="center"/>
            <w:hideMark/>
          </w:tcPr>
          <w:p w14:paraId="11EC2E9F"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20</w:t>
            </w:r>
          </w:p>
        </w:tc>
      </w:tr>
      <w:tr w:rsidR="005E1212" w:rsidRPr="005E1212" w14:paraId="702CE705" w14:textId="77777777" w:rsidTr="00612E7C">
        <w:trPr>
          <w:trHeight w:val="20"/>
          <w:jc w:val="center"/>
        </w:trPr>
        <w:tc>
          <w:tcPr>
            <w:tcW w:w="2780" w:type="dxa"/>
            <w:shd w:val="clear" w:color="000000" w:fill="FFFFFF"/>
            <w:vAlign w:val="center"/>
            <w:hideMark/>
          </w:tcPr>
          <w:p w14:paraId="27DC070A"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 Circ. Jud. Alajuela</w:t>
            </w:r>
          </w:p>
        </w:tc>
        <w:tc>
          <w:tcPr>
            <w:tcW w:w="1060" w:type="dxa"/>
            <w:shd w:val="clear" w:color="000000" w:fill="FFFFFF"/>
            <w:vAlign w:val="center"/>
            <w:hideMark/>
          </w:tcPr>
          <w:p w14:paraId="3F06C6A7"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214</w:t>
            </w:r>
          </w:p>
        </w:tc>
        <w:tc>
          <w:tcPr>
            <w:tcW w:w="1060" w:type="dxa"/>
            <w:shd w:val="clear" w:color="000000" w:fill="FFFFFF"/>
            <w:noWrap/>
            <w:vAlign w:val="center"/>
            <w:hideMark/>
          </w:tcPr>
          <w:p w14:paraId="01FFBB1B"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757</w:t>
            </w:r>
          </w:p>
        </w:tc>
        <w:tc>
          <w:tcPr>
            <w:tcW w:w="1060" w:type="dxa"/>
            <w:shd w:val="clear" w:color="000000" w:fill="FFFFFF"/>
            <w:noWrap/>
            <w:vAlign w:val="center"/>
            <w:hideMark/>
          </w:tcPr>
          <w:p w14:paraId="4AB9A46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1 011</w:t>
            </w:r>
          </w:p>
        </w:tc>
        <w:tc>
          <w:tcPr>
            <w:tcW w:w="1060" w:type="dxa"/>
            <w:shd w:val="clear" w:color="000000" w:fill="FFFFFF"/>
            <w:noWrap/>
            <w:vAlign w:val="center"/>
            <w:hideMark/>
          </w:tcPr>
          <w:p w14:paraId="4EE48944"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59</w:t>
            </w:r>
          </w:p>
        </w:tc>
        <w:tc>
          <w:tcPr>
            <w:tcW w:w="1060" w:type="dxa"/>
            <w:shd w:val="clear" w:color="auto" w:fill="auto"/>
            <w:noWrap/>
            <w:vAlign w:val="center"/>
            <w:hideMark/>
          </w:tcPr>
          <w:p w14:paraId="3072C6A1"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w:t>
            </w:r>
          </w:p>
        </w:tc>
        <w:tc>
          <w:tcPr>
            <w:tcW w:w="1060" w:type="dxa"/>
            <w:shd w:val="clear" w:color="auto" w:fill="auto"/>
            <w:noWrap/>
            <w:vAlign w:val="center"/>
            <w:hideMark/>
          </w:tcPr>
          <w:p w14:paraId="3E3AC88F"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20</w:t>
            </w:r>
          </w:p>
        </w:tc>
      </w:tr>
      <w:tr w:rsidR="005E1212" w:rsidRPr="005E1212" w14:paraId="6D069033" w14:textId="77777777" w:rsidTr="00612E7C">
        <w:trPr>
          <w:trHeight w:val="20"/>
          <w:jc w:val="center"/>
        </w:trPr>
        <w:tc>
          <w:tcPr>
            <w:tcW w:w="2780" w:type="dxa"/>
            <w:shd w:val="clear" w:color="000000" w:fill="FFFFFF"/>
            <w:vAlign w:val="center"/>
            <w:hideMark/>
          </w:tcPr>
          <w:p w14:paraId="05A79931"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 Circ. Jud. Zona Atlántica</w:t>
            </w:r>
          </w:p>
        </w:tc>
        <w:tc>
          <w:tcPr>
            <w:tcW w:w="1060" w:type="dxa"/>
            <w:shd w:val="clear" w:color="000000" w:fill="FFFFFF"/>
            <w:vAlign w:val="center"/>
            <w:hideMark/>
          </w:tcPr>
          <w:p w14:paraId="09AC8F59"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70</w:t>
            </w:r>
          </w:p>
        </w:tc>
        <w:tc>
          <w:tcPr>
            <w:tcW w:w="1060" w:type="dxa"/>
            <w:shd w:val="clear" w:color="000000" w:fill="FFFFFF"/>
            <w:noWrap/>
            <w:vAlign w:val="center"/>
            <w:hideMark/>
          </w:tcPr>
          <w:p w14:paraId="3C03F2B1"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404</w:t>
            </w:r>
          </w:p>
        </w:tc>
        <w:tc>
          <w:tcPr>
            <w:tcW w:w="1060" w:type="dxa"/>
            <w:shd w:val="clear" w:color="000000" w:fill="FFFFFF"/>
            <w:noWrap/>
            <w:vAlign w:val="center"/>
            <w:hideMark/>
          </w:tcPr>
          <w:p w14:paraId="7E825454"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464</w:t>
            </w:r>
          </w:p>
        </w:tc>
        <w:tc>
          <w:tcPr>
            <w:tcW w:w="1060" w:type="dxa"/>
            <w:shd w:val="clear" w:color="000000" w:fill="FFFFFF"/>
            <w:noWrap/>
            <w:vAlign w:val="center"/>
            <w:hideMark/>
          </w:tcPr>
          <w:p w14:paraId="68EA0729"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28</w:t>
            </w:r>
          </w:p>
        </w:tc>
        <w:tc>
          <w:tcPr>
            <w:tcW w:w="1060" w:type="dxa"/>
            <w:shd w:val="clear" w:color="auto" w:fill="auto"/>
            <w:noWrap/>
            <w:vAlign w:val="center"/>
            <w:hideMark/>
          </w:tcPr>
          <w:p w14:paraId="7521986B"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w:t>
            </w:r>
          </w:p>
        </w:tc>
        <w:tc>
          <w:tcPr>
            <w:tcW w:w="1060" w:type="dxa"/>
            <w:shd w:val="clear" w:color="auto" w:fill="auto"/>
            <w:noWrap/>
            <w:vAlign w:val="center"/>
            <w:hideMark/>
          </w:tcPr>
          <w:p w14:paraId="24E1299F"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14</w:t>
            </w:r>
          </w:p>
        </w:tc>
      </w:tr>
      <w:tr w:rsidR="005E1212" w:rsidRPr="005E1212" w14:paraId="12F5AE0F" w14:textId="77777777" w:rsidTr="00612E7C">
        <w:trPr>
          <w:trHeight w:val="20"/>
          <w:jc w:val="center"/>
        </w:trPr>
        <w:tc>
          <w:tcPr>
            <w:tcW w:w="2780" w:type="dxa"/>
            <w:shd w:val="clear" w:color="000000" w:fill="FFFFFF"/>
            <w:vAlign w:val="center"/>
            <w:hideMark/>
          </w:tcPr>
          <w:p w14:paraId="2FD6F3C2"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 Circ. Jud. Zona Sur</w:t>
            </w:r>
          </w:p>
        </w:tc>
        <w:tc>
          <w:tcPr>
            <w:tcW w:w="1060" w:type="dxa"/>
            <w:shd w:val="clear" w:color="000000" w:fill="FFFFFF"/>
            <w:vAlign w:val="center"/>
            <w:hideMark/>
          </w:tcPr>
          <w:p w14:paraId="64521D6F"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143</w:t>
            </w:r>
          </w:p>
        </w:tc>
        <w:tc>
          <w:tcPr>
            <w:tcW w:w="1060" w:type="dxa"/>
            <w:shd w:val="clear" w:color="000000" w:fill="FFFFFF"/>
            <w:noWrap/>
            <w:vAlign w:val="center"/>
            <w:hideMark/>
          </w:tcPr>
          <w:p w14:paraId="3D4021DC"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342</w:t>
            </w:r>
          </w:p>
        </w:tc>
        <w:tc>
          <w:tcPr>
            <w:tcW w:w="1060" w:type="dxa"/>
            <w:shd w:val="clear" w:color="000000" w:fill="FFFFFF"/>
            <w:noWrap/>
            <w:vAlign w:val="center"/>
            <w:hideMark/>
          </w:tcPr>
          <w:p w14:paraId="605FDC6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381</w:t>
            </w:r>
          </w:p>
        </w:tc>
        <w:tc>
          <w:tcPr>
            <w:tcW w:w="1060" w:type="dxa"/>
            <w:shd w:val="clear" w:color="000000" w:fill="FFFFFF"/>
            <w:noWrap/>
            <w:vAlign w:val="center"/>
            <w:hideMark/>
          </w:tcPr>
          <w:p w14:paraId="589708F9"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26</w:t>
            </w:r>
          </w:p>
        </w:tc>
        <w:tc>
          <w:tcPr>
            <w:tcW w:w="1060" w:type="dxa"/>
            <w:shd w:val="clear" w:color="auto" w:fill="auto"/>
            <w:noWrap/>
            <w:vAlign w:val="center"/>
            <w:hideMark/>
          </w:tcPr>
          <w:p w14:paraId="3540231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w:t>
            </w:r>
          </w:p>
        </w:tc>
        <w:tc>
          <w:tcPr>
            <w:tcW w:w="1060" w:type="dxa"/>
            <w:shd w:val="clear" w:color="auto" w:fill="auto"/>
            <w:noWrap/>
            <w:vAlign w:val="center"/>
            <w:hideMark/>
          </w:tcPr>
          <w:p w14:paraId="788EA24F"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13</w:t>
            </w:r>
          </w:p>
        </w:tc>
      </w:tr>
      <w:tr w:rsidR="005E1212" w:rsidRPr="005E1212" w14:paraId="4E667E4F" w14:textId="77777777" w:rsidTr="00612E7C">
        <w:trPr>
          <w:trHeight w:val="20"/>
          <w:jc w:val="center"/>
        </w:trPr>
        <w:tc>
          <w:tcPr>
            <w:tcW w:w="2780" w:type="dxa"/>
            <w:shd w:val="clear" w:color="000000" w:fill="FFFFFF"/>
            <w:vAlign w:val="center"/>
            <w:hideMark/>
          </w:tcPr>
          <w:p w14:paraId="76232493"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II Circ. Jud. Alajuela</w:t>
            </w:r>
          </w:p>
        </w:tc>
        <w:tc>
          <w:tcPr>
            <w:tcW w:w="1060" w:type="dxa"/>
            <w:shd w:val="clear" w:color="000000" w:fill="FFFFFF"/>
            <w:vAlign w:val="center"/>
            <w:hideMark/>
          </w:tcPr>
          <w:p w14:paraId="3D3F254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 </w:t>
            </w:r>
          </w:p>
        </w:tc>
        <w:tc>
          <w:tcPr>
            <w:tcW w:w="1060" w:type="dxa"/>
            <w:shd w:val="clear" w:color="000000" w:fill="FFFFFF"/>
            <w:noWrap/>
            <w:vAlign w:val="center"/>
            <w:hideMark/>
          </w:tcPr>
          <w:p w14:paraId="3A85AA4C"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 </w:t>
            </w:r>
          </w:p>
        </w:tc>
        <w:tc>
          <w:tcPr>
            <w:tcW w:w="1060" w:type="dxa"/>
            <w:shd w:val="clear" w:color="000000" w:fill="FFFFFF"/>
            <w:noWrap/>
            <w:vAlign w:val="center"/>
            <w:hideMark/>
          </w:tcPr>
          <w:p w14:paraId="34E30478"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667</w:t>
            </w:r>
          </w:p>
        </w:tc>
        <w:tc>
          <w:tcPr>
            <w:tcW w:w="1060" w:type="dxa"/>
            <w:shd w:val="clear" w:color="auto" w:fill="auto"/>
            <w:noWrap/>
            <w:vAlign w:val="center"/>
            <w:hideMark/>
          </w:tcPr>
          <w:p w14:paraId="042F47CA"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59</w:t>
            </w:r>
          </w:p>
        </w:tc>
        <w:tc>
          <w:tcPr>
            <w:tcW w:w="1060" w:type="dxa"/>
            <w:shd w:val="clear" w:color="auto" w:fill="auto"/>
            <w:noWrap/>
            <w:vAlign w:val="center"/>
            <w:hideMark/>
          </w:tcPr>
          <w:p w14:paraId="24E1BBD8"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w:t>
            </w:r>
          </w:p>
        </w:tc>
        <w:tc>
          <w:tcPr>
            <w:tcW w:w="1060" w:type="dxa"/>
            <w:shd w:val="clear" w:color="auto" w:fill="auto"/>
            <w:noWrap/>
            <w:vAlign w:val="center"/>
            <w:hideMark/>
          </w:tcPr>
          <w:p w14:paraId="02F00E70"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30</w:t>
            </w:r>
          </w:p>
        </w:tc>
      </w:tr>
      <w:tr w:rsidR="005E1212" w:rsidRPr="005E1212" w14:paraId="1032AFD6" w14:textId="77777777" w:rsidTr="00612E7C">
        <w:trPr>
          <w:trHeight w:val="20"/>
          <w:jc w:val="center"/>
        </w:trPr>
        <w:tc>
          <w:tcPr>
            <w:tcW w:w="2780" w:type="dxa"/>
            <w:shd w:val="clear" w:color="000000" w:fill="FFFFFF"/>
            <w:vAlign w:val="center"/>
            <w:hideMark/>
          </w:tcPr>
          <w:p w14:paraId="4D086934"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II Circ. Jud. San José</w:t>
            </w:r>
          </w:p>
        </w:tc>
        <w:tc>
          <w:tcPr>
            <w:tcW w:w="1060" w:type="dxa"/>
            <w:shd w:val="clear" w:color="000000" w:fill="FFFFFF"/>
            <w:vAlign w:val="center"/>
            <w:hideMark/>
          </w:tcPr>
          <w:p w14:paraId="56B8CBD4"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497</w:t>
            </w:r>
          </w:p>
        </w:tc>
        <w:tc>
          <w:tcPr>
            <w:tcW w:w="1060" w:type="dxa"/>
            <w:shd w:val="clear" w:color="000000" w:fill="FFFFFF"/>
            <w:noWrap/>
            <w:vAlign w:val="center"/>
            <w:hideMark/>
          </w:tcPr>
          <w:p w14:paraId="0A7058FD"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661</w:t>
            </w:r>
          </w:p>
        </w:tc>
        <w:tc>
          <w:tcPr>
            <w:tcW w:w="1060" w:type="dxa"/>
            <w:shd w:val="clear" w:color="000000" w:fill="FFFFFF"/>
            <w:noWrap/>
            <w:vAlign w:val="center"/>
            <w:hideMark/>
          </w:tcPr>
          <w:p w14:paraId="131294A4"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 </w:t>
            </w:r>
          </w:p>
        </w:tc>
        <w:tc>
          <w:tcPr>
            <w:tcW w:w="1060" w:type="dxa"/>
            <w:shd w:val="clear" w:color="auto" w:fill="auto"/>
            <w:noWrap/>
            <w:vAlign w:val="center"/>
            <w:hideMark/>
          </w:tcPr>
          <w:p w14:paraId="4ADD09EE"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51</w:t>
            </w:r>
          </w:p>
        </w:tc>
        <w:tc>
          <w:tcPr>
            <w:tcW w:w="1060" w:type="dxa"/>
            <w:shd w:val="clear" w:color="auto" w:fill="auto"/>
            <w:noWrap/>
            <w:vAlign w:val="center"/>
            <w:hideMark/>
          </w:tcPr>
          <w:p w14:paraId="1CD2CBB3"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4</w:t>
            </w:r>
          </w:p>
        </w:tc>
        <w:tc>
          <w:tcPr>
            <w:tcW w:w="1060" w:type="dxa"/>
            <w:shd w:val="clear" w:color="auto" w:fill="auto"/>
            <w:noWrap/>
            <w:vAlign w:val="center"/>
            <w:hideMark/>
          </w:tcPr>
          <w:p w14:paraId="5DDD5C81"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13</w:t>
            </w:r>
          </w:p>
        </w:tc>
      </w:tr>
      <w:tr w:rsidR="005E1212" w:rsidRPr="005E1212" w14:paraId="3B4F129E" w14:textId="77777777" w:rsidTr="00612E7C">
        <w:trPr>
          <w:trHeight w:val="20"/>
          <w:jc w:val="center"/>
        </w:trPr>
        <w:tc>
          <w:tcPr>
            <w:tcW w:w="2780" w:type="dxa"/>
            <w:shd w:val="clear" w:color="000000" w:fill="FFFFFF"/>
            <w:vAlign w:val="center"/>
            <w:hideMark/>
          </w:tcPr>
          <w:p w14:paraId="03905899"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II Circ. Jud. Zona Atlántica</w:t>
            </w:r>
          </w:p>
        </w:tc>
        <w:tc>
          <w:tcPr>
            <w:tcW w:w="1060" w:type="dxa"/>
            <w:shd w:val="clear" w:color="000000" w:fill="FFFFFF"/>
            <w:vAlign w:val="center"/>
            <w:hideMark/>
          </w:tcPr>
          <w:p w14:paraId="53A38D5E"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246</w:t>
            </w:r>
          </w:p>
        </w:tc>
        <w:tc>
          <w:tcPr>
            <w:tcW w:w="1060" w:type="dxa"/>
            <w:shd w:val="clear" w:color="000000" w:fill="FFFFFF"/>
            <w:noWrap/>
            <w:vAlign w:val="center"/>
            <w:hideMark/>
          </w:tcPr>
          <w:p w14:paraId="44733A4C"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601</w:t>
            </w:r>
          </w:p>
        </w:tc>
        <w:tc>
          <w:tcPr>
            <w:tcW w:w="1060" w:type="dxa"/>
            <w:shd w:val="clear" w:color="000000" w:fill="FFFFFF"/>
            <w:noWrap/>
            <w:vAlign w:val="center"/>
            <w:hideMark/>
          </w:tcPr>
          <w:p w14:paraId="139045B6"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602</w:t>
            </w:r>
          </w:p>
        </w:tc>
        <w:tc>
          <w:tcPr>
            <w:tcW w:w="1060" w:type="dxa"/>
            <w:shd w:val="clear" w:color="000000" w:fill="FFFFFF"/>
            <w:noWrap/>
            <w:vAlign w:val="center"/>
            <w:hideMark/>
          </w:tcPr>
          <w:p w14:paraId="20CF1144"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43</w:t>
            </w:r>
          </w:p>
        </w:tc>
        <w:tc>
          <w:tcPr>
            <w:tcW w:w="1060" w:type="dxa"/>
            <w:shd w:val="clear" w:color="auto" w:fill="auto"/>
            <w:noWrap/>
            <w:vAlign w:val="center"/>
            <w:hideMark/>
          </w:tcPr>
          <w:p w14:paraId="42D60F61"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w:t>
            </w:r>
          </w:p>
        </w:tc>
        <w:tc>
          <w:tcPr>
            <w:tcW w:w="1060" w:type="dxa"/>
            <w:shd w:val="clear" w:color="auto" w:fill="auto"/>
            <w:noWrap/>
            <w:vAlign w:val="center"/>
            <w:hideMark/>
          </w:tcPr>
          <w:p w14:paraId="2918E67D"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21</w:t>
            </w:r>
          </w:p>
        </w:tc>
      </w:tr>
      <w:tr w:rsidR="005E1212" w:rsidRPr="005E1212" w14:paraId="613EA88E" w14:textId="77777777" w:rsidTr="00612E7C">
        <w:trPr>
          <w:trHeight w:val="20"/>
          <w:jc w:val="center"/>
        </w:trPr>
        <w:tc>
          <w:tcPr>
            <w:tcW w:w="2780" w:type="dxa"/>
            <w:shd w:val="clear" w:color="000000" w:fill="FFFFFF"/>
            <w:vAlign w:val="center"/>
            <w:hideMark/>
          </w:tcPr>
          <w:p w14:paraId="6389FCA1"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Puntarenas</w:t>
            </w:r>
          </w:p>
        </w:tc>
        <w:tc>
          <w:tcPr>
            <w:tcW w:w="1060" w:type="dxa"/>
            <w:shd w:val="clear" w:color="000000" w:fill="FFFFFF"/>
            <w:vAlign w:val="center"/>
            <w:hideMark/>
          </w:tcPr>
          <w:p w14:paraId="3FADA666"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 </w:t>
            </w:r>
          </w:p>
        </w:tc>
        <w:tc>
          <w:tcPr>
            <w:tcW w:w="1060" w:type="dxa"/>
            <w:shd w:val="clear" w:color="000000" w:fill="FFFFFF"/>
            <w:noWrap/>
            <w:vAlign w:val="center"/>
            <w:hideMark/>
          </w:tcPr>
          <w:p w14:paraId="03D55ED7"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 </w:t>
            </w:r>
          </w:p>
        </w:tc>
        <w:tc>
          <w:tcPr>
            <w:tcW w:w="1060" w:type="dxa"/>
            <w:shd w:val="clear" w:color="000000" w:fill="FFFFFF"/>
            <w:noWrap/>
            <w:vAlign w:val="center"/>
            <w:hideMark/>
          </w:tcPr>
          <w:p w14:paraId="2BA41208"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608</w:t>
            </w:r>
          </w:p>
        </w:tc>
        <w:tc>
          <w:tcPr>
            <w:tcW w:w="1060" w:type="dxa"/>
            <w:shd w:val="clear" w:color="auto" w:fill="auto"/>
            <w:noWrap/>
            <w:vAlign w:val="center"/>
            <w:hideMark/>
          </w:tcPr>
          <w:p w14:paraId="50549206"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54</w:t>
            </w:r>
          </w:p>
        </w:tc>
        <w:tc>
          <w:tcPr>
            <w:tcW w:w="1060" w:type="dxa"/>
            <w:shd w:val="clear" w:color="auto" w:fill="auto"/>
            <w:noWrap/>
            <w:vAlign w:val="center"/>
            <w:hideMark/>
          </w:tcPr>
          <w:p w14:paraId="5772D734"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w:t>
            </w:r>
          </w:p>
        </w:tc>
        <w:tc>
          <w:tcPr>
            <w:tcW w:w="1060" w:type="dxa"/>
            <w:shd w:val="clear" w:color="auto" w:fill="auto"/>
            <w:noWrap/>
            <w:vAlign w:val="center"/>
            <w:hideMark/>
          </w:tcPr>
          <w:p w14:paraId="6BB6DCB9"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27</w:t>
            </w:r>
          </w:p>
        </w:tc>
      </w:tr>
      <w:tr w:rsidR="005E1212" w:rsidRPr="005E1212" w14:paraId="7B709B42" w14:textId="77777777" w:rsidTr="00612E7C">
        <w:trPr>
          <w:trHeight w:val="20"/>
          <w:jc w:val="center"/>
        </w:trPr>
        <w:tc>
          <w:tcPr>
            <w:tcW w:w="2780" w:type="dxa"/>
            <w:shd w:val="clear" w:color="000000" w:fill="FFFFFF"/>
            <w:vAlign w:val="center"/>
            <w:hideMark/>
          </w:tcPr>
          <w:p w14:paraId="3BD53976"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Familia, Niñez y Adolescencia</w:t>
            </w:r>
          </w:p>
        </w:tc>
        <w:tc>
          <w:tcPr>
            <w:tcW w:w="1060" w:type="dxa"/>
            <w:shd w:val="clear" w:color="000000" w:fill="FFFFFF"/>
            <w:vAlign w:val="center"/>
            <w:hideMark/>
          </w:tcPr>
          <w:p w14:paraId="7E0A3097"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284</w:t>
            </w:r>
          </w:p>
        </w:tc>
        <w:tc>
          <w:tcPr>
            <w:tcW w:w="1060" w:type="dxa"/>
            <w:shd w:val="clear" w:color="000000" w:fill="FFFFFF"/>
            <w:noWrap/>
            <w:vAlign w:val="center"/>
            <w:hideMark/>
          </w:tcPr>
          <w:p w14:paraId="67F7110E"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625</w:t>
            </w:r>
          </w:p>
        </w:tc>
        <w:tc>
          <w:tcPr>
            <w:tcW w:w="1060" w:type="dxa"/>
            <w:shd w:val="clear" w:color="000000" w:fill="FFFFFF"/>
            <w:noWrap/>
            <w:vAlign w:val="center"/>
            <w:hideMark/>
          </w:tcPr>
          <w:p w14:paraId="0C563E33"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735</w:t>
            </w:r>
          </w:p>
        </w:tc>
        <w:tc>
          <w:tcPr>
            <w:tcW w:w="1060" w:type="dxa"/>
            <w:shd w:val="clear" w:color="000000" w:fill="FFFFFF"/>
            <w:noWrap/>
            <w:vAlign w:val="center"/>
            <w:hideMark/>
          </w:tcPr>
          <w:p w14:paraId="639CE48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49</w:t>
            </w:r>
          </w:p>
        </w:tc>
        <w:tc>
          <w:tcPr>
            <w:tcW w:w="1060" w:type="dxa"/>
            <w:shd w:val="clear" w:color="auto" w:fill="auto"/>
            <w:noWrap/>
            <w:vAlign w:val="center"/>
            <w:hideMark/>
          </w:tcPr>
          <w:p w14:paraId="14F7B2C9"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w:t>
            </w:r>
          </w:p>
        </w:tc>
        <w:tc>
          <w:tcPr>
            <w:tcW w:w="1060" w:type="dxa"/>
            <w:shd w:val="clear" w:color="auto" w:fill="auto"/>
            <w:noWrap/>
            <w:vAlign w:val="center"/>
            <w:hideMark/>
          </w:tcPr>
          <w:p w14:paraId="7D92952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24</w:t>
            </w:r>
          </w:p>
        </w:tc>
      </w:tr>
      <w:tr w:rsidR="005E1212" w:rsidRPr="005E1212" w14:paraId="53E3BC2D" w14:textId="77777777" w:rsidTr="00612E7C">
        <w:trPr>
          <w:trHeight w:val="20"/>
          <w:jc w:val="center"/>
        </w:trPr>
        <w:tc>
          <w:tcPr>
            <w:tcW w:w="2780" w:type="dxa"/>
            <w:shd w:val="clear" w:color="000000" w:fill="FFFFFF"/>
            <w:vAlign w:val="center"/>
            <w:hideMark/>
          </w:tcPr>
          <w:p w14:paraId="2A0125B2"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Primero de Familia San José</w:t>
            </w:r>
          </w:p>
        </w:tc>
        <w:tc>
          <w:tcPr>
            <w:tcW w:w="1060" w:type="dxa"/>
            <w:shd w:val="clear" w:color="000000" w:fill="FFFFFF"/>
            <w:vAlign w:val="center"/>
            <w:hideMark/>
          </w:tcPr>
          <w:p w14:paraId="090FD4BD"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244</w:t>
            </w:r>
          </w:p>
        </w:tc>
        <w:tc>
          <w:tcPr>
            <w:tcW w:w="1060" w:type="dxa"/>
            <w:shd w:val="clear" w:color="000000" w:fill="FFFFFF"/>
            <w:noWrap/>
            <w:vAlign w:val="center"/>
            <w:hideMark/>
          </w:tcPr>
          <w:p w14:paraId="3F611D8B"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529</w:t>
            </w:r>
          </w:p>
        </w:tc>
        <w:tc>
          <w:tcPr>
            <w:tcW w:w="1060" w:type="dxa"/>
            <w:shd w:val="clear" w:color="000000" w:fill="FFFFFF"/>
            <w:noWrap/>
            <w:vAlign w:val="center"/>
            <w:hideMark/>
          </w:tcPr>
          <w:p w14:paraId="0BB730E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532</w:t>
            </w:r>
          </w:p>
        </w:tc>
        <w:tc>
          <w:tcPr>
            <w:tcW w:w="1060" w:type="dxa"/>
            <w:shd w:val="clear" w:color="000000" w:fill="FFFFFF"/>
            <w:noWrap/>
            <w:vAlign w:val="center"/>
            <w:hideMark/>
          </w:tcPr>
          <w:p w14:paraId="0DDB7B0A"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39</w:t>
            </w:r>
          </w:p>
        </w:tc>
        <w:tc>
          <w:tcPr>
            <w:tcW w:w="1060" w:type="dxa"/>
            <w:shd w:val="clear" w:color="auto" w:fill="auto"/>
            <w:noWrap/>
            <w:vAlign w:val="center"/>
            <w:hideMark/>
          </w:tcPr>
          <w:p w14:paraId="380BEACD"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w:t>
            </w:r>
          </w:p>
        </w:tc>
        <w:tc>
          <w:tcPr>
            <w:tcW w:w="1060" w:type="dxa"/>
            <w:shd w:val="clear" w:color="auto" w:fill="auto"/>
            <w:noWrap/>
            <w:vAlign w:val="center"/>
            <w:hideMark/>
          </w:tcPr>
          <w:p w14:paraId="3C3B8ED8"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13</w:t>
            </w:r>
          </w:p>
        </w:tc>
      </w:tr>
      <w:tr w:rsidR="005E1212" w:rsidRPr="005E1212" w14:paraId="2907F109" w14:textId="77777777" w:rsidTr="00612E7C">
        <w:trPr>
          <w:trHeight w:val="20"/>
          <w:jc w:val="center"/>
        </w:trPr>
        <w:tc>
          <w:tcPr>
            <w:tcW w:w="2780" w:type="dxa"/>
            <w:shd w:val="clear" w:color="000000" w:fill="FFFFFF"/>
            <w:vAlign w:val="center"/>
            <w:hideMark/>
          </w:tcPr>
          <w:p w14:paraId="62B6DDAB" w14:textId="77777777" w:rsidR="005E1212" w:rsidRPr="00612E7C" w:rsidRDefault="005E1212" w:rsidP="005E1212">
            <w:pPr>
              <w:spacing w:after="0" w:line="240" w:lineRule="auto"/>
              <w:rPr>
                <w:rFonts w:ascii="Book Antiqua" w:eastAsia="Times New Roman" w:hAnsi="Book Antiqua" w:cs="Calibri"/>
                <w:color w:val="000000"/>
                <w:sz w:val="20"/>
                <w:szCs w:val="20"/>
                <w:lang w:eastAsia="es-CR"/>
              </w:rPr>
            </w:pPr>
            <w:r w:rsidRPr="00612E7C">
              <w:rPr>
                <w:rFonts w:ascii="Book Antiqua" w:eastAsia="Times New Roman" w:hAnsi="Book Antiqua" w:cs="Calibri"/>
                <w:color w:val="000000"/>
                <w:sz w:val="20"/>
                <w:szCs w:val="20"/>
                <w:lang w:eastAsia="es-CR"/>
              </w:rPr>
              <w:t>Juzgado Segundo de Familia San José</w:t>
            </w:r>
          </w:p>
        </w:tc>
        <w:tc>
          <w:tcPr>
            <w:tcW w:w="1060" w:type="dxa"/>
            <w:shd w:val="clear" w:color="000000" w:fill="FFFFFF"/>
            <w:vAlign w:val="center"/>
            <w:hideMark/>
          </w:tcPr>
          <w:p w14:paraId="1C62C25D"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110</w:t>
            </w:r>
          </w:p>
        </w:tc>
        <w:tc>
          <w:tcPr>
            <w:tcW w:w="1060" w:type="dxa"/>
            <w:shd w:val="clear" w:color="000000" w:fill="FFFFFF"/>
            <w:noWrap/>
            <w:vAlign w:val="center"/>
            <w:hideMark/>
          </w:tcPr>
          <w:p w14:paraId="13C72A14"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1150</w:t>
            </w:r>
          </w:p>
        </w:tc>
        <w:tc>
          <w:tcPr>
            <w:tcW w:w="1060" w:type="dxa"/>
            <w:shd w:val="clear" w:color="000000" w:fill="FFFFFF"/>
            <w:noWrap/>
            <w:vAlign w:val="center"/>
            <w:hideMark/>
          </w:tcPr>
          <w:p w14:paraId="5AA5EEE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536</w:t>
            </w:r>
          </w:p>
        </w:tc>
        <w:tc>
          <w:tcPr>
            <w:tcW w:w="1060" w:type="dxa"/>
            <w:shd w:val="clear" w:color="000000" w:fill="FFFFFF"/>
            <w:noWrap/>
            <w:vAlign w:val="center"/>
            <w:hideMark/>
          </w:tcPr>
          <w:p w14:paraId="2ACAB8C9"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53</w:t>
            </w:r>
          </w:p>
        </w:tc>
        <w:tc>
          <w:tcPr>
            <w:tcW w:w="1060" w:type="dxa"/>
            <w:shd w:val="clear" w:color="auto" w:fill="auto"/>
            <w:noWrap/>
            <w:vAlign w:val="center"/>
            <w:hideMark/>
          </w:tcPr>
          <w:p w14:paraId="3E1FB895"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3</w:t>
            </w:r>
          </w:p>
        </w:tc>
        <w:tc>
          <w:tcPr>
            <w:tcW w:w="1060" w:type="dxa"/>
            <w:shd w:val="clear" w:color="auto" w:fill="auto"/>
            <w:noWrap/>
            <w:vAlign w:val="center"/>
            <w:hideMark/>
          </w:tcPr>
          <w:p w14:paraId="61F9037E" w14:textId="77777777" w:rsidR="005E1212" w:rsidRPr="005E1212" w:rsidRDefault="005E1212" w:rsidP="005E1212">
            <w:pPr>
              <w:spacing w:after="0" w:line="240" w:lineRule="auto"/>
              <w:jc w:val="center"/>
              <w:rPr>
                <w:rFonts w:ascii="Book Antiqua" w:eastAsia="Times New Roman" w:hAnsi="Book Antiqua" w:cs="Calibri"/>
                <w:color w:val="000000"/>
                <w:sz w:val="20"/>
                <w:szCs w:val="20"/>
                <w:lang w:eastAsia="es-CR"/>
              </w:rPr>
            </w:pPr>
            <w:r w:rsidRPr="005E1212">
              <w:rPr>
                <w:rFonts w:ascii="Book Antiqua" w:eastAsia="Times New Roman" w:hAnsi="Book Antiqua" w:cs="Calibri"/>
                <w:color w:val="000000"/>
                <w:sz w:val="20"/>
                <w:szCs w:val="20"/>
                <w:lang w:eastAsia="es-CR"/>
              </w:rPr>
              <w:t>18</w:t>
            </w:r>
          </w:p>
        </w:tc>
      </w:tr>
      <w:tr w:rsidR="005E1212" w:rsidRPr="005E1212" w14:paraId="6E4D32FD" w14:textId="77777777" w:rsidTr="00612E7C">
        <w:trPr>
          <w:trHeight w:val="20"/>
          <w:jc w:val="center"/>
        </w:trPr>
        <w:tc>
          <w:tcPr>
            <w:tcW w:w="8080" w:type="dxa"/>
            <w:gridSpan w:val="6"/>
            <w:shd w:val="clear" w:color="000000" w:fill="808080"/>
            <w:vAlign w:val="center"/>
            <w:hideMark/>
          </w:tcPr>
          <w:p w14:paraId="30B6AE34" w14:textId="77777777" w:rsidR="005E1212" w:rsidRPr="00612E7C" w:rsidRDefault="005E1212" w:rsidP="005E1212">
            <w:pPr>
              <w:spacing w:after="0" w:line="240" w:lineRule="auto"/>
              <w:jc w:val="right"/>
              <w:rPr>
                <w:rFonts w:ascii="Book Antiqua" w:eastAsia="Times New Roman" w:hAnsi="Book Antiqua" w:cs="Calibri"/>
                <w:color w:val="FFFFFF"/>
                <w:sz w:val="20"/>
                <w:szCs w:val="20"/>
                <w:lang w:eastAsia="es-CR"/>
              </w:rPr>
            </w:pPr>
            <w:r w:rsidRPr="00612E7C">
              <w:rPr>
                <w:rFonts w:ascii="Book Antiqua" w:eastAsia="Times New Roman" w:hAnsi="Book Antiqua" w:cs="Calibri"/>
                <w:color w:val="FFFFFF"/>
                <w:sz w:val="20"/>
                <w:szCs w:val="20"/>
                <w:lang w:eastAsia="es-CR"/>
              </w:rPr>
              <w:t>Promedio mensual por persona juzgadora</w:t>
            </w:r>
          </w:p>
        </w:tc>
        <w:tc>
          <w:tcPr>
            <w:tcW w:w="1060" w:type="dxa"/>
            <w:shd w:val="clear" w:color="000000" w:fill="808080"/>
            <w:noWrap/>
            <w:vAlign w:val="center"/>
            <w:hideMark/>
          </w:tcPr>
          <w:p w14:paraId="6B45C2C0" w14:textId="77777777" w:rsidR="005E1212" w:rsidRPr="005E1212" w:rsidRDefault="005E1212" w:rsidP="005E1212">
            <w:pPr>
              <w:spacing w:after="0" w:line="240" w:lineRule="auto"/>
              <w:jc w:val="center"/>
              <w:rPr>
                <w:rFonts w:ascii="Book Antiqua" w:eastAsia="Times New Roman" w:hAnsi="Book Antiqua" w:cs="Calibri"/>
                <w:b/>
                <w:bCs/>
                <w:color w:val="FFFFFF"/>
                <w:sz w:val="20"/>
                <w:szCs w:val="20"/>
                <w:lang w:eastAsia="es-CR"/>
              </w:rPr>
            </w:pPr>
            <w:r w:rsidRPr="005E1212">
              <w:rPr>
                <w:rFonts w:ascii="Book Antiqua" w:eastAsia="Times New Roman" w:hAnsi="Book Antiqua" w:cs="Calibri"/>
                <w:b/>
                <w:bCs/>
                <w:color w:val="FFFFFF"/>
                <w:sz w:val="20"/>
                <w:szCs w:val="20"/>
                <w:lang w:eastAsia="es-CR"/>
              </w:rPr>
              <w:t>20</w:t>
            </w:r>
          </w:p>
        </w:tc>
      </w:tr>
    </w:tbl>
    <w:p w14:paraId="49388D85" w14:textId="273BDAFA" w:rsidR="00E84D97" w:rsidRPr="00DD53D0" w:rsidRDefault="00743FCB" w:rsidP="006B1195">
      <w:pPr>
        <w:spacing w:after="0" w:line="276" w:lineRule="auto"/>
        <w:jc w:val="both"/>
        <w:rPr>
          <w:rFonts w:ascii="Book Antiqua" w:eastAsia="Calibri" w:hAnsi="Book Antiqua" w:cs="Arial"/>
          <w:i/>
          <w:iCs/>
          <w:sz w:val="20"/>
          <w:szCs w:val="20"/>
        </w:rPr>
      </w:pPr>
      <w:r w:rsidRPr="00DD53D0">
        <w:rPr>
          <w:rFonts w:ascii="Book Antiqua" w:eastAsia="Calibri" w:hAnsi="Book Antiqua" w:cs="Arial"/>
          <w:b/>
          <w:bCs/>
          <w:i/>
          <w:iCs/>
          <w:sz w:val="20"/>
          <w:szCs w:val="20"/>
        </w:rPr>
        <w:t>Fuente:</w:t>
      </w:r>
      <w:r w:rsidRPr="00DD53D0">
        <w:rPr>
          <w:rFonts w:ascii="Book Antiqua" w:eastAsia="Calibri" w:hAnsi="Book Antiqua" w:cs="Arial"/>
          <w:i/>
          <w:iCs/>
          <w:sz w:val="20"/>
          <w:szCs w:val="20"/>
        </w:rPr>
        <w:t xml:space="preserve"> </w:t>
      </w:r>
      <w:r w:rsidR="00DD53D0">
        <w:rPr>
          <w:rFonts w:ascii="Book Antiqua" w:eastAsia="Calibri" w:hAnsi="Book Antiqua" w:cs="Arial"/>
          <w:i/>
          <w:iCs/>
          <w:sz w:val="20"/>
          <w:szCs w:val="20"/>
        </w:rPr>
        <w:t xml:space="preserve">Subproceso de </w:t>
      </w:r>
      <w:r w:rsidRPr="00DD53D0">
        <w:rPr>
          <w:rFonts w:ascii="Book Antiqua" w:eastAsia="Calibri" w:hAnsi="Book Antiqua" w:cs="Arial"/>
          <w:i/>
          <w:iCs/>
          <w:sz w:val="20"/>
          <w:szCs w:val="20"/>
        </w:rPr>
        <w:t xml:space="preserve">Modernización Institucional, con datos </w:t>
      </w:r>
      <w:r w:rsidR="00DD53D0">
        <w:rPr>
          <w:rFonts w:ascii="Book Antiqua" w:eastAsia="Calibri" w:hAnsi="Book Antiqua" w:cs="Arial"/>
          <w:i/>
          <w:iCs/>
          <w:sz w:val="20"/>
          <w:szCs w:val="20"/>
        </w:rPr>
        <w:t>suministrados por</w:t>
      </w:r>
      <w:r w:rsidRPr="00DD53D0">
        <w:rPr>
          <w:rFonts w:ascii="Book Antiqua" w:eastAsia="Calibri" w:hAnsi="Book Antiqua" w:cs="Arial"/>
          <w:i/>
          <w:iCs/>
          <w:sz w:val="20"/>
          <w:szCs w:val="20"/>
        </w:rPr>
        <w:t xml:space="preserve"> los Juzgados Especializados de Familia, del 2020 al 202</w:t>
      </w:r>
      <w:r w:rsidR="00DD53D0">
        <w:rPr>
          <w:rFonts w:ascii="Book Antiqua" w:eastAsia="Calibri" w:hAnsi="Book Antiqua" w:cs="Arial"/>
          <w:i/>
          <w:iCs/>
          <w:sz w:val="20"/>
          <w:szCs w:val="20"/>
        </w:rPr>
        <w:t>2</w:t>
      </w:r>
      <w:r w:rsidRPr="00DD53D0">
        <w:rPr>
          <w:rFonts w:ascii="Book Antiqua" w:eastAsia="Calibri" w:hAnsi="Book Antiqua" w:cs="Arial"/>
          <w:i/>
          <w:iCs/>
          <w:sz w:val="20"/>
          <w:szCs w:val="20"/>
        </w:rPr>
        <w:t>.</w:t>
      </w:r>
    </w:p>
    <w:p w14:paraId="61747389" w14:textId="2D9A50C6" w:rsidR="004566F4" w:rsidRDefault="004566F4" w:rsidP="004566F4">
      <w:pPr>
        <w:spacing w:after="0" w:line="276" w:lineRule="auto"/>
        <w:rPr>
          <w:rFonts w:ascii="Book Antiqua" w:eastAsia="Calibri" w:hAnsi="Book Antiqua" w:cs="Arial"/>
          <w:i/>
          <w:iCs/>
          <w:sz w:val="20"/>
          <w:szCs w:val="20"/>
        </w:rPr>
      </w:pPr>
      <w:r w:rsidRPr="00AB56D2">
        <w:rPr>
          <w:rFonts w:ascii="Book Antiqua" w:eastAsia="Calibri" w:hAnsi="Book Antiqua" w:cs="Arial"/>
          <w:b/>
          <w:bCs/>
          <w:i/>
          <w:iCs/>
          <w:sz w:val="20"/>
          <w:szCs w:val="20"/>
        </w:rPr>
        <w:t>Nota:</w:t>
      </w:r>
      <w:r w:rsidR="00AB56D2" w:rsidRPr="00AB56D2">
        <w:t xml:space="preserve"> </w:t>
      </w:r>
      <w:r w:rsidR="00AB56D2" w:rsidRPr="00AB56D2">
        <w:rPr>
          <w:rFonts w:ascii="Book Antiqua" w:eastAsia="Calibri" w:hAnsi="Book Antiqua" w:cs="Arial"/>
          <w:i/>
          <w:iCs/>
          <w:sz w:val="20"/>
          <w:szCs w:val="20"/>
        </w:rPr>
        <w:t xml:space="preserve">No se recibió la información del Juzgado de Familia II Circuito Judicial de San José. </w:t>
      </w:r>
      <w:r>
        <w:rPr>
          <w:rFonts w:ascii="Book Antiqua" w:eastAsia="Calibri" w:hAnsi="Book Antiqua" w:cs="Arial"/>
          <w:i/>
          <w:iCs/>
          <w:sz w:val="20"/>
          <w:szCs w:val="20"/>
        </w:rPr>
        <w:t xml:space="preserve"> </w:t>
      </w:r>
    </w:p>
    <w:p w14:paraId="06F949CC" w14:textId="0ED1683E" w:rsidR="006E6743" w:rsidRDefault="006E6743" w:rsidP="006E6743">
      <w:pPr>
        <w:spacing w:after="0" w:line="276" w:lineRule="auto"/>
        <w:jc w:val="both"/>
        <w:rPr>
          <w:rFonts w:ascii="Book Antiqua" w:eastAsia="Calibri" w:hAnsi="Book Antiqua" w:cs="Arial"/>
          <w:bCs/>
          <w:i/>
          <w:iCs/>
        </w:rPr>
      </w:pPr>
    </w:p>
    <w:p w14:paraId="1707F5FC" w14:textId="7CA12864" w:rsidR="005E587F" w:rsidRPr="005E587F" w:rsidRDefault="0016355B" w:rsidP="007B701C">
      <w:pPr>
        <w:spacing w:line="276" w:lineRule="auto"/>
        <w:jc w:val="both"/>
        <w:rPr>
          <w:rFonts w:ascii="Book Antiqua" w:eastAsia="Times New Roman" w:hAnsi="Book Antiqua" w:cs="Times New Roman"/>
          <w:sz w:val="24"/>
          <w:szCs w:val="24"/>
          <w:lang w:eastAsia="es-CR"/>
        </w:rPr>
      </w:pPr>
      <w:r w:rsidRPr="005E1212">
        <w:rPr>
          <w:rFonts w:ascii="Book Antiqua" w:eastAsia="Calibri" w:hAnsi="Book Antiqua" w:cs="Arial"/>
          <w:sz w:val="24"/>
          <w:szCs w:val="24"/>
        </w:rPr>
        <w:t xml:space="preserve">Como se observa, durante el periodo analizado los Juzgados Especializados de Familia, realizan entre </w:t>
      </w:r>
      <w:r w:rsidR="002946EB" w:rsidRPr="005E1212">
        <w:rPr>
          <w:rFonts w:ascii="Book Antiqua" w:eastAsia="Calibri" w:hAnsi="Book Antiqua" w:cs="Arial"/>
          <w:sz w:val="24"/>
          <w:szCs w:val="24"/>
        </w:rPr>
        <w:t>1</w:t>
      </w:r>
      <w:r w:rsidR="005E1212" w:rsidRPr="005E1212">
        <w:rPr>
          <w:rFonts w:ascii="Book Antiqua" w:eastAsia="Calibri" w:hAnsi="Book Antiqua" w:cs="Arial"/>
          <w:sz w:val="24"/>
          <w:szCs w:val="24"/>
        </w:rPr>
        <w:t>3</w:t>
      </w:r>
      <w:r w:rsidRPr="005E1212">
        <w:rPr>
          <w:rFonts w:ascii="Book Antiqua" w:eastAsia="Calibri" w:hAnsi="Book Antiqua" w:cs="Arial"/>
          <w:sz w:val="24"/>
          <w:szCs w:val="24"/>
        </w:rPr>
        <w:t xml:space="preserve"> a </w:t>
      </w:r>
      <w:r w:rsidR="005E1212" w:rsidRPr="005E1212">
        <w:rPr>
          <w:rFonts w:ascii="Book Antiqua" w:eastAsia="Calibri" w:hAnsi="Book Antiqua" w:cs="Arial"/>
          <w:sz w:val="24"/>
          <w:szCs w:val="24"/>
        </w:rPr>
        <w:t>30</w:t>
      </w:r>
      <w:r w:rsidRPr="005E1212">
        <w:rPr>
          <w:rFonts w:ascii="Book Antiqua" w:eastAsia="Calibri" w:hAnsi="Book Antiqua" w:cs="Arial"/>
          <w:sz w:val="24"/>
          <w:szCs w:val="24"/>
        </w:rPr>
        <w:t xml:space="preserve"> audiencias al mes por persona juzgadora,</w:t>
      </w:r>
      <w:r w:rsidR="00741DD2">
        <w:rPr>
          <w:rFonts w:ascii="Book Antiqua" w:eastAsia="Calibri" w:hAnsi="Book Antiqua" w:cs="Arial"/>
          <w:sz w:val="24"/>
          <w:szCs w:val="24"/>
        </w:rPr>
        <w:t xml:space="preserve"> considerando además que los años 2020</w:t>
      </w:r>
      <w:r w:rsidR="0029048C">
        <w:rPr>
          <w:rFonts w:ascii="Book Antiqua" w:eastAsia="Calibri" w:hAnsi="Book Antiqua" w:cs="Arial"/>
          <w:sz w:val="24"/>
          <w:szCs w:val="24"/>
        </w:rPr>
        <w:t>-</w:t>
      </w:r>
      <w:r w:rsidR="00741DD2">
        <w:rPr>
          <w:rFonts w:ascii="Book Antiqua" w:eastAsia="Calibri" w:hAnsi="Book Antiqua" w:cs="Arial"/>
          <w:sz w:val="24"/>
          <w:szCs w:val="24"/>
        </w:rPr>
        <w:t>2021</w:t>
      </w:r>
      <w:r w:rsidR="00BE20F5">
        <w:rPr>
          <w:rFonts w:ascii="Book Antiqua" w:eastAsia="Calibri" w:hAnsi="Book Antiqua" w:cs="Arial"/>
          <w:sz w:val="24"/>
          <w:szCs w:val="24"/>
        </w:rPr>
        <w:t>, fueron atípicos por el impacto de la pandemia</w:t>
      </w:r>
      <w:r w:rsidRPr="005E1212">
        <w:rPr>
          <w:rFonts w:ascii="Book Antiqua" w:eastAsia="Calibri" w:hAnsi="Book Antiqua" w:cs="Arial"/>
          <w:sz w:val="24"/>
          <w:szCs w:val="24"/>
        </w:rPr>
        <w:t>.</w:t>
      </w:r>
      <w:r w:rsidRPr="0016355B">
        <w:rPr>
          <w:rFonts w:ascii="Book Antiqua" w:eastAsia="Calibri" w:hAnsi="Book Antiqua" w:cs="Arial"/>
          <w:sz w:val="24"/>
          <w:szCs w:val="24"/>
        </w:rPr>
        <w:t xml:space="preserve"> Valor que se puede </w:t>
      </w:r>
      <w:r w:rsidR="003221D1">
        <w:rPr>
          <w:rFonts w:ascii="Book Antiqua" w:eastAsia="Calibri" w:hAnsi="Book Antiqua" w:cs="Arial"/>
          <w:sz w:val="24"/>
          <w:szCs w:val="24"/>
        </w:rPr>
        <w:t>considerar</w:t>
      </w:r>
      <w:r w:rsidRPr="0016355B">
        <w:rPr>
          <w:rFonts w:ascii="Book Antiqua" w:eastAsia="Calibri" w:hAnsi="Book Antiqua" w:cs="Arial"/>
          <w:sz w:val="24"/>
          <w:szCs w:val="24"/>
        </w:rPr>
        <w:t xml:space="preserve"> como referencia para la definición de la cuota de audiencias por mes, </w:t>
      </w:r>
      <w:r w:rsidRPr="0016355B">
        <w:rPr>
          <w:rFonts w:ascii="Book Antiqua" w:eastAsia="Times New Roman" w:hAnsi="Book Antiqua" w:cs="Times New Roman"/>
          <w:sz w:val="24"/>
          <w:szCs w:val="24"/>
          <w:lang w:eastAsia="es-CR"/>
        </w:rPr>
        <w:t xml:space="preserve">pero que se definirá en el proceso de seguimiento de la materia por parte de esta Dirección en Coordinación con la Comisión de la Jurisdicción de </w:t>
      </w:r>
      <w:r w:rsidRPr="005E1E11">
        <w:rPr>
          <w:rFonts w:ascii="Book Antiqua" w:eastAsia="Times New Roman" w:hAnsi="Book Antiqua" w:cs="Times New Roman"/>
          <w:sz w:val="24"/>
          <w:szCs w:val="24"/>
          <w:lang w:eastAsia="es-CR"/>
        </w:rPr>
        <w:t>Familia</w:t>
      </w:r>
      <w:r w:rsidR="00B028F4">
        <w:rPr>
          <w:rFonts w:ascii="Book Antiqua" w:eastAsia="Times New Roman" w:hAnsi="Book Antiqua" w:cs="Times New Roman"/>
          <w:sz w:val="24"/>
          <w:szCs w:val="24"/>
          <w:lang w:eastAsia="es-CR"/>
        </w:rPr>
        <w:t>; e</w:t>
      </w:r>
      <w:r w:rsidRPr="0016355B">
        <w:rPr>
          <w:rFonts w:ascii="Book Antiqua" w:eastAsia="Calibri" w:hAnsi="Book Antiqua" w:cs="Arial"/>
          <w:sz w:val="24"/>
          <w:szCs w:val="24"/>
        </w:rPr>
        <w:t>s importante señalar que bajo el sistema de oralidad de</w:t>
      </w:r>
      <w:r w:rsidR="005E1E11">
        <w:rPr>
          <w:rFonts w:ascii="Book Antiqua" w:eastAsia="Calibri" w:hAnsi="Book Antiqua" w:cs="Arial"/>
          <w:sz w:val="24"/>
          <w:szCs w:val="24"/>
        </w:rPr>
        <w:t>l</w:t>
      </w:r>
      <w:r w:rsidRPr="0016355B">
        <w:rPr>
          <w:rFonts w:ascii="Book Antiqua" w:eastAsia="Calibri" w:hAnsi="Book Antiqua" w:cs="Arial"/>
          <w:sz w:val="24"/>
          <w:szCs w:val="24"/>
        </w:rPr>
        <w:t xml:space="preserve"> CPF, se esperaría </w:t>
      </w:r>
      <w:r w:rsidR="005E587F" w:rsidRPr="005E587F">
        <w:rPr>
          <w:rFonts w:ascii="Book Antiqua" w:eastAsia="Calibri" w:hAnsi="Book Antiqua" w:cs="Arial"/>
          <w:sz w:val="24"/>
          <w:szCs w:val="24"/>
        </w:rPr>
        <w:t xml:space="preserve">la realización de más audiencias, situación que debe ser analizada </w:t>
      </w:r>
      <w:r w:rsidR="00FC3CA9">
        <w:rPr>
          <w:rFonts w:ascii="Book Antiqua" w:eastAsia="Calibri" w:hAnsi="Book Antiqua" w:cs="Arial"/>
          <w:sz w:val="24"/>
          <w:szCs w:val="24"/>
        </w:rPr>
        <w:t xml:space="preserve">para </w:t>
      </w:r>
      <w:r w:rsidR="005E587F" w:rsidRPr="005E587F">
        <w:rPr>
          <w:rFonts w:ascii="Book Antiqua" w:eastAsia="Calibri" w:hAnsi="Book Antiqua" w:cs="Arial"/>
          <w:sz w:val="24"/>
          <w:szCs w:val="24"/>
        </w:rPr>
        <w:t>esta cuota.</w:t>
      </w:r>
    </w:p>
    <w:p w14:paraId="0DD5928D" w14:textId="580ABDD7" w:rsidR="00FB302C" w:rsidRDefault="005E587F" w:rsidP="005E587F">
      <w:pPr>
        <w:spacing w:after="0" w:line="276" w:lineRule="auto"/>
        <w:jc w:val="both"/>
        <w:rPr>
          <w:rFonts w:ascii="Book Antiqua" w:eastAsia="Calibri" w:hAnsi="Book Antiqua" w:cs="Arial"/>
          <w:sz w:val="24"/>
          <w:szCs w:val="24"/>
        </w:rPr>
      </w:pPr>
      <w:r w:rsidRPr="00F83B44">
        <w:rPr>
          <w:rFonts w:ascii="Book Antiqua" w:eastAsia="Calibri" w:hAnsi="Book Antiqua" w:cs="Arial"/>
          <w:sz w:val="24"/>
          <w:szCs w:val="24"/>
        </w:rPr>
        <w:t>Para el 202</w:t>
      </w:r>
      <w:r w:rsidR="006419A0" w:rsidRPr="00F83B44">
        <w:rPr>
          <w:rFonts w:ascii="Book Antiqua" w:eastAsia="Calibri" w:hAnsi="Book Antiqua" w:cs="Arial"/>
          <w:sz w:val="24"/>
          <w:szCs w:val="24"/>
        </w:rPr>
        <w:t>1</w:t>
      </w:r>
      <w:r w:rsidRPr="00F83B44">
        <w:rPr>
          <w:rFonts w:ascii="Book Antiqua" w:eastAsia="Calibri" w:hAnsi="Book Antiqua" w:cs="Arial"/>
          <w:sz w:val="24"/>
          <w:szCs w:val="24"/>
        </w:rPr>
        <w:t xml:space="preserve">, conforme al seguimiento realizado a la Jurisdicción de Familia, </w:t>
      </w:r>
      <w:r w:rsidR="00FB302C">
        <w:rPr>
          <w:rFonts w:ascii="Book Antiqua" w:eastAsia="Calibri" w:hAnsi="Book Antiqua" w:cs="Arial"/>
          <w:sz w:val="24"/>
          <w:szCs w:val="24"/>
        </w:rPr>
        <w:t>s</w:t>
      </w:r>
      <w:r w:rsidRPr="00F83B44">
        <w:rPr>
          <w:rFonts w:ascii="Book Antiqua" w:eastAsia="Calibri" w:hAnsi="Book Antiqua" w:cs="Arial"/>
          <w:sz w:val="24"/>
          <w:szCs w:val="24"/>
        </w:rPr>
        <w:t>e considera lo expuesto en el oficio 1</w:t>
      </w:r>
      <w:r w:rsidR="0067526D" w:rsidRPr="00F83B44">
        <w:rPr>
          <w:rFonts w:ascii="Book Antiqua" w:eastAsia="Calibri" w:hAnsi="Book Antiqua" w:cs="Arial"/>
          <w:sz w:val="24"/>
          <w:szCs w:val="24"/>
        </w:rPr>
        <w:t>360</w:t>
      </w:r>
      <w:r w:rsidRPr="00F83B44">
        <w:rPr>
          <w:rFonts w:ascii="Book Antiqua" w:eastAsia="Calibri" w:hAnsi="Book Antiqua" w:cs="Arial"/>
          <w:sz w:val="24"/>
          <w:szCs w:val="24"/>
        </w:rPr>
        <w:t>-PLA-202</w:t>
      </w:r>
      <w:r w:rsidR="0067526D" w:rsidRPr="00F83B44">
        <w:rPr>
          <w:rFonts w:ascii="Book Antiqua" w:eastAsia="Calibri" w:hAnsi="Book Antiqua" w:cs="Arial"/>
          <w:sz w:val="24"/>
          <w:szCs w:val="24"/>
        </w:rPr>
        <w:t>1</w:t>
      </w:r>
      <w:r w:rsidRPr="00F83B44">
        <w:rPr>
          <w:rFonts w:ascii="Book Antiqua" w:eastAsia="Calibri" w:hAnsi="Book Antiqua" w:cs="Arial"/>
          <w:sz w:val="24"/>
          <w:szCs w:val="24"/>
          <w:lang w:val="es-MX"/>
        </w:rPr>
        <w:t>/31</w:t>
      </w:r>
      <w:r w:rsidR="005D4D70" w:rsidRPr="00F83B44">
        <w:rPr>
          <w:rFonts w:ascii="Book Antiqua" w:eastAsia="Calibri" w:hAnsi="Book Antiqua" w:cs="Arial"/>
          <w:sz w:val="24"/>
          <w:szCs w:val="24"/>
          <w:lang w:val="es-MX"/>
        </w:rPr>
        <w:t>2</w:t>
      </w:r>
      <w:r w:rsidRPr="00F83B44">
        <w:rPr>
          <w:rFonts w:ascii="Book Antiqua" w:eastAsia="Calibri" w:hAnsi="Book Antiqua" w:cs="Arial"/>
          <w:sz w:val="24"/>
          <w:szCs w:val="24"/>
          <w:lang w:val="es-MX"/>
        </w:rPr>
        <w:t>-CACMFJ-JEF-202</w:t>
      </w:r>
      <w:r w:rsidR="005D4D70" w:rsidRPr="00F83B44">
        <w:rPr>
          <w:rFonts w:ascii="Book Antiqua" w:eastAsia="Calibri" w:hAnsi="Book Antiqua" w:cs="Arial"/>
          <w:sz w:val="24"/>
          <w:szCs w:val="24"/>
          <w:lang w:val="es-MX"/>
        </w:rPr>
        <w:t>1</w:t>
      </w:r>
      <w:r w:rsidRPr="00F83B44">
        <w:rPr>
          <w:rFonts w:ascii="Book Antiqua" w:eastAsia="Calibri" w:hAnsi="Book Antiqua" w:cs="Arial"/>
          <w:sz w:val="24"/>
          <w:szCs w:val="24"/>
          <w:lang w:val="es-MX"/>
        </w:rPr>
        <w:t xml:space="preserve"> del 1</w:t>
      </w:r>
      <w:r w:rsidR="005D4D70" w:rsidRPr="00F83B44">
        <w:rPr>
          <w:rFonts w:ascii="Book Antiqua" w:eastAsia="Calibri" w:hAnsi="Book Antiqua" w:cs="Arial"/>
          <w:sz w:val="24"/>
          <w:szCs w:val="24"/>
          <w:lang w:val="es-MX"/>
        </w:rPr>
        <w:t>7</w:t>
      </w:r>
      <w:r w:rsidRPr="00F83B44">
        <w:rPr>
          <w:rFonts w:ascii="Book Antiqua" w:eastAsia="Calibri" w:hAnsi="Book Antiqua" w:cs="Arial"/>
          <w:sz w:val="24"/>
          <w:szCs w:val="24"/>
          <w:lang w:val="es-MX"/>
        </w:rPr>
        <w:t xml:space="preserve"> de </w:t>
      </w:r>
      <w:r w:rsidR="005D4D70" w:rsidRPr="00F83B44">
        <w:rPr>
          <w:rFonts w:ascii="Book Antiqua" w:eastAsia="Calibri" w:hAnsi="Book Antiqua" w:cs="Arial"/>
          <w:sz w:val="24"/>
          <w:szCs w:val="24"/>
          <w:lang w:val="es-MX"/>
        </w:rPr>
        <w:t>noviembre</w:t>
      </w:r>
      <w:r w:rsidRPr="00F83B44">
        <w:rPr>
          <w:rFonts w:ascii="Book Antiqua" w:eastAsia="Calibri" w:hAnsi="Book Antiqua" w:cs="Arial"/>
          <w:sz w:val="24"/>
          <w:szCs w:val="24"/>
          <w:lang w:val="es-MX"/>
        </w:rPr>
        <w:t xml:space="preserve"> 202</w:t>
      </w:r>
      <w:r w:rsidR="005D4D70" w:rsidRPr="00F83B44">
        <w:rPr>
          <w:rFonts w:ascii="Book Antiqua" w:eastAsia="Calibri" w:hAnsi="Book Antiqua" w:cs="Arial"/>
          <w:sz w:val="24"/>
          <w:szCs w:val="24"/>
          <w:lang w:val="es-MX"/>
        </w:rPr>
        <w:t>1</w:t>
      </w:r>
      <w:r w:rsidRPr="00F83B44">
        <w:rPr>
          <w:rFonts w:ascii="Book Antiqua" w:eastAsia="Calibri" w:hAnsi="Book Antiqua" w:cs="Arial"/>
          <w:sz w:val="24"/>
          <w:szCs w:val="24"/>
          <w:lang w:val="es-MX"/>
        </w:rPr>
        <w:t>, así como lo indicado en el oficio 1992-PLA-EV-2020 de esta Dirección</w:t>
      </w:r>
      <w:r w:rsidR="00FB302C">
        <w:rPr>
          <w:rFonts w:ascii="Book Antiqua" w:eastAsia="Calibri" w:hAnsi="Book Antiqua" w:cs="Arial"/>
          <w:sz w:val="24"/>
          <w:szCs w:val="24"/>
          <w:lang w:val="es-MX"/>
        </w:rPr>
        <w:t>,</w:t>
      </w:r>
      <w:r w:rsidRPr="00F83B44">
        <w:rPr>
          <w:rFonts w:ascii="Book Antiqua" w:eastAsia="Calibri" w:hAnsi="Book Antiqua" w:cs="Arial"/>
          <w:sz w:val="24"/>
          <w:szCs w:val="24"/>
          <w:lang w:val="es-MX"/>
        </w:rPr>
        <w:t xml:space="preserve"> donde se hace un resumen de los </w:t>
      </w:r>
      <w:r w:rsidRPr="00F83B44">
        <w:rPr>
          <w:rFonts w:ascii="Book Antiqua" w:eastAsia="Calibri" w:hAnsi="Book Antiqua" w:cs="Arial"/>
          <w:sz w:val="24"/>
          <w:szCs w:val="24"/>
        </w:rPr>
        <w:t>factores externos que han afectado al Poder Judicial en general, y por ende a los Juzgados de Familia e indicadores como la cantidad de audiencias programadas y celebradas</w:t>
      </w:r>
      <w:r w:rsidR="00FB302C">
        <w:rPr>
          <w:rFonts w:ascii="Book Antiqua" w:eastAsia="Calibri" w:hAnsi="Book Antiqua" w:cs="Arial"/>
          <w:sz w:val="24"/>
          <w:szCs w:val="24"/>
        </w:rPr>
        <w:t>, entre los que están:</w:t>
      </w:r>
    </w:p>
    <w:p w14:paraId="3C245938" w14:textId="6DC731FC" w:rsidR="005E587F" w:rsidRPr="005D4D70" w:rsidRDefault="005E587F" w:rsidP="005E587F">
      <w:pPr>
        <w:spacing w:after="0" w:line="276" w:lineRule="auto"/>
        <w:jc w:val="both"/>
        <w:rPr>
          <w:rFonts w:ascii="Book Antiqua" w:eastAsia="Calibri" w:hAnsi="Book Antiqua" w:cs="Arial"/>
          <w:sz w:val="24"/>
          <w:szCs w:val="24"/>
        </w:rPr>
      </w:pPr>
      <w:r w:rsidRPr="005D4D70">
        <w:rPr>
          <w:rFonts w:ascii="Book Antiqua" w:eastAsia="Calibri" w:hAnsi="Book Antiqua" w:cs="Arial"/>
          <w:sz w:val="24"/>
          <w:szCs w:val="24"/>
        </w:rPr>
        <w:t xml:space="preserve">  </w:t>
      </w:r>
    </w:p>
    <w:p w14:paraId="125B4FE9" w14:textId="608DD73C" w:rsidR="00F56F12" w:rsidRPr="00522C54" w:rsidRDefault="00F56F12" w:rsidP="00F56F12">
      <w:pPr>
        <w:spacing w:after="0" w:line="276" w:lineRule="auto"/>
        <w:jc w:val="both"/>
        <w:rPr>
          <w:rFonts w:ascii="Book Antiqua" w:eastAsia="Calibri" w:hAnsi="Book Antiqua" w:cs="Arial"/>
          <w:i/>
          <w:iCs/>
          <w:sz w:val="24"/>
          <w:szCs w:val="24"/>
        </w:rPr>
      </w:pPr>
      <w:r w:rsidRPr="00522C54">
        <w:rPr>
          <w:rFonts w:ascii="Book Antiqua" w:eastAsia="Calibri" w:hAnsi="Book Antiqua" w:cs="Arial"/>
          <w:i/>
          <w:iCs/>
          <w:sz w:val="24"/>
          <w:szCs w:val="24"/>
        </w:rPr>
        <w:t>“…</w:t>
      </w:r>
      <w:r w:rsidR="00FB302C">
        <w:rPr>
          <w:rFonts w:ascii="Book Antiqua" w:eastAsia="Calibri" w:hAnsi="Book Antiqua" w:cs="Arial"/>
          <w:i/>
          <w:iCs/>
          <w:sz w:val="24"/>
          <w:szCs w:val="24"/>
        </w:rPr>
        <w:t>”</w:t>
      </w:r>
    </w:p>
    <w:p w14:paraId="5415565D" w14:textId="77777777" w:rsidR="00F56F12" w:rsidRPr="00522C54" w:rsidRDefault="00F56F12" w:rsidP="0090609F">
      <w:pPr>
        <w:numPr>
          <w:ilvl w:val="0"/>
          <w:numId w:val="9"/>
        </w:numPr>
        <w:spacing w:after="0" w:line="276" w:lineRule="auto"/>
        <w:jc w:val="both"/>
        <w:rPr>
          <w:rFonts w:ascii="Book Antiqua" w:eastAsia="Calibri" w:hAnsi="Book Antiqua" w:cs="Arial"/>
          <w:i/>
          <w:iCs/>
          <w:sz w:val="24"/>
          <w:szCs w:val="24"/>
        </w:rPr>
      </w:pPr>
      <w:r w:rsidRPr="00522C54">
        <w:rPr>
          <w:rFonts w:ascii="Book Antiqua" w:eastAsia="Calibri" w:hAnsi="Book Antiqua" w:cs="Arial"/>
          <w:i/>
          <w:iCs/>
          <w:sz w:val="24"/>
          <w:szCs w:val="24"/>
          <w:lang w:val="es-MX"/>
        </w:rPr>
        <w:t xml:space="preserve">Pandemia por Covid-19 ha afectado a todo el país y el Poder Judicial no es la excepción. </w:t>
      </w:r>
    </w:p>
    <w:p w14:paraId="4B2A0F46" w14:textId="45DD7AA9" w:rsidR="00D72478" w:rsidRPr="00FB302C" w:rsidRDefault="00D72478" w:rsidP="002C3419">
      <w:pPr>
        <w:numPr>
          <w:ilvl w:val="0"/>
          <w:numId w:val="9"/>
        </w:numPr>
        <w:spacing w:after="0" w:line="276" w:lineRule="auto"/>
        <w:jc w:val="both"/>
        <w:rPr>
          <w:rFonts w:ascii="Book Antiqua" w:eastAsia="Calibri" w:hAnsi="Book Antiqua" w:cs="Arial"/>
          <w:i/>
          <w:iCs/>
          <w:sz w:val="24"/>
          <w:szCs w:val="24"/>
          <w:lang w:val="es-MX"/>
        </w:rPr>
      </w:pPr>
      <w:r w:rsidRPr="00FB302C">
        <w:rPr>
          <w:rFonts w:ascii="Book Antiqua" w:eastAsia="Calibri" w:hAnsi="Book Antiqua" w:cs="Arial"/>
          <w:i/>
          <w:iCs/>
          <w:sz w:val="24"/>
          <w:szCs w:val="24"/>
          <w:lang w:val="es-MX"/>
        </w:rPr>
        <w:t xml:space="preserve">Cierres colectivos y temporales que se han dado a nivel institucional, para desinfección y limpieza por casos positivos de Covid-19; o cantidad de personal en cuarentena. </w:t>
      </w:r>
    </w:p>
    <w:p w14:paraId="475E163F" w14:textId="57508A07" w:rsidR="00E36743" w:rsidRPr="00FB302C" w:rsidRDefault="00E36743" w:rsidP="00B260D4">
      <w:pPr>
        <w:pStyle w:val="Prrafodelista"/>
        <w:numPr>
          <w:ilvl w:val="0"/>
          <w:numId w:val="9"/>
        </w:numPr>
        <w:spacing w:after="0" w:line="276" w:lineRule="auto"/>
        <w:jc w:val="both"/>
        <w:rPr>
          <w:rFonts w:ascii="Book Antiqua" w:eastAsia="Calibri" w:hAnsi="Book Antiqua" w:cs="Arial"/>
          <w:i/>
          <w:iCs/>
          <w:lang w:val="es-MX"/>
        </w:rPr>
      </w:pPr>
      <w:r w:rsidRPr="00FB302C">
        <w:rPr>
          <w:rFonts w:ascii="Book Antiqua" w:eastAsia="Calibri" w:hAnsi="Book Antiqua" w:cs="Arial"/>
          <w:i/>
          <w:iCs/>
          <w:lang w:val="es-MX"/>
        </w:rPr>
        <w:t>Respecto al seguimiento de la jurisdicción de familia se tiene que mediante oficio 941-PLA-MI-2021 la Dirección de Planificación solicitó al CACMFJ exonerar a los despachos judiciales que atienden las materias de familia y pensiones alimentarias, tanto en su versión especializada como mixta, de la generación de las “plantillas One Drive”, utilizadas para recolectar información para rendir informes, según lo dispuesto por Corte Plena; es sesión 26-2020 del 13 de mayo de 2020. Con la finalidad de optimizar la utilización de la herramienta de indicadores de gestión que se usa en los despachos que atienden materia de familia y materia de pensiones alimentarias.</w:t>
      </w:r>
    </w:p>
    <w:p w14:paraId="7115D12E" w14:textId="42331C5B" w:rsidR="00E36743" w:rsidRDefault="00662E4D" w:rsidP="0090609F">
      <w:pPr>
        <w:pStyle w:val="Prrafodelista"/>
        <w:numPr>
          <w:ilvl w:val="0"/>
          <w:numId w:val="9"/>
        </w:num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Por otra parte, el CACMFJ continuó con la revisión de la cantidad de audiencias programadas de las jurisdicciones a cargo, así como las realizadas, no realizadas, suspendidas y dejadas sin efecto. Para estos efectos, y con el fin de que los despachos judiciales invirtieran menor tiempo en labores administrativas y en su lugar, lo realizaran en labores jurisdiccionales, el CACMFJ coordinó con el Subproceso de Estadística de la Dirección de Planificación la obtención de los datos de las audiencias mediante informes generados desde el Sistema SIGMA.</w:t>
      </w:r>
    </w:p>
    <w:p w14:paraId="0DD62D98" w14:textId="6C9FCCF3" w:rsidR="00BC185D" w:rsidRDefault="00BC185D" w:rsidP="00BC185D">
      <w:pPr>
        <w:spacing w:after="0" w:line="276" w:lineRule="auto"/>
        <w:jc w:val="both"/>
        <w:rPr>
          <w:rFonts w:ascii="Book Antiqua" w:eastAsia="Calibri" w:hAnsi="Book Antiqua" w:cs="Arial"/>
          <w:i/>
          <w:iCs/>
          <w:lang w:val="es-MX"/>
        </w:rPr>
      </w:pPr>
    </w:p>
    <w:p w14:paraId="498670FA" w14:textId="77777777" w:rsidR="00BC185D" w:rsidRPr="00BC185D" w:rsidRDefault="00BC185D" w:rsidP="00BC185D">
      <w:pPr>
        <w:spacing w:after="0" w:line="276" w:lineRule="auto"/>
        <w:jc w:val="both"/>
        <w:rPr>
          <w:rFonts w:ascii="Book Antiqua" w:eastAsia="Calibri" w:hAnsi="Book Antiqua" w:cs="Arial"/>
          <w:i/>
          <w:iCs/>
          <w:lang w:val="es-MX"/>
        </w:rPr>
      </w:pPr>
    </w:p>
    <w:p w14:paraId="2B127D9A" w14:textId="37A9783A" w:rsidR="00BF4F47" w:rsidRPr="0054258A" w:rsidRDefault="00BF4F47"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Modelo de Juzgados de Familia-estructuras</w:t>
      </w:r>
    </w:p>
    <w:p w14:paraId="08C91C9E" w14:textId="265B7EF0" w:rsidR="00FF563A" w:rsidRDefault="00FF563A" w:rsidP="009C01E1">
      <w:pPr>
        <w:spacing w:line="276" w:lineRule="auto"/>
        <w:jc w:val="both"/>
        <w:rPr>
          <w:rFonts w:ascii="Book Antiqua" w:hAnsi="Book Antiqua"/>
          <w:sz w:val="24"/>
          <w:szCs w:val="24"/>
        </w:rPr>
      </w:pPr>
    </w:p>
    <w:p w14:paraId="6139D972" w14:textId="5AE95895"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Con el fin de definir la estructura ideal para los Juzgados de Familia, se toma como referencia los Juzgados de Familia de Cartago y San Carlos; los cuales fueron abordados durante los Rediseños de Procesos de los despachos judiciales del Circuito Judicial de Cartago y Segundo Circuito Judicial de San Carlos, a través de nuevas tecnologías y moderna gestión, por lo que se consideran las características generales de tramitación</w:t>
      </w:r>
      <w:r w:rsidR="00DE3066">
        <w:rPr>
          <w:rFonts w:ascii="Book Antiqua" w:eastAsia="Calibri" w:hAnsi="Book Antiqua" w:cs="Arial"/>
          <w:sz w:val="24"/>
          <w:szCs w:val="24"/>
        </w:rPr>
        <w:t>; por lo que</w:t>
      </w:r>
      <w:r w:rsidRPr="00741F9B">
        <w:rPr>
          <w:rFonts w:ascii="Book Antiqua" w:eastAsia="Calibri" w:hAnsi="Book Antiqua" w:cs="Arial"/>
          <w:sz w:val="24"/>
          <w:szCs w:val="24"/>
        </w:rPr>
        <w:t xml:space="preserve"> una vez </w:t>
      </w:r>
      <w:r w:rsidR="00DE3066">
        <w:rPr>
          <w:rFonts w:ascii="Book Antiqua" w:eastAsia="Calibri" w:hAnsi="Book Antiqua" w:cs="Arial"/>
          <w:sz w:val="24"/>
          <w:szCs w:val="24"/>
        </w:rPr>
        <w:t>realizados</w:t>
      </w:r>
      <w:r w:rsidRPr="00741F9B">
        <w:rPr>
          <w:rFonts w:ascii="Book Antiqua" w:eastAsia="Calibri" w:hAnsi="Book Antiqua" w:cs="Arial"/>
          <w:sz w:val="24"/>
          <w:szCs w:val="24"/>
        </w:rPr>
        <w:t xml:space="preserve"> los abordajes se profundiz</w:t>
      </w:r>
      <w:r w:rsidR="00DE3066">
        <w:rPr>
          <w:rFonts w:ascii="Book Antiqua" w:eastAsia="Calibri" w:hAnsi="Book Antiqua" w:cs="Arial"/>
          <w:sz w:val="24"/>
          <w:szCs w:val="24"/>
        </w:rPr>
        <w:t>ó</w:t>
      </w:r>
      <w:r w:rsidRPr="00741F9B">
        <w:rPr>
          <w:rFonts w:ascii="Book Antiqua" w:eastAsia="Calibri" w:hAnsi="Book Antiqua" w:cs="Arial"/>
          <w:sz w:val="24"/>
          <w:szCs w:val="24"/>
        </w:rPr>
        <w:t xml:space="preserve"> en la situación específica de cada Despacho</w:t>
      </w:r>
      <w:r w:rsidRPr="00741F9B" w:rsidDel="005708AA">
        <w:rPr>
          <w:rFonts w:ascii="Book Antiqua" w:eastAsia="Calibri" w:hAnsi="Book Antiqua" w:cs="Arial"/>
          <w:sz w:val="24"/>
          <w:szCs w:val="24"/>
        </w:rPr>
        <w:t>.</w:t>
      </w:r>
    </w:p>
    <w:p w14:paraId="0357DFC1" w14:textId="77777777" w:rsidR="00741F9B" w:rsidRPr="00741F9B" w:rsidRDefault="00741F9B" w:rsidP="00741F9B">
      <w:pPr>
        <w:spacing w:after="0" w:line="276" w:lineRule="auto"/>
        <w:jc w:val="both"/>
        <w:rPr>
          <w:rFonts w:ascii="Book Antiqua" w:eastAsia="Calibri" w:hAnsi="Book Antiqua" w:cs="Arial"/>
          <w:sz w:val="24"/>
          <w:szCs w:val="24"/>
        </w:rPr>
      </w:pPr>
    </w:p>
    <w:p w14:paraId="5D2FB3D2" w14:textId="354FBC69"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Con el modelo de Familia, se estandariza</w:t>
      </w:r>
      <w:r w:rsidR="00DE3066">
        <w:rPr>
          <w:rFonts w:ascii="Book Antiqua" w:eastAsia="Calibri" w:hAnsi="Book Antiqua" w:cs="Arial"/>
          <w:sz w:val="24"/>
          <w:szCs w:val="24"/>
        </w:rPr>
        <w:t>n</w:t>
      </w:r>
      <w:r w:rsidRPr="00741F9B">
        <w:rPr>
          <w:rFonts w:ascii="Book Antiqua" w:eastAsia="Calibri" w:hAnsi="Book Antiqua" w:cs="Arial"/>
          <w:sz w:val="24"/>
          <w:szCs w:val="24"/>
        </w:rPr>
        <w:t xml:space="preserve"> metodologías de trabajo a nivel nacional, </w:t>
      </w:r>
      <w:r w:rsidR="00DE3066">
        <w:rPr>
          <w:rFonts w:ascii="Book Antiqua" w:eastAsia="Calibri" w:hAnsi="Book Antiqua" w:cs="Arial"/>
          <w:sz w:val="24"/>
          <w:szCs w:val="24"/>
        </w:rPr>
        <w:t xml:space="preserve">se </w:t>
      </w:r>
      <w:r w:rsidRPr="00741F9B">
        <w:rPr>
          <w:rFonts w:ascii="Book Antiqua" w:eastAsia="Calibri" w:hAnsi="Book Antiqua" w:cs="Arial"/>
          <w:sz w:val="24"/>
          <w:szCs w:val="24"/>
        </w:rPr>
        <w:t>defin</w:t>
      </w:r>
      <w:r w:rsidR="00DE3066">
        <w:rPr>
          <w:rFonts w:ascii="Book Antiqua" w:eastAsia="Calibri" w:hAnsi="Book Antiqua" w:cs="Arial"/>
          <w:sz w:val="24"/>
          <w:szCs w:val="24"/>
        </w:rPr>
        <w:t>en</w:t>
      </w:r>
      <w:r w:rsidRPr="00741F9B">
        <w:rPr>
          <w:rFonts w:ascii="Book Antiqua" w:eastAsia="Calibri" w:hAnsi="Book Antiqua" w:cs="Arial"/>
          <w:sz w:val="24"/>
          <w:szCs w:val="24"/>
        </w:rPr>
        <w:t xml:space="preserve"> parámetros de producción para el personal juzgador y técnico judicial al establecer cuotas para el dictado de sentencias y de proveído, entre otros. </w:t>
      </w:r>
    </w:p>
    <w:p w14:paraId="0A126EC9" w14:textId="290A03C2" w:rsidR="00741F9B" w:rsidRPr="00741F9B" w:rsidRDefault="00741F9B" w:rsidP="00741F9B">
      <w:pPr>
        <w:spacing w:after="0" w:line="276" w:lineRule="auto"/>
        <w:jc w:val="both"/>
        <w:rPr>
          <w:rFonts w:ascii="Book Antiqua" w:eastAsia="Calibri" w:hAnsi="Book Antiqua" w:cs="Arial"/>
          <w:sz w:val="24"/>
          <w:szCs w:val="24"/>
        </w:rPr>
      </w:pPr>
    </w:p>
    <w:p w14:paraId="0030D34A"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 xml:space="preserve">Adicionalmente, como parte de la atención a las recomendaciones de la Contraloría General de la República, se realizó una revisión y propuestas de modificación cuando corresponda de las estructuras de trabajo de todas las oficinas competentes en materia de Familia a nivel nacional. </w:t>
      </w:r>
    </w:p>
    <w:p w14:paraId="6C266F2F" w14:textId="77777777" w:rsidR="00741F9B" w:rsidRPr="00741F9B" w:rsidRDefault="00741F9B" w:rsidP="00741F9B">
      <w:pPr>
        <w:spacing w:after="0" w:line="276" w:lineRule="auto"/>
        <w:jc w:val="both"/>
        <w:rPr>
          <w:rFonts w:ascii="Book Antiqua" w:eastAsia="Calibri" w:hAnsi="Book Antiqua" w:cs="Arial"/>
          <w:sz w:val="24"/>
          <w:szCs w:val="24"/>
        </w:rPr>
      </w:pPr>
    </w:p>
    <w:p w14:paraId="19844BD9" w14:textId="7610E856"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En el siguiente cuadro se adjunta un resumen de los oficios remitidos por la Dirección de Planificación</w:t>
      </w:r>
      <w:r w:rsidR="00CB3BAB">
        <w:rPr>
          <w:rFonts w:ascii="Book Antiqua" w:eastAsia="Calibri" w:hAnsi="Book Antiqua" w:cs="Arial"/>
          <w:sz w:val="24"/>
          <w:szCs w:val="24"/>
        </w:rPr>
        <w:t>, los cuales ya fueron aprobados por el Consejo Superior.</w:t>
      </w:r>
    </w:p>
    <w:p w14:paraId="1F21971B" w14:textId="58697A20" w:rsidR="00FF563A" w:rsidRDefault="00FF563A" w:rsidP="009C01E1">
      <w:pPr>
        <w:spacing w:line="276" w:lineRule="auto"/>
        <w:jc w:val="both"/>
        <w:rPr>
          <w:rFonts w:ascii="Book Antiqua" w:hAnsi="Book Antiqua"/>
          <w:sz w:val="24"/>
          <w:szCs w:val="24"/>
        </w:rPr>
      </w:pPr>
    </w:p>
    <w:p w14:paraId="6E735D4F" w14:textId="00AB4DEB" w:rsidR="00A879FE" w:rsidRPr="00A879FE" w:rsidRDefault="00A879FE" w:rsidP="00A879F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879FE">
        <w:rPr>
          <w:rFonts w:ascii="Book Antiqua" w:eastAsia="Calibri" w:hAnsi="Book Antiqua" w:cs="Arial"/>
          <w:b/>
          <w:bCs/>
          <w:color w:val="1F497D"/>
          <w:szCs w:val="24"/>
          <w:lang w:val="es-ES" w:eastAsia="es-ES"/>
        </w:rPr>
        <w:t xml:space="preserve">Cuadro </w:t>
      </w:r>
      <w:r w:rsidRPr="00A879FE">
        <w:rPr>
          <w:rFonts w:ascii="Book Antiqua" w:eastAsia="Calibri" w:hAnsi="Book Antiqua" w:cs="Arial"/>
          <w:b/>
          <w:bCs/>
          <w:color w:val="1F497D"/>
          <w:szCs w:val="24"/>
          <w:lang w:val="es-ES" w:eastAsia="es-ES"/>
        </w:rPr>
        <w:fldChar w:fldCharType="begin"/>
      </w:r>
      <w:r w:rsidRPr="00A879FE">
        <w:rPr>
          <w:rFonts w:ascii="Book Antiqua" w:eastAsia="Calibri" w:hAnsi="Book Antiqua" w:cs="Arial"/>
          <w:b/>
          <w:bCs/>
          <w:color w:val="1F497D"/>
          <w:szCs w:val="24"/>
          <w:lang w:val="es-ES" w:eastAsia="es-ES"/>
        </w:rPr>
        <w:instrText xml:space="preserve"> SEQ Cuadro \* ARABIC </w:instrText>
      </w:r>
      <w:r w:rsidRPr="00A879F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12</w:t>
      </w:r>
      <w:r w:rsidRPr="00A879FE">
        <w:rPr>
          <w:rFonts w:ascii="Book Antiqua" w:eastAsia="Calibri" w:hAnsi="Book Antiqua" w:cs="Arial"/>
          <w:b/>
          <w:bCs/>
          <w:color w:val="1F497D"/>
          <w:szCs w:val="24"/>
          <w:lang w:val="es-ES" w:eastAsia="es-ES"/>
        </w:rPr>
        <w:fldChar w:fldCharType="end"/>
      </w:r>
    </w:p>
    <w:p w14:paraId="5ACF8A53" w14:textId="5E3D217A" w:rsidR="00A879FE" w:rsidRDefault="00A879FE" w:rsidP="00A879FE">
      <w:pPr>
        <w:spacing w:after="0" w:line="240" w:lineRule="auto"/>
        <w:jc w:val="center"/>
        <w:rPr>
          <w:rFonts w:ascii="Book Antiqua" w:eastAsia="Calibri" w:hAnsi="Book Antiqua" w:cs="Arial"/>
          <w:b/>
          <w:bCs/>
          <w:color w:val="1F497D"/>
          <w:szCs w:val="24"/>
          <w:lang w:val="es-ES" w:eastAsia="es-ES"/>
        </w:rPr>
      </w:pPr>
      <w:r w:rsidRPr="00A879FE">
        <w:rPr>
          <w:rFonts w:ascii="Book Antiqua" w:eastAsia="Calibri" w:hAnsi="Book Antiqua" w:cs="Arial"/>
          <w:b/>
          <w:bCs/>
          <w:color w:val="1F497D"/>
          <w:szCs w:val="24"/>
          <w:lang w:val="es-ES" w:eastAsia="es-ES"/>
        </w:rPr>
        <w:t>Resumen de oficios preliminares, definitivos y acuerdos del CS sobre las estructuras de los Juzgados competentes en Familia a nivel nacional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15"/>
        <w:gridCol w:w="2219"/>
        <w:gridCol w:w="2055"/>
        <w:gridCol w:w="1939"/>
      </w:tblGrid>
      <w:tr w:rsidR="005F057B" w:rsidRPr="005F057B" w14:paraId="1DCEFCC5" w14:textId="77777777" w:rsidTr="00612E7C">
        <w:trPr>
          <w:trHeight w:val="20"/>
        </w:trPr>
        <w:tc>
          <w:tcPr>
            <w:tcW w:w="1481" w:type="pct"/>
            <w:shd w:val="clear" w:color="auto" w:fill="1F497D"/>
            <w:vAlign w:val="center"/>
          </w:tcPr>
          <w:p w14:paraId="6E39D410" w14:textId="77777777" w:rsidR="005F057B" w:rsidRPr="005F057B" w:rsidRDefault="005F057B" w:rsidP="005F057B">
            <w:pPr>
              <w:spacing w:after="0" w:line="240" w:lineRule="auto"/>
              <w:jc w:val="center"/>
              <w:rPr>
                <w:rFonts w:ascii="Book Antiqua" w:eastAsia="Times New Roman" w:hAnsi="Book Antiqua" w:cs="Arial"/>
                <w:color w:val="FFFFFF"/>
                <w:lang w:eastAsia="es-CR"/>
              </w:rPr>
            </w:pPr>
            <w:r w:rsidRPr="005F057B">
              <w:rPr>
                <w:rFonts w:ascii="Book Antiqua" w:eastAsia="Times New Roman" w:hAnsi="Book Antiqua" w:cs="Arial"/>
                <w:b/>
                <w:bCs/>
                <w:color w:val="FFFFFF"/>
                <w:lang w:eastAsia="es-CR"/>
              </w:rPr>
              <w:t>Nombre del Despacho</w:t>
            </w:r>
          </w:p>
        </w:tc>
        <w:tc>
          <w:tcPr>
            <w:tcW w:w="1257" w:type="pct"/>
            <w:shd w:val="clear" w:color="auto" w:fill="1F497D"/>
            <w:vAlign w:val="center"/>
          </w:tcPr>
          <w:p w14:paraId="3B895449" w14:textId="77777777" w:rsidR="005F057B" w:rsidRPr="005F057B" w:rsidRDefault="005F057B" w:rsidP="005F057B">
            <w:pPr>
              <w:spacing w:after="0" w:line="240" w:lineRule="auto"/>
              <w:jc w:val="center"/>
              <w:rPr>
                <w:rFonts w:ascii="Book Antiqua" w:eastAsia="Times New Roman" w:hAnsi="Book Antiqua" w:cs="Times New Roman"/>
                <w:color w:val="FFFFFF"/>
                <w:lang w:eastAsia="es-CR"/>
              </w:rPr>
            </w:pPr>
            <w:r w:rsidRPr="005F057B">
              <w:rPr>
                <w:rFonts w:ascii="Book Antiqua" w:eastAsia="Times New Roman" w:hAnsi="Book Antiqua" w:cs="Arial"/>
                <w:b/>
                <w:bCs/>
                <w:color w:val="FFFFFF"/>
                <w:lang w:eastAsia="es-CR"/>
              </w:rPr>
              <w:t>Oficio preliminar remitido por la D. de Planificación</w:t>
            </w:r>
          </w:p>
        </w:tc>
        <w:tc>
          <w:tcPr>
            <w:tcW w:w="1164" w:type="pct"/>
            <w:shd w:val="clear" w:color="auto" w:fill="1F497D"/>
            <w:vAlign w:val="center"/>
          </w:tcPr>
          <w:p w14:paraId="1E7352B5" w14:textId="77777777" w:rsidR="005F057B" w:rsidRPr="005F057B" w:rsidRDefault="005F057B" w:rsidP="005F057B">
            <w:pPr>
              <w:spacing w:after="0" w:line="240" w:lineRule="auto"/>
              <w:jc w:val="center"/>
              <w:rPr>
                <w:rFonts w:ascii="Book Antiqua" w:eastAsia="Times New Roman" w:hAnsi="Book Antiqua" w:cs="Times New Roman"/>
                <w:color w:val="FFFFFF"/>
                <w:lang w:eastAsia="es-CR"/>
              </w:rPr>
            </w:pPr>
            <w:r w:rsidRPr="005F057B">
              <w:rPr>
                <w:rFonts w:ascii="Book Antiqua" w:eastAsia="Times New Roman" w:hAnsi="Book Antiqua" w:cs="Arial"/>
                <w:b/>
                <w:bCs/>
                <w:color w:val="FFFFFF"/>
                <w:lang w:eastAsia="es-CR"/>
              </w:rPr>
              <w:t>Oficio Definitivo</w:t>
            </w:r>
          </w:p>
        </w:tc>
        <w:tc>
          <w:tcPr>
            <w:tcW w:w="1099" w:type="pct"/>
            <w:shd w:val="clear" w:color="auto" w:fill="1F497D"/>
            <w:vAlign w:val="center"/>
          </w:tcPr>
          <w:p w14:paraId="4938A998" w14:textId="77777777" w:rsidR="005F057B" w:rsidRPr="005F057B" w:rsidRDefault="005F057B" w:rsidP="000012B5">
            <w:pPr>
              <w:spacing w:after="0" w:line="240" w:lineRule="auto"/>
              <w:jc w:val="center"/>
              <w:rPr>
                <w:rFonts w:ascii="Book Antiqua" w:eastAsia="Times New Roman" w:hAnsi="Book Antiqua" w:cs="Arial"/>
                <w:color w:val="FFFFFF"/>
                <w:lang w:eastAsia="es-CR"/>
              </w:rPr>
            </w:pPr>
            <w:r w:rsidRPr="005F057B">
              <w:rPr>
                <w:rFonts w:ascii="Book Antiqua" w:eastAsia="Times New Roman" w:hAnsi="Book Antiqua" w:cs="Arial"/>
                <w:b/>
                <w:bCs/>
                <w:color w:val="FFFFFF"/>
                <w:lang w:eastAsia="es-CR"/>
              </w:rPr>
              <w:t>Acuerdo del Consejo Superior</w:t>
            </w:r>
          </w:p>
        </w:tc>
      </w:tr>
      <w:tr w:rsidR="005F057B" w:rsidRPr="005F057B" w14:paraId="5A212C7E" w14:textId="77777777" w:rsidTr="00612E7C">
        <w:trPr>
          <w:trHeight w:val="20"/>
        </w:trPr>
        <w:tc>
          <w:tcPr>
            <w:tcW w:w="1481" w:type="pct"/>
            <w:shd w:val="clear" w:color="auto" w:fill="auto"/>
            <w:vAlign w:val="center"/>
            <w:hideMark/>
          </w:tcPr>
          <w:p w14:paraId="28C3CF2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Grecia</w:t>
            </w:r>
          </w:p>
        </w:tc>
        <w:tc>
          <w:tcPr>
            <w:tcW w:w="1257" w:type="pct"/>
            <w:shd w:val="clear" w:color="auto" w:fill="auto"/>
            <w:vAlign w:val="center"/>
            <w:hideMark/>
          </w:tcPr>
          <w:p w14:paraId="7AEF1735"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1829-PLA-MI-2020</w:t>
            </w:r>
          </w:p>
        </w:tc>
        <w:tc>
          <w:tcPr>
            <w:tcW w:w="1164" w:type="pct"/>
            <w:shd w:val="clear" w:color="auto" w:fill="auto"/>
            <w:vAlign w:val="center"/>
            <w:hideMark/>
          </w:tcPr>
          <w:p w14:paraId="415A38C0"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16-PLA-MI-2021</w:t>
            </w:r>
          </w:p>
        </w:tc>
        <w:tc>
          <w:tcPr>
            <w:tcW w:w="1099" w:type="pct"/>
            <w:shd w:val="clear" w:color="auto" w:fill="auto"/>
            <w:vAlign w:val="center"/>
            <w:hideMark/>
          </w:tcPr>
          <w:p w14:paraId="3D3FF83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XLIX </w:t>
            </w:r>
          </w:p>
        </w:tc>
      </w:tr>
      <w:tr w:rsidR="005F057B" w:rsidRPr="005F057B" w14:paraId="6E55E760" w14:textId="77777777" w:rsidTr="00612E7C">
        <w:trPr>
          <w:trHeight w:val="20"/>
        </w:trPr>
        <w:tc>
          <w:tcPr>
            <w:tcW w:w="1481" w:type="pct"/>
            <w:shd w:val="clear" w:color="auto" w:fill="auto"/>
            <w:vAlign w:val="center"/>
            <w:hideMark/>
          </w:tcPr>
          <w:p w14:paraId="45B4BC8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Cartago</w:t>
            </w:r>
          </w:p>
        </w:tc>
        <w:tc>
          <w:tcPr>
            <w:tcW w:w="1257" w:type="pct"/>
            <w:shd w:val="clear" w:color="auto" w:fill="auto"/>
            <w:vAlign w:val="center"/>
            <w:hideMark/>
          </w:tcPr>
          <w:p w14:paraId="41B28B2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1773-PLA-EV-2020</w:t>
            </w:r>
          </w:p>
        </w:tc>
        <w:tc>
          <w:tcPr>
            <w:tcW w:w="1164" w:type="pct"/>
            <w:shd w:val="clear" w:color="auto" w:fill="auto"/>
            <w:vAlign w:val="center"/>
            <w:hideMark/>
          </w:tcPr>
          <w:p w14:paraId="7991ECE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271-PLA-EV-2021</w:t>
            </w:r>
          </w:p>
        </w:tc>
        <w:tc>
          <w:tcPr>
            <w:tcW w:w="1099" w:type="pct"/>
            <w:shd w:val="clear" w:color="auto" w:fill="auto"/>
            <w:vAlign w:val="center"/>
            <w:hideMark/>
          </w:tcPr>
          <w:p w14:paraId="6E3B270C" w14:textId="3E61DC81" w:rsidR="005F057B" w:rsidRPr="005F057B" w:rsidRDefault="00D87546"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D87546">
              <w:rPr>
                <w:rFonts w:ascii="Book Antiqua" w:eastAsia="Times New Roman" w:hAnsi="Book Antiqua" w:cs="Arial"/>
                <w:color w:val="000000"/>
                <w:lang w:eastAsia="es-CR"/>
              </w:rPr>
              <w:t>22-21 del 16</w:t>
            </w:r>
            <w:r>
              <w:rPr>
                <w:rFonts w:ascii="Book Antiqua" w:eastAsia="Times New Roman" w:hAnsi="Book Antiqua" w:cs="Arial"/>
                <w:color w:val="000000"/>
                <w:lang w:eastAsia="es-CR"/>
              </w:rPr>
              <w:t>3-</w:t>
            </w:r>
            <w:r w:rsidRPr="00D87546">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A</w:t>
            </w:r>
            <w:r w:rsidRPr="00D87546">
              <w:rPr>
                <w:rFonts w:ascii="Book Antiqua" w:eastAsia="Times New Roman" w:hAnsi="Book Antiqua" w:cs="Arial"/>
                <w:color w:val="000000"/>
                <w:lang w:eastAsia="es-CR"/>
              </w:rPr>
              <w:t>rt</w:t>
            </w:r>
            <w:r>
              <w:rPr>
                <w:rFonts w:ascii="Book Antiqua" w:eastAsia="Times New Roman" w:hAnsi="Book Antiqua" w:cs="Arial"/>
                <w:color w:val="000000"/>
                <w:lang w:eastAsia="es-CR"/>
              </w:rPr>
              <w:t>.</w:t>
            </w:r>
            <w:r w:rsidRPr="00D87546">
              <w:rPr>
                <w:rFonts w:ascii="Book Antiqua" w:eastAsia="Times New Roman" w:hAnsi="Book Antiqua" w:cs="Arial"/>
                <w:color w:val="000000"/>
                <w:lang w:eastAsia="es-CR"/>
              </w:rPr>
              <w:t xml:space="preserve"> XXXVI</w:t>
            </w:r>
            <w:r w:rsidR="005F057B" w:rsidRPr="005F057B">
              <w:rPr>
                <w:rFonts w:ascii="Book Antiqua" w:eastAsia="Times New Roman" w:hAnsi="Book Antiqua" w:cs="Arial"/>
                <w:color w:val="000000"/>
                <w:lang w:eastAsia="es-CR"/>
              </w:rPr>
              <w:t> </w:t>
            </w:r>
          </w:p>
        </w:tc>
      </w:tr>
      <w:tr w:rsidR="005F057B" w:rsidRPr="005F057B" w14:paraId="5A8B02FD" w14:textId="77777777" w:rsidTr="00612E7C">
        <w:trPr>
          <w:trHeight w:val="20"/>
        </w:trPr>
        <w:tc>
          <w:tcPr>
            <w:tcW w:w="1481" w:type="pct"/>
            <w:shd w:val="clear" w:color="auto" w:fill="auto"/>
            <w:vAlign w:val="center"/>
            <w:hideMark/>
          </w:tcPr>
          <w:p w14:paraId="709A3CFE"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Niñez y Adolescencia</w:t>
            </w:r>
          </w:p>
        </w:tc>
        <w:tc>
          <w:tcPr>
            <w:tcW w:w="1257" w:type="pct"/>
            <w:shd w:val="clear" w:color="auto" w:fill="auto"/>
            <w:vAlign w:val="center"/>
            <w:hideMark/>
          </w:tcPr>
          <w:p w14:paraId="6822C47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1771-PLA-EV-2020</w:t>
            </w:r>
          </w:p>
        </w:tc>
        <w:tc>
          <w:tcPr>
            <w:tcW w:w="1164" w:type="pct"/>
            <w:shd w:val="clear" w:color="auto" w:fill="auto"/>
            <w:vAlign w:val="center"/>
            <w:hideMark/>
          </w:tcPr>
          <w:p w14:paraId="18D92F7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21-PLA-EV-2021</w:t>
            </w:r>
          </w:p>
        </w:tc>
        <w:tc>
          <w:tcPr>
            <w:tcW w:w="1099" w:type="pct"/>
            <w:shd w:val="clear" w:color="auto" w:fill="auto"/>
            <w:vAlign w:val="center"/>
            <w:hideMark/>
          </w:tcPr>
          <w:p w14:paraId="5EFE3D85"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XLV </w:t>
            </w:r>
          </w:p>
        </w:tc>
      </w:tr>
      <w:tr w:rsidR="005F057B" w:rsidRPr="005F057B" w14:paraId="1958CAC5" w14:textId="77777777" w:rsidTr="00612E7C">
        <w:trPr>
          <w:trHeight w:val="20"/>
        </w:trPr>
        <w:tc>
          <w:tcPr>
            <w:tcW w:w="1481" w:type="pct"/>
            <w:shd w:val="clear" w:color="auto" w:fill="auto"/>
            <w:vAlign w:val="center"/>
            <w:hideMark/>
          </w:tcPr>
          <w:p w14:paraId="21FE7E6D"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Primero de Familia San José</w:t>
            </w:r>
          </w:p>
        </w:tc>
        <w:tc>
          <w:tcPr>
            <w:tcW w:w="1257" w:type="pct"/>
            <w:shd w:val="clear" w:color="auto" w:fill="auto"/>
            <w:vAlign w:val="center"/>
            <w:hideMark/>
          </w:tcPr>
          <w:p w14:paraId="3B44DF4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1836-PLA-EV-2020</w:t>
            </w:r>
          </w:p>
        </w:tc>
        <w:tc>
          <w:tcPr>
            <w:tcW w:w="1164" w:type="pct"/>
            <w:shd w:val="clear" w:color="auto" w:fill="auto"/>
            <w:vAlign w:val="center"/>
            <w:hideMark/>
          </w:tcPr>
          <w:p w14:paraId="5C35C1A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66-PLA-MI-2021</w:t>
            </w:r>
          </w:p>
        </w:tc>
        <w:tc>
          <w:tcPr>
            <w:tcW w:w="1099" w:type="pct"/>
            <w:shd w:val="clear" w:color="auto" w:fill="auto"/>
            <w:vAlign w:val="center"/>
            <w:hideMark/>
          </w:tcPr>
          <w:p w14:paraId="1552822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10-21 del 4-2-21, Art. XLVII</w:t>
            </w:r>
          </w:p>
        </w:tc>
      </w:tr>
      <w:tr w:rsidR="005F057B" w:rsidRPr="005F057B" w14:paraId="78959F6E" w14:textId="77777777" w:rsidTr="00612E7C">
        <w:trPr>
          <w:trHeight w:val="20"/>
        </w:trPr>
        <w:tc>
          <w:tcPr>
            <w:tcW w:w="1481" w:type="pct"/>
            <w:shd w:val="clear" w:color="auto" w:fill="auto"/>
            <w:vAlign w:val="center"/>
            <w:hideMark/>
          </w:tcPr>
          <w:p w14:paraId="7E67B9E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Segundo de Familia San José</w:t>
            </w:r>
          </w:p>
        </w:tc>
        <w:tc>
          <w:tcPr>
            <w:tcW w:w="1257" w:type="pct"/>
            <w:shd w:val="clear" w:color="auto" w:fill="auto"/>
            <w:vAlign w:val="center"/>
            <w:hideMark/>
          </w:tcPr>
          <w:p w14:paraId="6C54116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1826-PLA-EV-2020</w:t>
            </w:r>
          </w:p>
        </w:tc>
        <w:tc>
          <w:tcPr>
            <w:tcW w:w="1164" w:type="pct"/>
            <w:shd w:val="clear" w:color="auto" w:fill="auto"/>
            <w:vAlign w:val="center"/>
            <w:hideMark/>
          </w:tcPr>
          <w:p w14:paraId="702BD29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96-PLA-EV-2021</w:t>
            </w:r>
          </w:p>
        </w:tc>
        <w:tc>
          <w:tcPr>
            <w:tcW w:w="1099" w:type="pct"/>
            <w:shd w:val="clear" w:color="auto" w:fill="auto"/>
            <w:vAlign w:val="center"/>
            <w:hideMark/>
          </w:tcPr>
          <w:p w14:paraId="5C3BAE2B"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9-21 del 2-2-21, Art. XXXVIII</w:t>
            </w:r>
          </w:p>
        </w:tc>
      </w:tr>
      <w:tr w:rsidR="005F057B" w:rsidRPr="005F057B" w14:paraId="656CA23A" w14:textId="77777777" w:rsidTr="00612E7C">
        <w:trPr>
          <w:trHeight w:val="20"/>
        </w:trPr>
        <w:tc>
          <w:tcPr>
            <w:tcW w:w="1481" w:type="pct"/>
            <w:shd w:val="clear" w:color="auto" w:fill="auto"/>
            <w:vAlign w:val="center"/>
            <w:hideMark/>
          </w:tcPr>
          <w:p w14:paraId="1F1229D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San José</w:t>
            </w:r>
          </w:p>
        </w:tc>
        <w:tc>
          <w:tcPr>
            <w:tcW w:w="1257" w:type="pct"/>
            <w:shd w:val="clear" w:color="auto" w:fill="auto"/>
            <w:vAlign w:val="center"/>
            <w:hideMark/>
          </w:tcPr>
          <w:p w14:paraId="16DAC4F1" w14:textId="177503A1"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1835-PLA-EV-2020</w:t>
            </w:r>
          </w:p>
        </w:tc>
        <w:tc>
          <w:tcPr>
            <w:tcW w:w="1164" w:type="pct"/>
            <w:shd w:val="clear" w:color="auto" w:fill="auto"/>
            <w:vAlign w:val="center"/>
            <w:hideMark/>
          </w:tcPr>
          <w:p w14:paraId="0D0AFCAE" w14:textId="6DF62F04" w:rsidR="003348BF" w:rsidRPr="005F057B" w:rsidRDefault="003348BF" w:rsidP="003348BF">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458-PLA-EV-2020</w:t>
            </w:r>
            <w:r w:rsidR="005F057B" w:rsidRPr="005F057B">
              <w:rPr>
                <w:rFonts w:ascii="Book Antiqua" w:eastAsia="Times New Roman" w:hAnsi="Book Antiqua" w:cs="Arial"/>
                <w:color w:val="000000"/>
                <w:lang w:eastAsia="es-CR"/>
              </w:rPr>
              <w:t> </w:t>
            </w:r>
          </w:p>
          <w:p w14:paraId="61C203C0" w14:textId="6A3A34BD" w:rsidR="005F057B" w:rsidRPr="005F057B" w:rsidRDefault="005F057B" w:rsidP="009F023C">
            <w:pPr>
              <w:spacing w:after="0" w:line="240" w:lineRule="auto"/>
              <w:jc w:val="center"/>
              <w:rPr>
                <w:rFonts w:ascii="Book Antiqua" w:eastAsia="Times New Roman" w:hAnsi="Book Antiqua" w:cs="Arial"/>
                <w:color w:val="000000"/>
                <w:lang w:eastAsia="es-CR"/>
              </w:rPr>
            </w:pPr>
          </w:p>
        </w:tc>
        <w:tc>
          <w:tcPr>
            <w:tcW w:w="1099" w:type="pct"/>
            <w:shd w:val="clear" w:color="auto" w:fill="auto"/>
            <w:vAlign w:val="center"/>
            <w:hideMark/>
          </w:tcPr>
          <w:p w14:paraId="6B16D169" w14:textId="5EB74C9B" w:rsidR="005F057B" w:rsidRPr="005F057B" w:rsidRDefault="00191B99"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003348BF">
              <w:rPr>
                <w:rFonts w:ascii="Book Antiqua" w:eastAsia="Times New Roman" w:hAnsi="Book Antiqua" w:cs="Arial"/>
                <w:color w:val="000000"/>
                <w:lang w:eastAsia="es-CR"/>
              </w:rPr>
              <w:t>33</w:t>
            </w:r>
            <w:r w:rsidR="00DF41CB" w:rsidRPr="00DF41CB">
              <w:rPr>
                <w:rFonts w:ascii="Book Antiqua" w:eastAsia="Times New Roman" w:hAnsi="Book Antiqua" w:cs="Arial"/>
                <w:color w:val="000000"/>
                <w:lang w:eastAsia="es-CR"/>
              </w:rPr>
              <w:t xml:space="preserve">-21 del </w:t>
            </w:r>
            <w:r w:rsidR="003348BF">
              <w:rPr>
                <w:rFonts w:ascii="Book Antiqua" w:eastAsia="Times New Roman" w:hAnsi="Book Antiqua" w:cs="Arial"/>
                <w:color w:val="000000"/>
                <w:lang w:eastAsia="es-CR"/>
              </w:rPr>
              <w:t>27</w:t>
            </w:r>
            <w:r w:rsidR="00DF41CB" w:rsidRPr="00DF41CB">
              <w:rPr>
                <w:rFonts w:ascii="Book Antiqua" w:eastAsia="Times New Roman" w:hAnsi="Book Antiqua" w:cs="Arial"/>
                <w:color w:val="000000"/>
                <w:lang w:eastAsia="es-CR"/>
              </w:rPr>
              <w:t>-</w:t>
            </w:r>
            <w:r w:rsidR="003348BF">
              <w:rPr>
                <w:rFonts w:ascii="Book Antiqua" w:eastAsia="Times New Roman" w:hAnsi="Book Antiqua" w:cs="Arial"/>
                <w:color w:val="000000"/>
                <w:lang w:eastAsia="es-CR"/>
              </w:rPr>
              <w:t>4</w:t>
            </w:r>
            <w:r w:rsidR="00DF41CB" w:rsidRPr="00DF41CB">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A</w:t>
            </w:r>
            <w:r w:rsidR="00DF41CB" w:rsidRPr="00DF41CB">
              <w:rPr>
                <w:rFonts w:ascii="Book Antiqua" w:eastAsia="Times New Roman" w:hAnsi="Book Antiqua" w:cs="Arial"/>
                <w:color w:val="000000"/>
                <w:lang w:eastAsia="es-CR"/>
              </w:rPr>
              <w:t>rt</w:t>
            </w:r>
            <w:r w:rsidR="00CA4873">
              <w:rPr>
                <w:rFonts w:ascii="Book Antiqua" w:eastAsia="Times New Roman" w:hAnsi="Book Antiqua" w:cs="Arial"/>
                <w:color w:val="000000"/>
                <w:lang w:eastAsia="es-CR"/>
              </w:rPr>
              <w:t>.</w:t>
            </w:r>
            <w:r w:rsidR="00DF41CB" w:rsidRPr="00DF41CB">
              <w:rPr>
                <w:rFonts w:ascii="Book Antiqua" w:eastAsia="Times New Roman" w:hAnsi="Book Antiqua" w:cs="Arial"/>
                <w:color w:val="000000"/>
                <w:lang w:eastAsia="es-CR"/>
              </w:rPr>
              <w:t xml:space="preserve"> XXXV</w:t>
            </w:r>
            <w:r w:rsidR="003348BF">
              <w:rPr>
                <w:rFonts w:ascii="Book Antiqua" w:eastAsia="Times New Roman" w:hAnsi="Book Antiqua" w:cs="Arial"/>
                <w:color w:val="000000"/>
                <w:lang w:eastAsia="es-CR"/>
              </w:rPr>
              <w:t>II</w:t>
            </w:r>
          </w:p>
        </w:tc>
      </w:tr>
      <w:tr w:rsidR="005F057B" w:rsidRPr="005F057B" w14:paraId="64DD4449" w14:textId="77777777" w:rsidTr="00612E7C">
        <w:trPr>
          <w:trHeight w:val="20"/>
        </w:trPr>
        <w:tc>
          <w:tcPr>
            <w:tcW w:w="1481" w:type="pct"/>
            <w:shd w:val="clear" w:color="auto" w:fill="auto"/>
            <w:vAlign w:val="center"/>
            <w:hideMark/>
          </w:tcPr>
          <w:p w14:paraId="1398794B"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de Familia III Circ. Jud. San José, Desamparados</w:t>
            </w:r>
          </w:p>
        </w:tc>
        <w:tc>
          <w:tcPr>
            <w:tcW w:w="1257" w:type="pct"/>
            <w:shd w:val="clear" w:color="auto" w:fill="auto"/>
            <w:vAlign w:val="center"/>
            <w:hideMark/>
          </w:tcPr>
          <w:p w14:paraId="5B71ED23"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1828-PLA-MI-2020</w:t>
            </w:r>
          </w:p>
        </w:tc>
        <w:tc>
          <w:tcPr>
            <w:tcW w:w="1164" w:type="pct"/>
            <w:shd w:val="clear" w:color="auto" w:fill="auto"/>
            <w:vAlign w:val="center"/>
            <w:hideMark/>
          </w:tcPr>
          <w:p w14:paraId="3CA34F13" w14:textId="321943FA" w:rsidR="005F057B" w:rsidRPr="005F057B" w:rsidRDefault="007E21C5" w:rsidP="005F057B">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178-PLA-</w:t>
            </w:r>
            <w:r w:rsidR="006A2A64">
              <w:rPr>
                <w:rFonts w:ascii="Book Antiqua" w:eastAsia="Times New Roman" w:hAnsi="Book Antiqua" w:cs="Arial"/>
                <w:color w:val="000000"/>
                <w:lang w:eastAsia="es-CR"/>
              </w:rPr>
              <w:t xml:space="preserve">EV-2021 y </w:t>
            </w:r>
            <w:r w:rsidR="005F057B" w:rsidRPr="005F057B">
              <w:rPr>
                <w:rFonts w:ascii="Book Antiqua" w:eastAsia="Times New Roman" w:hAnsi="Book Antiqua" w:cs="Arial"/>
                <w:color w:val="000000"/>
                <w:lang w:eastAsia="es-CR"/>
              </w:rPr>
              <w:t>311-PLA-MI-21</w:t>
            </w:r>
          </w:p>
        </w:tc>
        <w:tc>
          <w:tcPr>
            <w:tcW w:w="1099" w:type="pct"/>
            <w:shd w:val="clear" w:color="auto" w:fill="auto"/>
            <w:vAlign w:val="center"/>
            <w:hideMark/>
          </w:tcPr>
          <w:p w14:paraId="405BB00C" w14:textId="55012DCC" w:rsidR="00A76F5B" w:rsidRPr="00A76F5B" w:rsidRDefault="00A76F5B"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Sesión</w:t>
            </w:r>
            <w:r w:rsidR="005F057B" w:rsidRPr="005F057B">
              <w:rPr>
                <w:rFonts w:ascii="Book Antiqua" w:eastAsia="Times New Roman" w:hAnsi="Book Antiqua" w:cs="Arial"/>
                <w:color w:val="000000"/>
                <w:lang w:eastAsia="es-CR"/>
              </w:rPr>
              <w:t> </w:t>
            </w:r>
            <w:r w:rsidRPr="00A76F5B">
              <w:rPr>
                <w:rFonts w:ascii="Book Antiqua" w:eastAsia="Times New Roman" w:hAnsi="Book Antiqua" w:cs="Arial"/>
                <w:color w:val="000000"/>
                <w:lang w:eastAsia="es-CR"/>
              </w:rPr>
              <w:t xml:space="preserve">15-21 del 23-2-21, </w:t>
            </w:r>
            <w:r>
              <w:rPr>
                <w:rFonts w:ascii="Book Antiqua" w:eastAsia="Times New Roman" w:hAnsi="Book Antiqua" w:cs="Arial"/>
                <w:color w:val="000000"/>
                <w:lang w:eastAsia="es-CR"/>
              </w:rPr>
              <w:t>A</w:t>
            </w:r>
            <w:r w:rsidRPr="00A76F5B">
              <w:rPr>
                <w:rFonts w:ascii="Book Antiqua" w:eastAsia="Times New Roman" w:hAnsi="Book Antiqua" w:cs="Arial"/>
                <w:color w:val="000000"/>
                <w:lang w:eastAsia="es-CR"/>
              </w:rPr>
              <w:t>rt</w:t>
            </w:r>
            <w:r>
              <w:rPr>
                <w:rFonts w:ascii="Book Antiqua" w:eastAsia="Times New Roman" w:hAnsi="Book Antiqua" w:cs="Arial"/>
                <w:color w:val="000000"/>
                <w:lang w:eastAsia="es-CR"/>
              </w:rPr>
              <w:t>.</w:t>
            </w:r>
            <w:r w:rsidRPr="00A76F5B">
              <w:rPr>
                <w:rFonts w:ascii="Book Antiqua" w:eastAsia="Times New Roman" w:hAnsi="Book Antiqua" w:cs="Arial"/>
                <w:color w:val="000000"/>
                <w:lang w:eastAsia="es-CR"/>
              </w:rPr>
              <w:t xml:space="preserve"> XXXV y</w:t>
            </w:r>
            <w:r w:rsidR="00F119D1">
              <w:rPr>
                <w:rFonts w:ascii="Book Antiqua" w:eastAsia="Times New Roman" w:hAnsi="Book Antiqua" w:cs="Arial"/>
                <w:color w:val="000000"/>
                <w:lang w:eastAsia="es-CR"/>
              </w:rPr>
              <w:t xml:space="preserve"> Sesión</w:t>
            </w:r>
            <w:r w:rsidRPr="00A76F5B">
              <w:rPr>
                <w:rFonts w:ascii="Book Antiqua" w:eastAsia="Times New Roman" w:hAnsi="Book Antiqua" w:cs="Arial"/>
                <w:color w:val="000000"/>
                <w:lang w:eastAsia="es-CR"/>
              </w:rPr>
              <w:t xml:space="preserve"> </w:t>
            </w:r>
          </w:p>
          <w:p w14:paraId="601D734D" w14:textId="7A798BC1" w:rsidR="005F057B" w:rsidRPr="005F057B" w:rsidRDefault="00A76F5B" w:rsidP="000012B5">
            <w:pPr>
              <w:spacing w:after="0" w:line="240" w:lineRule="auto"/>
              <w:jc w:val="both"/>
              <w:rPr>
                <w:rFonts w:ascii="Book Antiqua" w:eastAsia="Times New Roman" w:hAnsi="Book Antiqua" w:cs="Arial"/>
                <w:color w:val="000000"/>
                <w:lang w:eastAsia="es-CR"/>
              </w:rPr>
            </w:pPr>
            <w:r w:rsidRPr="00A76F5B">
              <w:rPr>
                <w:rFonts w:ascii="Book Antiqua" w:eastAsia="Times New Roman" w:hAnsi="Book Antiqua" w:cs="Arial"/>
                <w:color w:val="000000"/>
                <w:lang w:eastAsia="es-CR"/>
              </w:rPr>
              <w:t xml:space="preserve">26-21 del 6-4-21, </w:t>
            </w:r>
            <w:r w:rsidR="00F119D1">
              <w:rPr>
                <w:rFonts w:ascii="Book Antiqua" w:eastAsia="Times New Roman" w:hAnsi="Book Antiqua" w:cs="Arial"/>
                <w:color w:val="000000"/>
                <w:lang w:eastAsia="es-CR"/>
              </w:rPr>
              <w:t>A</w:t>
            </w:r>
            <w:r w:rsidRPr="00A76F5B">
              <w:rPr>
                <w:rFonts w:ascii="Book Antiqua" w:eastAsia="Times New Roman" w:hAnsi="Book Antiqua" w:cs="Arial"/>
                <w:color w:val="000000"/>
                <w:lang w:eastAsia="es-CR"/>
              </w:rPr>
              <w:t>rt</w:t>
            </w:r>
            <w:r w:rsidR="00F119D1">
              <w:rPr>
                <w:rFonts w:ascii="Book Antiqua" w:eastAsia="Times New Roman" w:hAnsi="Book Antiqua" w:cs="Arial"/>
                <w:color w:val="000000"/>
                <w:lang w:eastAsia="es-CR"/>
              </w:rPr>
              <w:t>.</w:t>
            </w:r>
            <w:r w:rsidRPr="00A76F5B">
              <w:rPr>
                <w:rFonts w:ascii="Book Antiqua" w:eastAsia="Times New Roman" w:hAnsi="Book Antiqua" w:cs="Arial"/>
                <w:color w:val="000000"/>
                <w:lang w:eastAsia="es-CR"/>
              </w:rPr>
              <w:t xml:space="preserve"> XLVII</w:t>
            </w:r>
          </w:p>
        </w:tc>
      </w:tr>
      <w:tr w:rsidR="005F057B" w:rsidRPr="005F057B" w14:paraId="3ABE33C3" w14:textId="77777777" w:rsidTr="00612E7C">
        <w:trPr>
          <w:trHeight w:val="20"/>
        </w:trPr>
        <w:tc>
          <w:tcPr>
            <w:tcW w:w="1481" w:type="pct"/>
            <w:shd w:val="clear" w:color="auto" w:fill="auto"/>
            <w:vAlign w:val="center"/>
            <w:hideMark/>
          </w:tcPr>
          <w:p w14:paraId="17919344"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Tribunal del Familia </w:t>
            </w:r>
          </w:p>
        </w:tc>
        <w:tc>
          <w:tcPr>
            <w:tcW w:w="1257" w:type="pct"/>
            <w:shd w:val="clear" w:color="auto" w:fill="auto"/>
            <w:vAlign w:val="center"/>
            <w:hideMark/>
          </w:tcPr>
          <w:p w14:paraId="46CB5D0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1768-PLA-EV-2020</w:t>
            </w:r>
          </w:p>
        </w:tc>
        <w:tc>
          <w:tcPr>
            <w:tcW w:w="1164" w:type="pct"/>
            <w:shd w:val="clear" w:color="auto" w:fill="auto"/>
            <w:vAlign w:val="center"/>
            <w:hideMark/>
          </w:tcPr>
          <w:p w14:paraId="02BC169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62-PLA-EV-2021</w:t>
            </w:r>
          </w:p>
        </w:tc>
        <w:tc>
          <w:tcPr>
            <w:tcW w:w="1099" w:type="pct"/>
            <w:shd w:val="clear" w:color="auto" w:fill="auto"/>
            <w:vAlign w:val="center"/>
            <w:hideMark/>
          </w:tcPr>
          <w:p w14:paraId="04BBFBF9"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10-21 del 4-2-21, Art. XLVI</w:t>
            </w:r>
          </w:p>
        </w:tc>
      </w:tr>
      <w:tr w:rsidR="005F057B" w:rsidRPr="005F057B" w14:paraId="77810D85" w14:textId="77777777" w:rsidTr="00612E7C">
        <w:trPr>
          <w:trHeight w:val="20"/>
        </w:trPr>
        <w:tc>
          <w:tcPr>
            <w:tcW w:w="1481" w:type="pct"/>
            <w:shd w:val="clear" w:color="auto" w:fill="auto"/>
            <w:vAlign w:val="center"/>
            <w:hideMark/>
          </w:tcPr>
          <w:p w14:paraId="2DD48212"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Familia y Viol. Dom. I Circ. Jud. Guanacaste </w:t>
            </w:r>
          </w:p>
        </w:tc>
        <w:tc>
          <w:tcPr>
            <w:tcW w:w="1257" w:type="pct"/>
            <w:shd w:val="clear" w:color="auto" w:fill="auto"/>
            <w:vAlign w:val="center"/>
            <w:hideMark/>
          </w:tcPr>
          <w:p w14:paraId="4C8EA69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1808-PLA-EV-2020</w:t>
            </w:r>
          </w:p>
        </w:tc>
        <w:tc>
          <w:tcPr>
            <w:tcW w:w="1164" w:type="pct"/>
            <w:shd w:val="clear" w:color="auto" w:fill="auto"/>
            <w:vAlign w:val="center"/>
            <w:hideMark/>
          </w:tcPr>
          <w:p w14:paraId="179A7FB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23-PLA-EV-2021</w:t>
            </w:r>
          </w:p>
        </w:tc>
        <w:tc>
          <w:tcPr>
            <w:tcW w:w="1099" w:type="pct"/>
            <w:shd w:val="clear" w:color="auto" w:fill="auto"/>
            <w:vAlign w:val="center"/>
            <w:hideMark/>
          </w:tcPr>
          <w:p w14:paraId="1D238A65"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XLII </w:t>
            </w:r>
          </w:p>
        </w:tc>
      </w:tr>
      <w:tr w:rsidR="005F057B" w:rsidRPr="005F057B" w14:paraId="6B601559" w14:textId="77777777" w:rsidTr="00612E7C">
        <w:trPr>
          <w:trHeight w:val="20"/>
        </w:trPr>
        <w:tc>
          <w:tcPr>
            <w:tcW w:w="1481" w:type="pct"/>
            <w:shd w:val="clear" w:color="auto" w:fill="auto"/>
            <w:vAlign w:val="center"/>
            <w:hideMark/>
          </w:tcPr>
          <w:p w14:paraId="2CF0967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Zona Atlántica (Limón)</w:t>
            </w:r>
          </w:p>
        </w:tc>
        <w:tc>
          <w:tcPr>
            <w:tcW w:w="1257" w:type="pct"/>
            <w:shd w:val="clear" w:color="auto" w:fill="auto"/>
            <w:vAlign w:val="center"/>
            <w:hideMark/>
          </w:tcPr>
          <w:p w14:paraId="24C8088D"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2002-PLA-MI-2020</w:t>
            </w:r>
          </w:p>
        </w:tc>
        <w:tc>
          <w:tcPr>
            <w:tcW w:w="1164" w:type="pct"/>
            <w:shd w:val="clear" w:color="auto" w:fill="auto"/>
            <w:vAlign w:val="center"/>
            <w:hideMark/>
          </w:tcPr>
          <w:p w14:paraId="28FCD61A" w14:textId="0A7FC18B"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BC61E9">
              <w:rPr>
                <w:rFonts w:ascii="Book Antiqua" w:eastAsia="Times New Roman" w:hAnsi="Book Antiqua" w:cs="Arial"/>
                <w:color w:val="000000"/>
                <w:lang w:eastAsia="es-CR"/>
              </w:rPr>
              <w:t>448-PLA-MI-2021</w:t>
            </w:r>
          </w:p>
        </w:tc>
        <w:tc>
          <w:tcPr>
            <w:tcW w:w="1099" w:type="pct"/>
            <w:shd w:val="clear" w:color="auto" w:fill="auto"/>
            <w:vAlign w:val="center"/>
            <w:hideMark/>
          </w:tcPr>
          <w:p w14:paraId="06AE64DD" w14:textId="6BF6A115"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76068A">
              <w:rPr>
                <w:rFonts w:ascii="Book Antiqua" w:eastAsia="Times New Roman" w:hAnsi="Book Antiqua" w:cs="Arial"/>
                <w:color w:val="000000"/>
                <w:lang w:eastAsia="es-CR"/>
              </w:rPr>
              <w:t xml:space="preserve">Sesión 36-21 del 4-5-21, Art. </w:t>
            </w:r>
            <w:r w:rsidR="007C6172">
              <w:rPr>
                <w:rFonts w:ascii="Book Antiqua" w:eastAsia="Times New Roman" w:hAnsi="Book Antiqua" w:cs="Arial"/>
                <w:color w:val="000000"/>
                <w:lang w:eastAsia="es-CR"/>
              </w:rPr>
              <w:t>XLIII</w:t>
            </w:r>
          </w:p>
        </w:tc>
      </w:tr>
      <w:tr w:rsidR="005F057B" w:rsidRPr="005F057B" w14:paraId="2275324D" w14:textId="77777777" w:rsidTr="00612E7C">
        <w:trPr>
          <w:trHeight w:val="20"/>
        </w:trPr>
        <w:tc>
          <w:tcPr>
            <w:tcW w:w="1481" w:type="pct"/>
            <w:shd w:val="clear" w:color="auto" w:fill="auto"/>
            <w:vAlign w:val="center"/>
            <w:hideMark/>
          </w:tcPr>
          <w:p w14:paraId="601FF7D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Heredia</w:t>
            </w:r>
          </w:p>
        </w:tc>
        <w:tc>
          <w:tcPr>
            <w:tcW w:w="1257" w:type="pct"/>
            <w:shd w:val="clear" w:color="auto" w:fill="auto"/>
            <w:vAlign w:val="center"/>
            <w:hideMark/>
          </w:tcPr>
          <w:p w14:paraId="4573940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7E0193DF" w14:textId="721D7B12" w:rsidR="005F057B" w:rsidRPr="005F057B" w:rsidRDefault="00B71314" w:rsidP="005F057B">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460-PLA-EV-2021</w:t>
            </w:r>
          </w:p>
        </w:tc>
        <w:tc>
          <w:tcPr>
            <w:tcW w:w="1099" w:type="pct"/>
            <w:shd w:val="clear" w:color="auto" w:fill="auto"/>
            <w:vAlign w:val="center"/>
            <w:hideMark/>
          </w:tcPr>
          <w:p w14:paraId="1D92C3FB" w14:textId="53155F34"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41393A">
              <w:rPr>
                <w:rFonts w:ascii="Book Antiqua" w:eastAsia="Times New Roman" w:hAnsi="Book Antiqua" w:cs="Arial"/>
                <w:color w:val="000000"/>
                <w:lang w:eastAsia="es-CR"/>
              </w:rPr>
              <w:t>S</w:t>
            </w:r>
            <w:r w:rsidR="00672E75">
              <w:rPr>
                <w:rFonts w:ascii="Book Antiqua" w:eastAsia="Times New Roman" w:hAnsi="Book Antiqua" w:cs="Arial"/>
                <w:color w:val="000000"/>
                <w:lang w:eastAsia="es-CR"/>
              </w:rPr>
              <w:t>e</w:t>
            </w:r>
            <w:r w:rsidR="0041393A" w:rsidRPr="0041393A">
              <w:rPr>
                <w:rFonts w:ascii="Book Antiqua" w:eastAsia="Times New Roman" w:hAnsi="Book Antiqua" w:cs="Arial"/>
                <w:color w:val="000000"/>
                <w:lang w:eastAsia="es-CR"/>
              </w:rPr>
              <w:t xml:space="preserve">sión 34-21 </w:t>
            </w:r>
            <w:r w:rsidR="00672E75">
              <w:rPr>
                <w:rFonts w:ascii="Book Antiqua" w:eastAsia="Times New Roman" w:hAnsi="Book Antiqua" w:cs="Arial"/>
                <w:color w:val="000000"/>
                <w:lang w:eastAsia="es-CR"/>
              </w:rPr>
              <w:t>d</w:t>
            </w:r>
            <w:r w:rsidR="0041393A" w:rsidRPr="0041393A">
              <w:rPr>
                <w:rFonts w:ascii="Book Antiqua" w:eastAsia="Times New Roman" w:hAnsi="Book Antiqua" w:cs="Arial"/>
                <w:color w:val="000000"/>
                <w:lang w:eastAsia="es-CR"/>
              </w:rPr>
              <w:t>el 29</w:t>
            </w:r>
            <w:r w:rsidR="00672E75">
              <w:rPr>
                <w:rFonts w:ascii="Book Antiqua" w:eastAsia="Times New Roman" w:hAnsi="Book Antiqua" w:cs="Arial"/>
                <w:color w:val="000000"/>
                <w:lang w:eastAsia="es-CR"/>
              </w:rPr>
              <w:t>-4-</w:t>
            </w:r>
            <w:r w:rsidR="0041393A" w:rsidRPr="0041393A">
              <w:rPr>
                <w:rFonts w:ascii="Book Antiqua" w:eastAsia="Times New Roman" w:hAnsi="Book Antiqua" w:cs="Arial"/>
                <w:color w:val="000000"/>
                <w:lang w:eastAsia="es-CR"/>
              </w:rPr>
              <w:t>21, Art</w:t>
            </w:r>
            <w:r w:rsidR="00672E75">
              <w:rPr>
                <w:rFonts w:ascii="Book Antiqua" w:eastAsia="Times New Roman" w:hAnsi="Book Antiqua" w:cs="Arial"/>
                <w:color w:val="000000"/>
                <w:lang w:eastAsia="es-CR"/>
              </w:rPr>
              <w:t>.</w:t>
            </w:r>
            <w:r w:rsidR="0041393A" w:rsidRPr="0041393A">
              <w:rPr>
                <w:rFonts w:ascii="Book Antiqua" w:eastAsia="Times New Roman" w:hAnsi="Book Antiqua" w:cs="Arial"/>
                <w:color w:val="000000"/>
                <w:lang w:eastAsia="es-CR"/>
              </w:rPr>
              <w:t xml:space="preserve"> LIII</w:t>
            </w:r>
          </w:p>
        </w:tc>
      </w:tr>
      <w:tr w:rsidR="005F057B" w:rsidRPr="005F057B" w14:paraId="538EA4FE" w14:textId="77777777" w:rsidTr="00612E7C">
        <w:trPr>
          <w:trHeight w:val="20"/>
        </w:trPr>
        <w:tc>
          <w:tcPr>
            <w:tcW w:w="1481" w:type="pct"/>
            <w:shd w:val="clear" w:color="auto" w:fill="auto"/>
            <w:vAlign w:val="center"/>
            <w:hideMark/>
          </w:tcPr>
          <w:p w14:paraId="05177DB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Alajuela</w:t>
            </w:r>
          </w:p>
        </w:tc>
        <w:tc>
          <w:tcPr>
            <w:tcW w:w="1257" w:type="pct"/>
            <w:shd w:val="clear" w:color="auto" w:fill="auto"/>
            <w:vAlign w:val="center"/>
            <w:hideMark/>
          </w:tcPr>
          <w:p w14:paraId="713E320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1786-PLA-EV-2020</w:t>
            </w:r>
          </w:p>
        </w:tc>
        <w:tc>
          <w:tcPr>
            <w:tcW w:w="1164" w:type="pct"/>
            <w:shd w:val="clear" w:color="auto" w:fill="auto"/>
            <w:vAlign w:val="center"/>
            <w:hideMark/>
          </w:tcPr>
          <w:p w14:paraId="7A1286B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24-PLA-EV-2021</w:t>
            </w:r>
          </w:p>
        </w:tc>
        <w:tc>
          <w:tcPr>
            <w:tcW w:w="1099" w:type="pct"/>
            <w:shd w:val="clear" w:color="auto" w:fill="auto"/>
            <w:vAlign w:val="center"/>
            <w:hideMark/>
          </w:tcPr>
          <w:p w14:paraId="33C62538"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XLIV </w:t>
            </w:r>
          </w:p>
        </w:tc>
      </w:tr>
      <w:tr w:rsidR="005F057B" w:rsidRPr="005F057B" w14:paraId="0BB91C3E" w14:textId="77777777" w:rsidTr="00612E7C">
        <w:trPr>
          <w:trHeight w:val="20"/>
        </w:trPr>
        <w:tc>
          <w:tcPr>
            <w:tcW w:w="1481" w:type="pct"/>
            <w:shd w:val="clear" w:color="auto" w:fill="auto"/>
            <w:vAlign w:val="center"/>
            <w:hideMark/>
          </w:tcPr>
          <w:p w14:paraId="225C8156"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Puntarenas</w:t>
            </w:r>
          </w:p>
        </w:tc>
        <w:tc>
          <w:tcPr>
            <w:tcW w:w="1257" w:type="pct"/>
            <w:shd w:val="clear" w:color="auto" w:fill="auto"/>
            <w:vAlign w:val="center"/>
            <w:hideMark/>
          </w:tcPr>
          <w:p w14:paraId="51DA8AA5"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1809-PLA-EV-2020</w:t>
            </w:r>
          </w:p>
        </w:tc>
        <w:tc>
          <w:tcPr>
            <w:tcW w:w="1164" w:type="pct"/>
            <w:shd w:val="clear" w:color="auto" w:fill="auto"/>
            <w:vAlign w:val="center"/>
            <w:hideMark/>
          </w:tcPr>
          <w:p w14:paraId="4805C3F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25-PLA-EV-2021</w:t>
            </w:r>
          </w:p>
        </w:tc>
        <w:tc>
          <w:tcPr>
            <w:tcW w:w="1099" w:type="pct"/>
            <w:shd w:val="clear" w:color="auto" w:fill="auto"/>
            <w:vAlign w:val="center"/>
            <w:hideMark/>
          </w:tcPr>
          <w:p w14:paraId="203AD2E3" w14:textId="1E19D79A" w:rsidR="005F057B" w:rsidRPr="005F057B" w:rsidRDefault="009A3A3A"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001777D7" w:rsidRPr="001777D7">
              <w:rPr>
                <w:rFonts w:ascii="Book Antiqua" w:eastAsia="Times New Roman" w:hAnsi="Book Antiqua" w:cs="Arial"/>
                <w:color w:val="000000"/>
                <w:lang w:eastAsia="es-CR"/>
              </w:rPr>
              <w:t>008-21</w:t>
            </w:r>
            <w:r>
              <w:rPr>
                <w:rFonts w:ascii="Book Antiqua" w:eastAsia="Times New Roman" w:hAnsi="Book Antiqua" w:cs="Arial"/>
                <w:color w:val="000000"/>
                <w:lang w:eastAsia="es-CR"/>
              </w:rPr>
              <w:t xml:space="preserve"> del</w:t>
            </w:r>
            <w:r w:rsidR="001777D7" w:rsidRPr="001777D7">
              <w:rPr>
                <w:rFonts w:ascii="Book Antiqua" w:eastAsia="Times New Roman" w:hAnsi="Book Antiqua" w:cs="Arial"/>
                <w:color w:val="000000"/>
                <w:lang w:eastAsia="es-CR"/>
              </w:rPr>
              <w:t xml:space="preserve"> 28</w:t>
            </w:r>
            <w:r>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1</w:t>
            </w:r>
            <w:r>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21</w:t>
            </w:r>
            <w:r w:rsidR="00A921A9">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 xml:space="preserve"> Art</w:t>
            </w:r>
            <w:r w:rsidR="00A921A9">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 xml:space="preserve"> XLIV</w:t>
            </w:r>
          </w:p>
        </w:tc>
      </w:tr>
      <w:tr w:rsidR="005F057B" w:rsidRPr="005F057B" w14:paraId="5C165926" w14:textId="77777777" w:rsidTr="00612E7C">
        <w:trPr>
          <w:trHeight w:val="20"/>
        </w:trPr>
        <w:tc>
          <w:tcPr>
            <w:tcW w:w="1481" w:type="pct"/>
            <w:shd w:val="clear" w:color="auto" w:fill="auto"/>
            <w:vAlign w:val="center"/>
            <w:hideMark/>
          </w:tcPr>
          <w:p w14:paraId="577D3ED4"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Alajuela</w:t>
            </w:r>
          </w:p>
        </w:tc>
        <w:tc>
          <w:tcPr>
            <w:tcW w:w="1257" w:type="pct"/>
            <w:shd w:val="clear" w:color="auto" w:fill="auto"/>
            <w:vAlign w:val="center"/>
            <w:hideMark/>
          </w:tcPr>
          <w:p w14:paraId="7AE02FB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1837-PLA-EV-2020</w:t>
            </w:r>
          </w:p>
        </w:tc>
        <w:tc>
          <w:tcPr>
            <w:tcW w:w="1164" w:type="pct"/>
            <w:shd w:val="clear" w:color="auto" w:fill="auto"/>
            <w:vAlign w:val="center"/>
            <w:hideMark/>
          </w:tcPr>
          <w:p w14:paraId="0593847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26-PLA-EV-2021</w:t>
            </w:r>
          </w:p>
        </w:tc>
        <w:tc>
          <w:tcPr>
            <w:tcW w:w="1099" w:type="pct"/>
            <w:shd w:val="clear" w:color="auto" w:fill="auto"/>
            <w:vAlign w:val="center"/>
            <w:hideMark/>
          </w:tcPr>
          <w:p w14:paraId="074E260C" w14:textId="76E200E8" w:rsidR="005F057B" w:rsidRPr="005F057B" w:rsidRDefault="00F863CD"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Ses</w:t>
            </w:r>
            <w:r w:rsidR="0017456C">
              <w:rPr>
                <w:rFonts w:ascii="Book Antiqua" w:eastAsia="Times New Roman" w:hAnsi="Book Antiqua" w:cs="Arial"/>
                <w:color w:val="000000"/>
                <w:lang w:eastAsia="es-CR"/>
              </w:rPr>
              <w:t xml:space="preserve">ión </w:t>
            </w:r>
            <w:r w:rsidR="0017456C" w:rsidRPr="0017456C">
              <w:rPr>
                <w:rFonts w:ascii="Book Antiqua" w:eastAsia="Times New Roman" w:hAnsi="Book Antiqua" w:cs="Arial"/>
                <w:color w:val="000000"/>
                <w:lang w:eastAsia="es-CR"/>
              </w:rPr>
              <w:t xml:space="preserve">7-21 </w:t>
            </w:r>
            <w:r w:rsidR="0017456C">
              <w:rPr>
                <w:rFonts w:ascii="Book Antiqua" w:eastAsia="Times New Roman" w:hAnsi="Book Antiqua" w:cs="Arial"/>
                <w:color w:val="000000"/>
                <w:lang w:eastAsia="es-CR"/>
              </w:rPr>
              <w:t xml:space="preserve">del </w:t>
            </w:r>
            <w:r w:rsidR="0017456C" w:rsidRPr="0017456C">
              <w:rPr>
                <w:rFonts w:ascii="Book Antiqua" w:eastAsia="Times New Roman" w:hAnsi="Book Antiqua" w:cs="Arial"/>
                <w:color w:val="000000"/>
                <w:lang w:eastAsia="es-CR"/>
              </w:rPr>
              <w:t>26</w:t>
            </w:r>
            <w:r w:rsidR="0017456C">
              <w:rPr>
                <w:rFonts w:ascii="Book Antiqua" w:eastAsia="Times New Roman" w:hAnsi="Book Antiqua" w:cs="Arial"/>
                <w:color w:val="000000"/>
                <w:lang w:eastAsia="es-CR"/>
              </w:rPr>
              <w:t>-</w:t>
            </w:r>
            <w:r w:rsidR="0017456C" w:rsidRPr="0017456C">
              <w:rPr>
                <w:rFonts w:ascii="Book Antiqua" w:eastAsia="Times New Roman" w:hAnsi="Book Antiqua" w:cs="Arial"/>
                <w:color w:val="000000"/>
                <w:lang w:eastAsia="es-CR"/>
              </w:rPr>
              <w:t>1</w:t>
            </w:r>
            <w:r w:rsidR="0017456C">
              <w:rPr>
                <w:rFonts w:ascii="Book Antiqua" w:eastAsia="Times New Roman" w:hAnsi="Book Antiqua" w:cs="Arial"/>
                <w:color w:val="000000"/>
                <w:lang w:eastAsia="es-CR"/>
              </w:rPr>
              <w:t>-</w:t>
            </w:r>
            <w:r w:rsidR="0017456C" w:rsidRPr="0017456C">
              <w:rPr>
                <w:rFonts w:ascii="Book Antiqua" w:eastAsia="Times New Roman" w:hAnsi="Book Antiqua" w:cs="Arial"/>
                <w:color w:val="000000"/>
                <w:lang w:eastAsia="es-CR"/>
              </w:rPr>
              <w:t>21</w:t>
            </w:r>
            <w:r w:rsidR="0017456C">
              <w:rPr>
                <w:rFonts w:ascii="Book Antiqua" w:eastAsia="Times New Roman" w:hAnsi="Book Antiqua" w:cs="Arial"/>
                <w:color w:val="000000"/>
                <w:lang w:eastAsia="es-CR"/>
              </w:rPr>
              <w:t xml:space="preserve">, </w:t>
            </w:r>
            <w:r w:rsidR="0017456C" w:rsidRPr="0017456C">
              <w:rPr>
                <w:rFonts w:ascii="Book Antiqua" w:eastAsia="Times New Roman" w:hAnsi="Book Antiqua" w:cs="Arial"/>
                <w:color w:val="000000"/>
                <w:lang w:eastAsia="es-CR"/>
              </w:rPr>
              <w:t>A</w:t>
            </w:r>
            <w:r w:rsidR="0017456C">
              <w:rPr>
                <w:rFonts w:ascii="Book Antiqua" w:eastAsia="Times New Roman" w:hAnsi="Book Antiqua" w:cs="Arial"/>
                <w:color w:val="000000"/>
                <w:lang w:eastAsia="es-CR"/>
              </w:rPr>
              <w:t>rt.</w:t>
            </w:r>
            <w:r w:rsidR="0017456C" w:rsidRPr="0017456C">
              <w:rPr>
                <w:rFonts w:ascii="Book Antiqua" w:eastAsia="Times New Roman" w:hAnsi="Book Antiqua" w:cs="Arial"/>
                <w:color w:val="000000"/>
                <w:lang w:eastAsia="es-CR"/>
              </w:rPr>
              <w:t xml:space="preserve"> XLVII</w:t>
            </w:r>
            <w:r w:rsidR="005F057B" w:rsidRPr="005F057B">
              <w:rPr>
                <w:rFonts w:ascii="Book Antiqua" w:eastAsia="Times New Roman" w:hAnsi="Book Antiqua" w:cs="Arial"/>
                <w:color w:val="000000"/>
                <w:lang w:eastAsia="es-CR"/>
              </w:rPr>
              <w:t> </w:t>
            </w:r>
          </w:p>
        </w:tc>
      </w:tr>
      <w:tr w:rsidR="005F057B" w:rsidRPr="005F057B" w14:paraId="70F0A2FE" w14:textId="77777777" w:rsidTr="00612E7C">
        <w:trPr>
          <w:trHeight w:val="20"/>
        </w:trPr>
        <w:tc>
          <w:tcPr>
            <w:tcW w:w="1481" w:type="pct"/>
            <w:shd w:val="clear" w:color="auto" w:fill="auto"/>
            <w:vAlign w:val="center"/>
            <w:hideMark/>
          </w:tcPr>
          <w:p w14:paraId="6066E8E2"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Zona Sur (Pérez Zeledón)</w:t>
            </w:r>
          </w:p>
        </w:tc>
        <w:tc>
          <w:tcPr>
            <w:tcW w:w="1257" w:type="pct"/>
            <w:shd w:val="clear" w:color="auto" w:fill="auto"/>
            <w:vAlign w:val="center"/>
            <w:hideMark/>
          </w:tcPr>
          <w:p w14:paraId="67011D6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1807-PLA-EV-2020</w:t>
            </w:r>
          </w:p>
        </w:tc>
        <w:tc>
          <w:tcPr>
            <w:tcW w:w="1164" w:type="pct"/>
            <w:shd w:val="clear" w:color="auto" w:fill="auto"/>
            <w:vAlign w:val="center"/>
            <w:hideMark/>
          </w:tcPr>
          <w:p w14:paraId="30D13F6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27-PLA-EV-2021</w:t>
            </w:r>
          </w:p>
        </w:tc>
        <w:tc>
          <w:tcPr>
            <w:tcW w:w="1099" w:type="pct"/>
            <w:shd w:val="clear" w:color="auto" w:fill="auto"/>
            <w:vAlign w:val="center"/>
            <w:hideMark/>
          </w:tcPr>
          <w:p w14:paraId="6679FD2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XLIV </w:t>
            </w:r>
          </w:p>
        </w:tc>
      </w:tr>
      <w:tr w:rsidR="005F057B" w:rsidRPr="005F057B" w14:paraId="1E04D98B" w14:textId="77777777" w:rsidTr="00612E7C">
        <w:trPr>
          <w:trHeight w:val="20"/>
        </w:trPr>
        <w:tc>
          <w:tcPr>
            <w:tcW w:w="1481" w:type="pct"/>
            <w:shd w:val="clear" w:color="auto" w:fill="auto"/>
            <w:vAlign w:val="center"/>
            <w:hideMark/>
          </w:tcPr>
          <w:p w14:paraId="5AA9D977"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Zona Atlántica (Pococí)</w:t>
            </w:r>
          </w:p>
        </w:tc>
        <w:tc>
          <w:tcPr>
            <w:tcW w:w="1257" w:type="pct"/>
            <w:shd w:val="clear" w:color="auto" w:fill="auto"/>
            <w:vAlign w:val="center"/>
            <w:hideMark/>
          </w:tcPr>
          <w:p w14:paraId="4108995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1785-PLA-EV-2020</w:t>
            </w:r>
          </w:p>
        </w:tc>
        <w:tc>
          <w:tcPr>
            <w:tcW w:w="1164" w:type="pct"/>
            <w:shd w:val="clear" w:color="auto" w:fill="auto"/>
            <w:vAlign w:val="center"/>
            <w:hideMark/>
          </w:tcPr>
          <w:p w14:paraId="01EFD37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36-PLA-EV-2021</w:t>
            </w:r>
          </w:p>
        </w:tc>
        <w:tc>
          <w:tcPr>
            <w:tcW w:w="1099" w:type="pct"/>
            <w:shd w:val="clear" w:color="auto" w:fill="auto"/>
            <w:vAlign w:val="center"/>
            <w:hideMark/>
          </w:tcPr>
          <w:p w14:paraId="689101F4"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XLV</w:t>
            </w:r>
          </w:p>
        </w:tc>
      </w:tr>
      <w:tr w:rsidR="005F057B" w:rsidRPr="005F057B" w14:paraId="1608389D" w14:textId="77777777" w:rsidTr="00612E7C">
        <w:trPr>
          <w:trHeight w:val="20"/>
        </w:trPr>
        <w:tc>
          <w:tcPr>
            <w:tcW w:w="1481" w:type="pct"/>
            <w:shd w:val="clear" w:color="auto" w:fill="auto"/>
            <w:vAlign w:val="center"/>
            <w:hideMark/>
          </w:tcPr>
          <w:p w14:paraId="3B1A6331"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III Circ. Jud. Alajuela (San Ramón)</w:t>
            </w:r>
          </w:p>
        </w:tc>
        <w:tc>
          <w:tcPr>
            <w:tcW w:w="1257" w:type="pct"/>
            <w:shd w:val="clear" w:color="auto" w:fill="auto"/>
            <w:vAlign w:val="center"/>
            <w:hideMark/>
          </w:tcPr>
          <w:p w14:paraId="7E5C2364"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1803-PLA-MI-2020</w:t>
            </w:r>
          </w:p>
        </w:tc>
        <w:tc>
          <w:tcPr>
            <w:tcW w:w="1164" w:type="pct"/>
            <w:shd w:val="clear" w:color="auto" w:fill="auto"/>
            <w:vAlign w:val="center"/>
            <w:hideMark/>
          </w:tcPr>
          <w:p w14:paraId="2FC6B64E"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 xml:space="preserve"> 39-PLA-EV-2021</w:t>
            </w:r>
          </w:p>
        </w:tc>
        <w:tc>
          <w:tcPr>
            <w:tcW w:w="1099" w:type="pct"/>
            <w:shd w:val="clear" w:color="auto" w:fill="auto"/>
            <w:vAlign w:val="center"/>
            <w:hideMark/>
          </w:tcPr>
          <w:p w14:paraId="754C954A"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XLIII </w:t>
            </w:r>
          </w:p>
        </w:tc>
      </w:tr>
      <w:tr w:rsidR="005F057B" w:rsidRPr="005F057B" w14:paraId="092C6C54" w14:textId="77777777" w:rsidTr="00612E7C">
        <w:trPr>
          <w:trHeight w:val="20"/>
        </w:trPr>
        <w:tc>
          <w:tcPr>
            <w:tcW w:w="1481" w:type="pct"/>
            <w:shd w:val="clear" w:color="auto" w:fill="auto"/>
            <w:vAlign w:val="center"/>
            <w:hideMark/>
          </w:tcPr>
          <w:p w14:paraId="547094E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Cañas</w:t>
            </w:r>
          </w:p>
        </w:tc>
        <w:tc>
          <w:tcPr>
            <w:tcW w:w="1257" w:type="pct"/>
            <w:shd w:val="clear" w:color="auto" w:fill="auto"/>
            <w:vAlign w:val="center"/>
            <w:hideMark/>
          </w:tcPr>
          <w:p w14:paraId="7E0D791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1832-PLA-EV-2020</w:t>
            </w:r>
          </w:p>
        </w:tc>
        <w:tc>
          <w:tcPr>
            <w:tcW w:w="1164" w:type="pct"/>
            <w:shd w:val="clear" w:color="auto" w:fill="auto"/>
            <w:vAlign w:val="center"/>
            <w:hideMark/>
          </w:tcPr>
          <w:p w14:paraId="65EC893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198-PLA-MI-2021</w:t>
            </w:r>
          </w:p>
        </w:tc>
        <w:tc>
          <w:tcPr>
            <w:tcW w:w="1099" w:type="pct"/>
            <w:shd w:val="clear" w:color="auto" w:fill="auto"/>
            <w:vAlign w:val="center"/>
            <w:hideMark/>
          </w:tcPr>
          <w:p w14:paraId="3E5976B9" w14:textId="31EAEE40"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976AC8">
              <w:rPr>
                <w:rFonts w:ascii="Book Antiqua" w:eastAsia="Times New Roman" w:hAnsi="Book Antiqua" w:cs="Arial"/>
                <w:color w:val="000000"/>
                <w:lang w:eastAsia="es-CR"/>
              </w:rPr>
              <w:t xml:space="preserve">Sesión </w:t>
            </w:r>
            <w:r w:rsidR="00976AC8" w:rsidRPr="00976AC8">
              <w:rPr>
                <w:rFonts w:ascii="Book Antiqua" w:eastAsia="Times New Roman" w:hAnsi="Book Antiqua" w:cs="Arial"/>
                <w:color w:val="000000"/>
                <w:lang w:eastAsia="es-CR"/>
              </w:rPr>
              <w:t>16-21</w:t>
            </w:r>
            <w:r w:rsidR="00014416">
              <w:rPr>
                <w:rFonts w:ascii="Book Antiqua" w:eastAsia="Times New Roman" w:hAnsi="Book Antiqua" w:cs="Arial"/>
                <w:color w:val="000000"/>
                <w:lang w:eastAsia="es-CR"/>
              </w:rPr>
              <w:t xml:space="preserve"> del</w:t>
            </w:r>
            <w:r w:rsidR="00976AC8" w:rsidRPr="00976AC8">
              <w:rPr>
                <w:rFonts w:ascii="Book Antiqua" w:eastAsia="Times New Roman" w:hAnsi="Book Antiqua" w:cs="Arial"/>
                <w:color w:val="000000"/>
                <w:lang w:eastAsia="es-CR"/>
              </w:rPr>
              <w:t xml:space="preserve"> 25</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2</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21</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 xml:space="preserve"> A</w:t>
            </w:r>
            <w:r w:rsidR="00014416">
              <w:rPr>
                <w:rFonts w:ascii="Book Antiqua" w:eastAsia="Times New Roman" w:hAnsi="Book Antiqua" w:cs="Arial"/>
                <w:color w:val="000000"/>
                <w:lang w:eastAsia="es-CR"/>
              </w:rPr>
              <w:t xml:space="preserve">rt. </w:t>
            </w:r>
            <w:r w:rsidR="00976AC8" w:rsidRPr="00976AC8">
              <w:rPr>
                <w:rFonts w:ascii="Book Antiqua" w:eastAsia="Times New Roman" w:hAnsi="Book Antiqua" w:cs="Arial"/>
                <w:color w:val="000000"/>
                <w:lang w:eastAsia="es-CR"/>
              </w:rPr>
              <w:t>LI</w:t>
            </w:r>
          </w:p>
        </w:tc>
      </w:tr>
      <w:tr w:rsidR="005F057B" w:rsidRPr="005F057B" w14:paraId="0F82F603" w14:textId="77777777" w:rsidTr="00612E7C">
        <w:trPr>
          <w:trHeight w:val="20"/>
        </w:trPr>
        <w:tc>
          <w:tcPr>
            <w:tcW w:w="1481" w:type="pct"/>
            <w:shd w:val="clear" w:color="auto" w:fill="auto"/>
            <w:vAlign w:val="center"/>
            <w:hideMark/>
          </w:tcPr>
          <w:p w14:paraId="0844932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VD y PJ de Quepos</w:t>
            </w:r>
          </w:p>
        </w:tc>
        <w:tc>
          <w:tcPr>
            <w:tcW w:w="1257" w:type="pct"/>
            <w:shd w:val="clear" w:color="auto" w:fill="auto"/>
            <w:vAlign w:val="center"/>
            <w:hideMark/>
          </w:tcPr>
          <w:p w14:paraId="49CF1C2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1794-PLA-EV-2020</w:t>
            </w:r>
          </w:p>
        </w:tc>
        <w:tc>
          <w:tcPr>
            <w:tcW w:w="1164" w:type="pct"/>
            <w:shd w:val="clear" w:color="auto" w:fill="auto"/>
            <w:vAlign w:val="center"/>
            <w:hideMark/>
          </w:tcPr>
          <w:p w14:paraId="2979141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41-PLA-EV-2021</w:t>
            </w:r>
          </w:p>
        </w:tc>
        <w:tc>
          <w:tcPr>
            <w:tcW w:w="1099" w:type="pct"/>
            <w:shd w:val="clear" w:color="auto" w:fill="auto"/>
            <w:vAlign w:val="center"/>
            <w:hideMark/>
          </w:tcPr>
          <w:p w14:paraId="25036D4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XLII</w:t>
            </w:r>
          </w:p>
        </w:tc>
      </w:tr>
      <w:tr w:rsidR="005F057B" w:rsidRPr="005F057B" w14:paraId="5CA92572" w14:textId="77777777" w:rsidTr="00612E7C">
        <w:trPr>
          <w:trHeight w:val="20"/>
        </w:trPr>
        <w:tc>
          <w:tcPr>
            <w:tcW w:w="1481" w:type="pct"/>
            <w:shd w:val="clear" w:color="auto" w:fill="auto"/>
            <w:vAlign w:val="center"/>
            <w:hideMark/>
          </w:tcPr>
          <w:p w14:paraId="2E2488B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 Circ. Jud. Zona Sur (Corredores)</w:t>
            </w:r>
          </w:p>
        </w:tc>
        <w:tc>
          <w:tcPr>
            <w:tcW w:w="1257" w:type="pct"/>
            <w:shd w:val="clear" w:color="auto" w:fill="auto"/>
            <w:vAlign w:val="center"/>
            <w:hideMark/>
          </w:tcPr>
          <w:p w14:paraId="4A9C993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1830-PLA-EV-2020</w:t>
            </w:r>
          </w:p>
        </w:tc>
        <w:tc>
          <w:tcPr>
            <w:tcW w:w="1164" w:type="pct"/>
            <w:shd w:val="clear" w:color="auto" w:fill="auto"/>
            <w:vAlign w:val="center"/>
            <w:hideMark/>
          </w:tcPr>
          <w:p w14:paraId="74AF6FB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43-PLA-EV-2021</w:t>
            </w:r>
          </w:p>
        </w:tc>
        <w:tc>
          <w:tcPr>
            <w:tcW w:w="1099" w:type="pct"/>
            <w:shd w:val="clear" w:color="auto" w:fill="auto"/>
            <w:vAlign w:val="center"/>
            <w:hideMark/>
          </w:tcPr>
          <w:p w14:paraId="095D5597"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Sesión 08-21 del 28-1-21. Art. XLIII </w:t>
            </w:r>
          </w:p>
        </w:tc>
      </w:tr>
      <w:tr w:rsidR="005F057B" w:rsidRPr="005F057B" w14:paraId="49435888" w14:textId="77777777" w:rsidTr="00612E7C">
        <w:trPr>
          <w:trHeight w:val="20"/>
        </w:trPr>
        <w:tc>
          <w:tcPr>
            <w:tcW w:w="1481" w:type="pct"/>
            <w:shd w:val="clear" w:color="auto" w:fill="auto"/>
            <w:vAlign w:val="center"/>
            <w:hideMark/>
          </w:tcPr>
          <w:p w14:paraId="600E6AF7"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 y Viol. Dom. Doméstica de Golfito</w:t>
            </w:r>
          </w:p>
        </w:tc>
        <w:tc>
          <w:tcPr>
            <w:tcW w:w="1257" w:type="pct"/>
            <w:shd w:val="clear" w:color="auto" w:fill="auto"/>
            <w:vAlign w:val="center"/>
            <w:hideMark/>
          </w:tcPr>
          <w:p w14:paraId="242A7CC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1805-PLA-EV-2020</w:t>
            </w:r>
          </w:p>
        </w:tc>
        <w:tc>
          <w:tcPr>
            <w:tcW w:w="1164" w:type="pct"/>
            <w:shd w:val="clear" w:color="auto" w:fill="auto"/>
            <w:vAlign w:val="center"/>
            <w:hideMark/>
          </w:tcPr>
          <w:p w14:paraId="0D02434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8-PLA-EV-2021</w:t>
            </w:r>
          </w:p>
        </w:tc>
        <w:tc>
          <w:tcPr>
            <w:tcW w:w="1099" w:type="pct"/>
            <w:shd w:val="clear" w:color="auto" w:fill="auto"/>
            <w:vAlign w:val="center"/>
            <w:hideMark/>
          </w:tcPr>
          <w:p w14:paraId="2ADBB1D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XXXVIII </w:t>
            </w:r>
          </w:p>
        </w:tc>
      </w:tr>
      <w:tr w:rsidR="005F057B" w:rsidRPr="005F057B" w14:paraId="729C2465" w14:textId="77777777" w:rsidTr="00612E7C">
        <w:trPr>
          <w:trHeight w:val="20"/>
        </w:trPr>
        <w:tc>
          <w:tcPr>
            <w:tcW w:w="1481" w:type="pct"/>
            <w:shd w:val="clear" w:color="auto" w:fill="auto"/>
            <w:vAlign w:val="center"/>
            <w:hideMark/>
          </w:tcPr>
          <w:p w14:paraId="37A82CCD"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 Circ. Jud. Guanacaste (Nicoya)</w:t>
            </w:r>
          </w:p>
        </w:tc>
        <w:tc>
          <w:tcPr>
            <w:tcW w:w="1257" w:type="pct"/>
            <w:shd w:val="clear" w:color="auto" w:fill="auto"/>
            <w:vAlign w:val="center"/>
            <w:hideMark/>
          </w:tcPr>
          <w:p w14:paraId="49CB94AE"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2213B9BE"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9-PLA-EV-2021</w:t>
            </w:r>
          </w:p>
        </w:tc>
        <w:tc>
          <w:tcPr>
            <w:tcW w:w="1099" w:type="pct"/>
            <w:shd w:val="clear" w:color="auto" w:fill="auto"/>
            <w:vAlign w:val="center"/>
            <w:hideMark/>
          </w:tcPr>
          <w:p w14:paraId="69C98264"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6-21 del 21-1-21, Art. XXXIX</w:t>
            </w:r>
          </w:p>
        </w:tc>
      </w:tr>
      <w:tr w:rsidR="005F057B" w:rsidRPr="005F057B" w14:paraId="46117B71" w14:textId="77777777" w:rsidTr="00612E7C">
        <w:trPr>
          <w:trHeight w:val="20"/>
        </w:trPr>
        <w:tc>
          <w:tcPr>
            <w:tcW w:w="1481" w:type="pct"/>
            <w:shd w:val="clear" w:color="auto" w:fill="auto"/>
            <w:vAlign w:val="center"/>
            <w:hideMark/>
          </w:tcPr>
          <w:p w14:paraId="6B2D305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Santa Cruz</w:t>
            </w:r>
          </w:p>
        </w:tc>
        <w:tc>
          <w:tcPr>
            <w:tcW w:w="1257" w:type="pct"/>
            <w:shd w:val="clear" w:color="auto" w:fill="auto"/>
            <w:vAlign w:val="center"/>
            <w:hideMark/>
          </w:tcPr>
          <w:p w14:paraId="3FA5AC1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1788-PLA-EV-2020</w:t>
            </w:r>
          </w:p>
        </w:tc>
        <w:tc>
          <w:tcPr>
            <w:tcW w:w="1164" w:type="pct"/>
            <w:shd w:val="clear" w:color="auto" w:fill="auto"/>
            <w:vAlign w:val="center"/>
            <w:hideMark/>
          </w:tcPr>
          <w:p w14:paraId="51C8BB4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10-PLA-EV-2021</w:t>
            </w:r>
          </w:p>
        </w:tc>
        <w:tc>
          <w:tcPr>
            <w:tcW w:w="1099" w:type="pct"/>
            <w:shd w:val="clear" w:color="auto" w:fill="auto"/>
            <w:vAlign w:val="center"/>
            <w:hideMark/>
          </w:tcPr>
          <w:p w14:paraId="1CC4D44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XXXIX </w:t>
            </w:r>
          </w:p>
        </w:tc>
      </w:tr>
      <w:tr w:rsidR="005F057B" w:rsidRPr="005F057B" w14:paraId="7BBE4A20" w14:textId="77777777" w:rsidTr="00612E7C">
        <w:trPr>
          <w:trHeight w:val="20"/>
        </w:trPr>
        <w:tc>
          <w:tcPr>
            <w:tcW w:w="1481" w:type="pct"/>
            <w:shd w:val="clear" w:color="auto" w:fill="auto"/>
            <w:vAlign w:val="center"/>
            <w:hideMark/>
          </w:tcPr>
          <w:p w14:paraId="27B9865A"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Turrialba</w:t>
            </w:r>
          </w:p>
        </w:tc>
        <w:tc>
          <w:tcPr>
            <w:tcW w:w="1257" w:type="pct"/>
            <w:shd w:val="clear" w:color="auto" w:fill="auto"/>
            <w:vAlign w:val="center"/>
            <w:hideMark/>
          </w:tcPr>
          <w:p w14:paraId="1363FE8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1827-PLA-EV-2020</w:t>
            </w:r>
          </w:p>
        </w:tc>
        <w:tc>
          <w:tcPr>
            <w:tcW w:w="1164" w:type="pct"/>
            <w:shd w:val="clear" w:color="auto" w:fill="auto"/>
            <w:vAlign w:val="center"/>
            <w:hideMark/>
          </w:tcPr>
          <w:p w14:paraId="7E28D7C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1861-PLA-EV-2020</w:t>
            </w:r>
          </w:p>
        </w:tc>
        <w:tc>
          <w:tcPr>
            <w:tcW w:w="1099" w:type="pct"/>
            <w:shd w:val="clear" w:color="auto" w:fill="auto"/>
            <w:vAlign w:val="center"/>
            <w:hideMark/>
          </w:tcPr>
          <w:p w14:paraId="7FEB2A2F"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16-21 del 25-2-21, Art. L</w:t>
            </w:r>
          </w:p>
        </w:tc>
      </w:tr>
      <w:tr w:rsidR="005F057B" w:rsidRPr="005F057B" w14:paraId="63B1D13C" w14:textId="77777777" w:rsidTr="00612E7C">
        <w:trPr>
          <w:trHeight w:val="20"/>
        </w:trPr>
        <w:tc>
          <w:tcPr>
            <w:tcW w:w="1481" w:type="pct"/>
            <w:shd w:val="clear" w:color="auto" w:fill="auto"/>
            <w:vAlign w:val="center"/>
            <w:hideMark/>
          </w:tcPr>
          <w:p w14:paraId="4E2EB3F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Trab. y Fam. Hatillo, San Seb. y Alajuelita </w:t>
            </w:r>
          </w:p>
        </w:tc>
        <w:tc>
          <w:tcPr>
            <w:tcW w:w="1257" w:type="pct"/>
            <w:shd w:val="clear" w:color="auto" w:fill="auto"/>
            <w:vAlign w:val="center"/>
            <w:hideMark/>
          </w:tcPr>
          <w:p w14:paraId="70BB2528"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1814-PLA-MI-2020</w:t>
            </w:r>
          </w:p>
        </w:tc>
        <w:tc>
          <w:tcPr>
            <w:tcW w:w="1164" w:type="pct"/>
            <w:shd w:val="clear" w:color="auto" w:fill="auto"/>
            <w:vAlign w:val="center"/>
            <w:hideMark/>
          </w:tcPr>
          <w:p w14:paraId="568D573B"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 xml:space="preserve"> 11-PLA-EV-2021</w:t>
            </w:r>
          </w:p>
        </w:tc>
        <w:tc>
          <w:tcPr>
            <w:tcW w:w="1099" w:type="pct"/>
            <w:shd w:val="clear" w:color="auto" w:fill="auto"/>
            <w:vAlign w:val="center"/>
            <w:hideMark/>
          </w:tcPr>
          <w:p w14:paraId="07585B43"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w:t>
            </w:r>
          </w:p>
        </w:tc>
      </w:tr>
      <w:tr w:rsidR="005F057B" w:rsidRPr="005F057B" w14:paraId="31FF79F9" w14:textId="77777777" w:rsidTr="00612E7C">
        <w:trPr>
          <w:trHeight w:val="20"/>
        </w:trPr>
        <w:tc>
          <w:tcPr>
            <w:tcW w:w="1481" w:type="pct"/>
            <w:shd w:val="clear" w:color="auto" w:fill="auto"/>
            <w:vAlign w:val="center"/>
            <w:hideMark/>
          </w:tcPr>
          <w:p w14:paraId="37B4D7F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Familia, Civil, Trabajo, Violencia Doméstica; Agrario y Penal Juvenil de Upala </w:t>
            </w:r>
          </w:p>
        </w:tc>
        <w:tc>
          <w:tcPr>
            <w:tcW w:w="1257" w:type="pct"/>
            <w:shd w:val="clear" w:color="auto" w:fill="auto"/>
            <w:vAlign w:val="center"/>
            <w:hideMark/>
          </w:tcPr>
          <w:p w14:paraId="2FCE118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1782-PLA-EV-2020</w:t>
            </w:r>
          </w:p>
        </w:tc>
        <w:tc>
          <w:tcPr>
            <w:tcW w:w="1164" w:type="pct"/>
            <w:shd w:val="clear" w:color="auto" w:fill="auto"/>
            <w:vAlign w:val="center"/>
            <w:hideMark/>
          </w:tcPr>
          <w:p w14:paraId="0F82FFA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196-PLA-MI-2021</w:t>
            </w:r>
          </w:p>
        </w:tc>
        <w:tc>
          <w:tcPr>
            <w:tcW w:w="1099" w:type="pct"/>
            <w:shd w:val="clear" w:color="auto" w:fill="auto"/>
            <w:vAlign w:val="center"/>
            <w:hideMark/>
          </w:tcPr>
          <w:p w14:paraId="2F963F19" w14:textId="0E0C5079"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FE2EE8">
              <w:rPr>
                <w:rFonts w:ascii="Book Antiqua" w:eastAsia="Times New Roman" w:hAnsi="Book Antiqua" w:cs="Arial"/>
                <w:color w:val="000000"/>
                <w:lang w:eastAsia="es-CR"/>
              </w:rPr>
              <w:t xml:space="preserve">Sesión </w:t>
            </w:r>
            <w:r w:rsidR="0032784D" w:rsidRPr="0032784D">
              <w:rPr>
                <w:rFonts w:ascii="Book Antiqua" w:eastAsia="Times New Roman" w:hAnsi="Book Antiqua" w:cs="Arial"/>
                <w:color w:val="000000"/>
                <w:lang w:eastAsia="es-CR"/>
              </w:rPr>
              <w:t xml:space="preserve">16-21 </w:t>
            </w:r>
            <w:r w:rsidR="00753393">
              <w:rPr>
                <w:rFonts w:ascii="Book Antiqua" w:eastAsia="Times New Roman" w:hAnsi="Book Antiqua" w:cs="Arial"/>
                <w:color w:val="000000"/>
                <w:lang w:eastAsia="es-CR"/>
              </w:rPr>
              <w:t xml:space="preserve">del </w:t>
            </w:r>
            <w:r w:rsidR="0032784D" w:rsidRPr="0032784D">
              <w:rPr>
                <w:rFonts w:ascii="Book Antiqua" w:eastAsia="Times New Roman" w:hAnsi="Book Antiqua" w:cs="Arial"/>
                <w:color w:val="000000"/>
                <w:lang w:eastAsia="es-CR"/>
              </w:rPr>
              <w:t>25</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2</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21</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 xml:space="preserve"> A</w:t>
            </w:r>
            <w:r w:rsidR="00753393">
              <w:rPr>
                <w:rFonts w:ascii="Book Antiqua" w:eastAsia="Times New Roman" w:hAnsi="Book Antiqua" w:cs="Arial"/>
                <w:color w:val="000000"/>
                <w:lang w:eastAsia="es-CR"/>
              </w:rPr>
              <w:t>rt.</w:t>
            </w:r>
            <w:r w:rsidR="0032784D" w:rsidRPr="0032784D">
              <w:rPr>
                <w:rFonts w:ascii="Book Antiqua" w:eastAsia="Times New Roman" w:hAnsi="Book Antiqua" w:cs="Arial"/>
                <w:color w:val="000000"/>
                <w:lang w:eastAsia="es-CR"/>
              </w:rPr>
              <w:t xml:space="preserve"> LII </w:t>
            </w:r>
          </w:p>
        </w:tc>
      </w:tr>
      <w:tr w:rsidR="005F057B" w:rsidRPr="005F057B" w14:paraId="11E832ED" w14:textId="77777777" w:rsidTr="00612E7C">
        <w:trPr>
          <w:trHeight w:val="20"/>
        </w:trPr>
        <w:tc>
          <w:tcPr>
            <w:tcW w:w="1481" w:type="pct"/>
            <w:shd w:val="clear" w:color="auto" w:fill="auto"/>
            <w:vAlign w:val="center"/>
            <w:hideMark/>
          </w:tcPr>
          <w:p w14:paraId="30F721C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Sarapiquí </w:t>
            </w:r>
          </w:p>
        </w:tc>
        <w:tc>
          <w:tcPr>
            <w:tcW w:w="1257" w:type="pct"/>
            <w:shd w:val="clear" w:color="auto" w:fill="auto"/>
            <w:vAlign w:val="center"/>
            <w:hideMark/>
          </w:tcPr>
          <w:p w14:paraId="13D7540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1833-PLA-EV-2020</w:t>
            </w:r>
          </w:p>
        </w:tc>
        <w:tc>
          <w:tcPr>
            <w:tcW w:w="1164" w:type="pct"/>
            <w:shd w:val="clear" w:color="auto" w:fill="auto"/>
            <w:vAlign w:val="center"/>
            <w:hideMark/>
          </w:tcPr>
          <w:p w14:paraId="46BEE1F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19-PLA-EV-2021</w:t>
            </w:r>
          </w:p>
        </w:tc>
        <w:tc>
          <w:tcPr>
            <w:tcW w:w="1099" w:type="pct"/>
            <w:shd w:val="clear" w:color="auto" w:fill="auto"/>
            <w:vAlign w:val="center"/>
            <w:hideMark/>
          </w:tcPr>
          <w:p w14:paraId="23EE8EC7"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9-21 del 2-2-21, Art. XXXIX </w:t>
            </w:r>
          </w:p>
        </w:tc>
      </w:tr>
      <w:tr w:rsidR="005F057B" w:rsidRPr="005F057B" w14:paraId="2DF9F859" w14:textId="77777777" w:rsidTr="00612E7C">
        <w:trPr>
          <w:trHeight w:val="20"/>
        </w:trPr>
        <w:tc>
          <w:tcPr>
            <w:tcW w:w="1481" w:type="pct"/>
            <w:shd w:val="clear" w:color="auto" w:fill="auto"/>
            <w:vAlign w:val="center"/>
            <w:hideMark/>
          </w:tcPr>
          <w:p w14:paraId="13F65E4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Puriscal </w:t>
            </w:r>
          </w:p>
        </w:tc>
        <w:tc>
          <w:tcPr>
            <w:tcW w:w="1257" w:type="pct"/>
            <w:shd w:val="clear" w:color="auto" w:fill="auto"/>
            <w:vAlign w:val="center"/>
            <w:hideMark/>
          </w:tcPr>
          <w:p w14:paraId="6D8B9BC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1831-PLA-2020</w:t>
            </w:r>
          </w:p>
        </w:tc>
        <w:tc>
          <w:tcPr>
            <w:tcW w:w="1164" w:type="pct"/>
            <w:shd w:val="clear" w:color="auto" w:fill="auto"/>
            <w:vAlign w:val="center"/>
            <w:hideMark/>
          </w:tcPr>
          <w:p w14:paraId="1FE37D1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175-PLA-EV-2021</w:t>
            </w:r>
          </w:p>
        </w:tc>
        <w:tc>
          <w:tcPr>
            <w:tcW w:w="1099" w:type="pct"/>
            <w:shd w:val="clear" w:color="auto" w:fill="auto"/>
            <w:vAlign w:val="center"/>
            <w:hideMark/>
          </w:tcPr>
          <w:p w14:paraId="7543329F"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14-21 del 18-2-21, Art. XLIV </w:t>
            </w:r>
          </w:p>
        </w:tc>
      </w:tr>
      <w:tr w:rsidR="005F057B" w:rsidRPr="005F057B" w14:paraId="233CBCA3" w14:textId="77777777" w:rsidTr="00612E7C">
        <w:trPr>
          <w:trHeight w:val="20"/>
        </w:trPr>
        <w:tc>
          <w:tcPr>
            <w:tcW w:w="1481" w:type="pct"/>
            <w:shd w:val="clear" w:color="auto" w:fill="auto"/>
            <w:vAlign w:val="center"/>
            <w:hideMark/>
          </w:tcPr>
          <w:p w14:paraId="69B9281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Buenos Aires </w:t>
            </w:r>
          </w:p>
        </w:tc>
        <w:tc>
          <w:tcPr>
            <w:tcW w:w="1257" w:type="pct"/>
            <w:shd w:val="clear" w:color="auto" w:fill="auto"/>
            <w:vAlign w:val="center"/>
            <w:hideMark/>
          </w:tcPr>
          <w:p w14:paraId="7F44490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79B1AA3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13-PLA-EV-2021</w:t>
            </w:r>
          </w:p>
        </w:tc>
        <w:tc>
          <w:tcPr>
            <w:tcW w:w="1099" w:type="pct"/>
            <w:shd w:val="clear" w:color="auto" w:fill="auto"/>
            <w:vAlign w:val="center"/>
            <w:hideMark/>
          </w:tcPr>
          <w:p w14:paraId="2FDBEDC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Sesión 6-21 21 del 1-1-21. Art. XXXVIII </w:t>
            </w:r>
          </w:p>
        </w:tc>
      </w:tr>
      <w:tr w:rsidR="005F057B" w:rsidRPr="005F057B" w14:paraId="159C43A4" w14:textId="77777777" w:rsidTr="00612E7C">
        <w:trPr>
          <w:trHeight w:val="20"/>
        </w:trPr>
        <w:tc>
          <w:tcPr>
            <w:tcW w:w="1481" w:type="pct"/>
            <w:shd w:val="clear" w:color="auto" w:fill="auto"/>
            <w:vAlign w:val="center"/>
            <w:hideMark/>
          </w:tcPr>
          <w:p w14:paraId="6C1D838B"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Osa </w:t>
            </w:r>
          </w:p>
        </w:tc>
        <w:tc>
          <w:tcPr>
            <w:tcW w:w="1257" w:type="pct"/>
            <w:shd w:val="clear" w:color="auto" w:fill="auto"/>
            <w:vAlign w:val="center"/>
            <w:hideMark/>
          </w:tcPr>
          <w:p w14:paraId="434C4C8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1834-PLA-EV-2020</w:t>
            </w:r>
          </w:p>
        </w:tc>
        <w:tc>
          <w:tcPr>
            <w:tcW w:w="1164" w:type="pct"/>
            <w:shd w:val="clear" w:color="auto" w:fill="auto"/>
            <w:vAlign w:val="center"/>
            <w:hideMark/>
          </w:tcPr>
          <w:p w14:paraId="6120B99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14-PLA-EV-2021</w:t>
            </w:r>
          </w:p>
        </w:tc>
        <w:tc>
          <w:tcPr>
            <w:tcW w:w="1099" w:type="pct"/>
            <w:shd w:val="clear" w:color="auto" w:fill="auto"/>
            <w:vAlign w:val="center"/>
            <w:hideMark/>
          </w:tcPr>
          <w:p w14:paraId="3F7C10C6"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XLVIII </w:t>
            </w:r>
          </w:p>
        </w:tc>
      </w:tr>
    </w:tbl>
    <w:p w14:paraId="1753F477" w14:textId="37AAAFA5" w:rsidR="001D0ED5" w:rsidRDefault="00C074F0" w:rsidP="00C074F0">
      <w:pPr>
        <w:spacing w:after="0" w:line="240" w:lineRule="auto"/>
        <w:rPr>
          <w:rFonts w:ascii="Book Antiqua" w:eastAsia="Calibri" w:hAnsi="Book Antiqua" w:cs="Arial"/>
          <w:b/>
          <w:bCs/>
          <w:color w:val="1F497D"/>
          <w:szCs w:val="24"/>
          <w:lang w:val="es-ES" w:eastAsia="es-ES"/>
        </w:rPr>
      </w:pPr>
      <w:r w:rsidRPr="00ED2ACB">
        <w:rPr>
          <w:rFonts w:ascii="Book Antiqua" w:eastAsia="Calibri" w:hAnsi="Book Antiqua" w:cs="Arial"/>
          <w:b/>
          <w:bCs/>
          <w:i/>
          <w:iCs/>
          <w:sz w:val="20"/>
          <w:szCs w:val="20"/>
          <w:lang w:val="es-ES_tradnl"/>
        </w:rPr>
        <w:t>Fuente:</w:t>
      </w:r>
      <w:r w:rsidRPr="00C074F0">
        <w:rPr>
          <w:rFonts w:ascii="Book Antiqua" w:eastAsia="Calibri" w:hAnsi="Book Antiqua" w:cs="Arial"/>
          <w:i/>
          <w:iCs/>
          <w:sz w:val="20"/>
          <w:szCs w:val="20"/>
          <w:lang w:val="es-ES_tradnl"/>
        </w:rPr>
        <w:t xml:space="preserve"> Subproceso de Modernización Institucional de la Dirección de Planificación</w:t>
      </w:r>
    </w:p>
    <w:p w14:paraId="607FAF72" w14:textId="1D7AA0FA" w:rsidR="000611D4" w:rsidRDefault="000611D4" w:rsidP="00681EDC">
      <w:pPr>
        <w:spacing w:after="0" w:line="240" w:lineRule="auto"/>
        <w:rPr>
          <w:rFonts w:ascii="Book Antiqua" w:eastAsia="Calibri" w:hAnsi="Book Antiqua" w:cs="Arial"/>
          <w:b/>
          <w:bCs/>
          <w:color w:val="1F497D"/>
          <w:szCs w:val="24"/>
          <w:lang w:val="es-ES" w:eastAsia="es-ES"/>
        </w:rPr>
      </w:pPr>
    </w:p>
    <w:p w14:paraId="0660FF46" w14:textId="08149C19" w:rsidR="00B36E29" w:rsidRDefault="00B36E29" w:rsidP="00B36E29">
      <w:pPr>
        <w:spacing w:after="0" w:line="276" w:lineRule="auto"/>
        <w:jc w:val="both"/>
        <w:rPr>
          <w:rFonts w:ascii="Book Antiqua" w:eastAsia="Calibri" w:hAnsi="Book Antiqua" w:cs="Arial"/>
          <w:sz w:val="24"/>
          <w:szCs w:val="24"/>
        </w:rPr>
      </w:pPr>
    </w:p>
    <w:p w14:paraId="138001DF" w14:textId="5E81E1C3" w:rsidR="002438C4" w:rsidRPr="0054258A" w:rsidRDefault="002438C4" w:rsidP="002438C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Pr>
          <w:rFonts w:ascii="Book Antiqua" w:eastAsiaTheme="majorEastAsia" w:hAnsi="Book Antiqua" w:cstheme="majorBidi"/>
          <w:b/>
          <w:color w:val="1F3864" w:themeColor="accent1" w:themeShade="80"/>
          <w:sz w:val="24"/>
          <w:lang w:val="es-ES"/>
        </w:rPr>
        <w:t>Propuesta de plan de trabajo para la atención especializada de las apelaciones de Pensiones Alimentarias</w:t>
      </w:r>
    </w:p>
    <w:p w14:paraId="19B52095" w14:textId="37BEE20A" w:rsidR="002438C4" w:rsidRDefault="002438C4" w:rsidP="00B36E29">
      <w:pPr>
        <w:spacing w:after="0" w:line="276" w:lineRule="auto"/>
        <w:jc w:val="both"/>
        <w:rPr>
          <w:rFonts w:ascii="Book Antiqua" w:eastAsia="Calibri" w:hAnsi="Book Antiqua" w:cs="Arial"/>
          <w:sz w:val="24"/>
          <w:szCs w:val="24"/>
        </w:rPr>
      </w:pPr>
    </w:p>
    <w:p w14:paraId="30F25833" w14:textId="229C688F" w:rsidR="002438C4" w:rsidRDefault="002438C4" w:rsidP="00B36E2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2023 se propuso un plan de trabajo para la especialización del Juzgado Primero de Familia para el conocimiento exclusivo de las Apelaciones de resoluciones dictadas por los Juzgados de Pensiones Alimentarias. La propuesta se remitió en consulta a los interesados en el oficio 1122-PLA-MI(NPL)-2022 y 156-</w:t>
      </w:r>
      <w:r w:rsidRPr="002438C4">
        <w:rPr>
          <w:rFonts w:ascii="Book Antiqua" w:eastAsia="Calibri" w:hAnsi="Book Antiqua" w:cs="Arial"/>
          <w:sz w:val="24"/>
          <w:szCs w:val="24"/>
        </w:rPr>
        <w:t xml:space="preserve"> </w:t>
      </w:r>
      <w:r>
        <w:rPr>
          <w:rFonts w:ascii="Book Antiqua" w:eastAsia="Calibri" w:hAnsi="Book Antiqua" w:cs="Arial"/>
          <w:sz w:val="24"/>
          <w:szCs w:val="24"/>
        </w:rPr>
        <w:t>PLA-MI(NPL)-2023</w:t>
      </w:r>
      <w:r w:rsidR="00C76004">
        <w:rPr>
          <w:rFonts w:ascii="Book Antiqua" w:eastAsia="Calibri" w:hAnsi="Book Antiqua" w:cs="Arial"/>
          <w:sz w:val="24"/>
          <w:szCs w:val="24"/>
        </w:rPr>
        <w:t>, con competencia limitada a las apelaciones provenientes de San José y Heredia (fase 1)</w:t>
      </w:r>
      <w:r>
        <w:rPr>
          <w:rFonts w:ascii="Book Antiqua" w:eastAsia="Calibri" w:hAnsi="Book Antiqua" w:cs="Arial"/>
          <w:sz w:val="24"/>
          <w:szCs w:val="24"/>
        </w:rPr>
        <w:t xml:space="preserve">. </w:t>
      </w:r>
    </w:p>
    <w:p w14:paraId="390E92E0" w14:textId="7F257D74" w:rsidR="002438C4" w:rsidRDefault="002438C4" w:rsidP="00B36E29">
      <w:pPr>
        <w:spacing w:after="0" w:line="276" w:lineRule="auto"/>
        <w:jc w:val="both"/>
        <w:rPr>
          <w:rFonts w:ascii="Book Antiqua" w:eastAsia="Calibri" w:hAnsi="Book Antiqua" w:cs="Arial"/>
          <w:sz w:val="24"/>
          <w:szCs w:val="24"/>
        </w:rPr>
      </w:pPr>
    </w:p>
    <w:p w14:paraId="41A1100D" w14:textId="220C21E0" w:rsidR="00285044" w:rsidRDefault="002438C4" w:rsidP="00B36E2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2024 se propone que por plan de trabajo se pued</w:t>
      </w:r>
      <w:r w:rsidR="00E87471">
        <w:rPr>
          <w:rFonts w:ascii="Book Antiqua" w:eastAsia="Calibri" w:hAnsi="Book Antiqua" w:cs="Arial"/>
          <w:sz w:val="24"/>
          <w:szCs w:val="24"/>
        </w:rPr>
        <w:t>a</w:t>
      </w:r>
      <w:r>
        <w:rPr>
          <w:rFonts w:ascii="Book Antiqua" w:eastAsia="Calibri" w:hAnsi="Book Antiqua" w:cs="Arial"/>
          <w:sz w:val="24"/>
          <w:szCs w:val="24"/>
        </w:rPr>
        <w:t xml:space="preserve"> </w:t>
      </w:r>
      <w:r w:rsidR="00F508FA">
        <w:rPr>
          <w:rFonts w:ascii="Book Antiqua" w:eastAsia="Calibri" w:hAnsi="Book Antiqua" w:cs="Arial"/>
          <w:sz w:val="24"/>
          <w:szCs w:val="24"/>
        </w:rPr>
        <w:t>ampliar la competencia a nivel nacional</w:t>
      </w:r>
      <w:r w:rsidR="0064071D">
        <w:rPr>
          <w:rFonts w:ascii="Book Antiqua" w:eastAsia="Calibri" w:hAnsi="Book Antiqua" w:cs="Arial"/>
          <w:sz w:val="24"/>
          <w:szCs w:val="24"/>
        </w:rPr>
        <w:t xml:space="preserve"> </w:t>
      </w:r>
      <w:r w:rsidDel="0064071D">
        <w:rPr>
          <w:rFonts w:ascii="Book Antiqua" w:eastAsia="Calibri" w:hAnsi="Book Antiqua" w:cs="Arial"/>
          <w:sz w:val="24"/>
          <w:szCs w:val="24"/>
        </w:rPr>
        <w:t>c</w:t>
      </w:r>
      <w:r>
        <w:rPr>
          <w:rFonts w:ascii="Book Antiqua" w:eastAsia="Calibri" w:hAnsi="Book Antiqua" w:cs="Arial"/>
          <w:sz w:val="24"/>
          <w:szCs w:val="24"/>
        </w:rPr>
        <w:t>on las plazas creadas de</w:t>
      </w:r>
      <w:r w:rsidR="00DD1264">
        <w:rPr>
          <w:rFonts w:ascii="Book Antiqua" w:eastAsia="Calibri" w:hAnsi="Book Antiqua" w:cs="Arial"/>
          <w:sz w:val="24"/>
          <w:szCs w:val="24"/>
        </w:rPr>
        <w:t>sde</w:t>
      </w:r>
      <w:r>
        <w:rPr>
          <w:rFonts w:ascii="Book Antiqua" w:eastAsia="Calibri" w:hAnsi="Book Antiqua" w:cs="Arial"/>
          <w:sz w:val="24"/>
          <w:szCs w:val="24"/>
        </w:rPr>
        <w:t xml:space="preserve"> enero 2024 para que continue </w:t>
      </w:r>
      <w:r w:rsidRPr="007B5AC7">
        <w:rPr>
          <w:rFonts w:ascii="Book Antiqua" w:eastAsia="Calibri" w:hAnsi="Book Antiqua" w:cs="Arial"/>
          <w:sz w:val="24"/>
          <w:szCs w:val="24"/>
        </w:rPr>
        <w:t>e</w:t>
      </w:r>
      <w:r w:rsidR="0064071D" w:rsidRPr="007B5AC7">
        <w:rPr>
          <w:rFonts w:ascii="Book Antiqua" w:eastAsia="Calibri" w:hAnsi="Book Antiqua" w:cs="Arial"/>
          <w:sz w:val="24"/>
          <w:szCs w:val="24"/>
        </w:rPr>
        <w:t>l</w:t>
      </w:r>
      <w:r>
        <w:rPr>
          <w:rFonts w:ascii="Book Antiqua" w:eastAsia="Calibri" w:hAnsi="Book Antiqua" w:cs="Arial"/>
          <w:sz w:val="24"/>
          <w:szCs w:val="24"/>
        </w:rPr>
        <w:t xml:space="preserve"> plan de trabajo y ya formalizar o crear la oficina como tal a partir del 1 de octubre de 2024 con la entrada en vigencia del CPF. </w:t>
      </w:r>
      <w:r w:rsidRPr="007B5AC7">
        <w:rPr>
          <w:rFonts w:ascii="Book Antiqua" w:eastAsia="Calibri" w:hAnsi="Book Antiqua" w:cs="Arial"/>
          <w:sz w:val="24"/>
          <w:szCs w:val="24"/>
        </w:rPr>
        <w:t>El nuevo juzgado</w:t>
      </w:r>
      <w:r w:rsidR="007B5AC7" w:rsidRPr="007B5AC7">
        <w:rPr>
          <w:rFonts w:ascii="Book Antiqua" w:eastAsia="Calibri" w:hAnsi="Book Antiqua" w:cs="Arial"/>
          <w:sz w:val="24"/>
          <w:szCs w:val="24"/>
        </w:rPr>
        <w:t xml:space="preserve"> propuesto</w:t>
      </w:r>
      <w:r w:rsidRPr="007B5AC7">
        <w:rPr>
          <w:rFonts w:ascii="Book Antiqua" w:eastAsia="Calibri" w:hAnsi="Book Antiqua" w:cs="Arial"/>
          <w:sz w:val="24"/>
          <w:szCs w:val="24"/>
        </w:rPr>
        <w:t xml:space="preserve"> </w:t>
      </w:r>
      <w:r w:rsidR="007F59AE" w:rsidRPr="007B5AC7">
        <w:rPr>
          <w:rFonts w:ascii="Book Antiqua" w:eastAsia="Calibri" w:hAnsi="Book Antiqua" w:cs="Arial"/>
          <w:sz w:val="24"/>
          <w:szCs w:val="24"/>
        </w:rPr>
        <w:t xml:space="preserve">con competencia </w:t>
      </w:r>
      <w:r w:rsidR="00CE2E7A" w:rsidRPr="007B5AC7">
        <w:rPr>
          <w:rFonts w:ascii="Book Antiqua" w:eastAsia="Calibri" w:hAnsi="Book Antiqua" w:cs="Arial"/>
          <w:sz w:val="24"/>
          <w:szCs w:val="24"/>
        </w:rPr>
        <w:t>material limitada a un</w:t>
      </w:r>
      <w:r w:rsidR="003E561C" w:rsidRPr="007B5AC7">
        <w:rPr>
          <w:rFonts w:ascii="Book Antiqua" w:eastAsia="Calibri" w:hAnsi="Book Antiqua" w:cs="Arial"/>
          <w:sz w:val="24"/>
          <w:szCs w:val="24"/>
        </w:rPr>
        <w:t>a clase de asunto</w:t>
      </w:r>
      <w:r w:rsidR="00CE2E7A" w:rsidRPr="007B5AC7">
        <w:rPr>
          <w:rFonts w:ascii="Book Antiqua" w:eastAsia="Calibri" w:hAnsi="Book Antiqua" w:cs="Arial"/>
          <w:sz w:val="24"/>
          <w:szCs w:val="24"/>
        </w:rPr>
        <w:t xml:space="preserve"> y territorial </w:t>
      </w:r>
      <w:r w:rsidR="004C1358" w:rsidRPr="007B5AC7">
        <w:rPr>
          <w:rFonts w:ascii="Book Antiqua" w:eastAsia="Calibri" w:hAnsi="Book Antiqua" w:cs="Arial"/>
          <w:sz w:val="24"/>
          <w:szCs w:val="24"/>
        </w:rPr>
        <w:t>a</w:t>
      </w:r>
      <w:r w:rsidR="006F1E0C" w:rsidRPr="007B5AC7">
        <w:rPr>
          <w:rFonts w:ascii="Book Antiqua" w:eastAsia="Calibri" w:hAnsi="Book Antiqua" w:cs="Arial"/>
          <w:sz w:val="24"/>
          <w:szCs w:val="24"/>
        </w:rPr>
        <w:t xml:space="preserve"> </w:t>
      </w:r>
      <w:r w:rsidR="007F59AE" w:rsidRPr="007B5AC7">
        <w:rPr>
          <w:rFonts w:ascii="Book Antiqua" w:eastAsia="Calibri" w:hAnsi="Book Antiqua" w:cs="Arial"/>
          <w:sz w:val="24"/>
          <w:szCs w:val="24"/>
        </w:rPr>
        <w:t>nacional requiere para conformarse de</w:t>
      </w:r>
      <w:r w:rsidRPr="007B5AC7">
        <w:rPr>
          <w:rFonts w:ascii="Book Antiqua" w:eastAsia="Calibri" w:hAnsi="Book Antiqua" w:cs="Arial"/>
          <w:sz w:val="24"/>
          <w:szCs w:val="24"/>
        </w:rPr>
        <w:t xml:space="preserve"> 11 plazas de persona juzgadora, 1 plaza titular ya existente en la institución y 10 nuevos recursos. El personal técnico y coordinador judicial se toma también del recurso institucional ya existente.</w:t>
      </w:r>
      <w:r>
        <w:rPr>
          <w:rFonts w:ascii="Book Antiqua" w:eastAsia="Calibri" w:hAnsi="Book Antiqua" w:cs="Arial"/>
          <w:sz w:val="24"/>
          <w:szCs w:val="24"/>
        </w:rPr>
        <w:t xml:space="preserve"> </w:t>
      </w:r>
    </w:p>
    <w:p w14:paraId="13D5DA5E" w14:textId="77777777" w:rsidR="002438C4" w:rsidRDefault="002438C4" w:rsidP="00B36E29">
      <w:pPr>
        <w:spacing w:after="0" w:line="276" w:lineRule="auto"/>
        <w:jc w:val="both"/>
        <w:rPr>
          <w:rFonts w:ascii="Book Antiqua" w:eastAsia="Calibri" w:hAnsi="Book Antiqua" w:cs="Arial"/>
          <w:sz w:val="24"/>
          <w:szCs w:val="24"/>
        </w:rPr>
      </w:pPr>
    </w:p>
    <w:p w14:paraId="522DE4FD" w14:textId="77777777" w:rsidR="00B36E29" w:rsidRPr="0054258A" w:rsidRDefault="00B36E29"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 xml:space="preserve">Proceso de Tramitación General </w:t>
      </w:r>
    </w:p>
    <w:p w14:paraId="7885E4B7" w14:textId="36CF0D5D" w:rsidR="001D0ED5" w:rsidRDefault="001D0ED5" w:rsidP="001428C9">
      <w:pPr>
        <w:spacing w:after="0" w:line="240" w:lineRule="auto"/>
        <w:rPr>
          <w:rFonts w:ascii="Book Antiqua" w:eastAsia="Calibri" w:hAnsi="Book Antiqua" w:cs="Arial"/>
          <w:b/>
          <w:bCs/>
          <w:color w:val="1F497D"/>
          <w:szCs w:val="24"/>
          <w:lang w:val="es-ES" w:eastAsia="es-ES"/>
        </w:rPr>
      </w:pPr>
    </w:p>
    <w:p w14:paraId="557ACDB5" w14:textId="77777777" w:rsidR="00E00A7F" w:rsidRPr="00E00A7F" w:rsidRDefault="00E00A7F" w:rsidP="00E00A7F">
      <w:pPr>
        <w:spacing w:after="0" w:line="276" w:lineRule="auto"/>
        <w:jc w:val="both"/>
        <w:rPr>
          <w:rFonts w:ascii="Book Antiqua" w:eastAsia="Calibri" w:hAnsi="Book Antiqua" w:cs="Arial"/>
          <w:sz w:val="24"/>
          <w:szCs w:val="24"/>
        </w:rPr>
      </w:pPr>
      <w:r w:rsidRPr="00E00A7F">
        <w:rPr>
          <w:rFonts w:ascii="Book Antiqua" w:eastAsia="Calibri" w:hAnsi="Book Antiqua" w:cs="Arial"/>
          <w:sz w:val="24"/>
          <w:szCs w:val="24"/>
        </w:rPr>
        <w:t>En los circuitos judiciales en los que se cuenta con la Oficina de Recepción de Documentos (RDD),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63327630" w14:textId="77777777" w:rsidR="00E00A7F" w:rsidRPr="00E00A7F" w:rsidRDefault="00E00A7F" w:rsidP="00E00A7F">
      <w:pPr>
        <w:spacing w:after="0" w:line="276" w:lineRule="auto"/>
        <w:jc w:val="both"/>
        <w:rPr>
          <w:rFonts w:ascii="Book Antiqua" w:eastAsia="Calibri" w:hAnsi="Book Antiqua" w:cs="Arial"/>
          <w:sz w:val="24"/>
          <w:szCs w:val="24"/>
        </w:rPr>
      </w:pPr>
    </w:p>
    <w:p w14:paraId="21ECFCAF" w14:textId="7FC37E28" w:rsidR="00E00A7F" w:rsidRPr="00E00A7F" w:rsidRDefault="00E00A7F" w:rsidP="00E00A7F">
      <w:pPr>
        <w:spacing w:after="0" w:line="276" w:lineRule="auto"/>
        <w:jc w:val="both"/>
        <w:rPr>
          <w:rFonts w:ascii="Book Antiqua" w:eastAsia="Calibri" w:hAnsi="Book Antiqua" w:cs="Arial"/>
          <w:sz w:val="24"/>
          <w:szCs w:val="24"/>
        </w:rPr>
      </w:pPr>
      <w:r w:rsidRPr="00E00A7F">
        <w:rPr>
          <w:rFonts w:ascii="Book Antiqua" w:eastAsia="Calibri" w:hAnsi="Book Antiqua" w:cs="Arial"/>
          <w:sz w:val="24"/>
          <w:szCs w:val="24"/>
        </w:rPr>
        <w:t xml:space="preserve">Una vez que ingresa la demanda se procede a darle trámite, si no tiene ninguna prevención se ordena notificar a los demandados y se espera el vencimiento de términos, luego se señala fecha de audiencia sea de conciliación o recepción de pruebas; si concilian se homologa el acuerdo o bien se recibe la prueba ofrecida (testimonial, pericial, confesional, entre otras), evacuada la prueba se pasa a fallo, se dicta sentencia, y se espera el vencimiento de firmeza de la sentencia, por último, se archiva el expediente. </w:t>
      </w:r>
    </w:p>
    <w:p w14:paraId="1BA698F9" w14:textId="77777777" w:rsidR="00E00A7F" w:rsidRPr="00E00A7F" w:rsidRDefault="00E00A7F" w:rsidP="00E00A7F">
      <w:pPr>
        <w:spacing w:after="0" w:line="276" w:lineRule="auto"/>
        <w:jc w:val="both"/>
        <w:rPr>
          <w:rFonts w:ascii="Book Antiqua" w:eastAsia="Calibri" w:hAnsi="Book Antiqua" w:cs="Arial"/>
          <w:sz w:val="24"/>
          <w:szCs w:val="24"/>
        </w:rPr>
      </w:pPr>
    </w:p>
    <w:p w14:paraId="047C5D1F" w14:textId="1135FD29" w:rsidR="00B36E29" w:rsidRDefault="00E00A7F" w:rsidP="00E00A7F">
      <w:pPr>
        <w:spacing w:after="0" w:line="240" w:lineRule="auto"/>
        <w:rPr>
          <w:rFonts w:ascii="Book Antiqua" w:eastAsia="Calibri" w:hAnsi="Book Antiqua" w:cs="Arial"/>
          <w:b/>
          <w:bCs/>
          <w:color w:val="1F497D"/>
          <w:szCs w:val="24"/>
          <w:lang w:val="es-ES" w:eastAsia="es-ES"/>
        </w:rPr>
      </w:pPr>
      <w:r w:rsidRPr="00E00A7F">
        <w:rPr>
          <w:rFonts w:ascii="Book Antiqua" w:eastAsia="Calibri" w:hAnsi="Book Antiqua" w:cs="Arial"/>
          <w:sz w:val="24"/>
          <w:szCs w:val="24"/>
        </w:rPr>
        <w:t>El siguiente diagrama resume el proceso general de Familia actual</w:t>
      </w:r>
      <w:r w:rsidR="00A10A3E">
        <w:rPr>
          <w:rFonts w:ascii="Book Antiqua" w:eastAsia="Calibri" w:hAnsi="Book Antiqua" w:cs="Arial"/>
          <w:sz w:val="24"/>
          <w:szCs w:val="24"/>
        </w:rPr>
        <w:t>.</w:t>
      </w:r>
    </w:p>
    <w:p w14:paraId="326418E9" w14:textId="093357E0" w:rsidR="00A10A3E" w:rsidRPr="00A10A3E" w:rsidRDefault="00A10A3E" w:rsidP="00A10A3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0A3E">
        <w:rPr>
          <w:rFonts w:ascii="Book Antiqua" w:eastAsia="Calibri" w:hAnsi="Book Antiqua" w:cs="Arial"/>
          <w:b/>
          <w:bCs/>
          <w:color w:val="1F497D"/>
          <w:szCs w:val="24"/>
          <w:lang w:val="es-ES" w:eastAsia="es-ES"/>
        </w:rPr>
        <w:t xml:space="preserve">Figura </w:t>
      </w:r>
      <w:r w:rsidRPr="00A10A3E">
        <w:rPr>
          <w:rFonts w:ascii="Book Antiqua" w:eastAsia="Calibri" w:hAnsi="Book Antiqua" w:cs="Arial"/>
          <w:b/>
          <w:bCs/>
          <w:color w:val="1F497D"/>
          <w:szCs w:val="24"/>
          <w:lang w:val="es-ES" w:eastAsia="es-ES"/>
        </w:rPr>
        <w:fldChar w:fldCharType="begin"/>
      </w:r>
      <w:r w:rsidRPr="00A10A3E">
        <w:rPr>
          <w:rFonts w:ascii="Book Antiqua" w:eastAsia="Calibri" w:hAnsi="Book Antiqua" w:cs="Arial"/>
          <w:b/>
          <w:bCs/>
          <w:color w:val="1F497D"/>
          <w:szCs w:val="24"/>
          <w:lang w:val="es-ES" w:eastAsia="es-ES"/>
        </w:rPr>
        <w:instrText xml:space="preserve"> SEQ Figura \* ARABIC </w:instrText>
      </w:r>
      <w:r w:rsidRPr="00A10A3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1</w:t>
      </w:r>
      <w:r w:rsidRPr="00A10A3E">
        <w:rPr>
          <w:rFonts w:ascii="Book Antiqua" w:eastAsia="Calibri" w:hAnsi="Book Antiqua" w:cs="Arial"/>
          <w:b/>
          <w:bCs/>
          <w:color w:val="1F497D"/>
          <w:szCs w:val="24"/>
          <w:lang w:val="es-ES" w:eastAsia="es-ES"/>
        </w:rPr>
        <w:fldChar w:fldCharType="end"/>
      </w:r>
      <w:r w:rsidRPr="00A10A3E">
        <w:rPr>
          <w:rFonts w:ascii="Book Antiqua" w:eastAsia="Calibri" w:hAnsi="Book Antiqua" w:cs="Arial"/>
          <w:b/>
          <w:bCs/>
          <w:color w:val="1F497D"/>
          <w:szCs w:val="24"/>
          <w:lang w:val="es-ES" w:eastAsia="es-ES"/>
        </w:rPr>
        <w:t xml:space="preserve"> </w:t>
      </w:r>
    </w:p>
    <w:p w14:paraId="451C8387" w14:textId="77777777" w:rsidR="00A10A3E" w:rsidRPr="00A10A3E" w:rsidRDefault="00A10A3E" w:rsidP="00A10A3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0A3E">
        <w:rPr>
          <w:rFonts w:ascii="Book Antiqua" w:eastAsia="Calibri" w:hAnsi="Book Antiqua" w:cs="Arial"/>
          <w:b/>
          <w:bCs/>
          <w:color w:val="1F497D"/>
          <w:szCs w:val="24"/>
          <w:lang w:val="es-ES" w:eastAsia="es-ES"/>
        </w:rPr>
        <w:t>Diagrama del Proceso General actual de materia Familia</w:t>
      </w:r>
    </w:p>
    <w:p w14:paraId="02A0D0B5" w14:textId="09ADF8A9" w:rsidR="00A879FE" w:rsidRDefault="00AE18DF" w:rsidP="00DE3066">
      <w:pPr>
        <w:spacing w:after="0" w:line="240" w:lineRule="auto"/>
        <w:jc w:val="center"/>
        <w:rPr>
          <w:rFonts w:ascii="Book Antiqua" w:hAnsi="Book Antiqua"/>
          <w:sz w:val="24"/>
          <w:szCs w:val="24"/>
        </w:rPr>
      </w:pPr>
      <w:r w:rsidRPr="00AE18DF">
        <w:rPr>
          <w:rFonts w:ascii="Book Antiqua" w:eastAsia="Calibri" w:hAnsi="Book Antiqua" w:cs="Arial"/>
          <w:noProof/>
          <w:sz w:val="24"/>
          <w:szCs w:val="24"/>
        </w:rPr>
        <w:drawing>
          <wp:inline distT="0" distB="0" distL="0" distR="0" wp14:anchorId="4C6C2F91" wp14:editId="6D69AB1C">
            <wp:extent cx="5611042" cy="3629025"/>
            <wp:effectExtent l="0" t="0" r="8890" b="0"/>
            <wp:docPr id="1532264011" name="Picture 153226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029ED662" w14:textId="030E0F2E" w:rsidR="00C21740" w:rsidRPr="007D1674" w:rsidRDefault="00DE3066" w:rsidP="00DE3066">
      <w:pPr>
        <w:spacing w:after="0" w:line="240" w:lineRule="auto"/>
        <w:jc w:val="both"/>
        <w:rPr>
          <w:rFonts w:ascii="Book Antiqua" w:eastAsia="Calibri" w:hAnsi="Book Antiqua" w:cs="Arial"/>
          <w:i/>
          <w:iCs/>
          <w:sz w:val="20"/>
          <w:szCs w:val="20"/>
          <w:lang w:val="es-ES_tradnl"/>
        </w:rPr>
      </w:pPr>
      <w:r>
        <w:rPr>
          <w:rFonts w:ascii="Book Antiqua" w:eastAsia="Calibri" w:hAnsi="Book Antiqua" w:cs="Arial"/>
          <w:b/>
          <w:bCs/>
          <w:i/>
          <w:iCs/>
          <w:sz w:val="20"/>
          <w:szCs w:val="20"/>
          <w:lang w:val="es-ES_tradnl"/>
        </w:rPr>
        <w:t xml:space="preserve">  </w:t>
      </w:r>
      <w:r w:rsidR="002E032F" w:rsidRPr="00ED2ACB">
        <w:rPr>
          <w:rFonts w:ascii="Book Antiqua" w:eastAsia="Calibri" w:hAnsi="Book Antiqua" w:cs="Arial"/>
          <w:b/>
          <w:bCs/>
          <w:i/>
          <w:iCs/>
          <w:sz w:val="20"/>
          <w:szCs w:val="20"/>
          <w:lang w:val="es-ES_tradnl"/>
        </w:rPr>
        <w:t>Fuente</w:t>
      </w:r>
      <w:r w:rsidR="002E032F" w:rsidRPr="007D1674">
        <w:rPr>
          <w:rFonts w:ascii="Book Antiqua" w:eastAsia="Calibri" w:hAnsi="Book Antiqua" w:cs="Arial"/>
          <w:i/>
          <w:iCs/>
          <w:sz w:val="20"/>
          <w:szCs w:val="20"/>
          <w:lang w:val="es-ES_tradnl"/>
        </w:rPr>
        <w:t>: Sub</w:t>
      </w:r>
      <w:r w:rsidR="00F33BB7">
        <w:rPr>
          <w:rFonts w:ascii="Book Antiqua" w:eastAsia="Calibri" w:hAnsi="Book Antiqua" w:cs="Arial"/>
          <w:i/>
          <w:iCs/>
          <w:sz w:val="20"/>
          <w:szCs w:val="20"/>
          <w:lang w:val="es-ES_tradnl"/>
        </w:rPr>
        <w:t>p</w:t>
      </w:r>
      <w:r w:rsidR="002E032F" w:rsidRPr="007D1674">
        <w:rPr>
          <w:rFonts w:ascii="Book Antiqua" w:eastAsia="Calibri" w:hAnsi="Book Antiqua" w:cs="Arial"/>
          <w:i/>
          <w:iCs/>
          <w:sz w:val="20"/>
          <w:szCs w:val="20"/>
          <w:lang w:val="es-ES_tradnl"/>
        </w:rPr>
        <w:t>roceso de Modernización Institucional</w:t>
      </w:r>
      <w:r w:rsidR="00C515C8">
        <w:rPr>
          <w:rFonts w:ascii="Book Antiqua" w:eastAsia="Calibri" w:hAnsi="Book Antiqua" w:cs="Arial"/>
          <w:i/>
          <w:iCs/>
          <w:sz w:val="20"/>
          <w:szCs w:val="20"/>
          <w:lang w:val="es-ES_tradnl"/>
        </w:rPr>
        <w:t>.</w:t>
      </w:r>
    </w:p>
    <w:p w14:paraId="6A744C9C" w14:textId="77777777" w:rsidR="00DE3066" w:rsidRDefault="00DE3066" w:rsidP="0027551B">
      <w:pPr>
        <w:spacing w:after="0" w:line="276" w:lineRule="auto"/>
        <w:jc w:val="both"/>
        <w:rPr>
          <w:rFonts w:ascii="Book Antiqua" w:eastAsia="Calibri" w:hAnsi="Book Antiqua" w:cs="Arial"/>
          <w:sz w:val="24"/>
          <w:szCs w:val="24"/>
        </w:rPr>
      </w:pPr>
    </w:p>
    <w:p w14:paraId="40911A5A" w14:textId="35DCDB03" w:rsid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 xml:space="preserve">Por otra parte, en sesiones de trabajo con los Asesores de la materia Familia </w:t>
      </w:r>
      <w:r w:rsidR="00DE3066">
        <w:rPr>
          <w:rFonts w:ascii="Book Antiqua" w:eastAsia="Calibri" w:hAnsi="Book Antiqua" w:cs="Arial"/>
          <w:sz w:val="24"/>
          <w:szCs w:val="24"/>
        </w:rPr>
        <w:t xml:space="preserve">los licenciados </w:t>
      </w:r>
      <w:r w:rsidRPr="0027551B">
        <w:rPr>
          <w:rFonts w:ascii="Book Antiqua" w:eastAsia="Calibri" w:hAnsi="Book Antiqua" w:cs="Arial"/>
          <w:sz w:val="24"/>
          <w:szCs w:val="24"/>
        </w:rPr>
        <w:t>Alberto Jiménez Mata y Cristian Martínez Hernández, se realiza la construcción de los siguientes diagramas de los procesos de la materia de Familia:</w:t>
      </w:r>
    </w:p>
    <w:p w14:paraId="2BCFD33C" w14:textId="77777777" w:rsidR="003E78B2" w:rsidRPr="0027551B" w:rsidRDefault="003E78B2" w:rsidP="0027551B">
      <w:pPr>
        <w:spacing w:after="0" w:line="276" w:lineRule="auto"/>
        <w:jc w:val="both"/>
        <w:rPr>
          <w:rFonts w:ascii="Book Antiqua" w:eastAsia="Calibri" w:hAnsi="Book Antiqua" w:cs="Arial"/>
          <w:sz w:val="24"/>
          <w:szCs w:val="24"/>
        </w:rPr>
      </w:pPr>
    </w:p>
    <w:p w14:paraId="19ACD294" w14:textId="74CAD662" w:rsidR="0027551B" w:rsidRPr="0027551B" w:rsidRDefault="0027551B" w:rsidP="00612E7C">
      <w:pPr>
        <w:numPr>
          <w:ilvl w:val="0"/>
          <w:numId w:val="10"/>
        </w:numPr>
        <w:spacing w:after="0" w:line="276" w:lineRule="auto"/>
        <w:ind w:left="709" w:hanging="425"/>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Ordinario</w:t>
      </w:r>
      <w:r w:rsidR="00DE3066">
        <w:rPr>
          <w:rFonts w:ascii="Book Antiqua" w:eastAsia="Calibri" w:hAnsi="Book Antiqua" w:cs="Arial"/>
          <w:sz w:val="24"/>
          <w:szCs w:val="24"/>
          <w:lang w:eastAsia="es-CR"/>
        </w:rPr>
        <w:t>.</w:t>
      </w:r>
    </w:p>
    <w:p w14:paraId="1617301D" w14:textId="248F54B4" w:rsidR="0027551B" w:rsidRPr="0027551B" w:rsidRDefault="0027551B" w:rsidP="00612E7C">
      <w:pPr>
        <w:numPr>
          <w:ilvl w:val="0"/>
          <w:numId w:val="10"/>
        </w:numPr>
        <w:spacing w:after="0" w:line="276" w:lineRule="auto"/>
        <w:ind w:left="709" w:hanging="425"/>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Procedimiento de Mutuo Acuerdo</w:t>
      </w:r>
      <w:r w:rsidR="00DE3066">
        <w:rPr>
          <w:rFonts w:ascii="Book Antiqua" w:eastAsia="Calibri" w:hAnsi="Book Antiqua" w:cs="Arial"/>
          <w:sz w:val="24"/>
          <w:szCs w:val="24"/>
          <w:lang w:eastAsia="es-CR"/>
        </w:rPr>
        <w:t>.</w:t>
      </w:r>
    </w:p>
    <w:p w14:paraId="129D92CB" w14:textId="29B154D5" w:rsidR="0027551B" w:rsidRPr="0027551B" w:rsidRDefault="0027551B" w:rsidP="00612E7C">
      <w:pPr>
        <w:numPr>
          <w:ilvl w:val="0"/>
          <w:numId w:val="10"/>
        </w:numPr>
        <w:spacing w:after="0" w:line="276" w:lineRule="auto"/>
        <w:ind w:left="709" w:hanging="425"/>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Abreviado</w:t>
      </w:r>
      <w:r w:rsidR="00DE3066">
        <w:rPr>
          <w:rFonts w:ascii="Book Antiqua" w:eastAsia="Calibri" w:hAnsi="Book Antiqua" w:cs="Arial"/>
          <w:sz w:val="24"/>
          <w:szCs w:val="24"/>
          <w:lang w:eastAsia="es-CR"/>
        </w:rPr>
        <w:t>.</w:t>
      </w:r>
    </w:p>
    <w:p w14:paraId="42152972" w14:textId="1310483F" w:rsidR="0027551B" w:rsidRPr="0027551B" w:rsidRDefault="0027551B" w:rsidP="00612E7C">
      <w:pPr>
        <w:numPr>
          <w:ilvl w:val="0"/>
          <w:numId w:val="10"/>
        </w:numPr>
        <w:spacing w:after="0" w:line="276" w:lineRule="auto"/>
        <w:ind w:left="709" w:hanging="425"/>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Sumario</w:t>
      </w:r>
      <w:r w:rsidR="00DE3066">
        <w:rPr>
          <w:rFonts w:ascii="Book Antiqua" w:eastAsia="Calibri" w:hAnsi="Book Antiqua" w:cs="Arial"/>
          <w:sz w:val="24"/>
          <w:szCs w:val="24"/>
          <w:lang w:eastAsia="es-CR"/>
        </w:rPr>
        <w:t>.</w:t>
      </w:r>
    </w:p>
    <w:p w14:paraId="40E3E0FE" w14:textId="72B05CB2" w:rsidR="0027551B" w:rsidRPr="0027551B" w:rsidRDefault="0027551B" w:rsidP="00612E7C">
      <w:pPr>
        <w:numPr>
          <w:ilvl w:val="0"/>
          <w:numId w:val="10"/>
        </w:numPr>
        <w:spacing w:after="0" w:line="276" w:lineRule="auto"/>
        <w:ind w:left="709" w:hanging="425"/>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Especial de Filiación</w:t>
      </w:r>
      <w:r w:rsidR="00DE3066">
        <w:rPr>
          <w:rFonts w:ascii="Book Antiqua" w:eastAsia="Calibri" w:hAnsi="Book Antiqua" w:cs="Arial"/>
          <w:sz w:val="24"/>
          <w:szCs w:val="24"/>
          <w:lang w:eastAsia="es-CR"/>
        </w:rPr>
        <w:t>.</w:t>
      </w:r>
    </w:p>
    <w:p w14:paraId="013B3D4E" w14:textId="72E10143" w:rsidR="0027551B" w:rsidRPr="0027551B" w:rsidRDefault="0027551B" w:rsidP="00612E7C">
      <w:pPr>
        <w:numPr>
          <w:ilvl w:val="0"/>
          <w:numId w:val="10"/>
        </w:numPr>
        <w:spacing w:after="0" w:line="276" w:lineRule="auto"/>
        <w:ind w:left="709" w:hanging="425"/>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Especial de Declaratoria Judicial de Abandono de Persona Menor de Edad</w:t>
      </w:r>
      <w:r w:rsidR="00DE3066">
        <w:rPr>
          <w:rFonts w:ascii="Book Antiqua" w:eastAsia="Calibri" w:hAnsi="Book Antiqua" w:cs="Arial"/>
          <w:sz w:val="24"/>
          <w:szCs w:val="24"/>
          <w:lang w:eastAsia="es-CR"/>
        </w:rPr>
        <w:t>.</w:t>
      </w:r>
    </w:p>
    <w:p w14:paraId="58AB8252" w14:textId="3CFA570F" w:rsidR="0027551B" w:rsidRPr="0027551B" w:rsidRDefault="0027551B" w:rsidP="00612E7C">
      <w:pPr>
        <w:numPr>
          <w:ilvl w:val="0"/>
          <w:numId w:val="10"/>
        </w:numPr>
        <w:spacing w:after="0" w:line="276" w:lineRule="auto"/>
        <w:ind w:left="709" w:hanging="425"/>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Procedimiento de II Instancia en Pensiones Alimentarias</w:t>
      </w:r>
      <w:r w:rsidR="00DE3066">
        <w:rPr>
          <w:rFonts w:ascii="Book Antiqua" w:eastAsia="Calibri" w:hAnsi="Book Antiqua" w:cs="Arial"/>
          <w:sz w:val="24"/>
          <w:szCs w:val="24"/>
          <w:lang w:eastAsia="es-CR"/>
        </w:rPr>
        <w:t>.</w:t>
      </w:r>
    </w:p>
    <w:p w14:paraId="46B36B57" w14:textId="77777777" w:rsidR="0027551B" w:rsidRPr="0027551B" w:rsidRDefault="0027551B" w:rsidP="0027551B">
      <w:pPr>
        <w:spacing w:after="0" w:line="276" w:lineRule="auto"/>
        <w:jc w:val="both"/>
        <w:rPr>
          <w:rFonts w:ascii="Book Antiqua" w:eastAsia="Calibri" w:hAnsi="Book Antiqua" w:cs="Arial"/>
          <w:sz w:val="24"/>
          <w:szCs w:val="24"/>
        </w:rPr>
      </w:pPr>
    </w:p>
    <w:p w14:paraId="6C29CEF5" w14:textId="699146EB" w:rsidR="0027551B" w:rsidRP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 xml:space="preserve">Estos diagramas permiten visualizar los principales procesos actuales de la materia Familia, y contar con información en aras del mejoramiento de los procesos. En el </w:t>
      </w:r>
      <w:r w:rsidRPr="0054258A">
        <w:rPr>
          <w:rFonts w:ascii="Book Antiqua" w:eastAsia="Calibri" w:hAnsi="Book Antiqua" w:cs="Arial"/>
          <w:b/>
          <w:bCs/>
          <w:i/>
          <w:iCs/>
          <w:sz w:val="24"/>
          <w:szCs w:val="24"/>
        </w:rPr>
        <w:t xml:space="preserve">anexo </w:t>
      </w:r>
      <w:r w:rsidR="000B3FC7">
        <w:rPr>
          <w:rFonts w:ascii="Book Antiqua" w:eastAsia="Calibri" w:hAnsi="Book Antiqua" w:cs="Arial"/>
          <w:b/>
          <w:bCs/>
          <w:i/>
          <w:iCs/>
          <w:sz w:val="24"/>
          <w:szCs w:val="24"/>
        </w:rPr>
        <w:t>1</w:t>
      </w:r>
      <w:r w:rsidR="000B3FC7" w:rsidRPr="0054258A">
        <w:rPr>
          <w:rFonts w:ascii="Book Antiqua" w:eastAsia="Calibri" w:hAnsi="Book Antiqua" w:cs="Arial"/>
          <w:sz w:val="24"/>
          <w:szCs w:val="24"/>
        </w:rPr>
        <w:t xml:space="preserve"> </w:t>
      </w:r>
      <w:r w:rsidRPr="0054258A">
        <w:rPr>
          <w:rFonts w:ascii="Book Antiqua" w:eastAsia="Calibri" w:hAnsi="Book Antiqua" w:cs="Arial"/>
          <w:sz w:val="24"/>
          <w:szCs w:val="24"/>
        </w:rPr>
        <w:t>se</w:t>
      </w:r>
      <w:r w:rsidRPr="0027551B">
        <w:rPr>
          <w:rFonts w:ascii="Book Antiqua" w:eastAsia="Calibri" w:hAnsi="Book Antiqua" w:cs="Arial"/>
          <w:sz w:val="24"/>
          <w:szCs w:val="24"/>
        </w:rPr>
        <w:t xml:space="preserve"> incluyen los diagramas construidos.</w:t>
      </w:r>
    </w:p>
    <w:p w14:paraId="1AF56B7E" w14:textId="77777777" w:rsidR="0027551B" w:rsidRPr="0027551B" w:rsidRDefault="0027551B" w:rsidP="0027551B">
      <w:pPr>
        <w:spacing w:after="0" w:line="276" w:lineRule="auto"/>
        <w:jc w:val="both"/>
        <w:rPr>
          <w:rFonts w:ascii="Book Antiqua" w:eastAsia="Calibri" w:hAnsi="Book Antiqua" w:cs="Arial"/>
          <w:sz w:val="24"/>
          <w:szCs w:val="24"/>
        </w:rPr>
      </w:pPr>
    </w:p>
    <w:p w14:paraId="54297632" w14:textId="4F3ED4C9" w:rsid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Con la implementación del Código Procesal de Familia surgen una serie de ajustes que vienen a reducir los tiempos de proceso y la agilización de los trámites, a continuación, se detallan algunos de los principales cambios:</w:t>
      </w:r>
    </w:p>
    <w:p w14:paraId="3875FCB6" w14:textId="77777777" w:rsidR="003F4542" w:rsidRPr="0027551B" w:rsidRDefault="003F4542" w:rsidP="0027551B">
      <w:pPr>
        <w:spacing w:after="0" w:line="276" w:lineRule="auto"/>
        <w:jc w:val="both"/>
        <w:rPr>
          <w:rFonts w:ascii="Book Antiqua" w:eastAsia="Calibri" w:hAnsi="Book Antiqua" w:cs="Arial"/>
          <w:sz w:val="24"/>
          <w:szCs w:val="24"/>
        </w:rPr>
      </w:pPr>
    </w:p>
    <w:p w14:paraId="01984BA6" w14:textId="0BCFF993" w:rsidR="003F4542" w:rsidRPr="003F4542" w:rsidRDefault="003F4542" w:rsidP="00612E7C">
      <w:pPr>
        <w:numPr>
          <w:ilvl w:val="0"/>
          <w:numId w:val="11"/>
        </w:numPr>
        <w:spacing w:after="0" w:line="276" w:lineRule="auto"/>
        <w:ind w:left="567" w:hanging="567"/>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permite agilidad en el trámite de los procesos para reducir los plazos de tramitación y dictado de sentencias, ya que el CPF establece que la contestación de la demanda, en la medida de lo posible se realice en la misma audiencia, de igual manera sucede con las apelaciones.</w:t>
      </w:r>
    </w:p>
    <w:p w14:paraId="4A9ACCE6" w14:textId="77777777" w:rsidR="003F4542" w:rsidRPr="003F4542" w:rsidRDefault="003F4542" w:rsidP="00612E7C">
      <w:pPr>
        <w:numPr>
          <w:ilvl w:val="0"/>
          <w:numId w:val="11"/>
        </w:numPr>
        <w:spacing w:after="0" w:line="276" w:lineRule="auto"/>
        <w:ind w:left="567" w:hanging="567"/>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faculta a las personas juzgadoras para que dicten la parte dispositiva de las sentencias una vez finalizada la última audiencia del proceso, por lo que es posible que un proceso familiar se desarrolle en una sola audiencia.</w:t>
      </w:r>
    </w:p>
    <w:p w14:paraId="2FB36E7C" w14:textId="398AB48C" w:rsidR="003F4542" w:rsidRPr="003F4542" w:rsidRDefault="003F4542" w:rsidP="00612E7C">
      <w:pPr>
        <w:numPr>
          <w:ilvl w:val="0"/>
          <w:numId w:val="11"/>
        </w:numPr>
        <w:spacing w:after="0" w:line="276" w:lineRule="auto"/>
        <w:ind w:left="567" w:hanging="567"/>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propone la conciliación en una audiencia previa, dejando abierta la posibilidad de aplicarla en cualquier etapa del proceso judicial, tal como se consigna en el artículo 9 del CPF, siendo posible aplicar otros mecanismos alternos de solución de conflictos regulados en la Ley 7727, Ley de Resolución Alterna de Conflictos y Promoción de la Paz Social</w:t>
      </w:r>
      <w:r w:rsidR="00945E23">
        <w:rPr>
          <w:rFonts w:ascii="Book Antiqua" w:eastAsia="Calibri" w:hAnsi="Book Antiqua" w:cs="Arial"/>
          <w:sz w:val="24"/>
          <w:szCs w:val="24"/>
          <w:lang w:eastAsia="es-CR"/>
        </w:rPr>
        <w:t>.</w:t>
      </w:r>
    </w:p>
    <w:p w14:paraId="11A246FE" w14:textId="77777777" w:rsidR="003F4542" w:rsidRPr="003F4542" w:rsidRDefault="003F4542" w:rsidP="003F4542">
      <w:pPr>
        <w:spacing w:after="0" w:line="276" w:lineRule="auto"/>
        <w:jc w:val="both"/>
        <w:rPr>
          <w:rFonts w:ascii="Book Antiqua" w:eastAsia="Calibri" w:hAnsi="Book Antiqua" w:cs="Arial"/>
          <w:sz w:val="24"/>
          <w:szCs w:val="24"/>
        </w:rPr>
      </w:pPr>
    </w:p>
    <w:p w14:paraId="198A3DBE" w14:textId="77777777" w:rsidR="003F4542" w:rsidRPr="003F4542" w:rsidRDefault="003F4542" w:rsidP="003F4542">
      <w:pPr>
        <w:spacing w:after="0" w:line="276" w:lineRule="auto"/>
        <w:jc w:val="both"/>
        <w:rPr>
          <w:rFonts w:ascii="Book Antiqua" w:eastAsia="Calibri" w:hAnsi="Book Antiqua" w:cs="Arial"/>
          <w:sz w:val="24"/>
          <w:szCs w:val="24"/>
        </w:rPr>
      </w:pPr>
      <w:r w:rsidRPr="003F4542">
        <w:rPr>
          <w:rFonts w:ascii="Book Antiqua" w:eastAsia="Calibri" w:hAnsi="Book Antiqua" w:cs="Arial"/>
          <w:sz w:val="24"/>
          <w:szCs w:val="24"/>
        </w:rPr>
        <w:t>En el siguiente diagrama se visualizan los principales cambios en el proceso general de la materia Familia.</w:t>
      </w:r>
    </w:p>
    <w:p w14:paraId="295E69B4" w14:textId="7F0DF0CC" w:rsidR="003F4542" w:rsidRDefault="003F4542" w:rsidP="00681EDC">
      <w:pPr>
        <w:rPr>
          <w:rFonts w:ascii="Book Antiqua" w:eastAsia="Calibri" w:hAnsi="Book Antiqua" w:cs="Arial"/>
          <w:sz w:val="24"/>
          <w:szCs w:val="24"/>
        </w:rPr>
      </w:pPr>
    </w:p>
    <w:p w14:paraId="54DBAF21" w14:textId="77777777" w:rsidR="00681EDC" w:rsidRDefault="00681EDC" w:rsidP="00681EDC">
      <w:pPr>
        <w:rPr>
          <w:rFonts w:ascii="Book Antiqua" w:eastAsia="Calibri" w:hAnsi="Book Antiqua" w:cs="Arial"/>
          <w:sz w:val="24"/>
          <w:szCs w:val="24"/>
        </w:rPr>
      </w:pPr>
    </w:p>
    <w:p w14:paraId="702A4017" w14:textId="77777777" w:rsidR="003E6D52" w:rsidRDefault="003E6D52" w:rsidP="00C510E7">
      <w:pPr>
        <w:spacing w:line="276" w:lineRule="auto"/>
        <w:jc w:val="center"/>
        <w:rPr>
          <w:rFonts w:ascii="Book Antiqua" w:hAnsi="Book Antiqua"/>
          <w:b/>
          <w:bCs/>
          <w:color w:val="1F497D"/>
          <w:szCs w:val="24"/>
          <w:lang w:val="es-ES" w:eastAsia="es-ES"/>
        </w:rPr>
      </w:pPr>
    </w:p>
    <w:p w14:paraId="011B3170" w14:textId="021EBC4B" w:rsidR="00C21740" w:rsidRPr="00F17227" w:rsidRDefault="00C510E7" w:rsidP="00C510E7">
      <w:pPr>
        <w:spacing w:line="276" w:lineRule="auto"/>
        <w:jc w:val="center"/>
        <w:rPr>
          <w:rFonts w:ascii="Book Antiqua" w:hAnsi="Book Antiqua"/>
          <w:b/>
          <w:bCs/>
          <w:color w:val="1F497D"/>
          <w:szCs w:val="24"/>
          <w:lang w:val="es-ES" w:eastAsia="es-ES"/>
        </w:rPr>
      </w:pPr>
      <w:r w:rsidRPr="00F17227">
        <w:rPr>
          <w:rFonts w:ascii="Book Antiqua" w:hAnsi="Book Antiqua"/>
          <w:b/>
          <w:bCs/>
          <w:color w:val="1F497D"/>
          <w:szCs w:val="24"/>
          <w:lang w:val="es-ES" w:eastAsia="es-ES"/>
        </w:rPr>
        <w:t xml:space="preserve">Figura </w:t>
      </w:r>
      <w:r w:rsidRPr="00F17227">
        <w:rPr>
          <w:rFonts w:ascii="Book Antiqua" w:hAnsi="Book Antiqua"/>
          <w:b/>
          <w:bCs/>
          <w:color w:val="1F497D"/>
          <w:szCs w:val="24"/>
          <w:lang w:val="es-ES" w:eastAsia="es-ES"/>
        </w:rPr>
        <w:fldChar w:fldCharType="begin"/>
      </w:r>
      <w:r w:rsidRPr="00F17227">
        <w:rPr>
          <w:rFonts w:ascii="Book Antiqua" w:hAnsi="Book Antiqua"/>
          <w:b/>
          <w:bCs/>
          <w:color w:val="1F497D"/>
          <w:szCs w:val="24"/>
          <w:lang w:val="es-ES" w:eastAsia="es-ES"/>
        </w:rPr>
        <w:instrText xml:space="preserve"> SEQ Figura \* ARABIC </w:instrText>
      </w:r>
      <w:r w:rsidRPr="00F17227">
        <w:rPr>
          <w:rFonts w:ascii="Book Antiqua" w:hAnsi="Book Antiqua"/>
          <w:b/>
          <w:bCs/>
          <w:color w:val="1F497D"/>
          <w:szCs w:val="24"/>
          <w:lang w:val="es-ES" w:eastAsia="es-ES"/>
        </w:rPr>
        <w:fldChar w:fldCharType="separate"/>
      </w:r>
      <w:r w:rsidR="009B739E">
        <w:rPr>
          <w:rFonts w:ascii="Book Antiqua" w:hAnsi="Book Antiqua"/>
          <w:b/>
          <w:bCs/>
          <w:noProof/>
          <w:color w:val="1F497D"/>
          <w:szCs w:val="24"/>
          <w:lang w:val="es-ES" w:eastAsia="es-ES"/>
        </w:rPr>
        <w:t>2</w:t>
      </w:r>
      <w:r w:rsidRPr="00F17227">
        <w:rPr>
          <w:rFonts w:ascii="Book Antiqua" w:hAnsi="Book Antiqua"/>
          <w:b/>
          <w:bCs/>
          <w:color w:val="1F497D"/>
          <w:szCs w:val="24"/>
          <w:lang w:val="es-ES" w:eastAsia="es-ES"/>
        </w:rPr>
        <w:fldChar w:fldCharType="end"/>
      </w:r>
      <w:r w:rsidRPr="00F17227">
        <w:rPr>
          <w:rFonts w:ascii="Book Antiqua" w:hAnsi="Book Antiqua"/>
          <w:b/>
          <w:bCs/>
          <w:color w:val="1F497D"/>
          <w:szCs w:val="24"/>
          <w:lang w:val="es-ES" w:eastAsia="es-ES"/>
        </w:rPr>
        <w:t xml:space="preserve"> Diagrama del Proceso General de materia Familia con el CPF</w:t>
      </w:r>
    </w:p>
    <w:p w14:paraId="0CB078BE" w14:textId="126CCFBC" w:rsidR="0027551B" w:rsidRDefault="0085082B" w:rsidP="0085082B">
      <w:pPr>
        <w:spacing w:line="276" w:lineRule="auto"/>
        <w:jc w:val="center"/>
        <w:rPr>
          <w:rFonts w:ascii="Book Antiqua" w:hAnsi="Book Antiqua"/>
          <w:sz w:val="24"/>
          <w:szCs w:val="24"/>
        </w:rPr>
      </w:pPr>
      <w:r w:rsidRPr="0085082B">
        <w:rPr>
          <w:rFonts w:ascii="Book Antiqua" w:eastAsia="Calibri" w:hAnsi="Book Antiqua" w:cs="Arial"/>
          <w:noProof/>
        </w:rPr>
        <w:drawing>
          <wp:inline distT="0" distB="0" distL="0" distR="0" wp14:anchorId="736A1DC9" wp14:editId="17FECF2A">
            <wp:extent cx="5612130" cy="4122420"/>
            <wp:effectExtent l="0" t="0" r="7620" b="0"/>
            <wp:docPr id="889212622" name="Picture 88921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1">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015D7B4B" w14:textId="23BC565B" w:rsidR="00B46528" w:rsidRPr="007D1674" w:rsidRDefault="004060E1" w:rsidP="00612E7C">
      <w:pPr>
        <w:spacing w:line="276" w:lineRule="auto"/>
        <w:jc w:val="center"/>
        <w:rPr>
          <w:rFonts w:ascii="Book Antiqua" w:eastAsia="Calibri" w:hAnsi="Book Antiqua" w:cs="Arial"/>
          <w:i/>
          <w:iCs/>
          <w:sz w:val="20"/>
          <w:szCs w:val="20"/>
          <w:lang w:val="es-ES_tradnl"/>
        </w:rPr>
      </w:pPr>
      <w:r w:rsidRPr="00ED2ACB">
        <w:rPr>
          <w:rFonts w:ascii="Book Antiqua" w:eastAsia="Calibri" w:hAnsi="Book Antiqua" w:cs="Arial"/>
          <w:b/>
          <w:bCs/>
          <w:i/>
          <w:iCs/>
          <w:sz w:val="20"/>
          <w:szCs w:val="20"/>
          <w:lang w:val="es-ES_tradnl"/>
        </w:rPr>
        <w:t xml:space="preserve"> </w:t>
      </w:r>
      <w:r w:rsidR="00B46528" w:rsidRPr="00ED2ACB">
        <w:rPr>
          <w:rFonts w:ascii="Book Antiqua" w:eastAsia="Calibri" w:hAnsi="Book Antiqua" w:cs="Arial"/>
          <w:b/>
          <w:bCs/>
          <w:i/>
          <w:iCs/>
          <w:sz w:val="20"/>
          <w:szCs w:val="20"/>
          <w:lang w:val="es-ES_tradnl"/>
        </w:rPr>
        <w:t>Fuente:</w:t>
      </w:r>
      <w:r w:rsidR="00B46528" w:rsidRPr="007D1674">
        <w:rPr>
          <w:rFonts w:ascii="Book Antiqua" w:eastAsia="Calibri" w:hAnsi="Book Antiqua" w:cs="Arial"/>
          <w:i/>
          <w:iCs/>
          <w:sz w:val="20"/>
          <w:szCs w:val="20"/>
          <w:lang w:val="es-ES_tradnl"/>
        </w:rPr>
        <w:t xml:space="preserve"> Sub</w:t>
      </w:r>
      <w:r w:rsidR="00B46528">
        <w:rPr>
          <w:rFonts w:ascii="Book Antiqua" w:eastAsia="Calibri" w:hAnsi="Book Antiqua" w:cs="Arial"/>
          <w:i/>
          <w:iCs/>
          <w:sz w:val="20"/>
          <w:szCs w:val="20"/>
          <w:lang w:val="es-ES_tradnl"/>
        </w:rPr>
        <w:t>p</w:t>
      </w:r>
      <w:r w:rsidR="00B46528" w:rsidRPr="007D1674">
        <w:rPr>
          <w:rFonts w:ascii="Book Antiqua" w:eastAsia="Calibri" w:hAnsi="Book Antiqua" w:cs="Arial"/>
          <w:i/>
          <w:iCs/>
          <w:sz w:val="20"/>
          <w:szCs w:val="20"/>
          <w:lang w:val="es-ES_tradnl"/>
        </w:rPr>
        <w:t>roceso de Modernización Institucional</w:t>
      </w:r>
      <w:r w:rsidR="00B46528">
        <w:rPr>
          <w:rFonts w:ascii="Book Antiqua" w:eastAsia="Calibri" w:hAnsi="Book Antiqua" w:cs="Arial"/>
          <w:i/>
          <w:iCs/>
          <w:sz w:val="20"/>
          <w:szCs w:val="20"/>
          <w:lang w:val="es-ES_tradnl"/>
        </w:rPr>
        <w:t xml:space="preserve">, </w:t>
      </w:r>
      <w:r w:rsidR="00FB27DD">
        <w:rPr>
          <w:rFonts w:ascii="Book Antiqua" w:eastAsia="Calibri" w:hAnsi="Book Antiqua" w:cs="Arial"/>
          <w:i/>
          <w:iCs/>
          <w:sz w:val="20"/>
          <w:szCs w:val="20"/>
          <w:lang w:val="es-ES_tradnl"/>
        </w:rPr>
        <w:t>levantado en conjunto con el Lic. Alberto Jiménez Mata.</w:t>
      </w:r>
    </w:p>
    <w:p w14:paraId="03786516" w14:textId="1A658BF2" w:rsidR="000F1409" w:rsidRPr="000F1409" w:rsidRDefault="000F1409" w:rsidP="000F1409">
      <w:pPr>
        <w:spacing w:after="0" w:line="276" w:lineRule="auto"/>
        <w:jc w:val="both"/>
        <w:rPr>
          <w:rFonts w:ascii="Book Antiqua" w:eastAsia="Calibri" w:hAnsi="Book Antiqua" w:cs="Arial"/>
          <w:sz w:val="24"/>
          <w:szCs w:val="24"/>
        </w:rPr>
      </w:pPr>
      <w:r w:rsidRPr="000F1409">
        <w:rPr>
          <w:rFonts w:ascii="Book Antiqua" w:eastAsia="Calibri" w:hAnsi="Book Antiqua" w:cs="Arial"/>
          <w:sz w:val="24"/>
          <w:szCs w:val="24"/>
        </w:rPr>
        <w:t xml:space="preserve">Con el nuevo proceso que se plantea con el CPF se estima que impulsará una tramitación más simple y expedita, gracias </w:t>
      </w:r>
      <w:r>
        <w:rPr>
          <w:rFonts w:ascii="Book Antiqua" w:eastAsia="Calibri" w:hAnsi="Book Antiqua" w:cs="Arial"/>
          <w:sz w:val="24"/>
          <w:szCs w:val="24"/>
        </w:rPr>
        <w:t xml:space="preserve">a </w:t>
      </w:r>
      <w:r w:rsidRPr="000F1409">
        <w:rPr>
          <w:rFonts w:ascii="Book Antiqua" w:eastAsia="Calibri" w:hAnsi="Book Antiqua" w:cs="Arial"/>
          <w:sz w:val="24"/>
          <w:szCs w:val="24"/>
        </w:rPr>
        <w:t xml:space="preserve">la realización de una audiencia inicial, se fomenta la conciliación y posibilidad de la oralidad. Adicional, </w:t>
      </w:r>
      <w:r w:rsidRPr="0054258A">
        <w:rPr>
          <w:rFonts w:ascii="Book Antiqua" w:eastAsia="Calibri" w:hAnsi="Book Antiqua" w:cs="Arial"/>
          <w:sz w:val="24"/>
          <w:szCs w:val="24"/>
        </w:rPr>
        <w:t xml:space="preserve">en el </w:t>
      </w:r>
      <w:r w:rsidRPr="0054258A">
        <w:rPr>
          <w:rFonts w:ascii="Book Antiqua" w:eastAsia="Calibri" w:hAnsi="Book Antiqua" w:cs="Arial"/>
          <w:b/>
          <w:i/>
          <w:sz w:val="24"/>
          <w:szCs w:val="24"/>
        </w:rPr>
        <w:t xml:space="preserve">anexo </w:t>
      </w:r>
      <w:r w:rsidR="000B3FC7">
        <w:rPr>
          <w:rFonts w:ascii="Book Antiqua" w:eastAsia="Calibri" w:hAnsi="Book Antiqua" w:cs="Arial"/>
          <w:b/>
          <w:i/>
          <w:sz w:val="24"/>
          <w:szCs w:val="24"/>
        </w:rPr>
        <w:t>2</w:t>
      </w:r>
      <w:r w:rsidR="000B3FC7" w:rsidRPr="0054258A">
        <w:rPr>
          <w:rFonts w:ascii="Book Antiqua" w:eastAsia="Calibri" w:hAnsi="Book Antiqua" w:cs="Arial"/>
          <w:sz w:val="24"/>
          <w:szCs w:val="24"/>
        </w:rPr>
        <w:t xml:space="preserve"> </w:t>
      </w:r>
      <w:r w:rsidRPr="0054258A">
        <w:rPr>
          <w:rFonts w:ascii="Book Antiqua" w:eastAsia="Calibri" w:hAnsi="Book Antiqua" w:cs="Arial"/>
          <w:sz w:val="24"/>
          <w:szCs w:val="24"/>
        </w:rPr>
        <w:t>se</w:t>
      </w:r>
      <w:r w:rsidRPr="000F1409">
        <w:rPr>
          <w:rFonts w:ascii="Book Antiqua" w:eastAsia="Calibri" w:hAnsi="Book Antiqua" w:cs="Arial"/>
          <w:sz w:val="24"/>
          <w:szCs w:val="24"/>
        </w:rPr>
        <w:t xml:space="preserve"> muestra el diagrama desarrollado por la Comisión de la Jurisdicción </w:t>
      </w:r>
      <w:r>
        <w:rPr>
          <w:rFonts w:ascii="Book Antiqua" w:eastAsia="Calibri" w:hAnsi="Book Antiqua" w:cs="Arial"/>
          <w:sz w:val="24"/>
          <w:szCs w:val="24"/>
        </w:rPr>
        <w:t xml:space="preserve">de </w:t>
      </w:r>
      <w:r w:rsidRPr="000F1409">
        <w:rPr>
          <w:rFonts w:ascii="Book Antiqua" w:eastAsia="Calibri" w:hAnsi="Book Antiqua" w:cs="Arial"/>
          <w:sz w:val="24"/>
          <w:szCs w:val="24"/>
        </w:rPr>
        <w:t>Familia</w:t>
      </w:r>
      <w:r>
        <w:rPr>
          <w:rFonts w:ascii="Book Antiqua" w:eastAsia="Calibri" w:hAnsi="Book Antiqua" w:cs="Arial"/>
          <w:sz w:val="24"/>
          <w:szCs w:val="24"/>
        </w:rPr>
        <w:t>,</w:t>
      </w:r>
      <w:r w:rsidRPr="000F1409">
        <w:rPr>
          <w:rFonts w:ascii="Book Antiqua" w:eastAsia="Calibri" w:hAnsi="Book Antiqua" w:cs="Arial"/>
          <w:sz w:val="24"/>
          <w:szCs w:val="24"/>
        </w:rPr>
        <w:t xml:space="preserve"> Niñez y Adolescencia.</w:t>
      </w:r>
    </w:p>
    <w:p w14:paraId="3CCAB1D1" w14:textId="77777777" w:rsidR="000F1409" w:rsidRPr="000F1409" w:rsidRDefault="000F1409" w:rsidP="000F1409">
      <w:pPr>
        <w:spacing w:after="0" w:line="276" w:lineRule="auto"/>
        <w:jc w:val="both"/>
        <w:rPr>
          <w:rFonts w:ascii="Book Antiqua" w:eastAsia="Calibri" w:hAnsi="Book Antiqua" w:cs="Arial"/>
          <w:sz w:val="24"/>
          <w:szCs w:val="24"/>
        </w:rPr>
      </w:pPr>
    </w:p>
    <w:p w14:paraId="47147AF0" w14:textId="382CBD25" w:rsidR="00681EDC" w:rsidRDefault="000F1409" w:rsidP="000F1409">
      <w:pPr>
        <w:spacing w:after="0" w:line="276" w:lineRule="auto"/>
        <w:jc w:val="both"/>
        <w:rPr>
          <w:rFonts w:ascii="Book Antiqua" w:eastAsia="Calibri" w:hAnsi="Book Antiqua" w:cs="Arial"/>
          <w:sz w:val="24"/>
          <w:szCs w:val="24"/>
        </w:rPr>
      </w:pPr>
      <w:r w:rsidRPr="000F1409">
        <w:rPr>
          <w:rFonts w:ascii="Book Antiqua" w:eastAsia="Calibri" w:hAnsi="Book Antiqua" w:cs="Arial"/>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16AE5164" w14:textId="52426842" w:rsidR="0093653B" w:rsidRPr="00681EDC" w:rsidRDefault="00681EDC" w:rsidP="00681EDC">
      <w:pPr>
        <w:rPr>
          <w:rFonts w:ascii="Book Antiqua" w:eastAsia="Calibri" w:hAnsi="Book Antiqua" w:cs="Arial"/>
          <w:sz w:val="24"/>
          <w:szCs w:val="24"/>
        </w:rPr>
      </w:pPr>
      <w:r>
        <w:rPr>
          <w:rFonts w:ascii="Book Antiqua" w:eastAsia="Calibri" w:hAnsi="Book Antiqua" w:cs="Arial"/>
          <w:sz w:val="24"/>
          <w:szCs w:val="24"/>
        </w:rPr>
        <w:br w:type="page"/>
      </w:r>
    </w:p>
    <w:p w14:paraId="5779FEFC" w14:textId="57133392" w:rsidR="004E69AF" w:rsidRPr="004E69AF" w:rsidRDefault="004E69AF" w:rsidP="004E69AF">
      <w:pPr>
        <w:spacing w:after="0" w:line="276" w:lineRule="auto"/>
        <w:jc w:val="both"/>
        <w:rPr>
          <w:rFonts w:ascii="Book Antiqua" w:eastAsia="Calibri" w:hAnsi="Book Antiqua" w:cs="Arial"/>
          <w:b/>
          <w:bCs/>
          <w:i/>
          <w:iCs/>
          <w:sz w:val="24"/>
          <w:szCs w:val="24"/>
        </w:rPr>
      </w:pPr>
      <w:r w:rsidRPr="004E69AF">
        <w:rPr>
          <w:rFonts w:ascii="Book Antiqua" w:eastAsia="Calibri" w:hAnsi="Book Antiqua" w:cs="Arial"/>
          <w:b/>
          <w:bCs/>
          <w:i/>
          <w:iCs/>
          <w:sz w:val="24"/>
          <w:szCs w:val="24"/>
        </w:rPr>
        <w:t>Duración de los procesos</w:t>
      </w:r>
    </w:p>
    <w:p w14:paraId="7E37E016" w14:textId="77777777" w:rsidR="004E69AF" w:rsidRPr="004E69AF" w:rsidRDefault="004E69AF" w:rsidP="004E69AF">
      <w:pPr>
        <w:spacing w:after="0" w:line="276" w:lineRule="auto"/>
        <w:jc w:val="both"/>
        <w:rPr>
          <w:rFonts w:ascii="Book Antiqua" w:eastAsia="Calibri" w:hAnsi="Book Antiqua" w:cs="Arial"/>
          <w:b/>
          <w:bCs/>
          <w:i/>
          <w:iCs/>
          <w:sz w:val="24"/>
          <w:szCs w:val="24"/>
        </w:rPr>
      </w:pPr>
    </w:p>
    <w:p w14:paraId="409CA454" w14:textId="39141F0E" w:rsidR="004E69AF" w:rsidRPr="004E69AF" w:rsidRDefault="004E69AF" w:rsidP="004E69AF">
      <w:pPr>
        <w:spacing w:after="0" w:line="276" w:lineRule="auto"/>
        <w:jc w:val="both"/>
        <w:rPr>
          <w:rFonts w:ascii="Book Antiqua" w:eastAsia="Calibri" w:hAnsi="Book Antiqua" w:cs="Arial"/>
          <w:sz w:val="24"/>
          <w:szCs w:val="24"/>
        </w:rPr>
      </w:pPr>
      <w:r w:rsidRPr="004E69AF">
        <w:rPr>
          <w:rFonts w:ascii="Book Antiqua" w:eastAsia="Calibri" w:hAnsi="Book Antiqua" w:cs="Arial"/>
          <w:sz w:val="24"/>
          <w:szCs w:val="24"/>
        </w:rPr>
        <w:t>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 personas juzgadoras en materia de Familia</w:t>
      </w:r>
      <w:r w:rsidR="00BE7FC7">
        <w:rPr>
          <w:rFonts w:ascii="Book Antiqua" w:eastAsia="Calibri" w:hAnsi="Book Antiqua" w:cs="Arial"/>
          <w:sz w:val="24"/>
          <w:szCs w:val="24"/>
        </w:rPr>
        <w:t>, circulares 96 y 213-2021</w:t>
      </w:r>
      <w:r w:rsidR="00800888">
        <w:rPr>
          <w:rFonts w:ascii="Book Antiqua" w:eastAsia="Calibri" w:hAnsi="Book Antiqua" w:cs="Arial"/>
          <w:sz w:val="24"/>
          <w:szCs w:val="24"/>
        </w:rPr>
        <w:t>.</w:t>
      </w:r>
    </w:p>
    <w:p w14:paraId="5458F990" w14:textId="77777777" w:rsidR="004E69AF" w:rsidRPr="004E69AF" w:rsidRDefault="004E69AF" w:rsidP="004E69AF">
      <w:pPr>
        <w:spacing w:after="0" w:line="276" w:lineRule="auto"/>
        <w:jc w:val="both"/>
        <w:rPr>
          <w:rFonts w:ascii="Book Antiqua" w:eastAsia="Calibri" w:hAnsi="Book Antiqua" w:cs="Arial"/>
          <w:sz w:val="24"/>
          <w:szCs w:val="24"/>
        </w:rPr>
      </w:pPr>
    </w:p>
    <w:p w14:paraId="0AEBE295" w14:textId="408CA24B" w:rsidR="00262B68" w:rsidRPr="00262B68" w:rsidRDefault="00262B68" w:rsidP="00262B68">
      <w:pPr>
        <w:spacing w:after="0" w:line="276" w:lineRule="auto"/>
        <w:jc w:val="both"/>
        <w:rPr>
          <w:rFonts w:ascii="Book Antiqua" w:eastAsia="Calibri" w:hAnsi="Book Antiqua" w:cs="Arial"/>
          <w:sz w:val="24"/>
          <w:szCs w:val="24"/>
        </w:rPr>
      </w:pPr>
      <w:r w:rsidRPr="00262B68">
        <w:rPr>
          <w:rFonts w:ascii="Book Antiqua" w:eastAsia="Calibri" w:hAnsi="Book Antiqua" w:cs="Arial"/>
          <w:sz w:val="24"/>
          <w:szCs w:val="24"/>
        </w:rPr>
        <w:t xml:space="preserve">Adicionalmente, se </w:t>
      </w:r>
      <w:r w:rsidR="00606C8A" w:rsidRPr="00262B68">
        <w:rPr>
          <w:rFonts w:ascii="Book Antiqua" w:eastAsia="Calibri" w:hAnsi="Book Antiqua" w:cs="Arial"/>
          <w:sz w:val="24"/>
          <w:szCs w:val="24"/>
        </w:rPr>
        <w:t>diagra</w:t>
      </w:r>
      <w:r w:rsidR="00606C8A">
        <w:rPr>
          <w:rFonts w:ascii="Book Antiqua" w:eastAsia="Calibri" w:hAnsi="Book Antiqua" w:cs="Arial"/>
          <w:sz w:val="24"/>
          <w:szCs w:val="24"/>
        </w:rPr>
        <w:t>maron</w:t>
      </w:r>
      <w:r w:rsidRPr="00262B68">
        <w:rPr>
          <w:rFonts w:ascii="Book Antiqua" w:eastAsia="Calibri" w:hAnsi="Book Antiqua" w:cs="Arial"/>
          <w:sz w:val="24"/>
          <w:szCs w:val="24"/>
        </w:rPr>
        <w:t xml:space="preserve"> los principales procesos en materia de Familia con el apoyo del Lic. Cristian Martínez Hernández, Juez Gestor de Familia del Centro de Apoyo, Coordinación y Mejoramiento de la Función Jurisdiccional con la duración de cada </w:t>
      </w:r>
      <w:r w:rsidRPr="0054258A">
        <w:rPr>
          <w:rFonts w:ascii="Book Antiqua" w:eastAsia="Calibri" w:hAnsi="Book Antiqua" w:cs="Arial"/>
          <w:sz w:val="24"/>
          <w:szCs w:val="24"/>
        </w:rPr>
        <w:t xml:space="preserve">etapa (ver </w:t>
      </w:r>
      <w:r w:rsidRPr="0054258A">
        <w:rPr>
          <w:rFonts w:ascii="Book Antiqua" w:eastAsia="Calibri" w:hAnsi="Book Antiqua" w:cs="Arial"/>
          <w:b/>
          <w:bCs/>
          <w:i/>
          <w:iCs/>
          <w:sz w:val="24"/>
          <w:szCs w:val="24"/>
        </w:rPr>
        <w:t xml:space="preserve">anexo </w:t>
      </w:r>
      <w:r w:rsidR="000B3FC7">
        <w:rPr>
          <w:rFonts w:ascii="Book Antiqua" w:eastAsia="Calibri" w:hAnsi="Book Antiqua" w:cs="Arial"/>
          <w:b/>
          <w:bCs/>
          <w:i/>
          <w:iCs/>
          <w:sz w:val="24"/>
          <w:szCs w:val="24"/>
        </w:rPr>
        <w:t>3</w:t>
      </w:r>
      <w:r w:rsidRPr="0054258A">
        <w:rPr>
          <w:rFonts w:ascii="Book Antiqua" w:eastAsia="Calibri" w:hAnsi="Book Antiqua" w:cs="Arial"/>
          <w:sz w:val="24"/>
          <w:szCs w:val="24"/>
        </w:rPr>
        <w:t>).</w:t>
      </w:r>
      <w:r w:rsidRPr="00262B68">
        <w:rPr>
          <w:rFonts w:ascii="Book Antiqua" w:eastAsia="Calibri" w:hAnsi="Book Antiqua" w:cs="Arial"/>
          <w:sz w:val="24"/>
          <w:szCs w:val="24"/>
        </w:rPr>
        <w:t xml:space="preserve"> </w:t>
      </w:r>
    </w:p>
    <w:p w14:paraId="1660285A" w14:textId="77777777" w:rsidR="00262B68" w:rsidRPr="00262B68" w:rsidRDefault="00262B68" w:rsidP="00262B68">
      <w:pPr>
        <w:spacing w:after="0" w:line="276" w:lineRule="auto"/>
        <w:jc w:val="center"/>
        <w:rPr>
          <w:rFonts w:ascii="Book Antiqua" w:eastAsia="Calibri" w:hAnsi="Book Antiqua" w:cs="Arial"/>
          <w:sz w:val="24"/>
          <w:szCs w:val="24"/>
        </w:rPr>
      </w:pPr>
    </w:p>
    <w:p w14:paraId="4869C0B6" w14:textId="77777777" w:rsidR="00CB4880" w:rsidRPr="00CB4880" w:rsidRDefault="00CB4880" w:rsidP="00CB4880">
      <w:pPr>
        <w:spacing w:after="0" w:line="276" w:lineRule="auto"/>
        <w:jc w:val="both"/>
        <w:rPr>
          <w:rFonts w:ascii="Book Antiqua" w:eastAsia="Calibri" w:hAnsi="Book Antiqua" w:cs="Arial"/>
          <w:b/>
          <w:bCs/>
          <w:i/>
          <w:iCs/>
          <w:sz w:val="24"/>
          <w:szCs w:val="24"/>
        </w:rPr>
      </w:pPr>
      <w:r w:rsidRPr="00CB4880">
        <w:rPr>
          <w:rFonts w:ascii="Book Antiqua" w:eastAsia="Calibri" w:hAnsi="Book Antiqua" w:cs="Arial"/>
          <w:b/>
          <w:bCs/>
          <w:i/>
          <w:iCs/>
          <w:sz w:val="24"/>
          <w:szCs w:val="24"/>
        </w:rPr>
        <w:t>Reparto de los procesos</w:t>
      </w:r>
    </w:p>
    <w:p w14:paraId="1C12DC8D" w14:textId="77777777" w:rsidR="00CB4880" w:rsidRPr="00CB4880" w:rsidRDefault="00CB4880" w:rsidP="00CB4880">
      <w:pPr>
        <w:spacing w:after="0" w:line="276" w:lineRule="auto"/>
        <w:jc w:val="both"/>
        <w:rPr>
          <w:rFonts w:ascii="Book Antiqua" w:eastAsia="Calibri" w:hAnsi="Book Antiqua" w:cs="Arial"/>
          <w:b/>
          <w:bCs/>
          <w:i/>
          <w:iCs/>
          <w:sz w:val="24"/>
          <w:szCs w:val="24"/>
        </w:rPr>
      </w:pPr>
    </w:p>
    <w:p w14:paraId="1AA3C186" w14:textId="73FEB78D" w:rsidR="00CB4880" w:rsidRP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 xml:space="preserve">En atención a la recomendación 4.6 de la Contraloría General de la República, se </w:t>
      </w:r>
      <w:r w:rsidR="00D60425">
        <w:rPr>
          <w:rFonts w:ascii="Book Antiqua" w:eastAsia="Calibri" w:hAnsi="Book Antiqua" w:cs="Arial"/>
          <w:sz w:val="24"/>
          <w:szCs w:val="24"/>
        </w:rPr>
        <w:t xml:space="preserve">configuró </w:t>
      </w:r>
      <w:r w:rsidR="00D60425" w:rsidRPr="00CB4880">
        <w:rPr>
          <w:rFonts w:ascii="Book Antiqua" w:eastAsia="Calibri" w:hAnsi="Book Antiqua" w:cs="Arial"/>
          <w:sz w:val="24"/>
          <w:szCs w:val="24"/>
        </w:rPr>
        <w:t>el</w:t>
      </w:r>
      <w:r w:rsidRPr="00CB4880">
        <w:rPr>
          <w:rFonts w:ascii="Book Antiqua" w:eastAsia="Calibri" w:hAnsi="Book Antiqua" w:cs="Arial"/>
          <w:sz w:val="24"/>
          <w:szCs w:val="24"/>
        </w:rPr>
        <w:t xml:space="preserve"> reparto automático en los Juzgados de Familia a nivel nacional por </w:t>
      </w:r>
      <w:r w:rsidRPr="00CB4880">
        <w:rPr>
          <w:rFonts w:ascii="Book Antiqua" w:eastAsia="Calibri" w:hAnsi="Book Antiqua" w:cs="Arial"/>
          <w:b/>
          <w:bCs/>
          <w:i/>
          <w:iCs/>
          <w:sz w:val="24"/>
          <w:szCs w:val="24"/>
        </w:rPr>
        <w:t xml:space="preserve">“clase de asunto”. </w:t>
      </w:r>
      <w:r w:rsidRPr="00CB4880">
        <w:rPr>
          <w:rFonts w:ascii="Book Antiqua" w:eastAsia="Calibri" w:hAnsi="Book Antiqua" w:cs="Arial"/>
          <w:sz w:val="24"/>
          <w:szCs w:val="24"/>
        </w:rPr>
        <w:t>Solo en algunos casos particulares, en donde por estructura haya una persona especializada en conocer procesos por separación o divorcio por mutuo consentimiento se realiza el reparto por una tejedora manual.</w:t>
      </w:r>
    </w:p>
    <w:p w14:paraId="17440348" w14:textId="77777777" w:rsidR="00CB4880" w:rsidRPr="00CB4880" w:rsidRDefault="00CB4880" w:rsidP="00CB4880">
      <w:pPr>
        <w:spacing w:after="0" w:line="276" w:lineRule="auto"/>
        <w:jc w:val="both"/>
        <w:rPr>
          <w:rFonts w:ascii="Book Antiqua" w:eastAsia="Calibri" w:hAnsi="Book Antiqua" w:cs="Arial"/>
          <w:sz w:val="24"/>
          <w:szCs w:val="24"/>
        </w:rPr>
      </w:pPr>
    </w:p>
    <w:p w14:paraId="273E8D37" w14:textId="225CED09" w:rsid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Sin embargo, se coordin</w:t>
      </w:r>
      <w:r w:rsidR="0045294E">
        <w:rPr>
          <w:rFonts w:ascii="Book Antiqua" w:eastAsia="Calibri" w:hAnsi="Book Antiqua" w:cs="Arial"/>
          <w:sz w:val="24"/>
          <w:szCs w:val="24"/>
        </w:rPr>
        <w:t>ó</w:t>
      </w:r>
      <w:r w:rsidRPr="00CB4880">
        <w:rPr>
          <w:rFonts w:ascii="Book Antiqua" w:eastAsia="Calibri" w:hAnsi="Book Antiqua" w:cs="Arial"/>
          <w:sz w:val="24"/>
          <w:szCs w:val="24"/>
        </w:rPr>
        <w:t xml:space="preserve"> con la Dirección de Tecnología de la Información </w:t>
      </w:r>
      <w:r w:rsidR="0045294E">
        <w:rPr>
          <w:rFonts w:ascii="Book Antiqua" w:eastAsia="Calibri" w:hAnsi="Book Antiqua" w:cs="Arial"/>
          <w:sz w:val="24"/>
          <w:szCs w:val="24"/>
        </w:rPr>
        <w:t xml:space="preserve">y Comunicaciones, </w:t>
      </w:r>
      <w:r w:rsidRPr="00CB4880">
        <w:rPr>
          <w:rFonts w:ascii="Book Antiqua" w:eastAsia="Calibri" w:hAnsi="Book Antiqua" w:cs="Arial"/>
          <w:sz w:val="24"/>
          <w:szCs w:val="24"/>
        </w:rPr>
        <w:t>la aplicación del reparto por “</w:t>
      </w:r>
      <w:r w:rsidRPr="00CB4880">
        <w:rPr>
          <w:rFonts w:ascii="Book Antiqua" w:eastAsia="Calibri" w:hAnsi="Book Antiqua" w:cs="Arial"/>
          <w:b/>
          <w:bCs/>
          <w:i/>
          <w:iCs/>
          <w:sz w:val="24"/>
          <w:szCs w:val="24"/>
        </w:rPr>
        <w:t>procedimiento</w:t>
      </w:r>
      <w:r w:rsidRPr="00CB4880">
        <w:rPr>
          <w:rFonts w:ascii="Book Antiqua" w:eastAsia="Calibri" w:hAnsi="Book Antiqua" w:cs="Arial"/>
          <w:sz w:val="24"/>
          <w:szCs w:val="24"/>
        </w:rPr>
        <w:t>”</w:t>
      </w:r>
      <w:r w:rsidR="00BE7FC7">
        <w:rPr>
          <w:rFonts w:ascii="Book Antiqua" w:eastAsia="Calibri" w:hAnsi="Book Antiqua" w:cs="Arial"/>
          <w:sz w:val="24"/>
          <w:szCs w:val="24"/>
        </w:rPr>
        <w:t xml:space="preserve">, </w:t>
      </w:r>
      <w:r w:rsidR="0045294E">
        <w:rPr>
          <w:rFonts w:ascii="Book Antiqua" w:eastAsia="Calibri" w:hAnsi="Book Antiqua" w:cs="Arial"/>
          <w:sz w:val="24"/>
          <w:szCs w:val="24"/>
        </w:rPr>
        <w:t xml:space="preserve">por lo que </w:t>
      </w:r>
      <w:r w:rsidR="00BE7FC7">
        <w:rPr>
          <w:rFonts w:ascii="Book Antiqua" w:eastAsia="Calibri" w:hAnsi="Book Antiqua" w:cs="Arial"/>
          <w:sz w:val="24"/>
          <w:szCs w:val="24"/>
        </w:rPr>
        <w:t xml:space="preserve">una vez lista la mejora por parte de la Dirección de Tecnología </w:t>
      </w:r>
      <w:r w:rsidR="0045294E">
        <w:rPr>
          <w:rFonts w:ascii="Book Antiqua" w:eastAsia="Calibri" w:hAnsi="Book Antiqua" w:cs="Arial"/>
          <w:sz w:val="24"/>
          <w:szCs w:val="24"/>
        </w:rPr>
        <w:t>se implantará en los juzgados de Familia</w:t>
      </w:r>
      <w:r w:rsidRPr="00CB4880">
        <w:rPr>
          <w:rFonts w:ascii="Book Antiqua" w:eastAsia="Calibri" w:hAnsi="Book Antiqua" w:cs="Arial"/>
          <w:sz w:val="24"/>
          <w:szCs w:val="24"/>
        </w:rPr>
        <w:t xml:space="preserve">.  </w:t>
      </w:r>
    </w:p>
    <w:p w14:paraId="0BF597D1" w14:textId="77777777" w:rsidR="00012593" w:rsidRPr="00CB4880" w:rsidRDefault="00012593" w:rsidP="00CB4880">
      <w:pPr>
        <w:spacing w:after="0" w:line="276" w:lineRule="auto"/>
        <w:jc w:val="both"/>
        <w:rPr>
          <w:rFonts w:ascii="Book Antiqua" w:eastAsia="Calibri" w:hAnsi="Book Antiqua" w:cs="Arial"/>
          <w:sz w:val="24"/>
          <w:szCs w:val="24"/>
        </w:rPr>
      </w:pPr>
    </w:p>
    <w:p w14:paraId="25BC4954" w14:textId="77777777" w:rsidR="00CB4880" w:rsidRP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Lo anterior, considerando el criterio experto de las personas juzgadoras en familia según informe 1212-PLA-EV-2020.</w:t>
      </w:r>
    </w:p>
    <w:p w14:paraId="4355E6E5" w14:textId="77777777" w:rsidR="00CB4880" w:rsidRPr="00CB4880" w:rsidRDefault="00CB4880" w:rsidP="00CB4880">
      <w:pPr>
        <w:spacing w:after="0" w:line="276" w:lineRule="auto"/>
        <w:jc w:val="both"/>
        <w:rPr>
          <w:rFonts w:ascii="Book Antiqua" w:eastAsia="Calibri" w:hAnsi="Book Antiqua" w:cs="Arial"/>
          <w:sz w:val="24"/>
          <w:szCs w:val="24"/>
        </w:rPr>
      </w:pPr>
    </w:p>
    <w:p w14:paraId="5002A73E" w14:textId="68D78371" w:rsidR="00CB4880" w:rsidRDefault="00CB4880" w:rsidP="00CB4880">
      <w:pPr>
        <w:spacing w:after="0" w:line="276" w:lineRule="auto"/>
        <w:jc w:val="both"/>
        <w:rPr>
          <w:rFonts w:ascii="Book Antiqua" w:eastAsia="Calibri" w:hAnsi="Book Antiqua" w:cs="Arial"/>
          <w:b/>
          <w:bCs/>
          <w:i/>
          <w:iCs/>
          <w:sz w:val="24"/>
          <w:szCs w:val="24"/>
        </w:rPr>
      </w:pPr>
      <w:r w:rsidRPr="000645CE">
        <w:rPr>
          <w:rFonts w:ascii="Book Antiqua" w:eastAsia="Calibri" w:hAnsi="Book Antiqua" w:cs="Arial"/>
          <w:sz w:val="24"/>
          <w:szCs w:val="24"/>
        </w:rPr>
        <w:t xml:space="preserve">Cabe mencionar que </w:t>
      </w:r>
      <w:r w:rsidR="00B17D8E">
        <w:rPr>
          <w:rFonts w:ascii="Book Antiqua" w:eastAsia="Calibri" w:hAnsi="Book Antiqua" w:cs="Arial"/>
          <w:sz w:val="24"/>
          <w:szCs w:val="24"/>
        </w:rPr>
        <w:t xml:space="preserve">esta </w:t>
      </w:r>
      <w:r w:rsidRPr="000645CE">
        <w:rPr>
          <w:rFonts w:ascii="Book Antiqua" w:eastAsia="Calibri" w:hAnsi="Book Antiqua" w:cs="Arial"/>
          <w:sz w:val="24"/>
          <w:szCs w:val="24"/>
        </w:rPr>
        <w:t xml:space="preserve">Dirección </w:t>
      </w:r>
      <w:r w:rsidR="00B17D8E">
        <w:rPr>
          <w:rFonts w:ascii="Book Antiqua" w:eastAsia="Calibri" w:hAnsi="Book Antiqua" w:cs="Arial"/>
          <w:sz w:val="24"/>
          <w:szCs w:val="24"/>
        </w:rPr>
        <w:t xml:space="preserve">coordinó </w:t>
      </w:r>
      <w:r w:rsidRPr="000645CE">
        <w:rPr>
          <w:rFonts w:ascii="Book Antiqua" w:eastAsia="Calibri" w:hAnsi="Book Antiqua" w:cs="Arial"/>
          <w:sz w:val="24"/>
          <w:szCs w:val="24"/>
        </w:rPr>
        <w:t xml:space="preserve">con la Dirección de Tecnología de la Información </w:t>
      </w:r>
      <w:r w:rsidR="00B17D8E">
        <w:rPr>
          <w:rFonts w:ascii="Book Antiqua" w:eastAsia="Calibri" w:hAnsi="Book Antiqua" w:cs="Arial"/>
          <w:sz w:val="24"/>
          <w:szCs w:val="24"/>
        </w:rPr>
        <w:t xml:space="preserve">y Comunicaciones </w:t>
      </w:r>
      <w:r w:rsidRPr="000645CE">
        <w:rPr>
          <w:rFonts w:ascii="Book Antiqua" w:eastAsia="Calibri" w:hAnsi="Book Antiqua" w:cs="Arial"/>
          <w:sz w:val="24"/>
          <w:szCs w:val="24"/>
        </w:rPr>
        <w:t>una mejora al “</w:t>
      </w:r>
      <w:r w:rsidRPr="000645CE">
        <w:rPr>
          <w:rFonts w:ascii="Book Antiqua" w:eastAsia="Calibri" w:hAnsi="Book Antiqua" w:cs="Arial"/>
          <w:i/>
          <w:iCs/>
          <w:sz w:val="24"/>
          <w:szCs w:val="24"/>
        </w:rPr>
        <w:t>reparto por procedimiento”</w:t>
      </w:r>
      <w:r w:rsidRPr="000645CE">
        <w:rPr>
          <w:rFonts w:ascii="Book Antiqua" w:eastAsia="Calibri" w:hAnsi="Book Antiqua" w:cs="Arial"/>
          <w:sz w:val="24"/>
          <w:szCs w:val="24"/>
        </w:rPr>
        <w:t xml:space="preserve"> (para que los reentrados no ingresen al rol de reparto o variaciones por cambios de procedimientos posteriores</w:t>
      </w:r>
      <w:r w:rsidR="008B26B0">
        <w:rPr>
          <w:rStyle w:val="Refdenotaalpie"/>
          <w:rFonts w:ascii="Book Antiqua" w:eastAsia="Calibri" w:hAnsi="Book Antiqua" w:cs="Arial"/>
          <w:b/>
          <w:bCs/>
          <w:i/>
          <w:iCs/>
          <w:sz w:val="24"/>
          <w:szCs w:val="24"/>
        </w:rPr>
        <w:footnoteReference w:id="11"/>
      </w:r>
      <w:r w:rsidR="0018628E">
        <w:rPr>
          <w:rFonts w:ascii="Book Antiqua" w:eastAsia="Calibri" w:hAnsi="Book Antiqua" w:cs="Arial"/>
          <w:b/>
          <w:bCs/>
          <w:i/>
          <w:iCs/>
          <w:sz w:val="24"/>
          <w:szCs w:val="24"/>
        </w:rPr>
        <w:t>).</w:t>
      </w:r>
    </w:p>
    <w:p w14:paraId="39654170" w14:textId="77777777" w:rsidR="0054258A" w:rsidRPr="00CB4880" w:rsidRDefault="0054258A" w:rsidP="00CB4880">
      <w:pPr>
        <w:spacing w:after="0" w:line="276" w:lineRule="auto"/>
        <w:jc w:val="both"/>
        <w:rPr>
          <w:rFonts w:ascii="Book Antiqua" w:eastAsia="Calibri" w:hAnsi="Book Antiqua" w:cs="Arial"/>
          <w:sz w:val="24"/>
          <w:szCs w:val="24"/>
        </w:rPr>
      </w:pPr>
    </w:p>
    <w:p w14:paraId="40EA7E72" w14:textId="77777777" w:rsidR="00AE6703" w:rsidRPr="0054258A" w:rsidRDefault="00AE6703"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Estructura Organizacional y Funciones</w:t>
      </w:r>
    </w:p>
    <w:p w14:paraId="7F01AE35" w14:textId="77777777" w:rsidR="00AE6703" w:rsidRPr="00AE6703" w:rsidRDefault="00AE6703" w:rsidP="00AE6703">
      <w:pPr>
        <w:spacing w:after="0" w:line="276" w:lineRule="auto"/>
        <w:jc w:val="both"/>
        <w:rPr>
          <w:rFonts w:ascii="Book Antiqua" w:eastAsia="Calibri" w:hAnsi="Book Antiqua" w:cs="Arial"/>
          <w:sz w:val="24"/>
          <w:szCs w:val="24"/>
        </w:rPr>
      </w:pPr>
    </w:p>
    <w:p w14:paraId="0FF4448E" w14:textId="77777777" w:rsidR="004F1144" w:rsidRPr="004F1144" w:rsidRDefault="004F1144" w:rsidP="004F1144">
      <w:pPr>
        <w:spacing w:after="0" w:line="276" w:lineRule="auto"/>
        <w:jc w:val="both"/>
        <w:rPr>
          <w:rFonts w:ascii="Book Antiqua" w:eastAsia="Calibri" w:hAnsi="Book Antiqua" w:cs="Arial"/>
          <w:sz w:val="24"/>
          <w:szCs w:val="24"/>
        </w:rPr>
      </w:pPr>
      <w:r w:rsidRPr="004F1144">
        <w:rPr>
          <w:rFonts w:ascii="Book Antiqua" w:eastAsia="Calibri" w:hAnsi="Book Antiqua" w:cs="Arial"/>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28F6ADDD" w14:textId="77777777" w:rsidR="004F1144" w:rsidRPr="004F1144" w:rsidRDefault="004F1144" w:rsidP="004F1144">
      <w:pPr>
        <w:spacing w:after="0" w:line="276" w:lineRule="auto"/>
        <w:jc w:val="both"/>
        <w:rPr>
          <w:rFonts w:ascii="Book Antiqua" w:eastAsia="Calibri" w:hAnsi="Book Antiqua" w:cs="Arial"/>
          <w:sz w:val="24"/>
          <w:szCs w:val="24"/>
        </w:rPr>
      </w:pPr>
    </w:p>
    <w:p w14:paraId="1A78CC8E" w14:textId="46D8E98B" w:rsidR="004F1144" w:rsidRPr="004F1144" w:rsidRDefault="004F1144" w:rsidP="004F114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F1144">
        <w:rPr>
          <w:rFonts w:ascii="Book Antiqua" w:eastAsia="Calibri" w:hAnsi="Book Antiqua" w:cs="Arial"/>
          <w:b/>
          <w:bCs/>
          <w:color w:val="1F497D"/>
          <w:szCs w:val="24"/>
          <w:lang w:val="es-ES" w:eastAsia="es-ES"/>
        </w:rPr>
        <w:t xml:space="preserve">Cuadro </w:t>
      </w:r>
      <w:r w:rsidRPr="004F1144">
        <w:rPr>
          <w:rFonts w:ascii="Book Antiqua" w:eastAsia="Calibri" w:hAnsi="Book Antiqua" w:cs="Arial"/>
          <w:b/>
          <w:bCs/>
          <w:color w:val="1F497D"/>
          <w:szCs w:val="24"/>
          <w:lang w:val="es-ES" w:eastAsia="es-ES"/>
        </w:rPr>
        <w:fldChar w:fldCharType="begin"/>
      </w:r>
      <w:r w:rsidRPr="004F1144">
        <w:rPr>
          <w:rFonts w:ascii="Book Antiqua" w:eastAsia="Calibri" w:hAnsi="Book Antiqua" w:cs="Arial"/>
          <w:b/>
          <w:bCs/>
          <w:color w:val="1F497D"/>
          <w:szCs w:val="24"/>
          <w:lang w:val="es-ES" w:eastAsia="es-ES"/>
        </w:rPr>
        <w:instrText xml:space="preserve"> SEQ Cuadro \* ARABIC </w:instrText>
      </w:r>
      <w:r w:rsidRPr="004F1144">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13</w:t>
      </w:r>
      <w:r w:rsidRPr="004F1144">
        <w:rPr>
          <w:rFonts w:ascii="Book Antiqua" w:eastAsia="Calibri" w:hAnsi="Book Antiqua" w:cs="Arial"/>
          <w:b/>
          <w:bCs/>
          <w:color w:val="1F497D"/>
          <w:szCs w:val="24"/>
          <w:lang w:val="es-ES" w:eastAsia="es-ES"/>
        </w:rPr>
        <w:fldChar w:fldCharType="end"/>
      </w:r>
    </w:p>
    <w:p w14:paraId="274C3230" w14:textId="77777777" w:rsidR="004F1144" w:rsidRPr="004F1144" w:rsidRDefault="004F1144" w:rsidP="004F1144">
      <w:pPr>
        <w:keepNext/>
        <w:numPr>
          <w:ilvl w:val="12"/>
          <w:numId w:val="0"/>
        </w:numPr>
        <w:spacing w:after="0" w:line="276" w:lineRule="auto"/>
        <w:jc w:val="center"/>
        <w:rPr>
          <w:rFonts w:ascii="Book Antiqua" w:eastAsia="Times New Roman" w:hAnsi="Book Antiqua" w:cs="Arial"/>
          <w:b/>
          <w:bCs/>
          <w:color w:val="1F497D"/>
          <w:szCs w:val="24"/>
          <w:lang w:val="es-ES" w:eastAsia="es-ES"/>
        </w:rPr>
      </w:pPr>
      <w:r w:rsidRPr="004F1144">
        <w:rPr>
          <w:rFonts w:ascii="Book Antiqua" w:eastAsia="Calibri" w:hAnsi="Book Antiqua" w:cs="Arial"/>
          <w:b/>
          <w:bCs/>
          <w:color w:val="1F497D"/>
          <w:szCs w:val="24"/>
          <w:lang w:val="es-ES" w:eastAsia="es-ES"/>
        </w:rPr>
        <w:t>Cantidad de puestos de trabajo en los Juzgados Especializados</w:t>
      </w:r>
    </w:p>
    <w:p w14:paraId="312E23AB" w14:textId="3D37AB06" w:rsidR="004F1144" w:rsidRPr="004F1144" w:rsidRDefault="004F1144" w:rsidP="004F1144">
      <w:pPr>
        <w:keepNext/>
        <w:numPr>
          <w:ilvl w:val="12"/>
          <w:numId w:val="0"/>
        </w:numPr>
        <w:spacing w:after="0" w:line="276" w:lineRule="auto"/>
        <w:jc w:val="center"/>
        <w:rPr>
          <w:rFonts w:ascii="Book Antiqua" w:eastAsia="Times New Roman" w:hAnsi="Book Antiqua" w:cs="Arial"/>
          <w:b/>
          <w:bCs/>
          <w:color w:val="1F497D"/>
          <w:szCs w:val="24"/>
          <w:lang w:val="es-ES" w:eastAsia="es-ES"/>
        </w:rPr>
      </w:pPr>
      <w:r w:rsidRPr="004F1144">
        <w:rPr>
          <w:rFonts w:ascii="Book Antiqua" w:eastAsia="Calibri" w:hAnsi="Book Antiqua" w:cs="Arial"/>
          <w:b/>
          <w:bCs/>
          <w:color w:val="1F497D"/>
          <w:szCs w:val="24"/>
          <w:lang w:val="es-ES" w:eastAsia="es-ES"/>
        </w:rPr>
        <w:t xml:space="preserve"> de la materia de Familia, 202</w:t>
      </w:r>
      <w:r>
        <w:rPr>
          <w:rFonts w:ascii="Book Antiqua" w:eastAsia="Calibri" w:hAnsi="Book Antiqua" w:cs="Arial"/>
          <w:b/>
          <w:bCs/>
          <w:color w:val="1F497D"/>
          <w:szCs w:val="24"/>
          <w:lang w:val="es-ES" w:eastAsia="es-ES"/>
        </w:rPr>
        <w:t>2</w:t>
      </w:r>
    </w:p>
    <w:tbl>
      <w:tblPr>
        <w:tblW w:w="5000" w:type="pct"/>
        <w:jc w:val="center"/>
        <w:tblCellMar>
          <w:left w:w="70" w:type="dxa"/>
          <w:right w:w="70" w:type="dxa"/>
        </w:tblCellMar>
        <w:tblLook w:val="04A0" w:firstRow="1" w:lastRow="0" w:firstColumn="1" w:lastColumn="0" w:noHBand="0" w:noVBand="1"/>
      </w:tblPr>
      <w:tblGrid>
        <w:gridCol w:w="4398"/>
        <w:gridCol w:w="656"/>
        <w:gridCol w:w="1579"/>
        <w:gridCol w:w="1087"/>
        <w:gridCol w:w="1113"/>
      </w:tblGrid>
      <w:tr w:rsidR="00291682" w:rsidRPr="00291682" w14:paraId="6AF0A9DF" w14:textId="77777777" w:rsidTr="00BC6B6D">
        <w:trPr>
          <w:trHeight w:val="19"/>
          <w:tblHeader/>
          <w:jc w:val="center"/>
        </w:trPr>
        <w:tc>
          <w:tcPr>
            <w:tcW w:w="2440" w:type="pct"/>
            <w:vMerge w:val="restart"/>
            <w:tcBorders>
              <w:top w:val="nil"/>
              <w:left w:val="nil"/>
              <w:bottom w:val="single" w:sz="4" w:space="0" w:color="000000"/>
              <w:right w:val="nil"/>
            </w:tcBorders>
            <w:shd w:val="clear" w:color="000000" w:fill="002060"/>
            <w:vAlign w:val="center"/>
            <w:hideMark/>
          </w:tcPr>
          <w:p w14:paraId="0E304204" w14:textId="77777777" w:rsidR="00291682" w:rsidRPr="00291682" w:rsidRDefault="00291682" w:rsidP="00291682">
            <w:pPr>
              <w:spacing w:after="0" w:line="276" w:lineRule="auto"/>
              <w:jc w:val="center"/>
              <w:rPr>
                <w:rFonts w:ascii="Book Antiqua" w:eastAsia="Times New Roman" w:hAnsi="Book Antiqua" w:cs="Calibri"/>
                <w:b/>
                <w:bCs/>
                <w:color w:val="FFFFFF"/>
                <w:lang w:eastAsia="es-CR"/>
              </w:rPr>
            </w:pPr>
            <w:r w:rsidRPr="00291682">
              <w:rPr>
                <w:rFonts w:ascii="Book Antiqua" w:eastAsia="Times New Roman" w:hAnsi="Book Antiqua" w:cs="Calibri"/>
                <w:b/>
                <w:bCs/>
                <w:color w:val="FFFFFF"/>
                <w:lang w:eastAsia="es-CR"/>
              </w:rPr>
              <w:t>Despacho</w:t>
            </w:r>
          </w:p>
        </w:tc>
        <w:tc>
          <w:tcPr>
            <w:tcW w:w="2560"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C614714" w14:textId="77777777" w:rsidR="00291682" w:rsidRPr="00291682" w:rsidRDefault="00291682" w:rsidP="00291682">
            <w:pPr>
              <w:spacing w:after="0" w:line="276" w:lineRule="auto"/>
              <w:jc w:val="center"/>
              <w:rPr>
                <w:rFonts w:ascii="Book Antiqua" w:eastAsia="Times New Roman" w:hAnsi="Book Antiqua" w:cs="Calibri"/>
                <w:b/>
                <w:bCs/>
                <w:color w:val="FFFFFF"/>
                <w:lang w:eastAsia="es-CR"/>
              </w:rPr>
            </w:pPr>
            <w:r w:rsidRPr="00291682">
              <w:rPr>
                <w:rFonts w:ascii="Book Antiqua" w:eastAsia="Times New Roman" w:hAnsi="Book Antiqua" w:cs="Calibri"/>
                <w:b/>
                <w:bCs/>
                <w:color w:val="FFFFFF"/>
                <w:lang w:eastAsia="es-CR"/>
              </w:rPr>
              <w:t>Recurso Humano</w:t>
            </w:r>
          </w:p>
        </w:tc>
      </w:tr>
      <w:tr w:rsidR="00291682" w:rsidRPr="00291682" w14:paraId="74918203" w14:textId="77777777" w:rsidTr="00BC6B6D">
        <w:trPr>
          <w:trHeight w:val="19"/>
          <w:tblHeader/>
          <w:jc w:val="center"/>
        </w:trPr>
        <w:tc>
          <w:tcPr>
            <w:tcW w:w="2440" w:type="pct"/>
            <w:vMerge/>
            <w:tcBorders>
              <w:top w:val="nil"/>
              <w:left w:val="nil"/>
              <w:bottom w:val="single" w:sz="4" w:space="0" w:color="000000"/>
              <w:right w:val="nil"/>
            </w:tcBorders>
            <w:vAlign w:val="center"/>
            <w:hideMark/>
          </w:tcPr>
          <w:p w14:paraId="2DB1C786" w14:textId="77777777" w:rsidR="00291682" w:rsidRPr="00291682" w:rsidRDefault="00291682" w:rsidP="00291682">
            <w:pPr>
              <w:spacing w:after="0" w:line="276" w:lineRule="auto"/>
              <w:jc w:val="both"/>
              <w:rPr>
                <w:rFonts w:ascii="Book Antiqua" w:eastAsia="Times New Roman" w:hAnsi="Book Antiqua" w:cs="Calibri"/>
                <w:b/>
                <w:bCs/>
                <w:color w:val="FFFFFF"/>
                <w:lang w:eastAsia="es-CR"/>
              </w:rPr>
            </w:pPr>
          </w:p>
        </w:tc>
        <w:tc>
          <w:tcPr>
            <w:tcW w:w="384" w:type="pct"/>
            <w:tcBorders>
              <w:top w:val="nil"/>
              <w:left w:val="single" w:sz="4" w:space="0" w:color="auto"/>
              <w:bottom w:val="single" w:sz="4" w:space="0" w:color="auto"/>
              <w:right w:val="single" w:sz="4" w:space="0" w:color="auto"/>
            </w:tcBorders>
            <w:shd w:val="clear" w:color="000000" w:fill="002060"/>
            <w:vAlign w:val="center"/>
            <w:hideMark/>
          </w:tcPr>
          <w:p w14:paraId="18402EBB"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Jueza o Juez</w:t>
            </w:r>
          </w:p>
        </w:tc>
        <w:tc>
          <w:tcPr>
            <w:tcW w:w="906" w:type="pct"/>
            <w:tcBorders>
              <w:top w:val="nil"/>
              <w:left w:val="nil"/>
              <w:bottom w:val="single" w:sz="4" w:space="0" w:color="auto"/>
              <w:right w:val="single" w:sz="4" w:space="0" w:color="auto"/>
            </w:tcBorders>
            <w:shd w:val="clear" w:color="000000" w:fill="002060"/>
            <w:vAlign w:val="center"/>
            <w:hideMark/>
          </w:tcPr>
          <w:p w14:paraId="714D879C"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Coordinadoras o Coordinadores judiciales</w:t>
            </w:r>
          </w:p>
        </w:tc>
        <w:tc>
          <w:tcPr>
            <w:tcW w:w="628" w:type="pct"/>
            <w:tcBorders>
              <w:top w:val="nil"/>
              <w:left w:val="nil"/>
              <w:bottom w:val="single" w:sz="4" w:space="0" w:color="auto"/>
              <w:right w:val="single" w:sz="4" w:space="0" w:color="auto"/>
            </w:tcBorders>
            <w:shd w:val="clear" w:color="000000" w:fill="002060"/>
            <w:vAlign w:val="center"/>
            <w:hideMark/>
          </w:tcPr>
          <w:p w14:paraId="4658570B"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Técnicas o Técnicos Judiciales</w:t>
            </w:r>
          </w:p>
        </w:tc>
        <w:tc>
          <w:tcPr>
            <w:tcW w:w="642" w:type="pct"/>
            <w:tcBorders>
              <w:top w:val="nil"/>
              <w:left w:val="nil"/>
              <w:bottom w:val="single" w:sz="4" w:space="0" w:color="auto"/>
              <w:right w:val="single" w:sz="4" w:space="0" w:color="auto"/>
            </w:tcBorders>
            <w:shd w:val="clear" w:color="000000" w:fill="002060"/>
            <w:vAlign w:val="center"/>
            <w:hideMark/>
          </w:tcPr>
          <w:p w14:paraId="46102613"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Auxiliar de Servicios Generales</w:t>
            </w:r>
          </w:p>
        </w:tc>
      </w:tr>
      <w:tr w:rsidR="00291682" w:rsidRPr="00291682" w14:paraId="445A94CC"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0D35A880"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 xml:space="preserve">Juzgado de Familia III Circ. Jud. San José </w:t>
            </w:r>
          </w:p>
        </w:tc>
        <w:tc>
          <w:tcPr>
            <w:tcW w:w="384" w:type="pct"/>
            <w:tcBorders>
              <w:top w:val="nil"/>
              <w:left w:val="nil"/>
              <w:bottom w:val="single" w:sz="4" w:space="0" w:color="auto"/>
              <w:right w:val="single" w:sz="4" w:space="0" w:color="auto"/>
            </w:tcBorders>
            <w:shd w:val="clear" w:color="auto" w:fill="auto"/>
            <w:noWrap/>
            <w:vAlign w:val="center"/>
            <w:hideMark/>
          </w:tcPr>
          <w:p w14:paraId="5E8DF04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64762A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7B9F92F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hideMark/>
          </w:tcPr>
          <w:p w14:paraId="33D66E8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5939C4E4"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620B1D97"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Cartago</w:t>
            </w:r>
          </w:p>
        </w:tc>
        <w:tc>
          <w:tcPr>
            <w:tcW w:w="384" w:type="pct"/>
            <w:tcBorders>
              <w:top w:val="nil"/>
              <w:left w:val="nil"/>
              <w:bottom w:val="single" w:sz="4" w:space="0" w:color="auto"/>
              <w:right w:val="single" w:sz="4" w:space="0" w:color="auto"/>
            </w:tcBorders>
            <w:shd w:val="clear" w:color="auto" w:fill="auto"/>
            <w:noWrap/>
            <w:vAlign w:val="center"/>
            <w:hideMark/>
          </w:tcPr>
          <w:p w14:paraId="5F7B0EA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EED427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1B41A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13B31BA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159287BF"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18434123"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Heredia</w:t>
            </w:r>
          </w:p>
        </w:tc>
        <w:tc>
          <w:tcPr>
            <w:tcW w:w="384" w:type="pct"/>
            <w:tcBorders>
              <w:top w:val="nil"/>
              <w:left w:val="nil"/>
              <w:bottom w:val="single" w:sz="4" w:space="0" w:color="auto"/>
              <w:right w:val="single" w:sz="4" w:space="0" w:color="auto"/>
            </w:tcBorders>
            <w:shd w:val="clear" w:color="auto" w:fill="auto"/>
            <w:noWrap/>
            <w:vAlign w:val="center"/>
            <w:hideMark/>
          </w:tcPr>
          <w:p w14:paraId="67269B2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906" w:type="pct"/>
            <w:tcBorders>
              <w:top w:val="nil"/>
              <w:left w:val="nil"/>
              <w:bottom w:val="single" w:sz="4" w:space="0" w:color="auto"/>
              <w:right w:val="single" w:sz="4" w:space="0" w:color="auto"/>
            </w:tcBorders>
            <w:shd w:val="clear" w:color="auto" w:fill="auto"/>
            <w:noWrap/>
            <w:vAlign w:val="center"/>
            <w:hideMark/>
          </w:tcPr>
          <w:p w14:paraId="4F1C07C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016355D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8</w:t>
            </w:r>
          </w:p>
        </w:tc>
        <w:tc>
          <w:tcPr>
            <w:tcW w:w="642" w:type="pct"/>
            <w:tcBorders>
              <w:top w:val="nil"/>
              <w:left w:val="nil"/>
              <w:bottom w:val="single" w:sz="4" w:space="0" w:color="auto"/>
              <w:right w:val="single" w:sz="4" w:space="0" w:color="auto"/>
            </w:tcBorders>
            <w:shd w:val="clear" w:color="auto" w:fill="auto"/>
            <w:noWrap/>
            <w:vAlign w:val="center"/>
            <w:hideMark/>
          </w:tcPr>
          <w:p w14:paraId="5AE1700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04F6705E"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316E5DDD"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 Circ. Jud. Alajuela</w:t>
            </w:r>
          </w:p>
        </w:tc>
        <w:tc>
          <w:tcPr>
            <w:tcW w:w="384" w:type="pct"/>
            <w:tcBorders>
              <w:top w:val="nil"/>
              <w:left w:val="nil"/>
              <w:bottom w:val="single" w:sz="4" w:space="0" w:color="auto"/>
              <w:right w:val="single" w:sz="4" w:space="0" w:color="auto"/>
            </w:tcBorders>
            <w:shd w:val="clear" w:color="auto" w:fill="auto"/>
            <w:noWrap/>
            <w:vAlign w:val="center"/>
            <w:hideMark/>
          </w:tcPr>
          <w:p w14:paraId="7213B8F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79AB686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D0B8FE"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4555BB1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2B372E6C"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7D417CEB"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 Circ. Jud. Zona Atlántica</w:t>
            </w:r>
          </w:p>
        </w:tc>
        <w:tc>
          <w:tcPr>
            <w:tcW w:w="384" w:type="pct"/>
            <w:tcBorders>
              <w:top w:val="nil"/>
              <w:left w:val="nil"/>
              <w:bottom w:val="single" w:sz="4" w:space="0" w:color="auto"/>
              <w:right w:val="single" w:sz="4" w:space="0" w:color="auto"/>
            </w:tcBorders>
            <w:shd w:val="clear" w:color="auto" w:fill="auto"/>
            <w:noWrap/>
            <w:vAlign w:val="center"/>
            <w:hideMark/>
          </w:tcPr>
          <w:p w14:paraId="54623B1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57825ED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7D246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hideMark/>
          </w:tcPr>
          <w:p w14:paraId="3EE9D257"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74037ACA"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7EFC9E67"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 xml:space="preserve">Juzgado Familia I Circ. Jud. Zona Sur </w:t>
            </w:r>
          </w:p>
        </w:tc>
        <w:tc>
          <w:tcPr>
            <w:tcW w:w="384" w:type="pct"/>
            <w:tcBorders>
              <w:top w:val="nil"/>
              <w:left w:val="nil"/>
              <w:bottom w:val="single" w:sz="4" w:space="0" w:color="auto"/>
              <w:right w:val="single" w:sz="4" w:space="0" w:color="auto"/>
            </w:tcBorders>
            <w:shd w:val="clear" w:color="auto" w:fill="auto"/>
            <w:noWrap/>
            <w:vAlign w:val="center"/>
            <w:hideMark/>
          </w:tcPr>
          <w:p w14:paraId="3C55C5F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4198419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0919F64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642" w:type="pct"/>
            <w:tcBorders>
              <w:top w:val="nil"/>
              <w:left w:val="nil"/>
              <w:bottom w:val="single" w:sz="4" w:space="0" w:color="auto"/>
              <w:right w:val="single" w:sz="4" w:space="0" w:color="auto"/>
            </w:tcBorders>
            <w:shd w:val="clear" w:color="auto" w:fill="auto"/>
            <w:noWrap/>
            <w:vAlign w:val="center"/>
            <w:hideMark/>
          </w:tcPr>
          <w:p w14:paraId="440AF91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62729C16"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448A8C7F"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Alajuela</w:t>
            </w:r>
          </w:p>
        </w:tc>
        <w:tc>
          <w:tcPr>
            <w:tcW w:w="384" w:type="pct"/>
            <w:tcBorders>
              <w:top w:val="nil"/>
              <w:left w:val="nil"/>
              <w:bottom w:val="single" w:sz="4" w:space="0" w:color="auto"/>
              <w:right w:val="single" w:sz="4" w:space="0" w:color="auto"/>
            </w:tcBorders>
            <w:shd w:val="clear" w:color="auto" w:fill="auto"/>
            <w:noWrap/>
            <w:vAlign w:val="center"/>
            <w:hideMark/>
          </w:tcPr>
          <w:p w14:paraId="123CBA6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3EC6F7B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72196D69"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642" w:type="pct"/>
            <w:tcBorders>
              <w:top w:val="nil"/>
              <w:left w:val="nil"/>
              <w:bottom w:val="single" w:sz="4" w:space="0" w:color="auto"/>
              <w:right w:val="single" w:sz="4" w:space="0" w:color="auto"/>
            </w:tcBorders>
            <w:shd w:val="clear" w:color="auto" w:fill="auto"/>
            <w:noWrap/>
            <w:vAlign w:val="center"/>
            <w:hideMark/>
          </w:tcPr>
          <w:p w14:paraId="548737C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28B0D415"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61DAE1F0"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San José</w:t>
            </w:r>
          </w:p>
        </w:tc>
        <w:tc>
          <w:tcPr>
            <w:tcW w:w="384" w:type="pct"/>
            <w:tcBorders>
              <w:top w:val="nil"/>
              <w:left w:val="nil"/>
              <w:bottom w:val="single" w:sz="4" w:space="0" w:color="auto"/>
              <w:right w:val="single" w:sz="4" w:space="0" w:color="auto"/>
            </w:tcBorders>
            <w:shd w:val="clear" w:color="auto" w:fill="auto"/>
            <w:noWrap/>
            <w:vAlign w:val="center"/>
            <w:hideMark/>
          </w:tcPr>
          <w:p w14:paraId="251AAE3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906" w:type="pct"/>
            <w:tcBorders>
              <w:top w:val="nil"/>
              <w:left w:val="nil"/>
              <w:bottom w:val="single" w:sz="4" w:space="0" w:color="auto"/>
              <w:right w:val="single" w:sz="4" w:space="0" w:color="auto"/>
            </w:tcBorders>
            <w:shd w:val="clear" w:color="auto" w:fill="auto"/>
            <w:noWrap/>
            <w:vAlign w:val="center"/>
            <w:hideMark/>
          </w:tcPr>
          <w:p w14:paraId="0B9B7C9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6708185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10</w:t>
            </w:r>
          </w:p>
        </w:tc>
        <w:tc>
          <w:tcPr>
            <w:tcW w:w="642" w:type="pct"/>
            <w:tcBorders>
              <w:top w:val="nil"/>
              <w:left w:val="nil"/>
              <w:bottom w:val="single" w:sz="4" w:space="0" w:color="auto"/>
              <w:right w:val="single" w:sz="4" w:space="0" w:color="auto"/>
            </w:tcBorders>
            <w:shd w:val="clear" w:color="auto" w:fill="auto"/>
            <w:noWrap/>
            <w:vAlign w:val="center"/>
            <w:hideMark/>
          </w:tcPr>
          <w:p w14:paraId="3C9B30E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534C8521"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22C4F742"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Zona Atlántica</w:t>
            </w:r>
          </w:p>
        </w:tc>
        <w:tc>
          <w:tcPr>
            <w:tcW w:w="384" w:type="pct"/>
            <w:tcBorders>
              <w:top w:val="nil"/>
              <w:left w:val="nil"/>
              <w:bottom w:val="single" w:sz="4" w:space="0" w:color="auto"/>
              <w:right w:val="single" w:sz="4" w:space="0" w:color="auto"/>
            </w:tcBorders>
            <w:shd w:val="clear" w:color="auto" w:fill="auto"/>
            <w:noWrap/>
            <w:vAlign w:val="center"/>
            <w:hideMark/>
          </w:tcPr>
          <w:p w14:paraId="794E595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4DC671E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510CFC0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642" w:type="pct"/>
            <w:tcBorders>
              <w:top w:val="nil"/>
              <w:left w:val="nil"/>
              <w:bottom w:val="single" w:sz="4" w:space="0" w:color="auto"/>
              <w:right w:val="single" w:sz="4" w:space="0" w:color="auto"/>
            </w:tcBorders>
            <w:shd w:val="clear" w:color="auto" w:fill="auto"/>
            <w:noWrap/>
            <w:vAlign w:val="center"/>
            <w:hideMark/>
          </w:tcPr>
          <w:p w14:paraId="7A2E0A4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667B437B"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399C2645"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Puntarenas</w:t>
            </w:r>
          </w:p>
        </w:tc>
        <w:tc>
          <w:tcPr>
            <w:tcW w:w="384" w:type="pct"/>
            <w:tcBorders>
              <w:top w:val="nil"/>
              <w:left w:val="nil"/>
              <w:bottom w:val="single" w:sz="4" w:space="0" w:color="auto"/>
              <w:right w:val="single" w:sz="4" w:space="0" w:color="auto"/>
            </w:tcBorders>
            <w:shd w:val="clear" w:color="auto" w:fill="auto"/>
            <w:noWrap/>
            <w:vAlign w:val="center"/>
            <w:hideMark/>
          </w:tcPr>
          <w:p w14:paraId="3674F26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3F83D18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0AE54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642" w:type="pct"/>
            <w:tcBorders>
              <w:top w:val="nil"/>
              <w:left w:val="nil"/>
              <w:bottom w:val="single" w:sz="4" w:space="0" w:color="auto"/>
              <w:right w:val="single" w:sz="4" w:space="0" w:color="auto"/>
            </w:tcBorders>
            <w:shd w:val="clear" w:color="auto" w:fill="auto"/>
            <w:noWrap/>
            <w:vAlign w:val="center"/>
            <w:hideMark/>
          </w:tcPr>
          <w:p w14:paraId="200B244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5FD6FFF7"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21D8AC6A"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Primero de Familia San José</w:t>
            </w:r>
          </w:p>
        </w:tc>
        <w:tc>
          <w:tcPr>
            <w:tcW w:w="384" w:type="pct"/>
            <w:tcBorders>
              <w:top w:val="nil"/>
              <w:left w:val="nil"/>
              <w:bottom w:val="single" w:sz="4" w:space="0" w:color="auto"/>
              <w:right w:val="single" w:sz="4" w:space="0" w:color="auto"/>
            </w:tcBorders>
            <w:shd w:val="clear" w:color="auto" w:fill="auto"/>
            <w:noWrap/>
            <w:vAlign w:val="center"/>
            <w:hideMark/>
          </w:tcPr>
          <w:p w14:paraId="105B131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10F8E04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6C0EC1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222E2891"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21B2164A"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562696E6"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Segundo de Familia San José</w:t>
            </w:r>
          </w:p>
        </w:tc>
        <w:tc>
          <w:tcPr>
            <w:tcW w:w="384" w:type="pct"/>
            <w:tcBorders>
              <w:top w:val="nil"/>
              <w:left w:val="nil"/>
              <w:bottom w:val="single" w:sz="4" w:space="0" w:color="auto"/>
              <w:right w:val="single" w:sz="4" w:space="0" w:color="auto"/>
            </w:tcBorders>
            <w:shd w:val="clear" w:color="auto" w:fill="auto"/>
            <w:noWrap/>
            <w:vAlign w:val="center"/>
            <w:hideMark/>
          </w:tcPr>
          <w:p w14:paraId="2177CC2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BE08CEE"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408B2AE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35F8B7D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11FC4700"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tcPr>
          <w:p w14:paraId="480DE488"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de Niñez y Adolescencia</w:t>
            </w:r>
          </w:p>
        </w:tc>
        <w:tc>
          <w:tcPr>
            <w:tcW w:w="384" w:type="pct"/>
            <w:tcBorders>
              <w:top w:val="nil"/>
              <w:left w:val="nil"/>
              <w:bottom w:val="single" w:sz="4" w:space="0" w:color="auto"/>
              <w:right w:val="single" w:sz="4" w:space="0" w:color="auto"/>
            </w:tcBorders>
            <w:shd w:val="clear" w:color="auto" w:fill="auto"/>
            <w:noWrap/>
            <w:vAlign w:val="center"/>
          </w:tcPr>
          <w:p w14:paraId="58051277"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tcPr>
          <w:p w14:paraId="55A24FF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tcPr>
          <w:p w14:paraId="4EE3D1A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tcPr>
          <w:p w14:paraId="14EE388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703D0BAE"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808080"/>
            <w:noWrap/>
            <w:vAlign w:val="bottom"/>
            <w:hideMark/>
          </w:tcPr>
          <w:p w14:paraId="163C934F" w14:textId="77777777" w:rsidR="00291682" w:rsidRPr="00291682" w:rsidRDefault="00291682" w:rsidP="00291682">
            <w:pPr>
              <w:spacing w:after="0" w:line="276" w:lineRule="auto"/>
              <w:jc w:val="right"/>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Total</w:t>
            </w:r>
          </w:p>
        </w:tc>
        <w:tc>
          <w:tcPr>
            <w:tcW w:w="384" w:type="pct"/>
            <w:tcBorders>
              <w:top w:val="nil"/>
              <w:left w:val="nil"/>
              <w:bottom w:val="single" w:sz="4" w:space="0" w:color="auto"/>
              <w:right w:val="single" w:sz="4" w:space="0" w:color="auto"/>
            </w:tcBorders>
            <w:shd w:val="clear" w:color="auto" w:fill="808080"/>
            <w:noWrap/>
            <w:vAlign w:val="center"/>
            <w:hideMark/>
          </w:tcPr>
          <w:p w14:paraId="2CEBFC0B"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35</w:t>
            </w:r>
          </w:p>
        </w:tc>
        <w:tc>
          <w:tcPr>
            <w:tcW w:w="906" w:type="pct"/>
            <w:tcBorders>
              <w:top w:val="nil"/>
              <w:left w:val="nil"/>
              <w:bottom w:val="single" w:sz="4" w:space="0" w:color="auto"/>
              <w:right w:val="single" w:sz="4" w:space="0" w:color="auto"/>
            </w:tcBorders>
            <w:shd w:val="clear" w:color="auto" w:fill="808080"/>
            <w:noWrap/>
            <w:vAlign w:val="center"/>
            <w:hideMark/>
          </w:tcPr>
          <w:p w14:paraId="7430EA44"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13</w:t>
            </w:r>
          </w:p>
        </w:tc>
        <w:tc>
          <w:tcPr>
            <w:tcW w:w="628" w:type="pct"/>
            <w:tcBorders>
              <w:top w:val="nil"/>
              <w:left w:val="nil"/>
              <w:bottom w:val="single" w:sz="4" w:space="0" w:color="auto"/>
              <w:right w:val="single" w:sz="4" w:space="0" w:color="auto"/>
            </w:tcBorders>
            <w:shd w:val="clear" w:color="auto" w:fill="808080"/>
            <w:noWrap/>
            <w:vAlign w:val="center"/>
            <w:hideMark/>
          </w:tcPr>
          <w:p w14:paraId="13981C5B"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71</w:t>
            </w:r>
          </w:p>
        </w:tc>
        <w:tc>
          <w:tcPr>
            <w:tcW w:w="642" w:type="pct"/>
            <w:tcBorders>
              <w:top w:val="nil"/>
              <w:left w:val="nil"/>
              <w:bottom w:val="single" w:sz="4" w:space="0" w:color="auto"/>
              <w:right w:val="single" w:sz="4" w:space="0" w:color="auto"/>
            </w:tcBorders>
            <w:shd w:val="clear" w:color="auto" w:fill="808080"/>
            <w:noWrap/>
            <w:vAlign w:val="center"/>
            <w:hideMark/>
          </w:tcPr>
          <w:p w14:paraId="4D848708"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5</w:t>
            </w:r>
          </w:p>
        </w:tc>
      </w:tr>
    </w:tbl>
    <w:p w14:paraId="22F77FD9" w14:textId="77777777" w:rsidR="00623B33" w:rsidRPr="00623B33" w:rsidRDefault="00623B33" w:rsidP="00623B33">
      <w:pPr>
        <w:spacing w:after="0" w:line="276" w:lineRule="auto"/>
        <w:jc w:val="both"/>
        <w:rPr>
          <w:rFonts w:ascii="Book Antiqua" w:eastAsia="Calibri" w:hAnsi="Book Antiqua" w:cs="Arial"/>
          <w:i/>
          <w:iCs/>
          <w:sz w:val="20"/>
          <w:szCs w:val="20"/>
          <w:lang w:val="es-ES_tradnl"/>
        </w:rPr>
      </w:pPr>
      <w:r w:rsidRPr="00ED2ACB">
        <w:rPr>
          <w:rFonts w:ascii="Book Antiqua" w:eastAsia="Calibri" w:hAnsi="Book Antiqua" w:cs="Arial"/>
          <w:b/>
          <w:bCs/>
          <w:i/>
          <w:iCs/>
          <w:sz w:val="20"/>
          <w:szCs w:val="20"/>
          <w:lang w:val="es-ES_tradnl"/>
        </w:rPr>
        <w:t>Fuente:</w:t>
      </w:r>
      <w:r w:rsidRPr="00623B33">
        <w:rPr>
          <w:rFonts w:ascii="Book Antiqua" w:eastAsia="Calibri" w:hAnsi="Book Antiqua" w:cs="Arial"/>
          <w:i/>
          <w:iCs/>
          <w:sz w:val="20"/>
          <w:szCs w:val="20"/>
          <w:lang w:val="es-ES_tradnl"/>
        </w:rPr>
        <w:t xml:space="preserve"> Subproceso de Modernización Institucional.</w:t>
      </w:r>
    </w:p>
    <w:p w14:paraId="21333D1F" w14:textId="4D61D859" w:rsidR="00623B33" w:rsidRPr="002A4252" w:rsidRDefault="00623B33" w:rsidP="00623B33">
      <w:pPr>
        <w:spacing w:after="0" w:line="276" w:lineRule="auto"/>
        <w:jc w:val="both"/>
        <w:rPr>
          <w:rFonts w:ascii="Book Antiqua" w:eastAsia="Calibri" w:hAnsi="Book Antiqua" w:cs="Arial"/>
          <w:i/>
          <w:iCs/>
          <w:sz w:val="20"/>
          <w:szCs w:val="20"/>
          <w:lang w:val="es-ES_tradnl"/>
        </w:rPr>
      </w:pPr>
      <w:r w:rsidRPr="0045294E">
        <w:rPr>
          <w:rFonts w:ascii="Book Antiqua" w:eastAsia="Calibri" w:hAnsi="Book Antiqua" w:cs="Arial"/>
          <w:b/>
          <w:bCs/>
          <w:i/>
          <w:iCs/>
          <w:sz w:val="20"/>
          <w:szCs w:val="20"/>
          <w:lang w:val="es-ES_tradnl"/>
        </w:rPr>
        <w:t>Nota *:</w:t>
      </w:r>
      <w:r w:rsidRPr="002A4252">
        <w:rPr>
          <w:rFonts w:ascii="Book Antiqua" w:eastAsia="Calibri" w:hAnsi="Book Antiqua" w:cs="Arial"/>
          <w:i/>
          <w:iCs/>
          <w:sz w:val="20"/>
          <w:szCs w:val="20"/>
          <w:lang w:val="es-ES_tradnl"/>
        </w:rPr>
        <w:t xml:space="preserve"> Plaza </w:t>
      </w:r>
      <w:r w:rsidR="000F0D2B">
        <w:rPr>
          <w:rFonts w:ascii="Book Antiqua" w:eastAsia="Calibri" w:hAnsi="Book Antiqua" w:cs="Arial"/>
          <w:i/>
          <w:iCs/>
          <w:sz w:val="20"/>
          <w:szCs w:val="20"/>
          <w:lang w:val="es-ES_tradnl"/>
        </w:rPr>
        <w:t xml:space="preserve">actualmente </w:t>
      </w:r>
      <w:r w:rsidRPr="002A4252">
        <w:rPr>
          <w:rFonts w:ascii="Book Antiqua" w:eastAsia="Calibri" w:hAnsi="Book Antiqua" w:cs="Arial"/>
          <w:i/>
          <w:iCs/>
          <w:sz w:val="20"/>
          <w:szCs w:val="20"/>
          <w:lang w:val="es-ES_tradnl"/>
        </w:rPr>
        <w:t xml:space="preserve">compartida entre el Juzgado de Violencia del I CJ San José y el Juzgado de Niñez y Adolescencia. </w:t>
      </w:r>
    </w:p>
    <w:p w14:paraId="05B501BB" w14:textId="77777777" w:rsidR="00DC2A69" w:rsidRPr="00DC2A69" w:rsidRDefault="00DC2A69" w:rsidP="00DC2A69">
      <w:pPr>
        <w:spacing w:after="0" w:line="276" w:lineRule="auto"/>
        <w:jc w:val="both"/>
        <w:rPr>
          <w:rFonts w:ascii="Book Antiqua" w:eastAsia="Calibri" w:hAnsi="Book Antiqua" w:cs="Arial"/>
          <w:sz w:val="24"/>
          <w:szCs w:val="24"/>
        </w:rPr>
      </w:pPr>
      <w:r w:rsidRPr="00DC2A69">
        <w:rPr>
          <w:rFonts w:ascii="Book Antiqua" w:eastAsia="Calibri" w:hAnsi="Book Antiqua" w:cs="Arial"/>
          <w:sz w:val="24"/>
          <w:szCs w:val="24"/>
        </w:rPr>
        <w:t xml:space="preserve">Como se observa en el cuadro anterior, los Juzgados Especializados de Familia están compuestos por 35 puestos de Jueza o Juez, 13 plazas de Coordinadora o Coordinador Judicial, 71 puestos de Técnica o Técnico Judicial y 4 plazas de Auxiliar de Servicios Generales, con una relación mínima de 1,5 personas técnicas judiciales por cada Juez o Jueza. </w:t>
      </w:r>
    </w:p>
    <w:p w14:paraId="0C1010DE" w14:textId="77777777" w:rsidR="00DC2A69" w:rsidRPr="00DC2A69" w:rsidRDefault="00DC2A69" w:rsidP="00DC2A69">
      <w:pPr>
        <w:spacing w:after="0" w:line="276" w:lineRule="auto"/>
        <w:jc w:val="both"/>
        <w:rPr>
          <w:rFonts w:ascii="Book Antiqua" w:eastAsia="Calibri" w:hAnsi="Book Antiqua" w:cs="Arial"/>
          <w:sz w:val="24"/>
          <w:szCs w:val="24"/>
        </w:rPr>
      </w:pPr>
    </w:p>
    <w:p w14:paraId="6E695E05" w14:textId="77777777" w:rsidR="00A8581E" w:rsidRPr="00A8581E" w:rsidRDefault="00A8581E" w:rsidP="00A8581E">
      <w:pPr>
        <w:spacing w:after="0" w:line="276" w:lineRule="auto"/>
        <w:jc w:val="both"/>
        <w:rPr>
          <w:rFonts w:ascii="Book Antiqua" w:eastAsia="Calibri" w:hAnsi="Book Antiqua" w:cs="Arial"/>
          <w:sz w:val="24"/>
          <w:szCs w:val="24"/>
        </w:rPr>
      </w:pPr>
      <w:r w:rsidRPr="00A8581E">
        <w:rPr>
          <w:rFonts w:ascii="Book Antiqua" w:eastAsia="Calibri" w:hAnsi="Book Antiqua" w:cs="Arial"/>
          <w:sz w:val="24"/>
          <w:szCs w:val="24"/>
        </w:rPr>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106304B7" w14:textId="582FB304" w:rsidR="00CB4880" w:rsidRDefault="00CB4880" w:rsidP="00CB4880">
      <w:pPr>
        <w:spacing w:after="0" w:line="276" w:lineRule="auto"/>
        <w:jc w:val="both"/>
        <w:rPr>
          <w:rFonts w:ascii="Book Antiqua" w:eastAsia="Calibri" w:hAnsi="Book Antiqua" w:cs="Arial"/>
          <w:sz w:val="24"/>
          <w:szCs w:val="24"/>
        </w:rPr>
      </w:pPr>
    </w:p>
    <w:p w14:paraId="09AF529D" w14:textId="602C53ED" w:rsidR="0027551B" w:rsidRDefault="00C74336"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Funciones de los diferentes puestos de trabajo</w:t>
      </w:r>
    </w:p>
    <w:p w14:paraId="1F9C93B3" w14:textId="77777777" w:rsidR="008D6799" w:rsidRPr="008D6799" w:rsidRDefault="008D6799" w:rsidP="008D6799">
      <w:pPr>
        <w:spacing w:after="0" w:line="276" w:lineRule="auto"/>
        <w:jc w:val="both"/>
        <w:rPr>
          <w:rFonts w:ascii="Book Antiqua" w:eastAsia="Calibri" w:hAnsi="Book Antiqua" w:cs="Arial"/>
          <w:b/>
          <w:bCs/>
          <w:sz w:val="24"/>
          <w:szCs w:val="24"/>
        </w:rPr>
      </w:pPr>
    </w:p>
    <w:p w14:paraId="31850155" w14:textId="77777777" w:rsidR="00805F0A" w:rsidRPr="00805F0A" w:rsidRDefault="00805F0A" w:rsidP="00805F0A">
      <w:pPr>
        <w:spacing w:after="0" w:line="276" w:lineRule="auto"/>
        <w:jc w:val="both"/>
        <w:rPr>
          <w:rFonts w:ascii="Book Antiqua" w:eastAsia="Calibri" w:hAnsi="Book Antiqua" w:cs="Arial"/>
          <w:sz w:val="24"/>
          <w:szCs w:val="24"/>
        </w:rPr>
      </w:pPr>
      <w:bookmarkStart w:id="25" w:name="_Hlk508270555"/>
      <w:r w:rsidRPr="00805F0A">
        <w:rPr>
          <w:rFonts w:ascii="Book Antiqua" w:eastAsia="Calibri" w:hAnsi="Book Antiqua" w:cs="Arial"/>
          <w:sz w:val="24"/>
          <w:szCs w:val="24"/>
        </w:rPr>
        <w:t>Las funciones del personal de los Juzgados Especializados de Familia se encuentran establecidas en el Perfil Competencial de la Dirección de Gestión Humana, según sea la clase de puesto, lo cual puede ser consultado mediante la dirección electrónica http://intranet/gestionhumana/index.php/manual-perfiles; a continuación, se resumen las principales funciones que realiza cada puesto de trabajo, según consulta realizada a los juzgados que tramitan la materia de Familia.</w:t>
      </w:r>
    </w:p>
    <w:bookmarkEnd w:id="25"/>
    <w:p w14:paraId="5690E4E2" w14:textId="77777777" w:rsidR="00805F0A" w:rsidRPr="00805F0A" w:rsidRDefault="00805F0A" w:rsidP="00805F0A">
      <w:pPr>
        <w:spacing w:after="0" w:line="276" w:lineRule="auto"/>
        <w:jc w:val="both"/>
        <w:rPr>
          <w:rFonts w:ascii="Book Antiqua" w:eastAsia="Calibri" w:hAnsi="Book Antiqua" w:cs="Arial"/>
          <w:sz w:val="24"/>
          <w:szCs w:val="24"/>
        </w:rPr>
      </w:pPr>
    </w:p>
    <w:p w14:paraId="0FA98520" w14:textId="3BF060EB" w:rsidR="00805F0A" w:rsidRPr="00EF146D" w:rsidRDefault="00805F0A"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14</w:t>
      </w:r>
      <w:r w:rsidRPr="00EF146D">
        <w:rPr>
          <w:rFonts w:ascii="Book Antiqua" w:eastAsia="Calibri" w:hAnsi="Book Antiqua" w:cs="Arial"/>
          <w:b/>
          <w:bCs/>
          <w:color w:val="1F497D"/>
          <w:szCs w:val="24"/>
          <w:lang w:val="es-ES" w:eastAsia="es-ES"/>
        </w:rPr>
        <w:fldChar w:fldCharType="end"/>
      </w:r>
    </w:p>
    <w:p w14:paraId="7564D9FD" w14:textId="77777777" w:rsidR="00805F0A" w:rsidRPr="00805F0A" w:rsidRDefault="00805F0A"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805F0A">
        <w:rPr>
          <w:rFonts w:ascii="Book Antiqua" w:eastAsia="Times New Roman" w:hAnsi="Book Antiqua" w:cs="Arial"/>
          <w:b/>
          <w:bCs/>
          <w:color w:val="1F497D"/>
          <w:lang w:eastAsia="es-ES"/>
        </w:rPr>
        <w:t xml:space="preserve">Principales funciones según el de puesto de trabajo en los Juzgados </w:t>
      </w:r>
    </w:p>
    <w:p w14:paraId="390BB60C" w14:textId="77777777" w:rsidR="00805F0A" w:rsidRPr="00805F0A" w:rsidRDefault="00805F0A"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805F0A">
        <w:rPr>
          <w:rFonts w:ascii="Book Antiqua" w:eastAsia="Times New Roman" w:hAnsi="Book Antiqua" w:cs="Arial"/>
          <w:b/>
          <w:bCs/>
          <w:color w:val="1F497D"/>
          <w:lang w:eastAsia="es-ES"/>
        </w:rPr>
        <w:t>Especializados en la materia de Familia</w:t>
      </w:r>
    </w:p>
    <w:tbl>
      <w:tblPr>
        <w:tblW w:w="5000" w:type="pct"/>
        <w:jc w:val="center"/>
        <w:tblCellMar>
          <w:left w:w="70" w:type="dxa"/>
          <w:right w:w="70" w:type="dxa"/>
        </w:tblCellMar>
        <w:tblLook w:val="04A0" w:firstRow="1" w:lastRow="0" w:firstColumn="1" w:lastColumn="0" w:noHBand="0" w:noVBand="1"/>
      </w:tblPr>
      <w:tblGrid>
        <w:gridCol w:w="1428"/>
        <w:gridCol w:w="7400"/>
      </w:tblGrid>
      <w:tr w:rsidR="009D11B7" w:rsidRPr="009D11B7" w14:paraId="2BB77282" w14:textId="77777777" w:rsidTr="009D11B7">
        <w:trPr>
          <w:trHeight w:val="20"/>
          <w:tblHeader/>
          <w:jc w:val="center"/>
        </w:trPr>
        <w:tc>
          <w:tcPr>
            <w:tcW w:w="809" w:type="pct"/>
            <w:tcBorders>
              <w:top w:val="single" w:sz="4" w:space="0" w:color="auto"/>
              <w:left w:val="single" w:sz="4" w:space="0" w:color="auto"/>
              <w:bottom w:val="single" w:sz="4" w:space="0" w:color="auto"/>
              <w:right w:val="single" w:sz="4" w:space="0" w:color="auto"/>
            </w:tcBorders>
            <w:shd w:val="clear" w:color="000000" w:fill="002060"/>
            <w:vAlign w:val="center"/>
          </w:tcPr>
          <w:p w14:paraId="6DAB9F6A" w14:textId="77777777" w:rsidR="009D11B7" w:rsidRPr="009D11B7" w:rsidRDefault="009D11B7" w:rsidP="009D11B7">
            <w:pPr>
              <w:spacing w:after="0" w:line="276" w:lineRule="auto"/>
              <w:jc w:val="center"/>
              <w:rPr>
                <w:rFonts w:ascii="Book Antiqua" w:eastAsia="Times New Roman" w:hAnsi="Book Antiqua" w:cs="Calibri"/>
                <w:b/>
                <w:bCs/>
                <w:color w:val="FFFFFF"/>
                <w:lang w:eastAsia="es-CR"/>
              </w:rPr>
            </w:pPr>
            <w:r w:rsidRPr="009D11B7">
              <w:rPr>
                <w:rFonts w:ascii="Book Antiqua" w:eastAsia="Times New Roman" w:hAnsi="Book Antiqua" w:cs="Calibri"/>
                <w:b/>
                <w:bCs/>
                <w:color w:val="FFFFFF"/>
                <w:lang w:eastAsia="es-CR"/>
              </w:rPr>
              <w:t>Puesto de Trabajo</w:t>
            </w:r>
          </w:p>
        </w:tc>
        <w:tc>
          <w:tcPr>
            <w:tcW w:w="4191" w:type="pct"/>
            <w:tcBorders>
              <w:top w:val="single" w:sz="4" w:space="0" w:color="auto"/>
              <w:left w:val="nil"/>
              <w:bottom w:val="single" w:sz="4" w:space="0" w:color="auto"/>
              <w:right w:val="single" w:sz="4" w:space="0" w:color="auto"/>
            </w:tcBorders>
            <w:shd w:val="clear" w:color="000000" w:fill="002060"/>
            <w:vAlign w:val="center"/>
            <w:hideMark/>
          </w:tcPr>
          <w:p w14:paraId="6C0F8D95" w14:textId="77777777" w:rsidR="009D11B7" w:rsidRPr="009D11B7" w:rsidRDefault="009D11B7" w:rsidP="009D11B7">
            <w:pPr>
              <w:spacing w:after="0" w:line="276" w:lineRule="auto"/>
              <w:jc w:val="center"/>
              <w:rPr>
                <w:rFonts w:ascii="Book Antiqua" w:eastAsia="Times New Roman" w:hAnsi="Book Antiqua" w:cs="Calibri"/>
                <w:b/>
                <w:bCs/>
                <w:color w:val="FFFFFF"/>
                <w:lang w:eastAsia="es-CR"/>
              </w:rPr>
            </w:pPr>
            <w:r w:rsidRPr="009D11B7">
              <w:rPr>
                <w:rFonts w:ascii="Book Antiqua" w:eastAsia="Times New Roman" w:hAnsi="Book Antiqua" w:cs="Calibri"/>
                <w:b/>
                <w:bCs/>
                <w:color w:val="FFFFFF"/>
                <w:lang w:eastAsia="es-CR"/>
              </w:rPr>
              <w:t>Funciones</w:t>
            </w:r>
          </w:p>
        </w:tc>
      </w:tr>
      <w:tr w:rsidR="009D11B7" w:rsidRPr="009D11B7" w14:paraId="61CAA78F"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37B0B5ED"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Juzgador</w:t>
            </w:r>
          </w:p>
        </w:tc>
        <w:tc>
          <w:tcPr>
            <w:tcW w:w="4191" w:type="pct"/>
            <w:tcBorders>
              <w:top w:val="nil"/>
              <w:left w:val="nil"/>
              <w:bottom w:val="single" w:sz="4" w:space="0" w:color="auto"/>
              <w:right w:val="single" w:sz="4" w:space="0" w:color="auto"/>
            </w:tcBorders>
            <w:shd w:val="clear" w:color="auto" w:fill="auto"/>
            <w:vAlign w:val="bottom"/>
            <w:hideMark/>
          </w:tcPr>
          <w:p w14:paraId="114010A1"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•Dictar sentencias</w:t>
            </w:r>
            <w:r w:rsidRPr="009D11B7">
              <w:rPr>
                <w:rFonts w:ascii="Book Antiqua" w:eastAsia="Calibri" w:hAnsi="Book Antiqua" w:cs="Arial"/>
              </w:rPr>
              <w:br/>
              <w:t>•Revisar proyectos de resolución</w:t>
            </w:r>
            <w:r w:rsidRPr="009D11B7">
              <w:rPr>
                <w:rFonts w:ascii="Book Antiqua" w:eastAsia="Calibri" w:hAnsi="Book Antiqua" w:cs="Arial"/>
              </w:rPr>
              <w:br/>
              <w:t>•Firma de proveído</w:t>
            </w:r>
            <w:r w:rsidRPr="009D11B7">
              <w:rPr>
                <w:rFonts w:ascii="Book Antiqua" w:eastAsia="Calibri" w:hAnsi="Book Antiqua" w:cs="Arial"/>
              </w:rPr>
              <w:br/>
              <w:t>•Realizar audiencias</w:t>
            </w:r>
            <w:r w:rsidRPr="009D11B7">
              <w:rPr>
                <w:rFonts w:ascii="Book Antiqua" w:eastAsia="Calibri" w:hAnsi="Book Antiqua" w:cs="Arial"/>
              </w:rPr>
              <w:br/>
              <w:t>•Supervisión de personal</w:t>
            </w:r>
            <w:r w:rsidRPr="009D11B7">
              <w:rPr>
                <w:rFonts w:ascii="Book Antiqua" w:eastAsia="Calibri" w:hAnsi="Book Antiqua" w:cs="Arial"/>
              </w:rPr>
              <w:br/>
              <w:t xml:space="preserve">•Funciones administrativas </w:t>
            </w:r>
            <w:r w:rsidRPr="009D11B7">
              <w:rPr>
                <w:rFonts w:ascii="Book Antiqua" w:eastAsia="Calibri" w:hAnsi="Book Antiqua" w:cs="Arial"/>
              </w:rPr>
              <w:br/>
              <w:t>•Realizar allanamientos</w:t>
            </w:r>
            <w:r w:rsidRPr="009D11B7">
              <w:rPr>
                <w:rFonts w:ascii="Book Antiqua" w:eastAsia="Calibri" w:hAnsi="Book Antiqua" w:cs="Arial"/>
              </w:rPr>
              <w:br/>
              <w:t>•Realizar inventarios de bienes</w:t>
            </w:r>
            <w:r w:rsidRPr="009D11B7">
              <w:rPr>
                <w:rFonts w:ascii="Book Antiqua" w:eastAsia="Calibri" w:hAnsi="Book Antiqua" w:cs="Arial"/>
              </w:rPr>
              <w:br/>
              <w:t>•Visitar y realizar entrevistas fuera del Despacho</w:t>
            </w:r>
            <w:r w:rsidRPr="009D11B7">
              <w:rPr>
                <w:rFonts w:ascii="Book Antiqua" w:eastAsia="Calibri" w:hAnsi="Book Antiqua" w:cs="Arial"/>
              </w:rPr>
              <w:br/>
              <w:t>•Aprobar giros en el Sistema de Depósitos Judiciales</w:t>
            </w:r>
            <w:r w:rsidRPr="009D11B7">
              <w:rPr>
                <w:rFonts w:ascii="Book Antiqua" w:eastAsia="Calibri" w:hAnsi="Book Antiqua" w:cs="Arial"/>
              </w:rPr>
              <w:br/>
              <w:t>•Firma de boletas de seguridad (Registro Público), certificaciones y ejecutorias</w:t>
            </w:r>
            <w:r w:rsidRPr="009D11B7">
              <w:rPr>
                <w:rFonts w:ascii="Book Antiqua" w:eastAsia="Calibri" w:hAnsi="Book Antiqua" w:cs="Arial"/>
              </w:rPr>
              <w:br/>
              <w:t>•Atención de consultas de personas usuarias</w:t>
            </w:r>
            <w:r w:rsidRPr="009D11B7">
              <w:rPr>
                <w:rFonts w:ascii="Book Antiqua" w:eastAsia="Calibri" w:hAnsi="Book Antiqua" w:cs="Arial"/>
              </w:rPr>
              <w:br/>
              <w:t>•Atención de consultas del personal</w:t>
            </w:r>
          </w:p>
        </w:tc>
      </w:tr>
      <w:tr w:rsidR="009D11B7" w:rsidRPr="009D11B7" w14:paraId="661F7128"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368B0632"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Coordinador Judicial</w:t>
            </w:r>
          </w:p>
        </w:tc>
        <w:tc>
          <w:tcPr>
            <w:tcW w:w="4191" w:type="pct"/>
            <w:tcBorders>
              <w:top w:val="nil"/>
              <w:left w:val="nil"/>
              <w:bottom w:val="single" w:sz="4" w:space="0" w:color="auto"/>
              <w:right w:val="single" w:sz="4" w:space="0" w:color="auto"/>
            </w:tcBorders>
            <w:shd w:val="clear" w:color="auto" w:fill="auto"/>
            <w:vAlign w:val="bottom"/>
            <w:hideMark/>
          </w:tcPr>
          <w:p w14:paraId="0E797F90"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 Confección de informes estadísticos</w:t>
            </w:r>
            <w:r w:rsidRPr="009D11B7">
              <w:rPr>
                <w:rFonts w:ascii="Book Antiqua" w:eastAsia="Calibri" w:hAnsi="Book Antiqua" w:cs="Arial"/>
              </w:rPr>
              <w:br/>
              <w:t>•Distribuir asuntos nuevos</w:t>
            </w:r>
            <w:r w:rsidRPr="009D11B7">
              <w:rPr>
                <w:rFonts w:ascii="Book Antiqua" w:eastAsia="Calibri" w:hAnsi="Book Antiqua" w:cs="Arial"/>
              </w:rPr>
              <w:br/>
              <w:t xml:space="preserve">•Revisar la información de los expedientes que ingresan nuevos </w:t>
            </w:r>
            <w:r w:rsidRPr="009D11B7">
              <w:rPr>
                <w:rFonts w:ascii="Book Antiqua" w:eastAsia="Calibri" w:hAnsi="Book Antiqua" w:cs="Arial"/>
              </w:rPr>
              <w:br/>
              <w:t>•Control de libros (pase a fallo, sentencias, comisiones, juramentaciones, boletas de seguridad (Registro Público), entre otros</w:t>
            </w:r>
            <w:r w:rsidRPr="009D11B7">
              <w:rPr>
                <w:rFonts w:ascii="Book Antiqua" w:eastAsia="Calibri" w:hAnsi="Book Antiqua" w:cs="Arial"/>
              </w:rPr>
              <w:br/>
              <w:t>•Confección y firma de certificaciones</w:t>
            </w:r>
            <w:r w:rsidRPr="009D11B7">
              <w:rPr>
                <w:rFonts w:ascii="Book Antiqua" w:eastAsia="Calibri" w:hAnsi="Book Antiqua" w:cs="Arial"/>
              </w:rPr>
              <w:br/>
              <w:t>•Firma de comisiones</w:t>
            </w:r>
            <w:r w:rsidRPr="009D11B7">
              <w:rPr>
                <w:rFonts w:ascii="Book Antiqua" w:eastAsia="Calibri" w:hAnsi="Book Antiqua" w:cs="Arial"/>
              </w:rPr>
              <w:br/>
              <w:t xml:space="preserve">•Aprobar y cancelar los mandamientos de anotaciones en el SREM </w:t>
            </w:r>
            <w:r w:rsidRPr="009D11B7">
              <w:rPr>
                <w:rFonts w:ascii="Book Antiqua" w:eastAsia="Calibri" w:hAnsi="Book Antiqua" w:cs="Arial"/>
              </w:rPr>
              <w:br/>
              <w:t>•Ingresar expedientes nuevos en el SDJ</w:t>
            </w:r>
            <w:r w:rsidRPr="009D11B7">
              <w:rPr>
                <w:rFonts w:ascii="Book Antiqua" w:eastAsia="Calibri" w:hAnsi="Book Antiqua" w:cs="Arial"/>
              </w:rPr>
              <w:br/>
              <w:t>•Autorizar giros en el SDJ</w:t>
            </w:r>
            <w:r w:rsidRPr="009D11B7">
              <w:rPr>
                <w:rFonts w:ascii="Book Antiqua" w:eastAsia="Calibri" w:hAnsi="Book Antiqua" w:cs="Arial"/>
              </w:rPr>
              <w:br/>
              <w:t>•Encargado Sistema de Itineraciones</w:t>
            </w:r>
            <w:r w:rsidRPr="009D11B7">
              <w:rPr>
                <w:rFonts w:ascii="Book Antiqua" w:eastAsia="Calibri" w:hAnsi="Book Antiqua" w:cs="Arial"/>
              </w:rPr>
              <w:br/>
              <w:t>•Administrar el correo electrónico del Despacho</w:t>
            </w:r>
            <w:r w:rsidRPr="009D11B7">
              <w:rPr>
                <w:rFonts w:ascii="Book Antiqua" w:eastAsia="Calibri" w:hAnsi="Book Antiqua" w:cs="Arial"/>
              </w:rPr>
              <w:br/>
              <w:t>•Atención de consultas de personas usuarias</w:t>
            </w:r>
            <w:r w:rsidRPr="009D11B7">
              <w:rPr>
                <w:rFonts w:ascii="Book Antiqua" w:eastAsia="Calibri" w:hAnsi="Book Antiqua" w:cs="Arial"/>
              </w:rPr>
              <w:br/>
              <w:t>•Atención de consultas del personal</w:t>
            </w:r>
            <w:r w:rsidRPr="009D11B7">
              <w:rPr>
                <w:rFonts w:ascii="Book Antiqua" w:eastAsia="Calibri" w:hAnsi="Book Antiqua" w:cs="Arial"/>
              </w:rPr>
              <w:br/>
              <w:t>•Funciones administrativas</w:t>
            </w:r>
          </w:p>
        </w:tc>
      </w:tr>
      <w:tr w:rsidR="009D11B7" w:rsidRPr="009D11B7" w14:paraId="750CC2C7"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5F44EE0F"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Técnico Judicial</w:t>
            </w:r>
          </w:p>
        </w:tc>
        <w:tc>
          <w:tcPr>
            <w:tcW w:w="4191" w:type="pct"/>
            <w:tcBorders>
              <w:top w:val="nil"/>
              <w:left w:val="nil"/>
              <w:bottom w:val="single" w:sz="4" w:space="0" w:color="auto"/>
              <w:right w:val="single" w:sz="4" w:space="0" w:color="auto"/>
            </w:tcBorders>
            <w:shd w:val="clear" w:color="auto" w:fill="auto"/>
            <w:vAlign w:val="bottom"/>
            <w:hideMark/>
          </w:tcPr>
          <w:p w14:paraId="726DB02E"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•Trámite de expedientes (proyectos de resolución)</w:t>
            </w:r>
            <w:r w:rsidRPr="009D11B7">
              <w:rPr>
                <w:rFonts w:ascii="Book Antiqua" w:eastAsia="Calibri" w:hAnsi="Book Antiqua" w:cs="Arial"/>
              </w:rPr>
              <w:br/>
              <w:t>•Acompañar a la persona juzgadora a las entrevistas fuera del Despacho</w:t>
            </w:r>
            <w:r w:rsidRPr="009D11B7">
              <w:rPr>
                <w:rFonts w:ascii="Book Antiqua" w:eastAsia="Calibri" w:hAnsi="Book Antiqua" w:cs="Arial"/>
              </w:rPr>
              <w:br/>
              <w:t>•Acompañar a la persona juzgadora en las audiencias con personas menores de edad</w:t>
            </w:r>
            <w:r w:rsidRPr="009D11B7">
              <w:rPr>
                <w:rFonts w:ascii="Book Antiqua" w:eastAsia="Calibri" w:hAnsi="Book Antiqua" w:cs="Arial"/>
              </w:rPr>
              <w:br/>
              <w:t>•Atención de personas usuarias (manifestación)</w:t>
            </w:r>
            <w:r w:rsidRPr="009D11B7">
              <w:rPr>
                <w:rFonts w:ascii="Book Antiqua" w:eastAsia="Calibri" w:hAnsi="Book Antiqua" w:cs="Arial"/>
              </w:rPr>
              <w:br/>
              <w:t>•Atención telefónica</w:t>
            </w:r>
            <w:r w:rsidRPr="009D11B7">
              <w:rPr>
                <w:rFonts w:ascii="Book Antiqua" w:eastAsia="Calibri" w:hAnsi="Book Antiqua" w:cs="Arial"/>
              </w:rPr>
              <w:br/>
              <w:t>•Confección de ejecutorias</w:t>
            </w:r>
            <w:r w:rsidRPr="009D11B7">
              <w:rPr>
                <w:rFonts w:ascii="Book Antiqua" w:eastAsia="Calibri" w:hAnsi="Book Antiqua" w:cs="Arial"/>
              </w:rPr>
              <w:br/>
              <w:t>•Confección de correo certificado</w:t>
            </w:r>
            <w:r w:rsidRPr="009D11B7">
              <w:rPr>
                <w:rFonts w:ascii="Book Antiqua" w:eastAsia="Calibri" w:hAnsi="Book Antiqua" w:cs="Arial"/>
              </w:rPr>
              <w:br/>
              <w:t>•Confección de certificaciones</w:t>
            </w:r>
            <w:r w:rsidRPr="009D11B7">
              <w:rPr>
                <w:rFonts w:ascii="Book Antiqua" w:eastAsia="Calibri" w:hAnsi="Book Antiqua" w:cs="Arial"/>
              </w:rPr>
              <w:br/>
              <w:t>•Confección de constancias</w:t>
            </w:r>
            <w:r w:rsidRPr="009D11B7">
              <w:rPr>
                <w:rFonts w:ascii="Book Antiqua" w:eastAsia="Calibri" w:hAnsi="Book Antiqua" w:cs="Arial"/>
              </w:rPr>
              <w:br/>
              <w:t>•Confección de actas de matrimonio</w:t>
            </w:r>
            <w:r w:rsidRPr="009D11B7">
              <w:rPr>
                <w:rFonts w:ascii="Book Antiqua" w:eastAsia="Calibri" w:hAnsi="Book Antiqua" w:cs="Arial"/>
              </w:rPr>
              <w:br/>
              <w:t>•Confección de oficios</w:t>
            </w:r>
            <w:r w:rsidRPr="009D11B7">
              <w:rPr>
                <w:rFonts w:ascii="Book Antiqua" w:eastAsia="Calibri" w:hAnsi="Book Antiqua" w:cs="Arial"/>
              </w:rPr>
              <w:br/>
              <w:t>•Envío y revisión de edictos</w:t>
            </w:r>
            <w:r w:rsidRPr="009D11B7">
              <w:rPr>
                <w:rFonts w:ascii="Book Antiqua" w:eastAsia="Calibri" w:hAnsi="Book Antiqua" w:cs="Arial"/>
              </w:rPr>
              <w:br/>
              <w:t>•Asistir a audiencias</w:t>
            </w:r>
            <w:r w:rsidRPr="009D11B7">
              <w:rPr>
                <w:rFonts w:ascii="Book Antiqua" w:eastAsia="Calibri" w:hAnsi="Book Antiqua" w:cs="Arial"/>
              </w:rPr>
              <w:br/>
              <w:t>•Sacar fotocopias</w:t>
            </w:r>
            <w:r w:rsidRPr="009D11B7">
              <w:rPr>
                <w:rFonts w:ascii="Book Antiqua" w:eastAsia="Calibri" w:hAnsi="Book Antiqua" w:cs="Arial"/>
              </w:rPr>
              <w:br/>
              <w:t>•Escaneo de documentos</w:t>
            </w:r>
            <w:r w:rsidRPr="009D11B7">
              <w:rPr>
                <w:rFonts w:ascii="Book Antiqua" w:eastAsia="Calibri" w:hAnsi="Book Antiqua" w:cs="Arial"/>
              </w:rPr>
              <w:br/>
              <w:t>•Encargado Sistema de Itineraciones</w:t>
            </w:r>
            <w:r w:rsidRPr="009D11B7">
              <w:rPr>
                <w:rFonts w:ascii="Book Antiqua" w:eastAsia="Calibri" w:hAnsi="Book Antiqua" w:cs="Arial"/>
              </w:rPr>
              <w:br/>
              <w:t>•Trámites con oficinas dentro y fuera del Poder Judicial (Trabajo Social y Psicología, Medicatura Forense, Bioquímica, PANI, Delegaciones Policiales, entre otras)</w:t>
            </w:r>
            <w:r w:rsidRPr="009D11B7">
              <w:rPr>
                <w:rFonts w:ascii="Book Antiqua" w:eastAsia="Calibri" w:hAnsi="Book Antiqua" w:cs="Arial"/>
              </w:rPr>
              <w:br/>
              <w:t>•Ingresar los señalamientos y resultados en la agenda Cronos</w:t>
            </w:r>
            <w:r w:rsidRPr="009D11B7">
              <w:rPr>
                <w:rFonts w:ascii="Book Antiqua" w:eastAsia="Calibri" w:hAnsi="Book Antiqua" w:cs="Arial"/>
              </w:rPr>
              <w:br/>
              <w:t>•Realizar giros en el SDJ</w:t>
            </w:r>
            <w:r w:rsidRPr="009D11B7">
              <w:rPr>
                <w:rFonts w:ascii="Book Antiqua" w:eastAsia="Calibri" w:hAnsi="Book Antiqua" w:cs="Arial"/>
              </w:rPr>
              <w:br/>
              <w:t>•Anotar y levantar mandamientos en el SREM</w:t>
            </w:r>
            <w:r w:rsidRPr="009D11B7">
              <w:rPr>
                <w:rFonts w:ascii="Book Antiqua" w:eastAsia="Calibri" w:hAnsi="Book Antiqua" w:cs="Arial"/>
              </w:rPr>
              <w:br/>
              <w:t>•Recibir salvaguardias</w:t>
            </w:r>
            <w:r w:rsidRPr="009D11B7">
              <w:rPr>
                <w:rFonts w:ascii="Book Antiqua" w:eastAsia="Calibri" w:hAnsi="Book Antiqua" w:cs="Arial"/>
              </w:rPr>
              <w:br/>
              <w:t>•Recibir Matrimonios</w:t>
            </w:r>
            <w:r w:rsidRPr="009D11B7">
              <w:rPr>
                <w:rFonts w:ascii="Book Antiqua" w:eastAsia="Calibri" w:hAnsi="Book Antiqua" w:cs="Arial"/>
              </w:rPr>
              <w:br/>
              <w:t>•Nombrar curadores y peritos</w:t>
            </w:r>
            <w:r w:rsidRPr="009D11B7">
              <w:rPr>
                <w:rFonts w:ascii="Book Antiqua" w:eastAsia="Calibri" w:hAnsi="Book Antiqua" w:cs="Arial"/>
              </w:rPr>
              <w:br/>
              <w:t>•Entrega de claves de gestión en línea</w:t>
            </w:r>
          </w:p>
        </w:tc>
      </w:tr>
      <w:tr w:rsidR="009D11B7" w:rsidRPr="009D11B7" w14:paraId="6AC7ACDC"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0599460E"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Auxiliar de Servicios Generales</w:t>
            </w:r>
          </w:p>
        </w:tc>
        <w:tc>
          <w:tcPr>
            <w:tcW w:w="4191" w:type="pct"/>
            <w:tcBorders>
              <w:top w:val="nil"/>
              <w:left w:val="nil"/>
              <w:bottom w:val="single" w:sz="4" w:space="0" w:color="auto"/>
              <w:right w:val="single" w:sz="4" w:space="0" w:color="auto"/>
            </w:tcBorders>
            <w:shd w:val="clear" w:color="auto" w:fill="auto"/>
            <w:vAlign w:val="bottom"/>
            <w:hideMark/>
          </w:tcPr>
          <w:p w14:paraId="64214101"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•Atención de personas usuarias (manifestación)</w:t>
            </w:r>
            <w:r w:rsidRPr="009D11B7">
              <w:rPr>
                <w:rFonts w:ascii="Book Antiqua" w:eastAsia="Calibri" w:hAnsi="Book Antiqua" w:cs="Arial"/>
              </w:rPr>
              <w:br/>
              <w:t>•Labores de limpieza</w:t>
            </w:r>
            <w:r w:rsidRPr="009D11B7">
              <w:rPr>
                <w:rFonts w:ascii="Book Antiqua" w:eastAsia="Calibri" w:hAnsi="Book Antiqua" w:cs="Arial"/>
              </w:rPr>
              <w:br/>
              <w:t>•Confección de ejecutorias</w:t>
            </w:r>
            <w:r w:rsidRPr="009D11B7">
              <w:rPr>
                <w:rFonts w:ascii="Book Antiqua" w:eastAsia="Calibri" w:hAnsi="Book Antiqua" w:cs="Arial"/>
              </w:rPr>
              <w:br/>
              <w:t>•Escaneo de documentos</w:t>
            </w:r>
            <w:r w:rsidRPr="009D11B7">
              <w:rPr>
                <w:rFonts w:ascii="Book Antiqua" w:eastAsia="Calibri" w:hAnsi="Book Antiqua" w:cs="Arial"/>
              </w:rPr>
              <w:br/>
              <w:t>•Agregar la documentación que ingresa por correo certificado a los expedientes</w:t>
            </w:r>
            <w:r w:rsidRPr="009D11B7">
              <w:rPr>
                <w:rFonts w:ascii="Book Antiqua" w:eastAsia="Calibri" w:hAnsi="Book Antiqua" w:cs="Arial"/>
              </w:rPr>
              <w:br/>
              <w:t>•Confección de correo certificado</w:t>
            </w:r>
            <w:r w:rsidRPr="009D11B7">
              <w:rPr>
                <w:rFonts w:ascii="Book Antiqua" w:eastAsia="Calibri" w:hAnsi="Book Antiqua" w:cs="Arial"/>
              </w:rPr>
              <w:br/>
              <w:t>•Sacar fotocopias</w:t>
            </w:r>
            <w:r w:rsidRPr="009D11B7">
              <w:rPr>
                <w:rFonts w:ascii="Book Antiqua" w:eastAsia="Calibri" w:hAnsi="Book Antiqua" w:cs="Arial"/>
              </w:rPr>
              <w:br/>
              <w:t xml:space="preserve">•Llevar las ejecutorias al Registro Civil </w:t>
            </w:r>
          </w:p>
        </w:tc>
      </w:tr>
    </w:tbl>
    <w:p w14:paraId="071FAA25" w14:textId="263A4B72" w:rsidR="00AF796A" w:rsidRPr="00AF796A" w:rsidRDefault="00AF796A" w:rsidP="00AF796A">
      <w:pPr>
        <w:tabs>
          <w:tab w:val="left" w:pos="8364"/>
        </w:tabs>
        <w:spacing w:after="0" w:line="276" w:lineRule="auto"/>
        <w:ind w:right="1700"/>
        <w:jc w:val="both"/>
        <w:rPr>
          <w:rFonts w:ascii="Book Antiqua" w:eastAsia="Calibri" w:hAnsi="Book Antiqua" w:cs="Arial"/>
          <w:bCs/>
          <w:i/>
          <w:sz w:val="20"/>
          <w:szCs w:val="20"/>
        </w:rPr>
      </w:pPr>
      <w:r w:rsidRPr="00ED2ACB">
        <w:rPr>
          <w:rFonts w:ascii="Book Antiqua" w:eastAsia="Calibri" w:hAnsi="Book Antiqua" w:cs="Arial"/>
          <w:b/>
          <w:i/>
          <w:sz w:val="20"/>
          <w:szCs w:val="20"/>
        </w:rPr>
        <w:t>Fuente:</w:t>
      </w:r>
      <w:r w:rsidRPr="00AF796A">
        <w:rPr>
          <w:rFonts w:ascii="Book Antiqua" w:eastAsia="Calibri" w:hAnsi="Book Antiqua" w:cs="Arial"/>
          <w:bCs/>
          <w:i/>
          <w:sz w:val="20"/>
          <w:szCs w:val="20"/>
        </w:rPr>
        <w:t xml:space="preserve"> Subproceso de Modernización Institucional</w:t>
      </w:r>
      <w:r w:rsidR="006107FB">
        <w:rPr>
          <w:rFonts w:ascii="Book Antiqua" w:eastAsia="Calibri" w:hAnsi="Book Antiqua" w:cs="Arial"/>
          <w:bCs/>
          <w:i/>
          <w:sz w:val="20"/>
          <w:szCs w:val="20"/>
        </w:rPr>
        <w:t xml:space="preserve"> con datos suministrados por los Juzgados Especializados de Familia</w:t>
      </w:r>
      <w:r w:rsidRPr="00AF796A">
        <w:rPr>
          <w:rFonts w:ascii="Book Antiqua" w:eastAsia="Calibri" w:hAnsi="Book Antiqua" w:cs="Arial"/>
          <w:bCs/>
          <w:i/>
          <w:sz w:val="20"/>
          <w:szCs w:val="20"/>
        </w:rPr>
        <w:t>.</w:t>
      </w:r>
    </w:p>
    <w:p w14:paraId="69D6C71E" w14:textId="18268B58" w:rsidR="00116B89" w:rsidRDefault="00116B89" w:rsidP="009C01E1">
      <w:pPr>
        <w:spacing w:line="276" w:lineRule="auto"/>
        <w:jc w:val="both"/>
        <w:rPr>
          <w:rFonts w:ascii="Book Antiqua" w:hAnsi="Book Antiqua"/>
          <w:sz w:val="24"/>
          <w:szCs w:val="24"/>
        </w:rPr>
      </w:pPr>
    </w:p>
    <w:p w14:paraId="19BC7CD2" w14:textId="07A1F204" w:rsidR="00AF796A" w:rsidRDefault="00EC28D8" w:rsidP="00681EDC">
      <w:pPr>
        <w:spacing w:after="0" w:line="276" w:lineRule="auto"/>
        <w:jc w:val="both"/>
        <w:rPr>
          <w:rFonts w:ascii="Book Antiqua" w:eastAsia="Calibri" w:hAnsi="Book Antiqua" w:cs="Arial"/>
          <w:sz w:val="24"/>
          <w:szCs w:val="24"/>
        </w:rPr>
      </w:pPr>
      <w:r w:rsidRPr="00EC28D8">
        <w:rPr>
          <w:rFonts w:ascii="Book Antiqua" w:eastAsia="Calibri" w:hAnsi="Book Antiqua" w:cs="Arial"/>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w:t>
      </w:r>
      <w:r w:rsidR="006107FB">
        <w:rPr>
          <w:rFonts w:ascii="Book Antiqua" w:eastAsia="Calibri" w:hAnsi="Book Antiqua" w:cs="Arial"/>
          <w:sz w:val="24"/>
          <w:szCs w:val="24"/>
        </w:rPr>
        <w:t>A</w:t>
      </w:r>
      <w:r w:rsidRPr="00EC28D8">
        <w:rPr>
          <w:rFonts w:ascii="Book Antiqua" w:eastAsia="Calibri" w:hAnsi="Book Antiqua" w:cs="Arial"/>
          <w:sz w:val="24"/>
          <w:szCs w:val="24"/>
        </w:rPr>
        <w:t xml:space="preserve">uxiliar de </w:t>
      </w:r>
      <w:r w:rsidR="006107FB">
        <w:rPr>
          <w:rFonts w:ascii="Book Antiqua" w:eastAsia="Calibri" w:hAnsi="Book Antiqua" w:cs="Arial"/>
          <w:sz w:val="24"/>
          <w:szCs w:val="24"/>
        </w:rPr>
        <w:t>S</w:t>
      </w:r>
      <w:r w:rsidRPr="00EC28D8">
        <w:rPr>
          <w:rFonts w:ascii="Book Antiqua" w:eastAsia="Calibri" w:hAnsi="Book Antiqua" w:cs="Arial"/>
          <w:sz w:val="24"/>
          <w:szCs w:val="24"/>
        </w:rPr>
        <w:t xml:space="preserve">ervicios </w:t>
      </w:r>
      <w:r w:rsidR="006107FB">
        <w:rPr>
          <w:rFonts w:ascii="Book Antiqua" w:eastAsia="Calibri" w:hAnsi="Book Antiqua" w:cs="Arial"/>
          <w:sz w:val="24"/>
          <w:szCs w:val="24"/>
        </w:rPr>
        <w:t>G</w:t>
      </w:r>
      <w:r w:rsidRPr="00EC28D8">
        <w:rPr>
          <w:rFonts w:ascii="Book Antiqua" w:eastAsia="Calibri" w:hAnsi="Book Antiqua" w:cs="Arial"/>
          <w:sz w:val="24"/>
          <w:szCs w:val="24"/>
        </w:rPr>
        <w:t>enerales, en los despachos que cuentan con esta figura, es la persona que se encarga de la atención de las personas usuarias</w:t>
      </w:r>
      <w:r w:rsidR="006107FB">
        <w:rPr>
          <w:rFonts w:ascii="Book Antiqua" w:eastAsia="Calibri" w:hAnsi="Book Antiqua" w:cs="Arial"/>
          <w:sz w:val="24"/>
          <w:szCs w:val="24"/>
        </w:rPr>
        <w:t>;</w:t>
      </w:r>
      <w:r w:rsidRPr="00EC28D8">
        <w:rPr>
          <w:rFonts w:ascii="Book Antiqua" w:eastAsia="Calibri" w:hAnsi="Book Antiqua" w:cs="Arial"/>
          <w:sz w:val="24"/>
          <w:szCs w:val="24"/>
        </w:rPr>
        <w:t xml:space="preserve"> entre otras diferencias. No obstante, la Dirección de Planificación, analizó la situación particular de cada Despacho para definir las funciones de puestos de la misma categoría en línea con los Manuales de Perfiles Competenciales de la Dirección de Gestión Humana y cantidad de puestos existentes en cada oficina</w:t>
      </w:r>
      <w:r w:rsidR="000F0D2B">
        <w:rPr>
          <w:rFonts w:ascii="Book Antiqua" w:eastAsia="Calibri" w:hAnsi="Book Antiqua" w:cs="Arial"/>
          <w:sz w:val="24"/>
          <w:szCs w:val="24"/>
        </w:rPr>
        <w:t>, y eso se indicó en los informes de estructuras citados en el cuadro 1</w:t>
      </w:r>
      <w:r w:rsidR="00E816ED">
        <w:rPr>
          <w:rFonts w:ascii="Book Antiqua" w:eastAsia="Calibri" w:hAnsi="Book Antiqua" w:cs="Arial"/>
          <w:sz w:val="24"/>
          <w:szCs w:val="24"/>
        </w:rPr>
        <w:t>2</w:t>
      </w:r>
      <w:r w:rsidR="000F0D2B">
        <w:rPr>
          <w:rFonts w:ascii="Book Antiqua" w:eastAsia="Calibri" w:hAnsi="Book Antiqua" w:cs="Arial"/>
          <w:sz w:val="24"/>
          <w:szCs w:val="24"/>
        </w:rPr>
        <w:t xml:space="preserve"> de este informe</w:t>
      </w:r>
      <w:r w:rsidRPr="00EC28D8">
        <w:rPr>
          <w:rFonts w:ascii="Book Antiqua" w:eastAsia="Calibri" w:hAnsi="Book Antiqua" w:cs="Arial"/>
          <w:sz w:val="24"/>
          <w:szCs w:val="24"/>
        </w:rPr>
        <w:t xml:space="preserve">. </w:t>
      </w:r>
    </w:p>
    <w:p w14:paraId="6ACE30C8" w14:textId="77777777" w:rsidR="00681EDC" w:rsidRPr="00681EDC" w:rsidRDefault="00681EDC" w:rsidP="00681EDC">
      <w:pPr>
        <w:spacing w:after="0" w:line="276" w:lineRule="auto"/>
        <w:jc w:val="both"/>
        <w:rPr>
          <w:rFonts w:ascii="Book Antiqua" w:eastAsia="Calibri" w:hAnsi="Book Antiqua" w:cs="Arial"/>
          <w:sz w:val="24"/>
          <w:szCs w:val="24"/>
        </w:rPr>
      </w:pPr>
    </w:p>
    <w:p w14:paraId="6CD36FBF" w14:textId="77777777" w:rsidR="00446672" w:rsidRPr="003540BE" w:rsidRDefault="00446672" w:rsidP="003540B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540BE">
        <w:rPr>
          <w:rFonts w:ascii="Book Antiqua" w:eastAsiaTheme="majorEastAsia" w:hAnsi="Book Antiqua" w:cstheme="majorBidi"/>
          <w:b/>
          <w:color w:val="1F3864" w:themeColor="accent1" w:themeShade="80"/>
          <w:sz w:val="24"/>
          <w:lang w:val="es-ES"/>
        </w:rPr>
        <w:t xml:space="preserve">Coordinación con otras Instancias </w:t>
      </w:r>
    </w:p>
    <w:p w14:paraId="6D725DAF" w14:textId="5780FA15" w:rsidR="00446672" w:rsidRDefault="00446672" w:rsidP="009C01E1">
      <w:pPr>
        <w:spacing w:line="276" w:lineRule="auto"/>
        <w:jc w:val="both"/>
        <w:rPr>
          <w:rFonts w:ascii="Book Antiqua" w:hAnsi="Book Antiqua"/>
          <w:sz w:val="24"/>
          <w:szCs w:val="24"/>
        </w:rPr>
      </w:pPr>
    </w:p>
    <w:p w14:paraId="54E808B3" w14:textId="77777777" w:rsidR="005252CC" w:rsidRPr="005252CC" w:rsidRDefault="005252CC" w:rsidP="005252CC">
      <w:pPr>
        <w:spacing w:after="0" w:line="276" w:lineRule="auto"/>
        <w:jc w:val="both"/>
        <w:rPr>
          <w:rFonts w:ascii="Book Antiqua" w:eastAsia="Calibri" w:hAnsi="Book Antiqua" w:cs="Arial"/>
          <w:sz w:val="24"/>
          <w:szCs w:val="24"/>
        </w:rPr>
      </w:pPr>
      <w:r w:rsidRPr="005252CC">
        <w:rPr>
          <w:rFonts w:ascii="Book Antiqua" w:eastAsia="Calibri" w:hAnsi="Book Antiqua" w:cs="Arial"/>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p>
    <w:p w14:paraId="64A2917E" w14:textId="77777777" w:rsidR="005252CC" w:rsidRPr="005252CC" w:rsidRDefault="005252CC" w:rsidP="005252CC">
      <w:pPr>
        <w:spacing w:after="0" w:line="276" w:lineRule="auto"/>
        <w:jc w:val="both"/>
        <w:rPr>
          <w:rFonts w:ascii="Book Antiqua" w:eastAsia="Calibri" w:hAnsi="Book Antiqua" w:cs="Arial"/>
          <w:sz w:val="24"/>
          <w:szCs w:val="24"/>
        </w:rPr>
      </w:pPr>
    </w:p>
    <w:p w14:paraId="4BB48024" w14:textId="77777777" w:rsidR="005252CC" w:rsidRPr="005252CC" w:rsidRDefault="005252CC" w:rsidP="005252CC">
      <w:pPr>
        <w:spacing w:after="0" w:line="276" w:lineRule="auto"/>
        <w:jc w:val="both"/>
        <w:rPr>
          <w:rFonts w:ascii="Book Antiqua" w:eastAsia="Calibri" w:hAnsi="Book Antiqua" w:cs="Arial"/>
          <w:sz w:val="24"/>
          <w:szCs w:val="24"/>
        </w:rPr>
      </w:pPr>
      <w:r w:rsidRPr="005252CC">
        <w:rPr>
          <w:rFonts w:ascii="Book Antiqua" w:eastAsia="Calibri" w:hAnsi="Book Antiqua" w:cs="Arial"/>
          <w:sz w:val="24"/>
          <w:szCs w:val="24"/>
        </w:rPr>
        <w:t>A continuación, se mencionan algunas oficinas con las que deben coordinar los Juzgados Especializados de Familia a nivel interno.</w:t>
      </w:r>
    </w:p>
    <w:p w14:paraId="66A4B819" w14:textId="77777777" w:rsidR="005252CC" w:rsidRPr="005252CC" w:rsidRDefault="005252CC" w:rsidP="005252CC">
      <w:pPr>
        <w:spacing w:after="0" w:line="276" w:lineRule="auto"/>
        <w:jc w:val="both"/>
        <w:rPr>
          <w:rFonts w:ascii="Book Antiqua" w:eastAsia="Calibri" w:hAnsi="Book Antiqua" w:cs="Arial"/>
          <w:sz w:val="24"/>
          <w:szCs w:val="24"/>
        </w:rPr>
      </w:pPr>
    </w:p>
    <w:p w14:paraId="77256BC9" w14:textId="0C40EA84" w:rsidR="009725FA" w:rsidRDefault="006A4BA6" w:rsidP="00292FFD">
      <w:pPr>
        <w:pStyle w:val="Ttulo3"/>
      </w:pPr>
      <w:r>
        <w:t xml:space="preserve">5.6.1 </w:t>
      </w:r>
      <w:r w:rsidR="005252CC" w:rsidRPr="008D6799">
        <w:t>Departamento de Medicina Legal</w:t>
      </w:r>
    </w:p>
    <w:p w14:paraId="636F4E55" w14:textId="77777777" w:rsidR="005252CC" w:rsidRPr="005252CC" w:rsidRDefault="005252CC" w:rsidP="005252CC">
      <w:pPr>
        <w:spacing w:after="0" w:line="276" w:lineRule="auto"/>
        <w:jc w:val="both"/>
        <w:rPr>
          <w:rFonts w:ascii="Book Antiqua" w:eastAsia="Calibri" w:hAnsi="Book Antiqua" w:cs="Arial"/>
          <w:u w:val="single"/>
        </w:rPr>
      </w:pPr>
    </w:p>
    <w:p w14:paraId="401D0BBD" w14:textId="0FC2D890" w:rsidR="005252CC" w:rsidRPr="00EF146D" w:rsidRDefault="005252CC"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15</w:t>
      </w:r>
      <w:r w:rsidRPr="00EF146D">
        <w:rPr>
          <w:rFonts w:ascii="Book Antiqua" w:eastAsia="Calibri" w:hAnsi="Book Antiqua" w:cs="Arial"/>
          <w:b/>
          <w:bCs/>
          <w:color w:val="1F497D"/>
          <w:szCs w:val="24"/>
          <w:lang w:val="es-ES" w:eastAsia="es-ES"/>
        </w:rPr>
        <w:fldChar w:fldCharType="end"/>
      </w:r>
    </w:p>
    <w:p w14:paraId="35582AFA" w14:textId="77777777" w:rsidR="005252CC" w:rsidRPr="005252CC" w:rsidRDefault="005252CC"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5252CC">
        <w:rPr>
          <w:rFonts w:ascii="Book Antiqua" w:eastAsia="Times New Roman" w:hAnsi="Book Antiqua" w:cs="Arial"/>
          <w:b/>
          <w:bCs/>
          <w:color w:val="1F497D"/>
          <w:lang w:eastAsia="es-ES"/>
        </w:rPr>
        <w:t xml:space="preserve">Cantidad de solicitudes de pruebas médico legales solicitadas por los Juzgados </w:t>
      </w:r>
    </w:p>
    <w:p w14:paraId="12758015" w14:textId="421DAC48" w:rsidR="005252CC" w:rsidRPr="002E6C53" w:rsidRDefault="005252CC"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5252CC">
        <w:rPr>
          <w:rFonts w:ascii="Book Antiqua" w:eastAsia="Times New Roman" w:hAnsi="Book Antiqua" w:cs="Arial"/>
          <w:b/>
          <w:bCs/>
          <w:color w:val="1F497D"/>
          <w:lang w:eastAsia="es-ES"/>
        </w:rPr>
        <w:t xml:space="preserve">que tramitan la materia de Familia del </w:t>
      </w:r>
      <w:r w:rsidRPr="00C15C74">
        <w:rPr>
          <w:rFonts w:ascii="Book Antiqua" w:eastAsia="Times New Roman" w:hAnsi="Book Antiqua" w:cs="Arial"/>
          <w:b/>
          <w:bCs/>
          <w:color w:val="1F497D"/>
          <w:lang w:eastAsia="es-ES"/>
        </w:rPr>
        <w:t>201</w:t>
      </w:r>
      <w:r w:rsidR="005361A0" w:rsidRPr="00C15C74">
        <w:rPr>
          <w:rFonts w:ascii="Book Antiqua" w:eastAsia="Times New Roman" w:hAnsi="Book Antiqua" w:cs="Arial"/>
          <w:b/>
          <w:bCs/>
          <w:color w:val="1F497D"/>
          <w:lang w:eastAsia="es-ES"/>
        </w:rPr>
        <w:t>7</w:t>
      </w:r>
      <w:r w:rsidRPr="00C15C74">
        <w:rPr>
          <w:rFonts w:ascii="Book Antiqua" w:eastAsia="Times New Roman" w:hAnsi="Book Antiqua" w:cs="Arial"/>
          <w:b/>
          <w:bCs/>
          <w:color w:val="1F497D"/>
          <w:lang w:eastAsia="es-ES"/>
        </w:rPr>
        <w:t xml:space="preserve"> al 20</w:t>
      </w:r>
      <w:r w:rsidR="005361A0" w:rsidRPr="00C15C74">
        <w:rPr>
          <w:rFonts w:ascii="Book Antiqua" w:eastAsia="Times New Roman" w:hAnsi="Book Antiqua" w:cs="Arial"/>
          <w:b/>
          <w:bCs/>
          <w:color w:val="1F497D"/>
          <w:lang w:eastAsia="es-ES"/>
        </w:rPr>
        <w:t>2</w:t>
      </w:r>
      <w:r w:rsidR="002E6C53">
        <w:rPr>
          <w:rFonts w:ascii="Book Antiqua" w:eastAsia="Times New Roman" w:hAnsi="Book Antiqua" w:cs="Arial"/>
          <w:b/>
          <w:bCs/>
          <w:color w:val="1F497D"/>
          <w:lang w:eastAsia="es-ES"/>
        </w:rPr>
        <w:t>2</w:t>
      </w:r>
    </w:p>
    <w:tbl>
      <w:tblPr>
        <w:tblW w:w="8868" w:type="dxa"/>
        <w:jc w:val="center"/>
        <w:tblCellMar>
          <w:left w:w="70" w:type="dxa"/>
          <w:right w:w="70" w:type="dxa"/>
        </w:tblCellMar>
        <w:tblLook w:val="04A0" w:firstRow="1" w:lastRow="0" w:firstColumn="1" w:lastColumn="0" w:noHBand="0" w:noVBand="1"/>
      </w:tblPr>
      <w:tblGrid>
        <w:gridCol w:w="2505"/>
        <w:gridCol w:w="909"/>
        <w:gridCol w:w="909"/>
        <w:gridCol w:w="909"/>
        <w:gridCol w:w="909"/>
        <w:gridCol w:w="909"/>
        <w:gridCol w:w="909"/>
        <w:gridCol w:w="909"/>
      </w:tblGrid>
      <w:tr w:rsidR="002E6C53" w:rsidRPr="002E6C53" w14:paraId="661017C1" w14:textId="77777777" w:rsidTr="0093653B">
        <w:trPr>
          <w:trHeight w:val="581"/>
          <w:jc w:val="center"/>
        </w:trPr>
        <w:tc>
          <w:tcPr>
            <w:tcW w:w="2505"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3F505B7E" w14:textId="77777777" w:rsidR="002E6C53" w:rsidRPr="002E6C53" w:rsidRDefault="002E6C53" w:rsidP="002E6C53">
            <w:pPr>
              <w:spacing w:after="0" w:line="240" w:lineRule="auto"/>
              <w:jc w:val="center"/>
              <w:rPr>
                <w:rFonts w:ascii="Book Antiqua" w:eastAsia="Times New Roman" w:hAnsi="Book Antiqua" w:cs="Calibri"/>
                <w:b/>
                <w:bCs/>
                <w:color w:val="FFFFFF"/>
                <w:sz w:val="20"/>
                <w:szCs w:val="20"/>
                <w:lang w:eastAsia="es-CR"/>
              </w:rPr>
            </w:pPr>
            <w:r w:rsidRPr="002E6C53">
              <w:rPr>
                <w:rFonts w:ascii="Book Antiqua" w:eastAsia="Times New Roman" w:hAnsi="Book Antiqua" w:cs="Calibri"/>
                <w:b/>
                <w:bCs/>
                <w:color w:val="FFFFFF"/>
                <w:sz w:val="20"/>
                <w:szCs w:val="20"/>
                <w:lang w:eastAsia="es-CR"/>
              </w:rPr>
              <w:t>Tipo de documento</w:t>
            </w:r>
          </w:p>
        </w:tc>
        <w:tc>
          <w:tcPr>
            <w:tcW w:w="909" w:type="dxa"/>
            <w:tcBorders>
              <w:top w:val="single" w:sz="8" w:space="0" w:color="auto"/>
              <w:left w:val="nil"/>
              <w:bottom w:val="single" w:sz="8" w:space="0" w:color="auto"/>
              <w:right w:val="single" w:sz="8" w:space="0" w:color="auto"/>
            </w:tcBorders>
            <w:shd w:val="clear" w:color="000000" w:fill="002060"/>
            <w:noWrap/>
            <w:vAlign w:val="center"/>
            <w:hideMark/>
          </w:tcPr>
          <w:p w14:paraId="08D2C1A0" w14:textId="77777777" w:rsidR="002E6C53" w:rsidRPr="002E6C53" w:rsidRDefault="002E6C53" w:rsidP="002E6C53">
            <w:pPr>
              <w:spacing w:after="0" w:line="240" w:lineRule="auto"/>
              <w:jc w:val="center"/>
              <w:rPr>
                <w:rFonts w:ascii="Book Antiqua" w:eastAsia="Times New Roman" w:hAnsi="Book Antiqua" w:cs="Calibri"/>
                <w:b/>
                <w:bCs/>
                <w:color w:val="FFFFFF"/>
                <w:sz w:val="20"/>
                <w:szCs w:val="20"/>
                <w:lang w:eastAsia="es-CR"/>
              </w:rPr>
            </w:pPr>
            <w:r w:rsidRPr="002E6C53">
              <w:rPr>
                <w:rFonts w:ascii="Book Antiqua" w:eastAsia="Times New Roman" w:hAnsi="Book Antiqua" w:cs="Calibri"/>
                <w:b/>
                <w:bCs/>
                <w:color w:val="FFFFFF"/>
                <w:sz w:val="20"/>
                <w:szCs w:val="20"/>
                <w:lang w:eastAsia="es-CR"/>
              </w:rPr>
              <w:t>2017</w:t>
            </w:r>
          </w:p>
        </w:tc>
        <w:tc>
          <w:tcPr>
            <w:tcW w:w="909" w:type="dxa"/>
            <w:tcBorders>
              <w:top w:val="single" w:sz="8" w:space="0" w:color="auto"/>
              <w:left w:val="nil"/>
              <w:bottom w:val="single" w:sz="8" w:space="0" w:color="auto"/>
              <w:right w:val="single" w:sz="8" w:space="0" w:color="auto"/>
            </w:tcBorders>
            <w:shd w:val="clear" w:color="000000" w:fill="002060"/>
            <w:noWrap/>
            <w:vAlign w:val="center"/>
            <w:hideMark/>
          </w:tcPr>
          <w:p w14:paraId="185ACA3B" w14:textId="77777777" w:rsidR="002E6C53" w:rsidRPr="002E6C53" w:rsidRDefault="002E6C53" w:rsidP="002E6C53">
            <w:pPr>
              <w:spacing w:after="0" w:line="240" w:lineRule="auto"/>
              <w:jc w:val="center"/>
              <w:rPr>
                <w:rFonts w:ascii="Book Antiqua" w:eastAsia="Times New Roman" w:hAnsi="Book Antiqua" w:cs="Calibri"/>
                <w:b/>
                <w:bCs/>
                <w:color w:val="FFFFFF"/>
                <w:sz w:val="20"/>
                <w:szCs w:val="20"/>
                <w:lang w:eastAsia="es-CR"/>
              </w:rPr>
            </w:pPr>
            <w:r w:rsidRPr="002E6C53">
              <w:rPr>
                <w:rFonts w:ascii="Book Antiqua" w:eastAsia="Times New Roman" w:hAnsi="Book Antiqua" w:cs="Calibri"/>
                <w:b/>
                <w:bCs/>
                <w:color w:val="FFFFFF"/>
                <w:sz w:val="20"/>
                <w:szCs w:val="20"/>
                <w:lang w:eastAsia="es-CR"/>
              </w:rPr>
              <w:t>2018</w:t>
            </w:r>
          </w:p>
        </w:tc>
        <w:tc>
          <w:tcPr>
            <w:tcW w:w="909" w:type="dxa"/>
            <w:tcBorders>
              <w:top w:val="single" w:sz="8" w:space="0" w:color="auto"/>
              <w:left w:val="nil"/>
              <w:bottom w:val="single" w:sz="8" w:space="0" w:color="auto"/>
              <w:right w:val="single" w:sz="8" w:space="0" w:color="auto"/>
            </w:tcBorders>
            <w:shd w:val="clear" w:color="000000" w:fill="002060"/>
            <w:noWrap/>
            <w:vAlign w:val="center"/>
            <w:hideMark/>
          </w:tcPr>
          <w:p w14:paraId="6E0CE843" w14:textId="77777777" w:rsidR="002E6C53" w:rsidRPr="002E6C53" w:rsidRDefault="002E6C53" w:rsidP="002E6C53">
            <w:pPr>
              <w:spacing w:after="0" w:line="240" w:lineRule="auto"/>
              <w:jc w:val="center"/>
              <w:rPr>
                <w:rFonts w:ascii="Book Antiqua" w:eastAsia="Times New Roman" w:hAnsi="Book Antiqua" w:cs="Calibri"/>
                <w:b/>
                <w:bCs/>
                <w:color w:val="FFFFFF"/>
                <w:sz w:val="20"/>
                <w:szCs w:val="20"/>
                <w:lang w:eastAsia="es-CR"/>
              </w:rPr>
            </w:pPr>
            <w:r w:rsidRPr="002E6C53">
              <w:rPr>
                <w:rFonts w:ascii="Book Antiqua" w:eastAsia="Times New Roman" w:hAnsi="Book Antiqua" w:cs="Calibri"/>
                <w:b/>
                <w:bCs/>
                <w:color w:val="FFFFFF"/>
                <w:sz w:val="20"/>
                <w:szCs w:val="20"/>
                <w:lang w:eastAsia="es-CR"/>
              </w:rPr>
              <w:t>2019</w:t>
            </w:r>
          </w:p>
        </w:tc>
        <w:tc>
          <w:tcPr>
            <w:tcW w:w="909" w:type="dxa"/>
            <w:tcBorders>
              <w:top w:val="single" w:sz="8" w:space="0" w:color="auto"/>
              <w:left w:val="nil"/>
              <w:bottom w:val="single" w:sz="8" w:space="0" w:color="auto"/>
              <w:right w:val="single" w:sz="8" w:space="0" w:color="auto"/>
            </w:tcBorders>
            <w:shd w:val="clear" w:color="000000" w:fill="002060"/>
            <w:noWrap/>
            <w:vAlign w:val="center"/>
            <w:hideMark/>
          </w:tcPr>
          <w:p w14:paraId="00374057" w14:textId="77777777" w:rsidR="002E6C53" w:rsidRPr="002E6C53" w:rsidRDefault="002E6C53" w:rsidP="002E6C53">
            <w:pPr>
              <w:spacing w:after="0" w:line="240" w:lineRule="auto"/>
              <w:jc w:val="center"/>
              <w:rPr>
                <w:rFonts w:ascii="Book Antiqua" w:eastAsia="Times New Roman" w:hAnsi="Book Antiqua" w:cs="Calibri"/>
                <w:b/>
                <w:bCs/>
                <w:color w:val="FFFFFF"/>
                <w:sz w:val="20"/>
                <w:szCs w:val="20"/>
                <w:lang w:eastAsia="es-CR"/>
              </w:rPr>
            </w:pPr>
            <w:r w:rsidRPr="002E6C53">
              <w:rPr>
                <w:rFonts w:ascii="Book Antiqua" w:eastAsia="Times New Roman" w:hAnsi="Book Antiqua" w:cs="Calibri"/>
                <w:b/>
                <w:bCs/>
                <w:color w:val="FFFFFF"/>
                <w:sz w:val="20"/>
                <w:szCs w:val="20"/>
                <w:lang w:eastAsia="es-CR"/>
              </w:rPr>
              <w:t>2020</w:t>
            </w:r>
          </w:p>
        </w:tc>
        <w:tc>
          <w:tcPr>
            <w:tcW w:w="909" w:type="dxa"/>
            <w:tcBorders>
              <w:top w:val="single" w:sz="8" w:space="0" w:color="auto"/>
              <w:left w:val="nil"/>
              <w:bottom w:val="single" w:sz="8" w:space="0" w:color="auto"/>
              <w:right w:val="single" w:sz="8" w:space="0" w:color="auto"/>
            </w:tcBorders>
            <w:shd w:val="clear" w:color="000000" w:fill="002060"/>
            <w:noWrap/>
            <w:vAlign w:val="center"/>
            <w:hideMark/>
          </w:tcPr>
          <w:p w14:paraId="62ABEF98" w14:textId="77777777" w:rsidR="002E6C53" w:rsidRPr="002E6C53" w:rsidRDefault="002E6C53" w:rsidP="002E6C53">
            <w:pPr>
              <w:spacing w:after="0" w:line="240" w:lineRule="auto"/>
              <w:jc w:val="center"/>
              <w:rPr>
                <w:rFonts w:ascii="Book Antiqua" w:eastAsia="Times New Roman" w:hAnsi="Book Antiqua" w:cs="Calibri"/>
                <w:b/>
                <w:bCs/>
                <w:color w:val="FFFFFF"/>
                <w:sz w:val="20"/>
                <w:szCs w:val="20"/>
                <w:lang w:eastAsia="es-CR"/>
              </w:rPr>
            </w:pPr>
            <w:r w:rsidRPr="002E6C53">
              <w:rPr>
                <w:rFonts w:ascii="Book Antiqua" w:eastAsia="Times New Roman" w:hAnsi="Book Antiqua" w:cs="Calibri"/>
                <w:b/>
                <w:bCs/>
                <w:color w:val="FFFFFF"/>
                <w:sz w:val="20"/>
                <w:szCs w:val="20"/>
                <w:lang w:eastAsia="es-CR"/>
              </w:rPr>
              <w:t>2021</w:t>
            </w:r>
          </w:p>
        </w:tc>
        <w:tc>
          <w:tcPr>
            <w:tcW w:w="909" w:type="dxa"/>
            <w:tcBorders>
              <w:top w:val="single" w:sz="8" w:space="0" w:color="auto"/>
              <w:left w:val="nil"/>
              <w:bottom w:val="single" w:sz="8" w:space="0" w:color="auto"/>
              <w:right w:val="single" w:sz="8" w:space="0" w:color="auto"/>
            </w:tcBorders>
            <w:shd w:val="clear" w:color="000000" w:fill="002060"/>
            <w:noWrap/>
            <w:vAlign w:val="center"/>
            <w:hideMark/>
          </w:tcPr>
          <w:p w14:paraId="79137794" w14:textId="77777777" w:rsidR="002E6C53" w:rsidRPr="002E6C53" w:rsidRDefault="002E6C53" w:rsidP="002E6C53">
            <w:pPr>
              <w:spacing w:after="0" w:line="240" w:lineRule="auto"/>
              <w:jc w:val="center"/>
              <w:rPr>
                <w:rFonts w:ascii="Book Antiqua" w:eastAsia="Times New Roman" w:hAnsi="Book Antiqua" w:cs="Calibri"/>
                <w:b/>
                <w:bCs/>
                <w:color w:val="FFFFFF"/>
                <w:sz w:val="20"/>
                <w:szCs w:val="20"/>
                <w:lang w:eastAsia="es-CR"/>
              </w:rPr>
            </w:pPr>
            <w:r w:rsidRPr="002E6C53">
              <w:rPr>
                <w:rFonts w:ascii="Book Antiqua" w:eastAsia="Times New Roman" w:hAnsi="Book Antiqua" w:cs="Calibri"/>
                <w:b/>
                <w:bCs/>
                <w:color w:val="FFFFFF"/>
                <w:sz w:val="20"/>
                <w:szCs w:val="20"/>
                <w:lang w:eastAsia="es-CR"/>
              </w:rPr>
              <w:t>2022</w:t>
            </w:r>
          </w:p>
        </w:tc>
        <w:tc>
          <w:tcPr>
            <w:tcW w:w="909" w:type="dxa"/>
            <w:tcBorders>
              <w:top w:val="single" w:sz="8" w:space="0" w:color="auto"/>
              <w:left w:val="nil"/>
              <w:bottom w:val="single" w:sz="8" w:space="0" w:color="auto"/>
              <w:right w:val="single" w:sz="8" w:space="0" w:color="auto"/>
            </w:tcBorders>
            <w:shd w:val="clear" w:color="000000" w:fill="002060"/>
            <w:vAlign w:val="center"/>
            <w:hideMark/>
          </w:tcPr>
          <w:p w14:paraId="7ADF5D6D" w14:textId="77777777" w:rsidR="002E6C53" w:rsidRPr="002E6C53" w:rsidRDefault="002E6C53" w:rsidP="002E6C53">
            <w:pPr>
              <w:spacing w:after="0" w:line="240" w:lineRule="auto"/>
              <w:jc w:val="center"/>
              <w:rPr>
                <w:rFonts w:ascii="Book Antiqua" w:eastAsia="Times New Roman" w:hAnsi="Book Antiqua" w:cs="Calibri"/>
                <w:b/>
                <w:bCs/>
                <w:color w:val="FFFFFF"/>
                <w:sz w:val="20"/>
                <w:szCs w:val="20"/>
                <w:lang w:eastAsia="es-CR"/>
              </w:rPr>
            </w:pPr>
            <w:r w:rsidRPr="002E6C53">
              <w:rPr>
                <w:rFonts w:ascii="Book Antiqua" w:eastAsia="Times New Roman" w:hAnsi="Book Antiqua" w:cs="Calibri"/>
                <w:b/>
                <w:bCs/>
                <w:color w:val="FFFFFF"/>
                <w:sz w:val="20"/>
                <w:szCs w:val="20"/>
                <w:lang w:eastAsia="es-CR"/>
              </w:rPr>
              <w:t>Total</w:t>
            </w:r>
          </w:p>
        </w:tc>
      </w:tr>
      <w:tr w:rsidR="002E6C53" w:rsidRPr="002E6C53" w14:paraId="18CA3817" w14:textId="77777777" w:rsidTr="0093653B">
        <w:trPr>
          <w:trHeight w:val="483"/>
          <w:jc w:val="center"/>
        </w:trPr>
        <w:tc>
          <w:tcPr>
            <w:tcW w:w="2505" w:type="dxa"/>
            <w:tcBorders>
              <w:top w:val="nil"/>
              <w:left w:val="single" w:sz="8" w:space="0" w:color="auto"/>
              <w:bottom w:val="single" w:sz="8" w:space="0" w:color="auto"/>
              <w:right w:val="single" w:sz="8" w:space="0" w:color="auto"/>
            </w:tcBorders>
            <w:shd w:val="clear" w:color="000000" w:fill="FFFFFF"/>
            <w:vAlign w:val="center"/>
            <w:hideMark/>
          </w:tcPr>
          <w:p w14:paraId="126C3C61" w14:textId="77777777" w:rsidR="002E6C53" w:rsidRPr="002E6C53" w:rsidRDefault="002E6C53" w:rsidP="002E6C53">
            <w:pPr>
              <w:spacing w:after="0" w:line="240" w:lineRule="auto"/>
              <w:jc w:val="both"/>
              <w:rPr>
                <w:rFonts w:ascii="Book Antiqua" w:eastAsia="Times New Roman" w:hAnsi="Book Antiqua" w:cs="Calibri"/>
                <w:color w:val="000000"/>
                <w:sz w:val="20"/>
                <w:szCs w:val="20"/>
                <w:lang w:eastAsia="es-CR"/>
              </w:rPr>
            </w:pPr>
            <w:r w:rsidRPr="002E6C53">
              <w:rPr>
                <w:rFonts w:ascii="Book Antiqua" w:eastAsia="Times New Roman" w:hAnsi="Book Antiqua" w:cs="Calibri"/>
                <w:color w:val="000000"/>
                <w:sz w:val="20"/>
                <w:szCs w:val="20"/>
                <w:lang w:eastAsia="es-CR"/>
              </w:rPr>
              <w:t>Dictamen Médico</w:t>
            </w:r>
          </w:p>
        </w:tc>
        <w:tc>
          <w:tcPr>
            <w:tcW w:w="909" w:type="dxa"/>
            <w:tcBorders>
              <w:top w:val="nil"/>
              <w:left w:val="nil"/>
              <w:bottom w:val="single" w:sz="8" w:space="0" w:color="auto"/>
              <w:right w:val="single" w:sz="8" w:space="0" w:color="auto"/>
            </w:tcBorders>
            <w:shd w:val="clear" w:color="000000" w:fill="FFFFFF"/>
            <w:vAlign w:val="center"/>
            <w:hideMark/>
          </w:tcPr>
          <w:p w14:paraId="5D5512FA" w14:textId="77777777" w:rsidR="002E6C53" w:rsidRPr="002E6C53" w:rsidRDefault="002E6C53" w:rsidP="002E6C53">
            <w:pPr>
              <w:spacing w:after="0" w:line="240" w:lineRule="auto"/>
              <w:jc w:val="center"/>
              <w:rPr>
                <w:rFonts w:ascii="Book Antiqua" w:eastAsia="Times New Roman" w:hAnsi="Book Antiqua" w:cs="Calibri"/>
                <w:color w:val="000000"/>
                <w:sz w:val="20"/>
                <w:szCs w:val="20"/>
                <w:lang w:eastAsia="es-CR"/>
              </w:rPr>
            </w:pPr>
            <w:r w:rsidRPr="002E6C53">
              <w:rPr>
                <w:rFonts w:ascii="Book Antiqua" w:eastAsia="Times New Roman" w:hAnsi="Book Antiqua" w:cs="Calibri"/>
                <w:color w:val="000000"/>
                <w:sz w:val="20"/>
                <w:szCs w:val="20"/>
                <w:lang w:eastAsia="es-CR"/>
              </w:rPr>
              <w:t>1251</w:t>
            </w:r>
          </w:p>
        </w:tc>
        <w:tc>
          <w:tcPr>
            <w:tcW w:w="909" w:type="dxa"/>
            <w:tcBorders>
              <w:top w:val="nil"/>
              <w:left w:val="nil"/>
              <w:bottom w:val="single" w:sz="8" w:space="0" w:color="auto"/>
              <w:right w:val="single" w:sz="8" w:space="0" w:color="auto"/>
            </w:tcBorders>
            <w:shd w:val="clear" w:color="000000" w:fill="FFFFFF"/>
            <w:vAlign w:val="center"/>
            <w:hideMark/>
          </w:tcPr>
          <w:p w14:paraId="23C5F470" w14:textId="77777777" w:rsidR="002E6C53" w:rsidRPr="002E6C53" w:rsidRDefault="002E6C53" w:rsidP="002E6C53">
            <w:pPr>
              <w:spacing w:after="0" w:line="240" w:lineRule="auto"/>
              <w:jc w:val="center"/>
              <w:rPr>
                <w:rFonts w:ascii="Book Antiqua" w:eastAsia="Times New Roman" w:hAnsi="Book Antiqua" w:cs="Calibri"/>
                <w:color w:val="000000"/>
                <w:sz w:val="20"/>
                <w:szCs w:val="20"/>
                <w:lang w:eastAsia="es-CR"/>
              </w:rPr>
            </w:pPr>
            <w:r w:rsidRPr="002E6C53">
              <w:rPr>
                <w:rFonts w:ascii="Book Antiqua" w:eastAsia="Times New Roman" w:hAnsi="Book Antiqua" w:cs="Calibri"/>
                <w:color w:val="000000"/>
                <w:sz w:val="20"/>
                <w:szCs w:val="20"/>
                <w:lang w:eastAsia="es-CR"/>
              </w:rPr>
              <w:t>1297</w:t>
            </w:r>
          </w:p>
        </w:tc>
        <w:tc>
          <w:tcPr>
            <w:tcW w:w="909" w:type="dxa"/>
            <w:tcBorders>
              <w:top w:val="nil"/>
              <w:left w:val="nil"/>
              <w:bottom w:val="single" w:sz="8" w:space="0" w:color="auto"/>
              <w:right w:val="single" w:sz="8" w:space="0" w:color="auto"/>
            </w:tcBorders>
            <w:shd w:val="clear" w:color="000000" w:fill="FFFFFF"/>
            <w:vAlign w:val="center"/>
            <w:hideMark/>
          </w:tcPr>
          <w:p w14:paraId="7C3F2A93" w14:textId="77777777" w:rsidR="002E6C53" w:rsidRPr="002E6C53" w:rsidRDefault="002E6C53" w:rsidP="002E6C53">
            <w:pPr>
              <w:spacing w:after="0" w:line="240" w:lineRule="auto"/>
              <w:jc w:val="center"/>
              <w:rPr>
                <w:rFonts w:ascii="Book Antiqua" w:eastAsia="Times New Roman" w:hAnsi="Book Antiqua" w:cs="Calibri"/>
                <w:color w:val="000000"/>
                <w:sz w:val="20"/>
                <w:szCs w:val="20"/>
                <w:lang w:eastAsia="es-CR"/>
              </w:rPr>
            </w:pPr>
            <w:r w:rsidRPr="002E6C53">
              <w:rPr>
                <w:rFonts w:ascii="Book Antiqua" w:eastAsia="Times New Roman" w:hAnsi="Book Antiqua" w:cs="Calibri"/>
                <w:color w:val="000000"/>
                <w:sz w:val="20"/>
                <w:szCs w:val="20"/>
                <w:lang w:eastAsia="es-CR"/>
              </w:rPr>
              <w:t>1000</w:t>
            </w:r>
          </w:p>
        </w:tc>
        <w:tc>
          <w:tcPr>
            <w:tcW w:w="909" w:type="dxa"/>
            <w:tcBorders>
              <w:top w:val="nil"/>
              <w:left w:val="nil"/>
              <w:bottom w:val="single" w:sz="8" w:space="0" w:color="auto"/>
              <w:right w:val="single" w:sz="8" w:space="0" w:color="auto"/>
            </w:tcBorders>
            <w:shd w:val="clear" w:color="000000" w:fill="FFFFFF"/>
            <w:vAlign w:val="center"/>
            <w:hideMark/>
          </w:tcPr>
          <w:p w14:paraId="1E514AF5" w14:textId="77777777" w:rsidR="002E6C53" w:rsidRPr="002E6C53" w:rsidRDefault="002E6C53" w:rsidP="002E6C53">
            <w:pPr>
              <w:spacing w:after="0" w:line="240" w:lineRule="auto"/>
              <w:jc w:val="center"/>
              <w:rPr>
                <w:rFonts w:ascii="Book Antiqua" w:eastAsia="Times New Roman" w:hAnsi="Book Antiqua" w:cs="Calibri"/>
                <w:color w:val="000000"/>
                <w:sz w:val="20"/>
                <w:szCs w:val="20"/>
                <w:lang w:eastAsia="es-CR"/>
              </w:rPr>
            </w:pPr>
            <w:r w:rsidRPr="002E6C53">
              <w:rPr>
                <w:rFonts w:ascii="Book Antiqua" w:eastAsia="Times New Roman" w:hAnsi="Book Antiqua" w:cs="Calibri"/>
                <w:color w:val="000000"/>
                <w:sz w:val="20"/>
                <w:szCs w:val="20"/>
                <w:lang w:eastAsia="es-CR"/>
              </w:rPr>
              <w:t>924</w:t>
            </w:r>
          </w:p>
        </w:tc>
        <w:tc>
          <w:tcPr>
            <w:tcW w:w="909" w:type="dxa"/>
            <w:tcBorders>
              <w:top w:val="nil"/>
              <w:left w:val="nil"/>
              <w:bottom w:val="single" w:sz="8" w:space="0" w:color="auto"/>
              <w:right w:val="single" w:sz="8" w:space="0" w:color="auto"/>
            </w:tcBorders>
            <w:shd w:val="clear" w:color="000000" w:fill="FFFFFF"/>
            <w:vAlign w:val="center"/>
            <w:hideMark/>
          </w:tcPr>
          <w:p w14:paraId="2FB54EBB" w14:textId="77777777" w:rsidR="002E6C53" w:rsidRPr="002E6C53" w:rsidRDefault="002E6C53" w:rsidP="002E6C53">
            <w:pPr>
              <w:spacing w:after="0" w:line="240" w:lineRule="auto"/>
              <w:jc w:val="center"/>
              <w:rPr>
                <w:rFonts w:ascii="Book Antiqua" w:eastAsia="Times New Roman" w:hAnsi="Book Antiqua" w:cs="Calibri"/>
                <w:color w:val="000000"/>
                <w:sz w:val="20"/>
                <w:szCs w:val="20"/>
                <w:lang w:eastAsia="es-CR"/>
              </w:rPr>
            </w:pPr>
            <w:r w:rsidRPr="002E6C53">
              <w:rPr>
                <w:rFonts w:ascii="Book Antiqua" w:eastAsia="Times New Roman" w:hAnsi="Book Antiqua" w:cs="Calibri"/>
                <w:color w:val="000000"/>
                <w:sz w:val="20"/>
                <w:szCs w:val="20"/>
                <w:lang w:eastAsia="es-CR"/>
              </w:rPr>
              <w:t>1047</w:t>
            </w:r>
          </w:p>
        </w:tc>
        <w:tc>
          <w:tcPr>
            <w:tcW w:w="909" w:type="dxa"/>
            <w:tcBorders>
              <w:top w:val="nil"/>
              <w:left w:val="nil"/>
              <w:bottom w:val="single" w:sz="8" w:space="0" w:color="auto"/>
              <w:right w:val="single" w:sz="8" w:space="0" w:color="auto"/>
            </w:tcBorders>
            <w:shd w:val="clear" w:color="000000" w:fill="FFFFFF"/>
            <w:vAlign w:val="center"/>
            <w:hideMark/>
          </w:tcPr>
          <w:p w14:paraId="599A1879" w14:textId="77777777" w:rsidR="002E6C53" w:rsidRPr="002E6C53" w:rsidRDefault="002E6C53" w:rsidP="002E6C53">
            <w:pPr>
              <w:spacing w:after="0" w:line="240" w:lineRule="auto"/>
              <w:jc w:val="center"/>
              <w:rPr>
                <w:rFonts w:ascii="Book Antiqua" w:eastAsia="Times New Roman" w:hAnsi="Book Antiqua" w:cs="Calibri"/>
                <w:color w:val="000000"/>
                <w:sz w:val="20"/>
                <w:szCs w:val="20"/>
                <w:lang w:eastAsia="es-CR"/>
              </w:rPr>
            </w:pPr>
            <w:r w:rsidRPr="002E6C53">
              <w:rPr>
                <w:rFonts w:ascii="Book Antiqua" w:eastAsia="Times New Roman" w:hAnsi="Book Antiqua" w:cs="Calibri"/>
                <w:color w:val="000000"/>
                <w:sz w:val="20"/>
                <w:szCs w:val="20"/>
                <w:lang w:eastAsia="es-CR"/>
              </w:rPr>
              <w:t>650</w:t>
            </w:r>
          </w:p>
        </w:tc>
        <w:tc>
          <w:tcPr>
            <w:tcW w:w="909" w:type="dxa"/>
            <w:tcBorders>
              <w:top w:val="nil"/>
              <w:left w:val="nil"/>
              <w:bottom w:val="single" w:sz="8" w:space="0" w:color="auto"/>
              <w:right w:val="single" w:sz="8" w:space="0" w:color="auto"/>
            </w:tcBorders>
            <w:shd w:val="clear" w:color="000000" w:fill="FFFFFF"/>
            <w:vAlign w:val="center"/>
            <w:hideMark/>
          </w:tcPr>
          <w:p w14:paraId="07A9D12C" w14:textId="77777777" w:rsidR="002E6C53" w:rsidRPr="002E6C53" w:rsidRDefault="002E6C53" w:rsidP="002E6C53">
            <w:pPr>
              <w:spacing w:after="0" w:line="240" w:lineRule="auto"/>
              <w:jc w:val="center"/>
              <w:rPr>
                <w:rFonts w:ascii="Book Antiqua" w:eastAsia="Times New Roman" w:hAnsi="Book Antiqua" w:cs="Calibri"/>
                <w:color w:val="000000"/>
                <w:sz w:val="20"/>
                <w:szCs w:val="20"/>
                <w:lang w:eastAsia="es-CR"/>
              </w:rPr>
            </w:pPr>
            <w:r w:rsidRPr="002E6C53">
              <w:rPr>
                <w:rFonts w:ascii="Book Antiqua" w:eastAsia="Times New Roman" w:hAnsi="Book Antiqua" w:cs="Calibri"/>
                <w:color w:val="000000"/>
                <w:sz w:val="20"/>
                <w:szCs w:val="20"/>
                <w:lang w:eastAsia="es-CR"/>
              </w:rPr>
              <w:t>6169</w:t>
            </w:r>
          </w:p>
        </w:tc>
      </w:tr>
    </w:tbl>
    <w:p w14:paraId="0A06ED0C" w14:textId="211B1B33" w:rsidR="00446672" w:rsidRDefault="00C91E98" w:rsidP="00C50766">
      <w:pPr>
        <w:pStyle w:val="Fuentes"/>
      </w:pPr>
      <w:r w:rsidRPr="00B12368">
        <w:rPr>
          <w:b/>
          <w:bCs w:val="0"/>
        </w:rPr>
        <w:t>Fuente:</w:t>
      </w:r>
      <w:r w:rsidRPr="00C91E98">
        <w:t xml:space="preserve"> Subproceso de Modernización Institucional, con datos </w:t>
      </w:r>
      <w:r w:rsidR="0021556B">
        <w:t xml:space="preserve">suministrados por </w:t>
      </w:r>
      <w:r w:rsidRPr="00C91E98">
        <w:t>la Unidad Tecnológica Informática</w:t>
      </w:r>
      <w:r w:rsidR="0021556B">
        <w:t xml:space="preserve"> del Departamento de Ciencias Forenses</w:t>
      </w:r>
      <w:r w:rsidRPr="00C91E98">
        <w:t>.</w:t>
      </w:r>
    </w:p>
    <w:p w14:paraId="36D236EA" w14:textId="77777777" w:rsidR="005361A0" w:rsidRDefault="005361A0" w:rsidP="00C012CE">
      <w:pPr>
        <w:spacing w:after="0" w:line="276" w:lineRule="auto"/>
        <w:jc w:val="both"/>
        <w:rPr>
          <w:rFonts w:ascii="Book Antiqua" w:eastAsia="Calibri" w:hAnsi="Book Antiqua" w:cs="Arial"/>
          <w:sz w:val="24"/>
          <w:szCs w:val="24"/>
        </w:rPr>
      </w:pPr>
    </w:p>
    <w:p w14:paraId="3765E0C4" w14:textId="1C72EBE6" w:rsidR="00C012CE" w:rsidRPr="00C012CE" w:rsidRDefault="00C012CE" w:rsidP="00C012CE">
      <w:pPr>
        <w:spacing w:after="0" w:line="276" w:lineRule="auto"/>
        <w:jc w:val="both"/>
        <w:rPr>
          <w:rFonts w:ascii="Book Antiqua" w:eastAsia="Calibri" w:hAnsi="Book Antiqua" w:cs="Arial"/>
          <w:sz w:val="24"/>
          <w:szCs w:val="24"/>
        </w:rPr>
      </w:pPr>
      <w:r w:rsidRPr="002E6C53">
        <w:rPr>
          <w:rFonts w:ascii="Book Antiqua" w:eastAsia="Calibri" w:hAnsi="Book Antiqua" w:cs="Arial"/>
          <w:sz w:val="24"/>
          <w:szCs w:val="24"/>
        </w:rPr>
        <w:t>Como puede observarse durante el periodo del 201</w:t>
      </w:r>
      <w:r w:rsidR="005361A0" w:rsidRPr="002E6C53">
        <w:rPr>
          <w:rFonts w:ascii="Book Antiqua" w:eastAsia="Calibri" w:hAnsi="Book Antiqua" w:cs="Arial"/>
          <w:sz w:val="24"/>
          <w:szCs w:val="24"/>
        </w:rPr>
        <w:t>7</w:t>
      </w:r>
      <w:r w:rsidRPr="002E6C53">
        <w:rPr>
          <w:rFonts w:ascii="Book Antiqua" w:eastAsia="Calibri" w:hAnsi="Book Antiqua" w:cs="Arial"/>
          <w:sz w:val="24"/>
          <w:szCs w:val="24"/>
        </w:rPr>
        <w:t xml:space="preserve"> al 20</w:t>
      </w:r>
      <w:r w:rsidR="005361A0" w:rsidRPr="002E6C53">
        <w:rPr>
          <w:rFonts w:ascii="Book Antiqua" w:eastAsia="Calibri" w:hAnsi="Book Antiqua" w:cs="Arial"/>
          <w:sz w:val="24"/>
          <w:szCs w:val="24"/>
        </w:rPr>
        <w:t>2</w:t>
      </w:r>
      <w:r w:rsidR="00A92351" w:rsidRPr="002E6C53">
        <w:rPr>
          <w:rFonts w:ascii="Book Antiqua" w:eastAsia="Calibri" w:hAnsi="Book Antiqua" w:cs="Arial"/>
          <w:sz w:val="24"/>
          <w:szCs w:val="24"/>
        </w:rPr>
        <w:t>2</w:t>
      </w:r>
      <w:r w:rsidRPr="002E6C53">
        <w:rPr>
          <w:rFonts w:ascii="Book Antiqua" w:eastAsia="Calibri" w:hAnsi="Book Antiqua" w:cs="Arial"/>
          <w:sz w:val="24"/>
          <w:szCs w:val="24"/>
        </w:rPr>
        <w:t xml:space="preserve">, los Juzgados de Familia a nivel nacional, solicitaron un total de </w:t>
      </w:r>
      <w:r w:rsidR="002E6C53" w:rsidRPr="002E6C53">
        <w:rPr>
          <w:rFonts w:ascii="Book Antiqua" w:eastAsia="Calibri" w:hAnsi="Book Antiqua" w:cs="Arial"/>
          <w:sz w:val="24"/>
          <w:szCs w:val="24"/>
        </w:rPr>
        <w:t>6 169</w:t>
      </w:r>
      <w:r w:rsidRPr="002E6C53">
        <w:rPr>
          <w:rFonts w:ascii="Book Antiqua" w:eastAsia="Calibri" w:hAnsi="Book Antiqua" w:cs="Arial"/>
          <w:sz w:val="24"/>
          <w:szCs w:val="24"/>
        </w:rPr>
        <w:t xml:space="preserve"> pruebas médico</w:t>
      </w:r>
      <w:r w:rsidR="009B71C9" w:rsidRPr="002E6C53">
        <w:rPr>
          <w:rFonts w:ascii="Book Antiqua" w:eastAsia="Calibri" w:hAnsi="Book Antiqua" w:cs="Arial"/>
          <w:sz w:val="24"/>
          <w:szCs w:val="24"/>
        </w:rPr>
        <w:t xml:space="preserve"> </w:t>
      </w:r>
      <w:r w:rsidRPr="002E6C53">
        <w:rPr>
          <w:rFonts w:ascii="Book Antiqua" w:eastAsia="Calibri" w:hAnsi="Book Antiqua" w:cs="Arial"/>
          <w:sz w:val="24"/>
          <w:szCs w:val="24"/>
        </w:rPr>
        <w:t xml:space="preserve">legales, en los diferentes procesos que se llevan en estos Despachos, para un promedio anual de </w:t>
      </w:r>
      <w:r w:rsidR="002921C5" w:rsidRPr="002E6C53">
        <w:rPr>
          <w:rFonts w:ascii="Book Antiqua" w:eastAsia="Calibri" w:hAnsi="Book Antiqua" w:cs="Arial"/>
          <w:sz w:val="24"/>
          <w:szCs w:val="24"/>
        </w:rPr>
        <w:t xml:space="preserve">    1 </w:t>
      </w:r>
      <w:r w:rsidR="002E6C53" w:rsidRPr="002E6C53">
        <w:rPr>
          <w:rFonts w:ascii="Book Antiqua" w:eastAsia="Calibri" w:hAnsi="Book Antiqua" w:cs="Arial"/>
          <w:sz w:val="24"/>
          <w:szCs w:val="24"/>
        </w:rPr>
        <w:t>028</w:t>
      </w:r>
      <w:r w:rsidRPr="002E6C53">
        <w:rPr>
          <w:rFonts w:ascii="Book Antiqua" w:eastAsia="Calibri" w:hAnsi="Book Antiqua" w:cs="Arial"/>
          <w:sz w:val="24"/>
          <w:szCs w:val="24"/>
        </w:rPr>
        <w:t xml:space="preserve">, equivalente a </w:t>
      </w:r>
      <w:r w:rsidR="002921C5" w:rsidRPr="002E6C53">
        <w:rPr>
          <w:rFonts w:ascii="Book Antiqua" w:eastAsia="Calibri" w:hAnsi="Book Antiqua" w:cs="Arial"/>
          <w:sz w:val="24"/>
          <w:szCs w:val="24"/>
        </w:rPr>
        <w:t>9</w:t>
      </w:r>
      <w:r w:rsidR="002E6C53" w:rsidRPr="002E6C53">
        <w:rPr>
          <w:rFonts w:ascii="Book Antiqua" w:eastAsia="Calibri" w:hAnsi="Book Antiqua" w:cs="Arial"/>
          <w:sz w:val="24"/>
          <w:szCs w:val="24"/>
        </w:rPr>
        <w:t>1</w:t>
      </w:r>
      <w:r w:rsidRPr="002E6C53">
        <w:rPr>
          <w:rFonts w:ascii="Book Antiqua" w:eastAsia="Calibri" w:hAnsi="Book Antiqua" w:cs="Arial"/>
          <w:sz w:val="24"/>
          <w:szCs w:val="24"/>
        </w:rPr>
        <w:t xml:space="preserve"> solicitudes por mes a nivel nacional.</w:t>
      </w:r>
    </w:p>
    <w:p w14:paraId="5A6C8E1A" w14:textId="030725D0" w:rsidR="00C012CE" w:rsidRDefault="00C012CE" w:rsidP="00C012CE">
      <w:pPr>
        <w:spacing w:after="0" w:line="276" w:lineRule="auto"/>
        <w:jc w:val="both"/>
        <w:rPr>
          <w:rFonts w:ascii="Book Antiqua" w:eastAsia="Calibri" w:hAnsi="Book Antiqua" w:cs="Arial"/>
          <w:sz w:val="24"/>
          <w:szCs w:val="24"/>
        </w:rPr>
      </w:pPr>
    </w:p>
    <w:p w14:paraId="3F4F78B5" w14:textId="66D68D9F" w:rsidR="008F717E" w:rsidRPr="00C012CE" w:rsidRDefault="00681EDC" w:rsidP="00681EDC">
      <w:pPr>
        <w:rPr>
          <w:rFonts w:ascii="Book Antiqua" w:eastAsia="Calibri" w:hAnsi="Book Antiqua" w:cs="Arial"/>
          <w:sz w:val="24"/>
          <w:szCs w:val="24"/>
        </w:rPr>
      </w:pPr>
      <w:r>
        <w:rPr>
          <w:rFonts w:ascii="Book Antiqua" w:eastAsia="Calibri" w:hAnsi="Book Antiqua" w:cs="Arial"/>
          <w:sz w:val="24"/>
          <w:szCs w:val="24"/>
        </w:rPr>
        <w:br w:type="page"/>
      </w:r>
    </w:p>
    <w:p w14:paraId="11945F8D" w14:textId="7CB3BB34" w:rsidR="00C012CE" w:rsidRDefault="006A4BA6" w:rsidP="00292FFD">
      <w:pPr>
        <w:pStyle w:val="Ttulo3"/>
      </w:pPr>
      <w:r>
        <w:t xml:space="preserve">5.6.2 </w:t>
      </w:r>
      <w:r w:rsidR="00C012CE" w:rsidRPr="00625442">
        <w:t>Sección de Bioquímica</w:t>
      </w:r>
    </w:p>
    <w:p w14:paraId="742D2591" w14:textId="77777777" w:rsidR="008F717E" w:rsidRPr="008F717E" w:rsidRDefault="008F717E" w:rsidP="008F717E">
      <w:pPr>
        <w:rPr>
          <w:lang w:val="es-ES"/>
        </w:rPr>
      </w:pPr>
    </w:p>
    <w:p w14:paraId="0422717A" w14:textId="40FAC0D6" w:rsidR="00C012CE" w:rsidRPr="00EF146D" w:rsidRDefault="00C012CE"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16</w:t>
      </w:r>
      <w:r w:rsidRPr="00EF146D">
        <w:rPr>
          <w:rFonts w:ascii="Book Antiqua" w:eastAsia="Calibri" w:hAnsi="Book Antiqua" w:cs="Arial"/>
          <w:b/>
          <w:bCs/>
          <w:color w:val="1F497D"/>
          <w:szCs w:val="24"/>
          <w:lang w:val="es-ES" w:eastAsia="es-ES"/>
        </w:rPr>
        <w:fldChar w:fldCharType="end"/>
      </w:r>
    </w:p>
    <w:p w14:paraId="38681336" w14:textId="77777777" w:rsidR="00C012CE" w:rsidRPr="00A37461" w:rsidRDefault="00C012CE"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C012CE">
        <w:rPr>
          <w:rFonts w:ascii="Book Antiqua" w:eastAsia="Times New Roman" w:hAnsi="Book Antiqua" w:cs="Arial"/>
          <w:b/>
          <w:bCs/>
          <w:color w:val="1F497D"/>
          <w:lang w:eastAsia="es-ES"/>
        </w:rPr>
        <w:t xml:space="preserve">Cantidad de pruebas de ADN </w:t>
      </w:r>
      <w:r w:rsidRPr="00A37461">
        <w:rPr>
          <w:rFonts w:ascii="Book Antiqua" w:eastAsia="Times New Roman" w:hAnsi="Book Antiqua" w:cs="Arial"/>
          <w:b/>
          <w:bCs/>
          <w:color w:val="1F497D"/>
          <w:lang w:eastAsia="es-ES"/>
        </w:rPr>
        <w:t xml:space="preserve">solicitadas por los Juzgados </w:t>
      </w:r>
    </w:p>
    <w:p w14:paraId="0BB5D9CF" w14:textId="656DDE43" w:rsidR="00C012CE" w:rsidRPr="00CC52F7" w:rsidRDefault="00C012CE"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A37461">
        <w:rPr>
          <w:rFonts w:ascii="Book Antiqua" w:eastAsia="Times New Roman" w:hAnsi="Book Antiqua" w:cs="Arial"/>
          <w:b/>
          <w:bCs/>
          <w:color w:val="1F497D"/>
          <w:lang w:eastAsia="es-ES"/>
        </w:rPr>
        <w:t>que tramitan la materia de Familia del 201</w:t>
      </w:r>
      <w:r w:rsidR="00A37461" w:rsidRPr="00A37461">
        <w:rPr>
          <w:rFonts w:ascii="Book Antiqua" w:eastAsia="Times New Roman" w:hAnsi="Book Antiqua" w:cs="Arial"/>
          <w:b/>
          <w:bCs/>
          <w:color w:val="1F497D"/>
          <w:lang w:eastAsia="es-ES"/>
        </w:rPr>
        <w:t>7</w:t>
      </w:r>
      <w:r w:rsidRPr="00A37461">
        <w:rPr>
          <w:rFonts w:ascii="Book Antiqua" w:eastAsia="Times New Roman" w:hAnsi="Book Antiqua" w:cs="Arial"/>
          <w:b/>
          <w:bCs/>
          <w:color w:val="1F497D"/>
          <w:lang w:eastAsia="es-ES"/>
        </w:rPr>
        <w:t xml:space="preserve"> al 20</w:t>
      </w:r>
      <w:r w:rsidR="00A37461" w:rsidRPr="00A37461">
        <w:rPr>
          <w:rFonts w:ascii="Book Antiqua" w:eastAsia="Times New Roman" w:hAnsi="Book Antiqua" w:cs="Arial"/>
          <w:b/>
          <w:bCs/>
          <w:color w:val="1F497D"/>
          <w:lang w:eastAsia="es-ES"/>
        </w:rPr>
        <w:t>2</w:t>
      </w:r>
      <w:r w:rsidR="00A92351">
        <w:rPr>
          <w:rFonts w:ascii="Book Antiqua" w:eastAsia="Times New Roman" w:hAnsi="Book Antiqua" w:cs="Arial"/>
          <w:b/>
          <w:bCs/>
          <w:color w:val="1F497D"/>
          <w:lang w:eastAsia="es-ES"/>
        </w:rPr>
        <w:t>2</w:t>
      </w:r>
    </w:p>
    <w:tbl>
      <w:tblPr>
        <w:tblW w:w="96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gridCol w:w="1200"/>
      </w:tblGrid>
      <w:tr w:rsidR="00CC52F7" w:rsidRPr="00CC52F7" w14:paraId="4F41EA4A" w14:textId="77777777" w:rsidTr="00CC52F7">
        <w:trPr>
          <w:trHeight w:val="530"/>
          <w:jc w:val="center"/>
        </w:trPr>
        <w:tc>
          <w:tcPr>
            <w:tcW w:w="120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53DE6651" w14:textId="77777777" w:rsidR="00CC52F7" w:rsidRPr="00CC52F7" w:rsidRDefault="00CC52F7" w:rsidP="00CC52F7">
            <w:pPr>
              <w:spacing w:after="0" w:line="240" w:lineRule="auto"/>
              <w:jc w:val="center"/>
              <w:rPr>
                <w:rFonts w:ascii="Book Antiqua" w:eastAsia="Times New Roman" w:hAnsi="Book Antiqua" w:cs="Calibri"/>
                <w:b/>
                <w:bCs/>
                <w:color w:val="FFFFFF"/>
                <w:sz w:val="20"/>
                <w:szCs w:val="20"/>
                <w:lang w:eastAsia="es-CR"/>
              </w:rPr>
            </w:pPr>
            <w:r w:rsidRPr="00CC52F7">
              <w:rPr>
                <w:rFonts w:ascii="Book Antiqua" w:eastAsia="Times New Roman" w:hAnsi="Book Antiqua" w:cs="Calibri"/>
                <w:b/>
                <w:bCs/>
                <w:color w:val="FFFFFF"/>
                <w:sz w:val="20"/>
                <w:szCs w:val="20"/>
                <w:lang w:eastAsia="es-CR"/>
              </w:rPr>
              <w:t>Tipo de documento</w:t>
            </w:r>
          </w:p>
        </w:tc>
        <w:tc>
          <w:tcPr>
            <w:tcW w:w="1200" w:type="dxa"/>
            <w:tcBorders>
              <w:top w:val="single" w:sz="8" w:space="0" w:color="auto"/>
              <w:left w:val="nil"/>
              <w:bottom w:val="single" w:sz="8" w:space="0" w:color="auto"/>
              <w:right w:val="single" w:sz="8" w:space="0" w:color="auto"/>
            </w:tcBorders>
            <w:shd w:val="clear" w:color="000000" w:fill="002060"/>
            <w:noWrap/>
            <w:vAlign w:val="center"/>
            <w:hideMark/>
          </w:tcPr>
          <w:p w14:paraId="16080426" w14:textId="77777777" w:rsidR="00CC52F7" w:rsidRPr="00CC52F7" w:rsidRDefault="00CC52F7" w:rsidP="00CC52F7">
            <w:pPr>
              <w:spacing w:after="0" w:line="240" w:lineRule="auto"/>
              <w:jc w:val="center"/>
              <w:rPr>
                <w:rFonts w:ascii="Book Antiqua" w:eastAsia="Times New Roman" w:hAnsi="Book Antiqua" w:cs="Calibri"/>
                <w:b/>
                <w:bCs/>
                <w:color w:val="FFFFFF"/>
                <w:sz w:val="20"/>
                <w:szCs w:val="20"/>
                <w:lang w:eastAsia="es-CR"/>
              </w:rPr>
            </w:pPr>
            <w:r w:rsidRPr="00CC52F7">
              <w:rPr>
                <w:rFonts w:ascii="Book Antiqua" w:eastAsia="Times New Roman" w:hAnsi="Book Antiqua" w:cs="Calibri"/>
                <w:b/>
                <w:bCs/>
                <w:color w:val="FFFFFF"/>
                <w:sz w:val="20"/>
                <w:szCs w:val="20"/>
                <w:lang w:eastAsia="es-CR"/>
              </w:rPr>
              <w:t>2017</w:t>
            </w:r>
          </w:p>
        </w:tc>
        <w:tc>
          <w:tcPr>
            <w:tcW w:w="1200" w:type="dxa"/>
            <w:tcBorders>
              <w:top w:val="single" w:sz="8" w:space="0" w:color="auto"/>
              <w:left w:val="nil"/>
              <w:bottom w:val="single" w:sz="8" w:space="0" w:color="auto"/>
              <w:right w:val="single" w:sz="8" w:space="0" w:color="auto"/>
            </w:tcBorders>
            <w:shd w:val="clear" w:color="000000" w:fill="002060"/>
            <w:noWrap/>
            <w:vAlign w:val="center"/>
            <w:hideMark/>
          </w:tcPr>
          <w:p w14:paraId="4C93EDA9" w14:textId="77777777" w:rsidR="00CC52F7" w:rsidRPr="00CC52F7" w:rsidRDefault="00CC52F7" w:rsidP="00CC52F7">
            <w:pPr>
              <w:spacing w:after="0" w:line="240" w:lineRule="auto"/>
              <w:jc w:val="center"/>
              <w:rPr>
                <w:rFonts w:ascii="Book Antiqua" w:eastAsia="Times New Roman" w:hAnsi="Book Antiqua" w:cs="Calibri"/>
                <w:b/>
                <w:bCs/>
                <w:color w:val="FFFFFF"/>
                <w:sz w:val="20"/>
                <w:szCs w:val="20"/>
                <w:lang w:eastAsia="es-CR"/>
              </w:rPr>
            </w:pPr>
            <w:r w:rsidRPr="00CC52F7">
              <w:rPr>
                <w:rFonts w:ascii="Book Antiqua" w:eastAsia="Times New Roman" w:hAnsi="Book Antiqua" w:cs="Calibri"/>
                <w:b/>
                <w:bCs/>
                <w:color w:val="FFFFFF"/>
                <w:sz w:val="20"/>
                <w:szCs w:val="20"/>
                <w:lang w:eastAsia="es-CR"/>
              </w:rPr>
              <w:t>2018</w:t>
            </w:r>
          </w:p>
        </w:tc>
        <w:tc>
          <w:tcPr>
            <w:tcW w:w="1200" w:type="dxa"/>
            <w:tcBorders>
              <w:top w:val="single" w:sz="8" w:space="0" w:color="auto"/>
              <w:left w:val="nil"/>
              <w:bottom w:val="single" w:sz="8" w:space="0" w:color="auto"/>
              <w:right w:val="single" w:sz="8" w:space="0" w:color="auto"/>
            </w:tcBorders>
            <w:shd w:val="clear" w:color="000000" w:fill="002060"/>
            <w:noWrap/>
            <w:vAlign w:val="center"/>
            <w:hideMark/>
          </w:tcPr>
          <w:p w14:paraId="62114DA6" w14:textId="77777777" w:rsidR="00CC52F7" w:rsidRPr="00CC52F7" w:rsidRDefault="00CC52F7" w:rsidP="00CC52F7">
            <w:pPr>
              <w:spacing w:after="0" w:line="240" w:lineRule="auto"/>
              <w:jc w:val="center"/>
              <w:rPr>
                <w:rFonts w:ascii="Book Antiqua" w:eastAsia="Times New Roman" w:hAnsi="Book Antiqua" w:cs="Calibri"/>
                <w:b/>
                <w:bCs/>
                <w:color w:val="FFFFFF"/>
                <w:sz w:val="20"/>
                <w:szCs w:val="20"/>
                <w:lang w:eastAsia="es-CR"/>
              </w:rPr>
            </w:pPr>
            <w:r w:rsidRPr="00CC52F7">
              <w:rPr>
                <w:rFonts w:ascii="Book Antiqua" w:eastAsia="Times New Roman" w:hAnsi="Book Antiqua" w:cs="Calibri"/>
                <w:b/>
                <w:bCs/>
                <w:color w:val="FFFFFF"/>
                <w:sz w:val="20"/>
                <w:szCs w:val="20"/>
                <w:lang w:eastAsia="es-CR"/>
              </w:rPr>
              <w:t>2019</w:t>
            </w:r>
          </w:p>
        </w:tc>
        <w:tc>
          <w:tcPr>
            <w:tcW w:w="1200" w:type="dxa"/>
            <w:tcBorders>
              <w:top w:val="single" w:sz="8" w:space="0" w:color="auto"/>
              <w:left w:val="nil"/>
              <w:bottom w:val="single" w:sz="8" w:space="0" w:color="auto"/>
              <w:right w:val="single" w:sz="8" w:space="0" w:color="auto"/>
            </w:tcBorders>
            <w:shd w:val="clear" w:color="000000" w:fill="002060"/>
            <w:noWrap/>
            <w:vAlign w:val="center"/>
            <w:hideMark/>
          </w:tcPr>
          <w:p w14:paraId="4CDCD0AA" w14:textId="77777777" w:rsidR="00CC52F7" w:rsidRPr="00CC52F7" w:rsidRDefault="00CC52F7" w:rsidP="00CC52F7">
            <w:pPr>
              <w:spacing w:after="0" w:line="240" w:lineRule="auto"/>
              <w:jc w:val="center"/>
              <w:rPr>
                <w:rFonts w:ascii="Book Antiqua" w:eastAsia="Times New Roman" w:hAnsi="Book Antiqua" w:cs="Calibri"/>
                <w:b/>
                <w:bCs/>
                <w:color w:val="FFFFFF"/>
                <w:sz w:val="20"/>
                <w:szCs w:val="20"/>
                <w:lang w:eastAsia="es-CR"/>
              </w:rPr>
            </w:pPr>
            <w:r w:rsidRPr="00CC52F7">
              <w:rPr>
                <w:rFonts w:ascii="Book Antiqua" w:eastAsia="Times New Roman" w:hAnsi="Book Antiqua" w:cs="Calibri"/>
                <w:b/>
                <w:bCs/>
                <w:color w:val="FFFFFF"/>
                <w:sz w:val="20"/>
                <w:szCs w:val="20"/>
                <w:lang w:eastAsia="es-CR"/>
              </w:rPr>
              <w:t>2020</w:t>
            </w:r>
          </w:p>
        </w:tc>
        <w:tc>
          <w:tcPr>
            <w:tcW w:w="1200" w:type="dxa"/>
            <w:tcBorders>
              <w:top w:val="single" w:sz="8" w:space="0" w:color="auto"/>
              <w:left w:val="nil"/>
              <w:bottom w:val="single" w:sz="8" w:space="0" w:color="auto"/>
              <w:right w:val="single" w:sz="8" w:space="0" w:color="auto"/>
            </w:tcBorders>
            <w:shd w:val="clear" w:color="000000" w:fill="002060"/>
            <w:noWrap/>
            <w:vAlign w:val="center"/>
            <w:hideMark/>
          </w:tcPr>
          <w:p w14:paraId="4E3DF129" w14:textId="77777777" w:rsidR="00CC52F7" w:rsidRPr="00CC52F7" w:rsidRDefault="00CC52F7" w:rsidP="00CC52F7">
            <w:pPr>
              <w:spacing w:after="0" w:line="240" w:lineRule="auto"/>
              <w:jc w:val="center"/>
              <w:rPr>
                <w:rFonts w:ascii="Book Antiqua" w:eastAsia="Times New Roman" w:hAnsi="Book Antiqua" w:cs="Calibri"/>
                <w:b/>
                <w:bCs/>
                <w:color w:val="FFFFFF"/>
                <w:sz w:val="20"/>
                <w:szCs w:val="20"/>
                <w:lang w:eastAsia="es-CR"/>
              </w:rPr>
            </w:pPr>
            <w:r w:rsidRPr="00CC52F7">
              <w:rPr>
                <w:rFonts w:ascii="Book Antiqua" w:eastAsia="Times New Roman" w:hAnsi="Book Antiqua" w:cs="Calibri"/>
                <w:b/>
                <w:bCs/>
                <w:color w:val="FFFFFF"/>
                <w:sz w:val="20"/>
                <w:szCs w:val="20"/>
                <w:lang w:eastAsia="es-CR"/>
              </w:rPr>
              <w:t>2021</w:t>
            </w:r>
          </w:p>
        </w:tc>
        <w:tc>
          <w:tcPr>
            <w:tcW w:w="1200" w:type="dxa"/>
            <w:tcBorders>
              <w:top w:val="single" w:sz="8" w:space="0" w:color="auto"/>
              <w:left w:val="nil"/>
              <w:bottom w:val="single" w:sz="8" w:space="0" w:color="auto"/>
              <w:right w:val="single" w:sz="8" w:space="0" w:color="auto"/>
            </w:tcBorders>
            <w:shd w:val="clear" w:color="000000" w:fill="002060"/>
            <w:noWrap/>
            <w:vAlign w:val="center"/>
            <w:hideMark/>
          </w:tcPr>
          <w:p w14:paraId="39597ED9" w14:textId="77777777" w:rsidR="00CC52F7" w:rsidRPr="00CC52F7" w:rsidRDefault="00CC52F7" w:rsidP="00CC52F7">
            <w:pPr>
              <w:spacing w:after="0" w:line="240" w:lineRule="auto"/>
              <w:jc w:val="center"/>
              <w:rPr>
                <w:rFonts w:ascii="Book Antiqua" w:eastAsia="Times New Roman" w:hAnsi="Book Antiqua" w:cs="Calibri"/>
                <w:b/>
                <w:bCs/>
                <w:color w:val="FFFFFF"/>
                <w:sz w:val="20"/>
                <w:szCs w:val="20"/>
                <w:lang w:eastAsia="es-CR"/>
              </w:rPr>
            </w:pPr>
            <w:r w:rsidRPr="00CC52F7">
              <w:rPr>
                <w:rFonts w:ascii="Book Antiqua" w:eastAsia="Times New Roman" w:hAnsi="Book Antiqua" w:cs="Calibri"/>
                <w:b/>
                <w:bCs/>
                <w:color w:val="FFFFFF"/>
                <w:sz w:val="20"/>
                <w:szCs w:val="20"/>
                <w:lang w:eastAsia="es-CR"/>
              </w:rPr>
              <w:t>2022</w:t>
            </w:r>
          </w:p>
        </w:tc>
        <w:tc>
          <w:tcPr>
            <w:tcW w:w="1200" w:type="dxa"/>
            <w:tcBorders>
              <w:top w:val="single" w:sz="8" w:space="0" w:color="auto"/>
              <w:left w:val="nil"/>
              <w:bottom w:val="single" w:sz="8" w:space="0" w:color="auto"/>
              <w:right w:val="single" w:sz="8" w:space="0" w:color="auto"/>
            </w:tcBorders>
            <w:shd w:val="clear" w:color="000000" w:fill="002060"/>
            <w:vAlign w:val="center"/>
            <w:hideMark/>
          </w:tcPr>
          <w:p w14:paraId="39641337" w14:textId="77777777" w:rsidR="00CC52F7" w:rsidRPr="00CC52F7" w:rsidRDefault="00CC52F7" w:rsidP="00CC52F7">
            <w:pPr>
              <w:spacing w:after="0" w:line="240" w:lineRule="auto"/>
              <w:jc w:val="center"/>
              <w:rPr>
                <w:rFonts w:ascii="Book Antiqua" w:eastAsia="Times New Roman" w:hAnsi="Book Antiqua" w:cs="Calibri"/>
                <w:b/>
                <w:bCs/>
                <w:color w:val="FFFFFF"/>
                <w:sz w:val="20"/>
                <w:szCs w:val="20"/>
                <w:lang w:eastAsia="es-CR"/>
              </w:rPr>
            </w:pPr>
            <w:r w:rsidRPr="00CC52F7">
              <w:rPr>
                <w:rFonts w:ascii="Book Antiqua" w:eastAsia="Times New Roman" w:hAnsi="Book Antiqua" w:cs="Calibri"/>
                <w:b/>
                <w:bCs/>
                <w:color w:val="FFFFFF"/>
                <w:sz w:val="20"/>
                <w:szCs w:val="20"/>
                <w:lang w:eastAsia="es-CR"/>
              </w:rPr>
              <w:t>Total</w:t>
            </w:r>
          </w:p>
        </w:tc>
      </w:tr>
      <w:tr w:rsidR="00CC52F7" w:rsidRPr="00CC52F7" w14:paraId="12B61CD8" w14:textId="77777777" w:rsidTr="00CC52F7">
        <w:trPr>
          <w:trHeight w:val="300"/>
          <w:jc w:val="center"/>
        </w:trPr>
        <w:tc>
          <w:tcPr>
            <w:tcW w:w="1200" w:type="dxa"/>
            <w:tcBorders>
              <w:top w:val="nil"/>
              <w:left w:val="single" w:sz="8" w:space="0" w:color="auto"/>
              <w:bottom w:val="single" w:sz="8" w:space="0" w:color="auto"/>
              <w:right w:val="single" w:sz="8" w:space="0" w:color="auto"/>
            </w:tcBorders>
            <w:shd w:val="clear" w:color="000000" w:fill="FFFFFF"/>
            <w:vAlign w:val="center"/>
            <w:hideMark/>
          </w:tcPr>
          <w:p w14:paraId="2EC5F366" w14:textId="77777777" w:rsidR="00CC52F7" w:rsidRPr="00CC52F7" w:rsidRDefault="00CC52F7" w:rsidP="00CC52F7">
            <w:pPr>
              <w:spacing w:after="0" w:line="240" w:lineRule="auto"/>
              <w:jc w:val="both"/>
              <w:rPr>
                <w:rFonts w:ascii="Book Antiqua" w:eastAsia="Times New Roman" w:hAnsi="Book Antiqua" w:cs="Calibri"/>
                <w:color w:val="000000"/>
                <w:sz w:val="20"/>
                <w:szCs w:val="20"/>
                <w:lang w:eastAsia="es-CR"/>
              </w:rPr>
            </w:pPr>
            <w:r w:rsidRPr="00CC52F7">
              <w:rPr>
                <w:rFonts w:ascii="Book Antiqua" w:eastAsia="Times New Roman" w:hAnsi="Book Antiqua" w:cs="Calibri"/>
                <w:color w:val="000000"/>
                <w:sz w:val="20"/>
                <w:szCs w:val="20"/>
                <w:lang w:eastAsia="es-CR"/>
              </w:rPr>
              <w:t>Dictamen</w:t>
            </w:r>
          </w:p>
        </w:tc>
        <w:tc>
          <w:tcPr>
            <w:tcW w:w="1200" w:type="dxa"/>
            <w:tcBorders>
              <w:top w:val="nil"/>
              <w:left w:val="nil"/>
              <w:bottom w:val="single" w:sz="8" w:space="0" w:color="auto"/>
              <w:right w:val="single" w:sz="8" w:space="0" w:color="auto"/>
            </w:tcBorders>
            <w:shd w:val="clear" w:color="000000" w:fill="FFFFFF"/>
            <w:vAlign w:val="center"/>
            <w:hideMark/>
          </w:tcPr>
          <w:p w14:paraId="7B1753B6" w14:textId="77777777" w:rsidR="00CC52F7" w:rsidRPr="00CC52F7" w:rsidRDefault="00CC52F7" w:rsidP="00CC52F7">
            <w:pPr>
              <w:spacing w:after="0" w:line="240" w:lineRule="auto"/>
              <w:jc w:val="center"/>
              <w:rPr>
                <w:rFonts w:ascii="Book Antiqua" w:eastAsia="Times New Roman" w:hAnsi="Book Antiqua" w:cs="Calibri"/>
                <w:color w:val="000000"/>
                <w:sz w:val="20"/>
                <w:szCs w:val="20"/>
                <w:lang w:eastAsia="es-CR"/>
              </w:rPr>
            </w:pPr>
            <w:r w:rsidRPr="00CC52F7">
              <w:rPr>
                <w:rFonts w:ascii="Book Antiqua" w:eastAsia="Times New Roman" w:hAnsi="Book Antiqua" w:cs="Calibri"/>
                <w:color w:val="000000"/>
                <w:sz w:val="20"/>
                <w:szCs w:val="20"/>
                <w:lang w:eastAsia="es-CR"/>
              </w:rPr>
              <w:t>1395</w:t>
            </w:r>
          </w:p>
        </w:tc>
        <w:tc>
          <w:tcPr>
            <w:tcW w:w="1200" w:type="dxa"/>
            <w:tcBorders>
              <w:top w:val="nil"/>
              <w:left w:val="nil"/>
              <w:bottom w:val="single" w:sz="8" w:space="0" w:color="auto"/>
              <w:right w:val="single" w:sz="8" w:space="0" w:color="auto"/>
            </w:tcBorders>
            <w:shd w:val="clear" w:color="000000" w:fill="FFFFFF"/>
            <w:vAlign w:val="center"/>
            <w:hideMark/>
          </w:tcPr>
          <w:p w14:paraId="48F36E25" w14:textId="77777777" w:rsidR="00CC52F7" w:rsidRPr="00CC52F7" w:rsidRDefault="00CC52F7" w:rsidP="00CC52F7">
            <w:pPr>
              <w:spacing w:after="0" w:line="240" w:lineRule="auto"/>
              <w:jc w:val="center"/>
              <w:rPr>
                <w:rFonts w:ascii="Book Antiqua" w:eastAsia="Times New Roman" w:hAnsi="Book Antiqua" w:cs="Calibri"/>
                <w:color w:val="000000"/>
                <w:sz w:val="20"/>
                <w:szCs w:val="20"/>
                <w:lang w:eastAsia="es-CR"/>
              </w:rPr>
            </w:pPr>
            <w:r w:rsidRPr="00CC52F7">
              <w:rPr>
                <w:rFonts w:ascii="Book Antiqua" w:eastAsia="Times New Roman" w:hAnsi="Book Antiqua" w:cs="Calibri"/>
                <w:color w:val="000000"/>
                <w:sz w:val="20"/>
                <w:szCs w:val="20"/>
                <w:lang w:eastAsia="es-CR"/>
              </w:rPr>
              <w:t>1314</w:t>
            </w:r>
          </w:p>
        </w:tc>
        <w:tc>
          <w:tcPr>
            <w:tcW w:w="1200" w:type="dxa"/>
            <w:tcBorders>
              <w:top w:val="nil"/>
              <w:left w:val="nil"/>
              <w:bottom w:val="single" w:sz="8" w:space="0" w:color="auto"/>
              <w:right w:val="single" w:sz="8" w:space="0" w:color="auto"/>
            </w:tcBorders>
            <w:shd w:val="clear" w:color="000000" w:fill="FFFFFF"/>
            <w:vAlign w:val="center"/>
            <w:hideMark/>
          </w:tcPr>
          <w:p w14:paraId="3DD55330" w14:textId="77777777" w:rsidR="00CC52F7" w:rsidRPr="00CC52F7" w:rsidRDefault="00CC52F7" w:rsidP="00CC52F7">
            <w:pPr>
              <w:spacing w:after="0" w:line="240" w:lineRule="auto"/>
              <w:jc w:val="center"/>
              <w:rPr>
                <w:rFonts w:ascii="Book Antiqua" w:eastAsia="Times New Roman" w:hAnsi="Book Antiqua" w:cs="Calibri"/>
                <w:color w:val="000000"/>
                <w:sz w:val="20"/>
                <w:szCs w:val="20"/>
                <w:lang w:eastAsia="es-CR"/>
              </w:rPr>
            </w:pPr>
            <w:r w:rsidRPr="00CC52F7">
              <w:rPr>
                <w:rFonts w:ascii="Book Antiqua" w:eastAsia="Times New Roman" w:hAnsi="Book Antiqua" w:cs="Calibri"/>
                <w:color w:val="000000"/>
                <w:sz w:val="20"/>
                <w:szCs w:val="20"/>
                <w:lang w:eastAsia="es-CR"/>
              </w:rPr>
              <w:t>1265</w:t>
            </w:r>
          </w:p>
        </w:tc>
        <w:tc>
          <w:tcPr>
            <w:tcW w:w="1200" w:type="dxa"/>
            <w:tcBorders>
              <w:top w:val="nil"/>
              <w:left w:val="nil"/>
              <w:bottom w:val="single" w:sz="8" w:space="0" w:color="auto"/>
              <w:right w:val="single" w:sz="8" w:space="0" w:color="auto"/>
            </w:tcBorders>
            <w:shd w:val="clear" w:color="000000" w:fill="FFFFFF"/>
            <w:vAlign w:val="center"/>
            <w:hideMark/>
          </w:tcPr>
          <w:p w14:paraId="3BE538CC" w14:textId="77777777" w:rsidR="00CC52F7" w:rsidRPr="00CC52F7" w:rsidRDefault="00CC52F7" w:rsidP="00CC52F7">
            <w:pPr>
              <w:spacing w:after="0" w:line="240" w:lineRule="auto"/>
              <w:jc w:val="center"/>
              <w:rPr>
                <w:rFonts w:ascii="Book Antiqua" w:eastAsia="Times New Roman" w:hAnsi="Book Antiqua" w:cs="Calibri"/>
                <w:color w:val="000000"/>
                <w:sz w:val="20"/>
                <w:szCs w:val="20"/>
                <w:lang w:eastAsia="es-CR"/>
              </w:rPr>
            </w:pPr>
            <w:r w:rsidRPr="00CC52F7">
              <w:rPr>
                <w:rFonts w:ascii="Book Antiqua" w:eastAsia="Times New Roman" w:hAnsi="Book Antiqua" w:cs="Calibri"/>
                <w:color w:val="000000"/>
                <w:sz w:val="20"/>
                <w:szCs w:val="20"/>
                <w:lang w:eastAsia="es-CR"/>
              </w:rPr>
              <w:t>2641</w:t>
            </w:r>
          </w:p>
        </w:tc>
        <w:tc>
          <w:tcPr>
            <w:tcW w:w="1200" w:type="dxa"/>
            <w:tcBorders>
              <w:top w:val="nil"/>
              <w:left w:val="nil"/>
              <w:bottom w:val="single" w:sz="8" w:space="0" w:color="auto"/>
              <w:right w:val="single" w:sz="8" w:space="0" w:color="auto"/>
            </w:tcBorders>
            <w:shd w:val="clear" w:color="000000" w:fill="FFFFFF"/>
            <w:vAlign w:val="center"/>
            <w:hideMark/>
          </w:tcPr>
          <w:p w14:paraId="63C0B436" w14:textId="77777777" w:rsidR="00CC52F7" w:rsidRPr="00CC52F7" w:rsidRDefault="00CC52F7" w:rsidP="00CC52F7">
            <w:pPr>
              <w:spacing w:after="0" w:line="240" w:lineRule="auto"/>
              <w:jc w:val="center"/>
              <w:rPr>
                <w:rFonts w:ascii="Book Antiqua" w:eastAsia="Times New Roman" w:hAnsi="Book Antiqua" w:cs="Calibri"/>
                <w:color w:val="000000"/>
                <w:sz w:val="20"/>
                <w:szCs w:val="20"/>
                <w:lang w:eastAsia="es-CR"/>
              </w:rPr>
            </w:pPr>
            <w:r w:rsidRPr="00CC52F7">
              <w:rPr>
                <w:rFonts w:ascii="Book Antiqua" w:eastAsia="Times New Roman" w:hAnsi="Book Antiqua" w:cs="Calibri"/>
                <w:color w:val="000000"/>
                <w:sz w:val="20"/>
                <w:szCs w:val="20"/>
                <w:lang w:eastAsia="es-CR"/>
              </w:rPr>
              <w:t>2767</w:t>
            </w:r>
          </w:p>
        </w:tc>
        <w:tc>
          <w:tcPr>
            <w:tcW w:w="1200" w:type="dxa"/>
            <w:tcBorders>
              <w:top w:val="nil"/>
              <w:left w:val="nil"/>
              <w:bottom w:val="single" w:sz="8" w:space="0" w:color="auto"/>
              <w:right w:val="single" w:sz="8" w:space="0" w:color="auto"/>
            </w:tcBorders>
            <w:shd w:val="clear" w:color="000000" w:fill="FFFFFF"/>
            <w:vAlign w:val="center"/>
            <w:hideMark/>
          </w:tcPr>
          <w:p w14:paraId="72CE6E1B" w14:textId="77777777" w:rsidR="00CC52F7" w:rsidRPr="00CC52F7" w:rsidRDefault="00CC52F7" w:rsidP="00CC52F7">
            <w:pPr>
              <w:spacing w:after="0" w:line="240" w:lineRule="auto"/>
              <w:jc w:val="center"/>
              <w:rPr>
                <w:rFonts w:ascii="Book Antiqua" w:eastAsia="Times New Roman" w:hAnsi="Book Antiqua" w:cs="Calibri"/>
                <w:color w:val="000000"/>
                <w:sz w:val="20"/>
                <w:szCs w:val="20"/>
                <w:lang w:eastAsia="es-CR"/>
              </w:rPr>
            </w:pPr>
            <w:r w:rsidRPr="00CC52F7">
              <w:rPr>
                <w:rFonts w:ascii="Book Antiqua" w:eastAsia="Times New Roman" w:hAnsi="Book Antiqua" w:cs="Calibri"/>
                <w:color w:val="000000"/>
                <w:sz w:val="20"/>
                <w:szCs w:val="20"/>
                <w:lang w:eastAsia="es-CR"/>
              </w:rPr>
              <w:t>2502</w:t>
            </w:r>
          </w:p>
        </w:tc>
        <w:tc>
          <w:tcPr>
            <w:tcW w:w="1200" w:type="dxa"/>
            <w:tcBorders>
              <w:top w:val="nil"/>
              <w:left w:val="nil"/>
              <w:bottom w:val="single" w:sz="8" w:space="0" w:color="auto"/>
              <w:right w:val="single" w:sz="8" w:space="0" w:color="auto"/>
            </w:tcBorders>
            <w:shd w:val="clear" w:color="000000" w:fill="FFFFFF"/>
            <w:vAlign w:val="center"/>
            <w:hideMark/>
          </w:tcPr>
          <w:p w14:paraId="7462F0A0" w14:textId="77777777" w:rsidR="00CC52F7" w:rsidRPr="00CC52F7" w:rsidRDefault="00CC52F7" w:rsidP="00CC52F7">
            <w:pPr>
              <w:spacing w:after="0" w:line="240" w:lineRule="auto"/>
              <w:jc w:val="center"/>
              <w:rPr>
                <w:rFonts w:ascii="Book Antiqua" w:eastAsia="Times New Roman" w:hAnsi="Book Antiqua" w:cs="Calibri"/>
                <w:color w:val="000000"/>
                <w:sz w:val="20"/>
                <w:szCs w:val="20"/>
                <w:lang w:eastAsia="es-CR"/>
              </w:rPr>
            </w:pPr>
            <w:r w:rsidRPr="00CC52F7">
              <w:rPr>
                <w:rFonts w:ascii="Book Antiqua" w:eastAsia="Times New Roman" w:hAnsi="Book Antiqua" w:cs="Calibri"/>
                <w:color w:val="000000"/>
                <w:sz w:val="20"/>
                <w:szCs w:val="20"/>
                <w:lang w:eastAsia="es-CR"/>
              </w:rPr>
              <w:t>11884</w:t>
            </w:r>
          </w:p>
        </w:tc>
      </w:tr>
    </w:tbl>
    <w:p w14:paraId="5F4AC757" w14:textId="3DE329DA" w:rsidR="000625D9" w:rsidRPr="00C012CE" w:rsidRDefault="000625D9" w:rsidP="000625D9">
      <w:pPr>
        <w:pStyle w:val="Fuentes"/>
      </w:pPr>
      <w:r w:rsidRPr="00B12368">
        <w:rPr>
          <w:b/>
          <w:bCs w:val="0"/>
        </w:rPr>
        <w:t>Fuente:</w:t>
      </w:r>
      <w:r w:rsidRPr="00C91E98">
        <w:t xml:space="preserve"> Subproceso de Modernización Institucional, con datos </w:t>
      </w:r>
      <w:r w:rsidR="00A92351">
        <w:t xml:space="preserve">suministrados por </w:t>
      </w:r>
      <w:r w:rsidRPr="00C91E98">
        <w:t xml:space="preserve">la </w:t>
      </w:r>
      <w:r w:rsidR="00B043EE">
        <w:t>Sección de Bioquímica</w:t>
      </w:r>
      <w:r w:rsidRPr="00C91E98">
        <w:t>.</w:t>
      </w:r>
    </w:p>
    <w:p w14:paraId="47C64244" w14:textId="77777777" w:rsidR="008F717E" w:rsidRDefault="008F717E" w:rsidP="00FF78F9">
      <w:pPr>
        <w:spacing w:after="0" w:line="276" w:lineRule="auto"/>
        <w:jc w:val="both"/>
        <w:rPr>
          <w:rFonts w:ascii="Book Antiqua" w:eastAsia="Calibri" w:hAnsi="Book Antiqua" w:cs="Arial"/>
          <w:sz w:val="24"/>
          <w:szCs w:val="24"/>
        </w:rPr>
      </w:pPr>
    </w:p>
    <w:p w14:paraId="56DB8919" w14:textId="27F2CAF7" w:rsidR="008F717E" w:rsidRPr="00FF78F9" w:rsidRDefault="00FF78F9" w:rsidP="00FF78F9">
      <w:pPr>
        <w:spacing w:after="0" w:line="276" w:lineRule="auto"/>
        <w:jc w:val="both"/>
        <w:rPr>
          <w:rFonts w:ascii="Book Antiqua" w:eastAsia="Calibri" w:hAnsi="Book Antiqua" w:cs="Arial"/>
          <w:sz w:val="24"/>
          <w:szCs w:val="24"/>
        </w:rPr>
      </w:pPr>
      <w:r w:rsidRPr="00CC52F7">
        <w:rPr>
          <w:rFonts w:ascii="Book Antiqua" w:eastAsia="Calibri" w:hAnsi="Book Antiqua" w:cs="Arial"/>
          <w:sz w:val="24"/>
          <w:szCs w:val="24"/>
        </w:rPr>
        <w:t xml:space="preserve">Como se observa durante el periodo en análisis, se solicitaron </w:t>
      </w:r>
      <w:r w:rsidR="00CC52F7">
        <w:rPr>
          <w:rFonts w:ascii="Book Antiqua" w:eastAsia="Calibri" w:hAnsi="Book Antiqua" w:cs="Arial"/>
          <w:sz w:val="24"/>
          <w:szCs w:val="24"/>
        </w:rPr>
        <w:t>11 884</w:t>
      </w:r>
      <w:r w:rsidRPr="00CC52F7">
        <w:rPr>
          <w:rFonts w:ascii="Book Antiqua" w:eastAsia="Calibri" w:hAnsi="Book Antiqua" w:cs="Arial"/>
          <w:sz w:val="24"/>
          <w:szCs w:val="24"/>
        </w:rPr>
        <w:t xml:space="preserve"> pruebas de paternidad, un promedio de </w:t>
      </w:r>
      <w:r w:rsidR="00EE3569" w:rsidRPr="00CC52F7">
        <w:rPr>
          <w:rFonts w:ascii="Book Antiqua" w:eastAsia="Calibri" w:hAnsi="Book Antiqua" w:cs="Arial"/>
          <w:sz w:val="24"/>
          <w:szCs w:val="24"/>
        </w:rPr>
        <w:t>1</w:t>
      </w:r>
      <w:r w:rsidR="002238F9" w:rsidRPr="00CC52F7">
        <w:rPr>
          <w:rFonts w:ascii="Book Antiqua" w:eastAsia="Calibri" w:hAnsi="Book Antiqua" w:cs="Arial"/>
          <w:sz w:val="24"/>
          <w:szCs w:val="24"/>
        </w:rPr>
        <w:t xml:space="preserve"> </w:t>
      </w:r>
      <w:r w:rsidR="00CC52F7">
        <w:rPr>
          <w:rFonts w:ascii="Book Antiqua" w:eastAsia="Calibri" w:hAnsi="Book Antiqua" w:cs="Arial"/>
          <w:sz w:val="24"/>
          <w:szCs w:val="24"/>
        </w:rPr>
        <w:t>981</w:t>
      </w:r>
      <w:r w:rsidRPr="00CC52F7">
        <w:rPr>
          <w:rFonts w:ascii="Book Antiqua" w:eastAsia="Calibri" w:hAnsi="Book Antiqua" w:cs="Arial"/>
          <w:sz w:val="24"/>
          <w:szCs w:val="24"/>
        </w:rPr>
        <w:t xml:space="preserve"> anuales, equivalente a 1</w:t>
      </w:r>
      <w:r w:rsidR="00EE3569" w:rsidRPr="00CC52F7">
        <w:rPr>
          <w:rFonts w:ascii="Book Antiqua" w:eastAsia="Calibri" w:hAnsi="Book Antiqua" w:cs="Arial"/>
          <w:sz w:val="24"/>
          <w:szCs w:val="24"/>
        </w:rPr>
        <w:t>7</w:t>
      </w:r>
      <w:r w:rsidR="00CC52F7">
        <w:rPr>
          <w:rFonts w:ascii="Book Antiqua" w:eastAsia="Calibri" w:hAnsi="Book Antiqua" w:cs="Arial"/>
          <w:sz w:val="24"/>
          <w:szCs w:val="24"/>
        </w:rPr>
        <w:t>6</w:t>
      </w:r>
      <w:r w:rsidRPr="00CC52F7">
        <w:rPr>
          <w:rFonts w:ascii="Book Antiqua" w:eastAsia="Calibri" w:hAnsi="Book Antiqua" w:cs="Arial"/>
          <w:sz w:val="24"/>
          <w:szCs w:val="24"/>
        </w:rPr>
        <w:t xml:space="preserve"> pruebas por mes, con una tendencia </w:t>
      </w:r>
      <w:r w:rsidR="00A763D8" w:rsidRPr="00CC52F7">
        <w:rPr>
          <w:rFonts w:ascii="Book Antiqua" w:eastAsia="Calibri" w:hAnsi="Book Antiqua" w:cs="Arial"/>
          <w:sz w:val="24"/>
          <w:szCs w:val="24"/>
        </w:rPr>
        <w:t>al alza</w:t>
      </w:r>
      <w:r w:rsidR="00EE3569" w:rsidRPr="00CC52F7">
        <w:rPr>
          <w:rFonts w:ascii="Book Antiqua" w:eastAsia="Calibri" w:hAnsi="Book Antiqua" w:cs="Arial"/>
          <w:sz w:val="24"/>
          <w:szCs w:val="24"/>
        </w:rPr>
        <w:t xml:space="preserve"> </w:t>
      </w:r>
      <w:r w:rsidRPr="00CC52F7">
        <w:rPr>
          <w:rFonts w:ascii="Book Antiqua" w:eastAsia="Calibri" w:hAnsi="Book Antiqua" w:cs="Arial"/>
          <w:sz w:val="24"/>
          <w:szCs w:val="24"/>
        </w:rPr>
        <w:t>a partir de 20</w:t>
      </w:r>
      <w:r w:rsidR="00A763D8" w:rsidRPr="00CC52F7">
        <w:rPr>
          <w:rFonts w:ascii="Book Antiqua" w:eastAsia="Calibri" w:hAnsi="Book Antiqua" w:cs="Arial"/>
          <w:sz w:val="24"/>
          <w:szCs w:val="24"/>
        </w:rPr>
        <w:t>20</w:t>
      </w:r>
      <w:r w:rsidRPr="00CC52F7">
        <w:rPr>
          <w:rFonts w:ascii="Book Antiqua" w:eastAsia="Calibri" w:hAnsi="Book Antiqua" w:cs="Arial"/>
          <w:sz w:val="24"/>
          <w:szCs w:val="24"/>
        </w:rPr>
        <w:t>.</w:t>
      </w:r>
    </w:p>
    <w:p w14:paraId="1FC5A95D" w14:textId="173652DF" w:rsidR="00FF78F9" w:rsidRPr="00625442" w:rsidRDefault="006A4BA6" w:rsidP="00292FFD">
      <w:pPr>
        <w:pStyle w:val="Ttulo3"/>
      </w:pPr>
      <w:r>
        <w:t xml:space="preserve">5.6.3 </w:t>
      </w:r>
      <w:r w:rsidR="00FF78F9" w:rsidRPr="00625442">
        <w:t>Departamento de Trabajo Social y Psicología</w:t>
      </w:r>
    </w:p>
    <w:p w14:paraId="6BA3B55E" w14:textId="4A8864B6" w:rsidR="00FF78F9" w:rsidRDefault="00FF78F9" w:rsidP="00FF78F9">
      <w:pPr>
        <w:spacing w:after="0" w:line="276" w:lineRule="auto"/>
        <w:jc w:val="both"/>
        <w:rPr>
          <w:rFonts w:ascii="Book Antiqua" w:eastAsia="Calibri" w:hAnsi="Book Antiqua" w:cs="Arial"/>
          <w:sz w:val="24"/>
          <w:szCs w:val="24"/>
        </w:rPr>
      </w:pPr>
    </w:p>
    <w:p w14:paraId="29E636A9" w14:textId="77777777" w:rsidR="00843DD4" w:rsidRPr="00326277" w:rsidRDefault="00843DD4" w:rsidP="00843DD4">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 xml:space="preserve">Las Oficinas de Trabajo Social y Psicología, cuentan con un total de 160 plazas de Perito Judicial 2, 87 puestos corresponden a Peritos Judiciales 2 destacados en Trabajo Social, 67 plazas de Psicólogos y 19 puestos de Profesional 2 entre los que están trabajadores sociales y psicólogos para la atención de Justicia Restaurativa. </w:t>
      </w:r>
    </w:p>
    <w:p w14:paraId="6D8C6DBC" w14:textId="3F5ABA69" w:rsidR="00843DD4" w:rsidRDefault="00843DD4" w:rsidP="00FF78F9">
      <w:pPr>
        <w:spacing w:after="0" w:line="276" w:lineRule="auto"/>
        <w:jc w:val="both"/>
        <w:rPr>
          <w:rFonts w:ascii="Book Antiqua" w:eastAsia="Calibri" w:hAnsi="Book Antiqua" w:cs="Arial"/>
          <w:sz w:val="24"/>
          <w:szCs w:val="24"/>
        </w:rPr>
      </w:pPr>
    </w:p>
    <w:p w14:paraId="45AE27EF"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Las materias que atienden los profesionales de Trabajo Social y Psicología relacionadas con la materia de Familia son las siguientes:</w:t>
      </w:r>
    </w:p>
    <w:p w14:paraId="453ED729" w14:textId="77777777" w:rsidR="000C38CF" w:rsidRPr="000C38CF" w:rsidRDefault="000C38CF" w:rsidP="000C38CF">
      <w:pPr>
        <w:spacing w:after="0" w:line="276" w:lineRule="auto"/>
        <w:jc w:val="both"/>
        <w:rPr>
          <w:rFonts w:ascii="Book Antiqua" w:eastAsia="Calibri" w:hAnsi="Book Antiqua" w:cs="Arial"/>
          <w:sz w:val="24"/>
          <w:szCs w:val="24"/>
        </w:rPr>
      </w:pPr>
    </w:p>
    <w:p w14:paraId="16D129D9"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Familia</w:t>
      </w:r>
    </w:p>
    <w:p w14:paraId="713F1729"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Violencia Doméstica</w:t>
      </w:r>
    </w:p>
    <w:p w14:paraId="1C687BFA"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Pensiones Alimentarias</w:t>
      </w:r>
    </w:p>
    <w:p w14:paraId="6F68F7DD" w14:textId="77777777" w:rsidR="000C38CF" w:rsidRPr="000C38CF" w:rsidRDefault="000C38CF" w:rsidP="000C38CF">
      <w:pPr>
        <w:spacing w:after="0" w:line="276" w:lineRule="auto"/>
        <w:jc w:val="both"/>
        <w:rPr>
          <w:rFonts w:ascii="Book Antiqua" w:eastAsia="Calibri" w:hAnsi="Book Antiqua" w:cs="Arial"/>
          <w:sz w:val="24"/>
          <w:szCs w:val="24"/>
        </w:rPr>
      </w:pPr>
    </w:p>
    <w:p w14:paraId="16AE2464" w14:textId="7ADE4B13" w:rsidR="00843DD4"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 xml:space="preserve">En las que se realizan peritajes, supervisiones de regímenes de interrelación familiar, seguimientos de salvaguardia, seguimientos de medidas de protección, entre otras (en el </w:t>
      </w:r>
      <w:r w:rsidRPr="00A92351">
        <w:rPr>
          <w:rFonts w:ascii="Book Antiqua" w:eastAsia="Calibri" w:hAnsi="Book Antiqua" w:cs="Arial"/>
          <w:b/>
          <w:bCs/>
          <w:sz w:val="24"/>
          <w:szCs w:val="24"/>
        </w:rPr>
        <w:t xml:space="preserve">anexo </w:t>
      </w:r>
      <w:r w:rsidR="007858F3" w:rsidRPr="00A92351">
        <w:rPr>
          <w:rFonts w:ascii="Book Antiqua" w:eastAsia="Calibri" w:hAnsi="Book Antiqua" w:cs="Arial"/>
          <w:b/>
          <w:bCs/>
          <w:sz w:val="24"/>
          <w:szCs w:val="24"/>
        </w:rPr>
        <w:t>5</w:t>
      </w:r>
      <w:r w:rsidR="007858F3" w:rsidRPr="000C38CF">
        <w:rPr>
          <w:rFonts w:ascii="Book Antiqua" w:eastAsia="Calibri" w:hAnsi="Book Antiqua" w:cs="Arial"/>
          <w:sz w:val="24"/>
          <w:szCs w:val="24"/>
        </w:rPr>
        <w:t xml:space="preserve"> </w:t>
      </w:r>
      <w:r w:rsidRPr="000C38CF">
        <w:rPr>
          <w:rFonts w:ascii="Book Antiqua" w:eastAsia="Calibri" w:hAnsi="Book Antiqua" w:cs="Arial"/>
          <w:sz w:val="24"/>
          <w:szCs w:val="24"/>
        </w:rPr>
        <w:t>se adjunta la circular 29-2020 con la boleta de solicitud aprobada).</w:t>
      </w:r>
    </w:p>
    <w:p w14:paraId="15F0F5B9" w14:textId="77777777" w:rsidR="00843DD4" w:rsidRDefault="00843DD4" w:rsidP="00FF78F9">
      <w:pPr>
        <w:spacing w:after="0" w:line="276" w:lineRule="auto"/>
        <w:jc w:val="both"/>
        <w:rPr>
          <w:rFonts w:ascii="Book Antiqua" w:eastAsia="Calibri" w:hAnsi="Book Antiqua" w:cs="Arial"/>
          <w:sz w:val="24"/>
          <w:szCs w:val="24"/>
        </w:rPr>
      </w:pPr>
    </w:p>
    <w:p w14:paraId="2818EF91" w14:textId="2861342F" w:rsidR="00116B89" w:rsidRPr="00681EDC" w:rsidRDefault="00FF78F9" w:rsidP="00681EDC">
      <w:pPr>
        <w:spacing w:after="0" w:line="276" w:lineRule="auto"/>
        <w:jc w:val="both"/>
        <w:rPr>
          <w:rFonts w:ascii="Book Antiqua" w:eastAsia="Calibri" w:hAnsi="Book Antiqua" w:cs="Arial"/>
          <w:sz w:val="24"/>
          <w:szCs w:val="24"/>
        </w:rPr>
      </w:pPr>
      <w:r w:rsidRPr="00FF78F9">
        <w:rPr>
          <w:rFonts w:ascii="Book Antiqua" w:eastAsia="Calibri" w:hAnsi="Book Antiqua" w:cs="Arial"/>
          <w:sz w:val="24"/>
          <w:szCs w:val="24"/>
        </w:rPr>
        <w:t xml:space="preserve">En los siguientes gráficos, se detalla la información de la cantidad de casos ingresados, reingresados, atención inmediata y los casos cerrados, de las Oficinas de Trabajo Social y Psicología a nivel nacional, durante el periodo </w:t>
      </w:r>
      <w:r w:rsidRPr="00FB132A">
        <w:rPr>
          <w:rFonts w:ascii="Book Antiqua" w:eastAsia="Calibri" w:hAnsi="Book Antiqua" w:cs="Arial"/>
          <w:sz w:val="24"/>
          <w:szCs w:val="24"/>
        </w:rPr>
        <w:t>del 20</w:t>
      </w:r>
      <w:r w:rsidR="00FB132A" w:rsidRPr="00FB132A">
        <w:rPr>
          <w:rFonts w:ascii="Book Antiqua" w:eastAsia="Calibri" w:hAnsi="Book Antiqua" w:cs="Arial"/>
          <w:sz w:val="24"/>
          <w:szCs w:val="24"/>
        </w:rPr>
        <w:t>20</w:t>
      </w:r>
      <w:r w:rsidRPr="00FB132A">
        <w:rPr>
          <w:rFonts w:ascii="Book Antiqua" w:eastAsia="Calibri" w:hAnsi="Book Antiqua" w:cs="Arial"/>
          <w:sz w:val="24"/>
          <w:szCs w:val="24"/>
        </w:rPr>
        <w:t xml:space="preserve"> al 20</w:t>
      </w:r>
      <w:r w:rsidR="00FB132A" w:rsidRPr="00FB132A">
        <w:rPr>
          <w:rFonts w:ascii="Book Antiqua" w:eastAsia="Calibri" w:hAnsi="Book Antiqua" w:cs="Arial"/>
          <w:sz w:val="24"/>
          <w:szCs w:val="24"/>
        </w:rPr>
        <w:t>2</w:t>
      </w:r>
      <w:r w:rsidR="00B12368">
        <w:rPr>
          <w:rFonts w:ascii="Book Antiqua" w:eastAsia="Calibri" w:hAnsi="Book Antiqua" w:cs="Arial"/>
          <w:sz w:val="24"/>
          <w:szCs w:val="24"/>
        </w:rPr>
        <w:t>2</w:t>
      </w:r>
      <w:r w:rsidRPr="00FB132A">
        <w:rPr>
          <w:rFonts w:ascii="Book Antiqua" w:eastAsia="Calibri" w:hAnsi="Book Antiqua" w:cs="Arial"/>
          <w:sz w:val="24"/>
          <w:szCs w:val="24"/>
        </w:rPr>
        <w:t>:</w:t>
      </w:r>
    </w:p>
    <w:p w14:paraId="27524829" w14:textId="49DDC5C4"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Gráfico </w:t>
      </w:r>
      <w:r w:rsidRPr="00B01DD0">
        <w:rPr>
          <w:rFonts w:ascii="Book Antiqua" w:eastAsia="Calibri" w:hAnsi="Book Antiqua" w:cs="Arial"/>
          <w:b/>
          <w:bCs/>
          <w:color w:val="1F497D"/>
          <w:szCs w:val="24"/>
          <w:lang w:val="es-ES" w:eastAsia="es-ES"/>
        </w:rPr>
        <w:fldChar w:fldCharType="begin"/>
      </w:r>
      <w:r w:rsidRPr="00B01DD0">
        <w:rPr>
          <w:rFonts w:ascii="Book Antiqua" w:eastAsia="Calibri" w:hAnsi="Book Antiqua" w:cs="Arial"/>
          <w:b/>
          <w:bCs/>
          <w:color w:val="1F497D"/>
          <w:szCs w:val="24"/>
          <w:lang w:val="es-ES" w:eastAsia="es-ES"/>
        </w:rPr>
        <w:instrText xml:space="preserve"> SEQ Gráfico \* ARABIC </w:instrText>
      </w:r>
      <w:r w:rsidRPr="00B01DD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6</w:t>
      </w:r>
      <w:r w:rsidRPr="00B01DD0">
        <w:rPr>
          <w:rFonts w:ascii="Book Antiqua" w:eastAsia="Calibri" w:hAnsi="Book Antiqua" w:cs="Arial"/>
          <w:b/>
          <w:bCs/>
          <w:color w:val="1F497D"/>
          <w:szCs w:val="24"/>
          <w:lang w:val="es-ES" w:eastAsia="es-ES"/>
        </w:rPr>
        <w:fldChar w:fldCharType="end"/>
      </w:r>
      <w:r w:rsidRPr="00B01DD0">
        <w:rPr>
          <w:rFonts w:ascii="Book Antiqua" w:eastAsia="Calibri" w:hAnsi="Book Antiqua" w:cs="Arial"/>
          <w:b/>
          <w:bCs/>
          <w:color w:val="1F497D"/>
          <w:szCs w:val="24"/>
          <w:lang w:val="es-ES" w:eastAsia="es-ES"/>
        </w:rPr>
        <w:t xml:space="preserve"> </w:t>
      </w:r>
    </w:p>
    <w:p w14:paraId="1AA701B9" w14:textId="77777777"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Cantidad de solicitudes de estudios de Trabajo Social y </w:t>
      </w:r>
    </w:p>
    <w:p w14:paraId="13F9CBDC" w14:textId="259D5C7F"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Psicología </w:t>
      </w:r>
      <w:r w:rsidRPr="00FB132A">
        <w:rPr>
          <w:rFonts w:ascii="Book Antiqua" w:eastAsia="Calibri" w:hAnsi="Book Antiqua" w:cs="Arial"/>
          <w:b/>
          <w:bCs/>
          <w:color w:val="1F497D"/>
          <w:szCs w:val="24"/>
          <w:lang w:val="es-ES" w:eastAsia="es-ES"/>
        </w:rPr>
        <w:t>del 20</w:t>
      </w:r>
      <w:r w:rsidR="00FB132A" w:rsidRPr="00FB132A">
        <w:rPr>
          <w:rFonts w:ascii="Book Antiqua" w:eastAsia="Calibri" w:hAnsi="Book Antiqua" w:cs="Arial"/>
          <w:b/>
          <w:bCs/>
          <w:color w:val="1F497D"/>
          <w:szCs w:val="24"/>
          <w:lang w:val="es-ES" w:eastAsia="es-ES"/>
        </w:rPr>
        <w:t>20</w:t>
      </w:r>
      <w:r w:rsidRPr="00FB132A">
        <w:rPr>
          <w:rFonts w:ascii="Book Antiqua" w:eastAsia="Calibri" w:hAnsi="Book Antiqua" w:cs="Arial"/>
          <w:b/>
          <w:bCs/>
          <w:color w:val="1F497D"/>
          <w:szCs w:val="24"/>
          <w:lang w:val="es-ES" w:eastAsia="es-ES"/>
        </w:rPr>
        <w:t xml:space="preserve"> al 20</w:t>
      </w:r>
      <w:r w:rsidR="00FB132A" w:rsidRPr="00FB132A">
        <w:rPr>
          <w:rFonts w:ascii="Book Antiqua" w:eastAsia="Calibri" w:hAnsi="Book Antiqua" w:cs="Arial"/>
          <w:b/>
          <w:bCs/>
          <w:color w:val="1F497D"/>
          <w:szCs w:val="24"/>
          <w:lang w:val="es-ES" w:eastAsia="es-ES"/>
        </w:rPr>
        <w:t>2</w:t>
      </w:r>
      <w:r w:rsidR="00B12368">
        <w:rPr>
          <w:rFonts w:ascii="Book Antiqua" w:eastAsia="Calibri" w:hAnsi="Book Antiqua" w:cs="Arial"/>
          <w:b/>
          <w:bCs/>
          <w:color w:val="1F497D"/>
          <w:szCs w:val="24"/>
          <w:lang w:val="es-ES" w:eastAsia="es-ES"/>
        </w:rPr>
        <w:t>2</w:t>
      </w:r>
    </w:p>
    <w:p w14:paraId="492B789D" w14:textId="0125539B" w:rsidR="00116B89" w:rsidRDefault="00134F58" w:rsidP="00BF3ED6">
      <w:pPr>
        <w:spacing w:after="0" w:line="240" w:lineRule="auto"/>
        <w:jc w:val="center"/>
        <w:rPr>
          <w:rFonts w:ascii="Book Antiqua" w:hAnsi="Book Antiqua"/>
          <w:sz w:val="24"/>
          <w:szCs w:val="24"/>
        </w:rPr>
      </w:pPr>
      <w:r>
        <w:rPr>
          <w:noProof/>
        </w:rPr>
        <w:drawing>
          <wp:inline distT="0" distB="0" distL="0" distR="0" wp14:anchorId="100512FD" wp14:editId="2DB637CC">
            <wp:extent cx="5057775" cy="3087688"/>
            <wp:effectExtent l="0" t="0" r="9525" b="17780"/>
            <wp:docPr id="25" name="Gráfico 25">
              <a:extLst xmlns:a="http://schemas.openxmlformats.org/drawingml/2006/main">
                <a:ext uri="{FF2B5EF4-FFF2-40B4-BE49-F238E27FC236}">
                  <a16:creationId xmlns:a16="http://schemas.microsoft.com/office/drawing/2014/main" id="{0C6DEE7F-9A6B-410B-81BC-9DB571FB3A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BF2A269" w14:textId="77777777" w:rsidR="007728EC" w:rsidRDefault="00FB132A" w:rsidP="00BF3ED6">
      <w:pPr>
        <w:spacing w:after="0" w:line="240" w:lineRule="auto"/>
        <w:jc w:val="both"/>
        <w:rPr>
          <w:rFonts w:ascii="Book Antiqua" w:hAnsi="Book Antiqua"/>
          <w:i/>
          <w:iCs/>
          <w:sz w:val="20"/>
          <w:szCs w:val="20"/>
        </w:rPr>
      </w:pPr>
      <w:r>
        <w:rPr>
          <w:rFonts w:ascii="Book Antiqua" w:hAnsi="Book Antiqua"/>
          <w:sz w:val="24"/>
          <w:szCs w:val="24"/>
        </w:rPr>
        <w:t xml:space="preserve">       </w:t>
      </w:r>
      <w:bookmarkStart w:id="26" w:name="_Hlk97303078"/>
      <w:r w:rsidRPr="00B12368">
        <w:rPr>
          <w:rFonts w:ascii="Book Antiqua" w:hAnsi="Book Antiqua"/>
          <w:b/>
          <w:bCs/>
          <w:i/>
          <w:iCs/>
          <w:sz w:val="20"/>
          <w:szCs w:val="20"/>
        </w:rPr>
        <w:t>Fuente:</w:t>
      </w:r>
      <w:r w:rsidRPr="00FB132A">
        <w:rPr>
          <w:rFonts w:ascii="Book Antiqua" w:hAnsi="Book Antiqua"/>
          <w:i/>
          <w:iCs/>
          <w:sz w:val="20"/>
          <w:szCs w:val="20"/>
        </w:rPr>
        <w:t xml:space="preserve"> </w:t>
      </w:r>
      <w:r w:rsidR="007728EC">
        <w:rPr>
          <w:rFonts w:ascii="Book Antiqua" w:hAnsi="Book Antiqua"/>
          <w:i/>
          <w:iCs/>
          <w:sz w:val="20"/>
          <w:szCs w:val="20"/>
        </w:rPr>
        <w:t xml:space="preserve">Subproceso de </w:t>
      </w:r>
      <w:r w:rsidRPr="00FB132A">
        <w:rPr>
          <w:rFonts w:ascii="Book Antiqua" w:hAnsi="Book Antiqua"/>
          <w:i/>
          <w:iCs/>
          <w:sz w:val="20"/>
          <w:szCs w:val="20"/>
        </w:rPr>
        <w:t xml:space="preserve">Modernización Institucional con datos </w:t>
      </w:r>
      <w:r w:rsidR="00BF3ED6">
        <w:rPr>
          <w:rFonts w:ascii="Book Antiqua" w:hAnsi="Book Antiqua"/>
          <w:i/>
          <w:iCs/>
          <w:sz w:val="20"/>
          <w:szCs w:val="20"/>
        </w:rPr>
        <w:t xml:space="preserve">suministrados por </w:t>
      </w:r>
      <w:r w:rsidRPr="00FB132A">
        <w:rPr>
          <w:rFonts w:ascii="Book Antiqua" w:hAnsi="Book Antiqua"/>
          <w:i/>
          <w:iCs/>
          <w:sz w:val="20"/>
          <w:szCs w:val="20"/>
        </w:rPr>
        <w:t xml:space="preserve">el Departamento </w:t>
      </w:r>
    </w:p>
    <w:p w14:paraId="71029E6B" w14:textId="2582D198" w:rsidR="00FB132A" w:rsidRDefault="007728EC" w:rsidP="00BF3ED6">
      <w:pPr>
        <w:spacing w:after="0" w:line="240" w:lineRule="auto"/>
        <w:jc w:val="both"/>
        <w:rPr>
          <w:rFonts w:ascii="Book Antiqua" w:hAnsi="Book Antiqua"/>
          <w:i/>
          <w:iCs/>
          <w:sz w:val="20"/>
          <w:szCs w:val="20"/>
        </w:rPr>
      </w:pPr>
      <w:r>
        <w:rPr>
          <w:rFonts w:ascii="Book Antiqua" w:hAnsi="Book Antiqua"/>
          <w:i/>
          <w:iCs/>
          <w:sz w:val="20"/>
          <w:szCs w:val="20"/>
        </w:rPr>
        <w:t xml:space="preserve">        </w:t>
      </w:r>
      <w:r w:rsidR="00FB132A" w:rsidRPr="00FB132A">
        <w:rPr>
          <w:rFonts w:ascii="Book Antiqua" w:hAnsi="Book Antiqua"/>
          <w:i/>
          <w:iCs/>
          <w:sz w:val="20"/>
          <w:szCs w:val="20"/>
        </w:rPr>
        <w:t>de Trabajo Social y Psicología</w:t>
      </w:r>
      <w:r w:rsidR="00134F58">
        <w:rPr>
          <w:rFonts w:ascii="Book Antiqua" w:hAnsi="Book Antiqua"/>
          <w:i/>
          <w:iCs/>
          <w:sz w:val="20"/>
          <w:szCs w:val="20"/>
        </w:rPr>
        <w:t>,</w:t>
      </w:r>
      <w:r w:rsidR="00FB132A" w:rsidRPr="00FB132A">
        <w:rPr>
          <w:rFonts w:ascii="Book Antiqua" w:hAnsi="Book Antiqua"/>
          <w:i/>
          <w:iCs/>
          <w:sz w:val="20"/>
          <w:szCs w:val="20"/>
        </w:rPr>
        <w:t xml:space="preserve"> 2020 al 202</w:t>
      </w:r>
      <w:r w:rsidR="00BF3ED6">
        <w:rPr>
          <w:rFonts w:ascii="Book Antiqua" w:hAnsi="Book Antiqua"/>
          <w:i/>
          <w:iCs/>
          <w:sz w:val="20"/>
          <w:szCs w:val="20"/>
        </w:rPr>
        <w:t>2</w:t>
      </w:r>
      <w:r w:rsidR="00FB132A" w:rsidRPr="00FB132A">
        <w:rPr>
          <w:rFonts w:ascii="Book Antiqua" w:hAnsi="Book Antiqua"/>
          <w:i/>
          <w:iCs/>
          <w:sz w:val="20"/>
          <w:szCs w:val="20"/>
        </w:rPr>
        <w:t>.</w:t>
      </w:r>
    </w:p>
    <w:bookmarkEnd w:id="26"/>
    <w:p w14:paraId="2CCF7466" w14:textId="2DACE68D" w:rsidR="00FB132A" w:rsidRPr="00FB132A" w:rsidRDefault="00FB132A" w:rsidP="00BF3ED6">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BF3ED6">
        <w:rPr>
          <w:rFonts w:ascii="Book Antiqua" w:hAnsi="Book Antiqua"/>
          <w:b/>
          <w:bCs/>
          <w:i/>
          <w:iCs/>
          <w:sz w:val="20"/>
          <w:szCs w:val="20"/>
        </w:rPr>
        <w:t>Nota:</w:t>
      </w:r>
      <w:r>
        <w:rPr>
          <w:rFonts w:ascii="Book Antiqua" w:hAnsi="Book Antiqua"/>
          <w:i/>
          <w:iCs/>
          <w:sz w:val="20"/>
          <w:szCs w:val="20"/>
        </w:rPr>
        <w:t xml:space="preserve"> Los casos ingresados incluyen los reentrados.</w:t>
      </w:r>
    </w:p>
    <w:p w14:paraId="4FF0BA49" w14:textId="61276AD1" w:rsidR="00FB132A" w:rsidRDefault="00FB132A" w:rsidP="009C01E1">
      <w:pPr>
        <w:spacing w:line="276" w:lineRule="auto"/>
        <w:jc w:val="both"/>
        <w:rPr>
          <w:rFonts w:ascii="Book Antiqua" w:hAnsi="Book Antiqua"/>
          <w:sz w:val="24"/>
          <w:szCs w:val="24"/>
        </w:rPr>
      </w:pPr>
    </w:p>
    <w:p w14:paraId="4712D940" w14:textId="2C0BAADD" w:rsidR="00326277" w:rsidRPr="00326277" w:rsidRDefault="00326277" w:rsidP="00326277">
      <w:pPr>
        <w:spacing w:after="0" w:line="276" w:lineRule="auto"/>
        <w:jc w:val="both"/>
        <w:rPr>
          <w:rFonts w:ascii="Book Antiqua" w:eastAsia="Calibri" w:hAnsi="Book Antiqua" w:cs="Arial"/>
          <w:sz w:val="24"/>
          <w:szCs w:val="24"/>
        </w:rPr>
      </w:pPr>
      <w:r w:rsidRPr="007728EC">
        <w:rPr>
          <w:rFonts w:ascii="Book Antiqua" w:eastAsia="Calibri" w:hAnsi="Book Antiqua" w:cs="Arial"/>
          <w:sz w:val="24"/>
          <w:szCs w:val="24"/>
        </w:rPr>
        <w:t>De la información del gráfico anterior, para el periodo 20</w:t>
      </w:r>
      <w:r w:rsidR="00FB132A" w:rsidRPr="007728EC">
        <w:rPr>
          <w:rFonts w:ascii="Book Antiqua" w:eastAsia="Calibri" w:hAnsi="Book Antiqua" w:cs="Arial"/>
          <w:sz w:val="24"/>
          <w:szCs w:val="24"/>
        </w:rPr>
        <w:t>20</w:t>
      </w:r>
      <w:r w:rsidRPr="007728EC">
        <w:rPr>
          <w:rFonts w:ascii="Book Antiqua" w:eastAsia="Calibri" w:hAnsi="Book Antiqua" w:cs="Arial"/>
          <w:sz w:val="24"/>
          <w:szCs w:val="24"/>
        </w:rPr>
        <w:t xml:space="preserve"> al 20</w:t>
      </w:r>
      <w:r w:rsidR="00FB132A" w:rsidRPr="007728EC">
        <w:rPr>
          <w:rFonts w:ascii="Book Antiqua" w:eastAsia="Calibri" w:hAnsi="Book Antiqua" w:cs="Arial"/>
          <w:sz w:val="24"/>
          <w:szCs w:val="24"/>
        </w:rPr>
        <w:t>2</w:t>
      </w:r>
      <w:r w:rsidR="00BF3ED6" w:rsidRPr="007728EC">
        <w:rPr>
          <w:rFonts w:ascii="Book Antiqua" w:eastAsia="Calibri" w:hAnsi="Book Antiqua" w:cs="Arial"/>
          <w:sz w:val="24"/>
          <w:szCs w:val="24"/>
        </w:rPr>
        <w:t>2</w:t>
      </w:r>
      <w:r w:rsidRPr="007728EC">
        <w:rPr>
          <w:rFonts w:ascii="Book Antiqua" w:eastAsia="Calibri" w:hAnsi="Book Antiqua" w:cs="Arial"/>
          <w:sz w:val="24"/>
          <w:szCs w:val="24"/>
        </w:rPr>
        <w:t xml:space="preserve">, las oficinas de Trabajo Social y Psicología del país recibieron entre casos ingresados, reingresados y de atención inmediata en total </w:t>
      </w:r>
      <w:r w:rsidR="007728EC" w:rsidRPr="007728EC">
        <w:rPr>
          <w:rFonts w:ascii="Book Antiqua" w:eastAsia="Calibri" w:hAnsi="Book Antiqua" w:cs="Arial"/>
          <w:sz w:val="24"/>
          <w:szCs w:val="24"/>
        </w:rPr>
        <w:t>73</w:t>
      </w:r>
      <w:r w:rsidRPr="007728EC">
        <w:rPr>
          <w:rFonts w:ascii="Book Antiqua" w:eastAsia="Calibri" w:hAnsi="Book Antiqua" w:cs="Arial"/>
          <w:sz w:val="24"/>
          <w:szCs w:val="24"/>
        </w:rPr>
        <w:t> 9</w:t>
      </w:r>
      <w:r w:rsidR="007728EC" w:rsidRPr="007728EC">
        <w:rPr>
          <w:rFonts w:ascii="Book Antiqua" w:eastAsia="Calibri" w:hAnsi="Book Antiqua" w:cs="Arial"/>
          <w:sz w:val="24"/>
          <w:szCs w:val="24"/>
        </w:rPr>
        <w:t>53</w:t>
      </w:r>
      <w:r w:rsidRPr="007728EC">
        <w:rPr>
          <w:rFonts w:ascii="Book Antiqua" w:eastAsia="Calibri" w:hAnsi="Book Antiqua" w:cs="Arial"/>
          <w:sz w:val="24"/>
          <w:szCs w:val="24"/>
        </w:rPr>
        <w:t xml:space="preserve"> solicitudes.</w:t>
      </w:r>
      <w:r w:rsidRPr="00326277">
        <w:rPr>
          <w:rFonts w:ascii="Book Antiqua" w:eastAsia="Calibri" w:hAnsi="Book Antiqua" w:cs="Arial"/>
          <w:sz w:val="24"/>
          <w:szCs w:val="24"/>
        </w:rPr>
        <w:t xml:space="preserve"> </w:t>
      </w:r>
    </w:p>
    <w:p w14:paraId="3925505B" w14:textId="77777777" w:rsidR="00326277" w:rsidRPr="00326277" w:rsidRDefault="00326277" w:rsidP="00326277">
      <w:pPr>
        <w:spacing w:after="0" w:line="276" w:lineRule="auto"/>
        <w:jc w:val="both"/>
        <w:rPr>
          <w:rFonts w:ascii="Book Antiqua" w:eastAsia="Calibri" w:hAnsi="Book Antiqua" w:cs="Arial"/>
          <w:sz w:val="24"/>
          <w:szCs w:val="24"/>
        </w:rPr>
      </w:pPr>
    </w:p>
    <w:p w14:paraId="6788804F" w14:textId="16013918" w:rsidR="00326277" w:rsidRPr="00326277" w:rsidRDefault="00326277" w:rsidP="00326277">
      <w:pPr>
        <w:spacing w:after="0" w:line="276" w:lineRule="auto"/>
        <w:jc w:val="both"/>
        <w:rPr>
          <w:rFonts w:ascii="Book Antiqua" w:eastAsia="Calibri" w:hAnsi="Book Antiqua" w:cs="Arial"/>
          <w:sz w:val="24"/>
          <w:szCs w:val="24"/>
        </w:rPr>
      </w:pPr>
      <w:r w:rsidRPr="00B61619">
        <w:rPr>
          <w:rFonts w:ascii="Book Antiqua" w:eastAsia="Calibri" w:hAnsi="Book Antiqua" w:cs="Arial"/>
          <w:sz w:val="24"/>
          <w:szCs w:val="24"/>
        </w:rPr>
        <w:t>En cuanto a los estudios de trabajo social el periodo de mayor ingreso fue el 20</w:t>
      </w:r>
      <w:r w:rsidR="00FC21BE" w:rsidRPr="00B61619">
        <w:rPr>
          <w:rFonts w:ascii="Book Antiqua" w:eastAsia="Calibri" w:hAnsi="Book Antiqua" w:cs="Arial"/>
          <w:sz w:val="24"/>
          <w:szCs w:val="24"/>
        </w:rPr>
        <w:t>2</w:t>
      </w:r>
      <w:r w:rsidRPr="00B61619">
        <w:rPr>
          <w:rFonts w:ascii="Book Antiqua" w:eastAsia="Calibri" w:hAnsi="Book Antiqua" w:cs="Arial"/>
          <w:sz w:val="24"/>
          <w:szCs w:val="24"/>
        </w:rPr>
        <w:t xml:space="preserve">1 con un total de </w:t>
      </w:r>
      <w:r w:rsidR="00B61619">
        <w:rPr>
          <w:rFonts w:ascii="Book Antiqua" w:eastAsia="Calibri" w:hAnsi="Book Antiqua" w:cs="Arial"/>
          <w:sz w:val="24"/>
          <w:szCs w:val="24"/>
        </w:rPr>
        <w:t>8 108</w:t>
      </w:r>
      <w:r w:rsidRPr="00B61619">
        <w:rPr>
          <w:rFonts w:ascii="Book Antiqua" w:eastAsia="Calibri" w:hAnsi="Book Antiqua" w:cs="Arial"/>
          <w:sz w:val="24"/>
          <w:szCs w:val="24"/>
        </w:rPr>
        <w:t xml:space="preserve"> más que en el 20</w:t>
      </w:r>
      <w:r w:rsidR="00B900AE" w:rsidRPr="00B61619">
        <w:rPr>
          <w:rFonts w:ascii="Book Antiqua" w:eastAsia="Calibri" w:hAnsi="Book Antiqua" w:cs="Arial"/>
          <w:sz w:val="24"/>
          <w:szCs w:val="24"/>
        </w:rPr>
        <w:t>2</w:t>
      </w:r>
      <w:r w:rsidR="00B61619">
        <w:rPr>
          <w:rFonts w:ascii="Book Antiqua" w:eastAsia="Calibri" w:hAnsi="Book Antiqua" w:cs="Arial"/>
          <w:sz w:val="24"/>
          <w:szCs w:val="24"/>
        </w:rPr>
        <w:t>2</w:t>
      </w:r>
      <w:r w:rsidRPr="00B61619">
        <w:rPr>
          <w:rFonts w:ascii="Book Antiqua" w:eastAsia="Calibri" w:hAnsi="Book Antiqua" w:cs="Arial"/>
          <w:sz w:val="24"/>
          <w:szCs w:val="24"/>
        </w:rPr>
        <w:t xml:space="preserve">; mientras que en psicología ingresaron </w:t>
      </w:r>
      <w:r w:rsidR="00B900AE" w:rsidRPr="00B61619">
        <w:rPr>
          <w:rFonts w:ascii="Book Antiqua" w:eastAsia="Calibri" w:hAnsi="Book Antiqua" w:cs="Arial"/>
          <w:sz w:val="24"/>
          <w:szCs w:val="24"/>
        </w:rPr>
        <w:t>5</w:t>
      </w:r>
      <w:r w:rsidR="00B61619">
        <w:rPr>
          <w:rFonts w:ascii="Book Antiqua" w:eastAsia="Calibri" w:hAnsi="Book Antiqua" w:cs="Arial"/>
          <w:sz w:val="24"/>
          <w:szCs w:val="24"/>
        </w:rPr>
        <w:t xml:space="preserve"> 183</w:t>
      </w:r>
      <w:r w:rsidRPr="00B61619">
        <w:rPr>
          <w:rFonts w:ascii="Book Antiqua" w:eastAsia="Calibri" w:hAnsi="Book Antiqua" w:cs="Arial"/>
          <w:sz w:val="24"/>
          <w:szCs w:val="24"/>
        </w:rPr>
        <w:t xml:space="preserve"> asuntos más para el 20</w:t>
      </w:r>
      <w:r w:rsidR="00B900AE" w:rsidRPr="00B61619">
        <w:rPr>
          <w:rFonts w:ascii="Book Antiqua" w:eastAsia="Calibri" w:hAnsi="Book Antiqua" w:cs="Arial"/>
          <w:sz w:val="24"/>
          <w:szCs w:val="24"/>
        </w:rPr>
        <w:t>2</w:t>
      </w:r>
      <w:r w:rsidRPr="00B61619">
        <w:rPr>
          <w:rFonts w:ascii="Book Antiqua" w:eastAsia="Calibri" w:hAnsi="Book Antiqua" w:cs="Arial"/>
          <w:sz w:val="24"/>
          <w:szCs w:val="24"/>
        </w:rPr>
        <w:t>1 en comparación con el 20</w:t>
      </w:r>
      <w:r w:rsidR="00B900AE" w:rsidRPr="00B61619">
        <w:rPr>
          <w:rFonts w:ascii="Book Antiqua" w:eastAsia="Calibri" w:hAnsi="Book Antiqua" w:cs="Arial"/>
          <w:sz w:val="24"/>
          <w:szCs w:val="24"/>
        </w:rPr>
        <w:t>2</w:t>
      </w:r>
      <w:r w:rsidR="00B61619">
        <w:rPr>
          <w:rFonts w:ascii="Book Antiqua" w:eastAsia="Calibri" w:hAnsi="Book Antiqua" w:cs="Arial"/>
          <w:sz w:val="24"/>
          <w:szCs w:val="24"/>
        </w:rPr>
        <w:t>2</w:t>
      </w:r>
      <w:r w:rsidRPr="00B61619">
        <w:rPr>
          <w:rFonts w:ascii="Book Antiqua" w:eastAsia="Calibri" w:hAnsi="Book Antiqua" w:cs="Arial"/>
          <w:sz w:val="24"/>
          <w:szCs w:val="24"/>
        </w:rPr>
        <w:t xml:space="preserve">, por último, se tiene la entrada de los casos de atención inmediata, para el periodo en análisis ingresaron en total </w:t>
      </w:r>
      <w:r w:rsidR="00B61619">
        <w:rPr>
          <w:rFonts w:ascii="Book Antiqua" w:eastAsia="Calibri" w:hAnsi="Book Antiqua" w:cs="Arial"/>
          <w:sz w:val="24"/>
          <w:szCs w:val="24"/>
        </w:rPr>
        <w:t>10 367</w:t>
      </w:r>
      <w:r w:rsidRPr="00B61619">
        <w:rPr>
          <w:rFonts w:ascii="Book Antiqua" w:eastAsia="Calibri" w:hAnsi="Book Antiqua" w:cs="Arial"/>
          <w:sz w:val="24"/>
          <w:szCs w:val="24"/>
        </w:rPr>
        <w:t xml:space="preserve"> casos, siendo el 20</w:t>
      </w:r>
      <w:r w:rsidR="00E173F7" w:rsidRPr="00B61619">
        <w:rPr>
          <w:rFonts w:ascii="Book Antiqua" w:eastAsia="Calibri" w:hAnsi="Book Antiqua" w:cs="Arial"/>
          <w:sz w:val="24"/>
          <w:szCs w:val="24"/>
        </w:rPr>
        <w:t>2</w:t>
      </w:r>
      <w:r w:rsidR="00B61619">
        <w:rPr>
          <w:rFonts w:ascii="Book Antiqua" w:eastAsia="Calibri" w:hAnsi="Book Antiqua" w:cs="Arial"/>
          <w:sz w:val="24"/>
          <w:szCs w:val="24"/>
        </w:rPr>
        <w:t>1</w:t>
      </w:r>
      <w:r w:rsidRPr="00B61619">
        <w:rPr>
          <w:rFonts w:ascii="Book Antiqua" w:eastAsia="Calibri" w:hAnsi="Book Antiqua" w:cs="Arial"/>
          <w:sz w:val="24"/>
          <w:szCs w:val="24"/>
        </w:rPr>
        <w:t xml:space="preserve"> el periodo con más solicitudes 1 </w:t>
      </w:r>
      <w:r w:rsidR="00B61619">
        <w:rPr>
          <w:rFonts w:ascii="Book Antiqua" w:eastAsia="Calibri" w:hAnsi="Book Antiqua" w:cs="Arial"/>
          <w:sz w:val="24"/>
          <w:szCs w:val="24"/>
        </w:rPr>
        <w:t>418</w:t>
      </w:r>
      <w:r w:rsidRPr="00B61619">
        <w:rPr>
          <w:rFonts w:ascii="Book Antiqua" w:eastAsia="Calibri" w:hAnsi="Book Antiqua" w:cs="Arial"/>
          <w:sz w:val="24"/>
          <w:szCs w:val="24"/>
        </w:rPr>
        <w:t xml:space="preserve"> más que el 20</w:t>
      </w:r>
      <w:r w:rsidR="00E173F7" w:rsidRPr="00B61619">
        <w:rPr>
          <w:rFonts w:ascii="Book Antiqua" w:eastAsia="Calibri" w:hAnsi="Book Antiqua" w:cs="Arial"/>
          <w:sz w:val="24"/>
          <w:szCs w:val="24"/>
        </w:rPr>
        <w:t>2</w:t>
      </w:r>
      <w:r w:rsidR="00B61619">
        <w:rPr>
          <w:rFonts w:ascii="Book Antiqua" w:eastAsia="Calibri" w:hAnsi="Book Antiqua" w:cs="Arial"/>
          <w:sz w:val="24"/>
          <w:szCs w:val="24"/>
        </w:rPr>
        <w:t>2</w:t>
      </w:r>
      <w:r w:rsidRPr="00B61619">
        <w:rPr>
          <w:rFonts w:ascii="Book Antiqua" w:eastAsia="Calibri" w:hAnsi="Book Antiqua" w:cs="Arial"/>
          <w:sz w:val="24"/>
          <w:szCs w:val="24"/>
        </w:rPr>
        <w:t>.</w:t>
      </w:r>
    </w:p>
    <w:p w14:paraId="11F296EF" w14:textId="307AA803"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Gráfico </w:t>
      </w:r>
      <w:r w:rsidRPr="00B01DD0">
        <w:rPr>
          <w:rFonts w:ascii="Book Antiqua" w:eastAsia="Calibri" w:hAnsi="Book Antiqua" w:cs="Arial"/>
          <w:b/>
          <w:bCs/>
          <w:color w:val="1F497D"/>
          <w:szCs w:val="24"/>
          <w:lang w:val="es-ES" w:eastAsia="es-ES"/>
        </w:rPr>
        <w:fldChar w:fldCharType="begin"/>
      </w:r>
      <w:r w:rsidRPr="00B01DD0">
        <w:rPr>
          <w:rFonts w:ascii="Book Antiqua" w:eastAsia="Calibri" w:hAnsi="Book Antiqua" w:cs="Arial"/>
          <w:b/>
          <w:bCs/>
          <w:color w:val="1F497D"/>
          <w:szCs w:val="24"/>
          <w:lang w:val="es-ES" w:eastAsia="es-ES"/>
        </w:rPr>
        <w:instrText xml:space="preserve"> SEQ Gráfico \* ARABIC </w:instrText>
      </w:r>
      <w:r w:rsidRPr="00B01DD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7</w:t>
      </w:r>
      <w:r w:rsidRPr="00B01DD0">
        <w:rPr>
          <w:rFonts w:ascii="Book Antiqua" w:eastAsia="Calibri" w:hAnsi="Book Antiqua" w:cs="Arial"/>
          <w:b/>
          <w:bCs/>
          <w:color w:val="1F497D"/>
          <w:szCs w:val="24"/>
          <w:lang w:val="es-ES" w:eastAsia="es-ES"/>
        </w:rPr>
        <w:fldChar w:fldCharType="end"/>
      </w:r>
      <w:r w:rsidRPr="00B01DD0">
        <w:rPr>
          <w:rFonts w:ascii="Book Antiqua" w:eastAsia="Calibri" w:hAnsi="Book Antiqua" w:cs="Arial"/>
          <w:b/>
          <w:bCs/>
          <w:color w:val="1F497D"/>
          <w:szCs w:val="24"/>
          <w:lang w:val="es-ES" w:eastAsia="es-ES"/>
        </w:rPr>
        <w:t xml:space="preserve"> </w:t>
      </w:r>
    </w:p>
    <w:p w14:paraId="2294F99C" w14:textId="2B24503A"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Cantidad de </w:t>
      </w:r>
      <w:r>
        <w:rPr>
          <w:rFonts w:ascii="Book Antiqua" w:eastAsia="Calibri" w:hAnsi="Book Antiqua" w:cs="Arial"/>
          <w:b/>
          <w:bCs/>
          <w:color w:val="1F497D"/>
          <w:szCs w:val="24"/>
          <w:lang w:val="es-ES" w:eastAsia="es-ES"/>
        </w:rPr>
        <w:t>casos cerrados</w:t>
      </w:r>
      <w:r w:rsidRPr="00B01DD0">
        <w:rPr>
          <w:rFonts w:ascii="Book Antiqua" w:eastAsia="Calibri" w:hAnsi="Book Antiqua" w:cs="Arial"/>
          <w:b/>
          <w:bCs/>
          <w:color w:val="1F497D"/>
          <w:szCs w:val="24"/>
          <w:lang w:val="es-ES" w:eastAsia="es-ES"/>
        </w:rPr>
        <w:t xml:space="preserve"> de Trabajo Social y </w:t>
      </w:r>
    </w:p>
    <w:p w14:paraId="4838A4A5" w14:textId="2F20A2CD" w:rsidR="00BD208F"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Psicología </w:t>
      </w:r>
      <w:r w:rsidRPr="00FB132A">
        <w:rPr>
          <w:rFonts w:ascii="Book Antiqua" w:eastAsia="Calibri" w:hAnsi="Book Antiqua" w:cs="Arial"/>
          <w:b/>
          <w:bCs/>
          <w:color w:val="1F497D"/>
          <w:szCs w:val="24"/>
          <w:lang w:val="es-ES" w:eastAsia="es-ES"/>
        </w:rPr>
        <w:t>del 2020 al 202</w:t>
      </w:r>
      <w:r w:rsidR="00BF3ED6">
        <w:rPr>
          <w:rFonts w:ascii="Book Antiqua" w:eastAsia="Calibri" w:hAnsi="Book Antiqua" w:cs="Arial"/>
          <w:b/>
          <w:bCs/>
          <w:color w:val="1F497D"/>
          <w:szCs w:val="24"/>
          <w:lang w:val="es-ES" w:eastAsia="es-ES"/>
        </w:rPr>
        <w:t>2</w:t>
      </w:r>
    </w:p>
    <w:p w14:paraId="7A99F0FD" w14:textId="18173DFA" w:rsidR="00BD208F" w:rsidRPr="00134F58" w:rsidRDefault="007E19AE" w:rsidP="00134F58">
      <w:pPr>
        <w:keepNext/>
        <w:numPr>
          <w:ilvl w:val="12"/>
          <w:numId w:val="0"/>
        </w:numPr>
        <w:spacing w:after="0" w:line="276" w:lineRule="auto"/>
        <w:jc w:val="center"/>
        <w:rPr>
          <w:rFonts w:ascii="Book Antiqua" w:eastAsia="Calibri" w:hAnsi="Book Antiqua" w:cs="Arial"/>
          <w:b/>
          <w:bCs/>
          <w:color w:val="1F497D"/>
          <w:szCs w:val="24"/>
          <w:lang w:val="es-ES" w:eastAsia="es-ES"/>
        </w:rPr>
      </w:pPr>
      <w:r>
        <w:rPr>
          <w:noProof/>
        </w:rPr>
        <w:drawing>
          <wp:inline distT="0" distB="0" distL="0" distR="0" wp14:anchorId="4EB167D3" wp14:editId="06E8F8DA">
            <wp:extent cx="4572000" cy="2660650"/>
            <wp:effectExtent l="0" t="0" r="0" b="6350"/>
            <wp:docPr id="26" name="Gráfico 26">
              <a:extLst xmlns:a="http://schemas.openxmlformats.org/drawingml/2006/main">
                <a:ext uri="{FF2B5EF4-FFF2-40B4-BE49-F238E27FC236}">
                  <a16:creationId xmlns:a16="http://schemas.microsoft.com/office/drawing/2014/main" id="{776DED2A-D64D-49A1-8B90-0B4766AFF8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B0CF0DB" w14:textId="77777777" w:rsidR="00134F58" w:rsidRDefault="00BD208F" w:rsidP="00BD208F">
      <w:pPr>
        <w:spacing w:after="0" w:line="240" w:lineRule="auto"/>
        <w:jc w:val="both"/>
        <w:rPr>
          <w:rFonts w:ascii="Book Antiqua" w:hAnsi="Book Antiqua"/>
          <w:i/>
          <w:iCs/>
          <w:sz w:val="20"/>
          <w:szCs w:val="20"/>
        </w:rPr>
      </w:pPr>
      <w:r w:rsidRPr="00F134FF">
        <w:rPr>
          <w:rFonts w:ascii="Book Antiqua" w:hAnsi="Book Antiqua"/>
          <w:b/>
          <w:bCs/>
          <w:i/>
          <w:iCs/>
          <w:sz w:val="20"/>
          <w:szCs w:val="20"/>
        </w:rPr>
        <w:t xml:space="preserve">                Fuente:</w:t>
      </w:r>
      <w:r w:rsidRPr="00FB132A">
        <w:rPr>
          <w:rFonts w:ascii="Book Antiqua" w:hAnsi="Book Antiqua"/>
          <w:i/>
          <w:iCs/>
          <w:sz w:val="20"/>
          <w:szCs w:val="20"/>
        </w:rPr>
        <w:t xml:space="preserve"> </w:t>
      </w:r>
      <w:r w:rsidR="00134F58">
        <w:rPr>
          <w:rFonts w:ascii="Book Antiqua" w:hAnsi="Book Antiqua"/>
          <w:i/>
          <w:iCs/>
          <w:sz w:val="20"/>
          <w:szCs w:val="20"/>
        </w:rPr>
        <w:t xml:space="preserve">Subproceso de </w:t>
      </w:r>
      <w:r w:rsidRPr="00FB132A">
        <w:rPr>
          <w:rFonts w:ascii="Book Antiqua" w:hAnsi="Book Antiqua"/>
          <w:i/>
          <w:iCs/>
          <w:sz w:val="20"/>
          <w:szCs w:val="20"/>
        </w:rPr>
        <w:t xml:space="preserve">Modernización Institucional con datos </w:t>
      </w:r>
      <w:r w:rsidR="00BF3ED6">
        <w:rPr>
          <w:rFonts w:ascii="Book Antiqua" w:hAnsi="Book Antiqua"/>
          <w:i/>
          <w:iCs/>
          <w:sz w:val="20"/>
          <w:szCs w:val="20"/>
        </w:rPr>
        <w:t xml:space="preserve">suministrados por </w:t>
      </w:r>
      <w:r w:rsidRPr="00FB132A">
        <w:rPr>
          <w:rFonts w:ascii="Book Antiqua" w:hAnsi="Book Antiqua"/>
          <w:i/>
          <w:iCs/>
          <w:sz w:val="20"/>
          <w:szCs w:val="20"/>
        </w:rPr>
        <w:t>el</w:t>
      </w:r>
    </w:p>
    <w:p w14:paraId="4FB704AC" w14:textId="26AF6EF7" w:rsidR="00BD208F" w:rsidRDefault="00134F58" w:rsidP="00BD208F">
      <w:pPr>
        <w:spacing w:after="0" w:line="240" w:lineRule="auto"/>
        <w:jc w:val="both"/>
        <w:rPr>
          <w:rFonts w:ascii="Book Antiqua" w:hAnsi="Book Antiqua"/>
          <w:i/>
          <w:iCs/>
          <w:sz w:val="20"/>
          <w:szCs w:val="20"/>
        </w:rPr>
      </w:pPr>
      <w:r>
        <w:rPr>
          <w:rFonts w:ascii="Book Antiqua" w:hAnsi="Book Antiqua"/>
          <w:i/>
          <w:iCs/>
          <w:sz w:val="20"/>
          <w:szCs w:val="20"/>
        </w:rPr>
        <w:t xml:space="preserve">               </w:t>
      </w:r>
      <w:r w:rsidR="00BD208F" w:rsidRPr="00FB132A">
        <w:rPr>
          <w:rFonts w:ascii="Book Antiqua" w:hAnsi="Book Antiqua"/>
          <w:i/>
          <w:iCs/>
          <w:sz w:val="20"/>
          <w:szCs w:val="20"/>
        </w:rPr>
        <w:t>Departamento</w:t>
      </w:r>
      <w:r w:rsidR="00BF3ED6">
        <w:rPr>
          <w:rFonts w:ascii="Book Antiqua" w:hAnsi="Book Antiqua"/>
          <w:i/>
          <w:iCs/>
          <w:sz w:val="20"/>
          <w:szCs w:val="20"/>
        </w:rPr>
        <w:t xml:space="preserve"> </w:t>
      </w:r>
      <w:r w:rsidR="00BD208F" w:rsidRPr="00FB132A">
        <w:rPr>
          <w:rFonts w:ascii="Book Antiqua" w:hAnsi="Book Antiqua"/>
          <w:i/>
          <w:iCs/>
          <w:sz w:val="20"/>
          <w:szCs w:val="20"/>
        </w:rPr>
        <w:t>de Trabajo Social y Psicología</w:t>
      </w:r>
      <w:r>
        <w:rPr>
          <w:rFonts w:ascii="Book Antiqua" w:hAnsi="Book Antiqua"/>
          <w:i/>
          <w:iCs/>
          <w:sz w:val="20"/>
          <w:szCs w:val="20"/>
        </w:rPr>
        <w:t>,</w:t>
      </w:r>
      <w:r w:rsidR="00BD208F" w:rsidRPr="00FB132A">
        <w:rPr>
          <w:rFonts w:ascii="Book Antiqua" w:hAnsi="Book Antiqua"/>
          <w:i/>
          <w:iCs/>
          <w:sz w:val="20"/>
          <w:szCs w:val="20"/>
        </w:rPr>
        <w:t xml:space="preserve"> 2020 al 202</w:t>
      </w:r>
      <w:r w:rsidR="00BF3ED6">
        <w:rPr>
          <w:rFonts w:ascii="Book Antiqua" w:hAnsi="Book Antiqua"/>
          <w:i/>
          <w:iCs/>
          <w:sz w:val="20"/>
          <w:szCs w:val="20"/>
        </w:rPr>
        <w:t>2</w:t>
      </w:r>
      <w:r w:rsidR="00BD208F" w:rsidRPr="00FB132A">
        <w:rPr>
          <w:rFonts w:ascii="Book Antiqua" w:hAnsi="Book Antiqua"/>
          <w:i/>
          <w:iCs/>
          <w:sz w:val="20"/>
          <w:szCs w:val="20"/>
        </w:rPr>
        <w:t>.</w:t>
      </w:r>
    </w:p>
    <w:p w14:paraId="02E10D27" w14:textId="77D9DA51" w:rsidR="00BD208F" w:rsidRDefault="00BD208F" w:rsidP="00326277">
      <w:pPr>
        <w:spacing w:after="0" w:line="276" w:lineRule="auto"/>
        <w:jc w:val="both"/>
        <w:rPr>
          <w:rFonts w:ascii="Book Antiqua" w:eastAsia="Calibri" w:hAnsi="Book Antiqua" w:cs="Arial"/>
          <w:sz w:val="24"/>
          <w:szCs w:val="24"/>
        </w:rPr>
      </w:pPr>
    </w:p>
    <w:p w14:paraId="7C063D12" w14:textId="748B18F2" w:rsidR="00BD208F" w:rsidRDefault="00BD208F" w:rsidP="00326277">
      <w:pPr>
        <w:spacing w:after="0" w:line="276" w:lineRule="auto"/>
        <w:jc w:val="both"/>
        <w:rPr>
          <w:rFonts w:ascii="Book Antiqua" w:eastAsia="Calibri" w:hAnsi="Book Antiqua" w:cs="Arial"/>
          <w:sz w:val="24"/>
          <w:szCs w:val="24"/>
        </w:rPr>
      </w:pPr>
      <w:r w:rsidRPr="007E19AE">
        <w:rPr>
          <w:rFonts w:ascii="Book Antiqua" w:eastAsia="Calibri" w:hAnsi="Book Antiqua" w:cs="Arial"/>
          <w:sz w:val="24"/>
          <w:szCs w:val="24"/>
        </w:rPr>
        <w:t xml:space="preserve">En cuanto a los casos cerrados se tiene un total de </w:t>
      </w:r>
      <w:r w:rsidR="00134F58" w:rsidRPr="007E19AE">
        <w:rPr>
          <w:rFonts w:ascii="Book Antiqua" w:eastAsia="Calibri" w:hAnsi="Book Antiqua" w:cs="Arial"/>
          <w:sz w:val="24"/>
          <w:szCs w:val="24"/>
        </w:rPr>
        <w:t>62 275</w:t>
      </w:r>
      <w:r w:rsidR="00843DD4" w:rsidRPr="007E19AE">
        <w:rPr>
          <w:rFonts w:ascii="Book Antiqua" w:eastAsia="Calibri" w:hAnsi="Book Antiqua" w:cs="Arial"/>
          <w:sz w:val="24"/>
          <w:szCs w:val="24"/>
        </w:rPr>
        <w:t xml:space="preserve"> casos</w:t>
      </w:r>
      <w:r w:rsidRPr="007E19AE">
        <w:rPr>
          <w:rFonts w:ascii="Book Antiqua" w:eastAsia="Calibri" w:hAnsi="Book Antiqua" w:cs="Arial"/>
          <w:sz w:val="24"/>
          <w:szCs w:val="24"/>
        </w:rPr>
        <w:t xml:space="preserve"> entre asuntos de trabajo social y psicología, siendo el 20</w:t>
      </w:r>
      <w:r w:rsidR="00843DD4" w:rsidRPr="007E19AE">
        <w:rPr>
          <w:rFonts w:ascii="Book Antiqua" w:eastAsia="Calibri" w:hAnsi="Book Antiqua" w:cs="Arial"/>
          <w:sz w:val="24"/>
          <w:szCs w:val="24"/>
        </w:rPr>
        <w:t>2</w:t>
      </w:r>
      <w:r w:rsidRPr="007E19AE">
        <w:rPr>
          <w:rFonts w:ascii="Book Antiqua" w:eastAsia="Calibri" w:hAnsi="Book Antiqua" w:cs="Arial"/>
          <w:sz w:val="24"/>
          <w:szCs w:val="24"/>
        </w:rPr>
        <w:t>1 el año en el que se cerraron más casos</w:t>
      </w:r>
      <w:r w:rsidR="00843DD4" w:rsidRPr="007E19AE">
        <w:rPr>
          <w:rFonts w:ascii="Book Antiqua" w:eastAsia="Calibri" w:hAnsi="Book Antiqua" w:cs="Arial"/>
          <w:sz w:val="24"/>
          <w:szCs w:val="24"/>
        </w:rPr>
        <w:t xml:space="preserve">         </w:t>
      </w:r>
      <w:r w:rsidRPr="007E19AE">
        <w:rPr>
          <w:rFonts w:ascii="Book Antiqua" w:eastAsia="Calibri" w:hAnsi="Book Antiqua" w:cs="Arial"/>
          <w:sz w:val="24"/>
          <w:szCs w:val="24"/>
        </w:rPr>
        <w:t xml:space="preserve"> 2</w:t>
      </w:r>
      <w:r w:rsidR="00843DD4" w:rsidRPr="007E19AE">
        <w:rPr>
          <w:rFonts w:ascii="Book Antiqua" w:eastAsia="Calibri" w:hAnsi="Book Antiqua" w:cs="Arial"/>
          <w:sz w:val="24"/>
          <w:szCs w:val="24"/>
        </w:rPr>
        <w:t xml:space="preserve">5 </w:t>
      </w:r>
      <w:r w:rsidR="007E19AE">
        <w:rPr>
          <w:rFonts w:ascii="Book Antiqua" w:eastAsia="Calibri" w:hAnsi="Book Antiqua" w:cs="Arial"/>
          <w:sz w:val="24"/>
          <w:szCs w:val="24"/>
        </w:rPr>
        <w:t>197</w:t>
      </w:r>
      <w:r w:rsidRPr="007E19AE">
        <w:rPr>
          <w:rFonts w:ascii="Book Antiqua" w:eastAsia="Calibri" w:hAnsi="Book Antiqua" w:cs="Arial"/>
          <w:sz w:val="24"/>
          <w:szCs w:val="24"/>
        </w:rPr>
        <w:t xml:space="preserve">, de los cuales </w:t>
      </w:r>
      <w:r w:rsidR="00843DD4" w:rsidRPr="007E19AE">
        <w:rPr>
          <w:rFonts w:ascii="Book Antiqua" w:eastAsia="Calibri" w:hAnsi="Book Antiqua" w:cs="Arial"/>
          <w:sz w:val="24"/>
          <w:szCs w:val="24"/>
        </w:rPr>
        <w:t xml:space="preserve">15 </w:t>
      </w:r>
      <w:r w:rsidR="007E19AE">
        <w:rPr>
          <w:rFonts w:ascii="Book Antiqua" w:eastAsia="Calibri" w:hAnsi="Book Antiqua" w:cs="Arial"/>
          <w:sz w:val="24"/>
          <w:szCs w:val="24"/>
        </w:rPr>
        <w:t>475</w:t>
      </w:r>
      <w:r w:rsidRPr="007E19AE">
        <w:rPr>
          <w:rFonts w:ascii="Book Antiqua" w:eastAsia="Calibri" w:hAnsi="Book Antiqua" w:cs="Arial"/>
          <w:sz w:val="24"/>
          <w:szCs w:val="24"/>
        </w:rPr>
        <w:t xml:space="preserve"> corresponden a estudios de </w:t>
      </w:r>
      <w:r w:rsidR="007E19AE">
        <w:rPr>
          <w:rFonts w:ascii="Book Antiqua" w:eastAsia="Calibri" w:hAnsi="Book Antiqua" w:cs="Arial"/>
          <w:sz w:val="24"/>
          <w:szCs w:val="24"/>
        </w:rPr>
        <w:t>T</w:t>
      </w:r>
      <w:r w:rsidRPr="007E19AE">
        <w:rPr>
          <w:rFonts w:ascii="Book Antiqua" w:eastAsia="Calibri" w:hAnsi="Book Antiqua" w:cs="Arial"/>
          <w:sz w:val="24"/>
          <w:szCs w:val="24"/>
        </w:rPr>
        <w:t xml:space="preserve">rabajo </w:t>
      </w:r>
      <w:r w:rsidR="007E19AE">
        <w:rPr>
          <w:rFonts w:ascii="Book Antiqua" w:eastAsia="Calibri" w:hAnsi="Book Antiqua" w:cs="Arial"/>
          <w:sz w:val="24"/>
          <w:szCs w:val="24"/>
        </w:rPr>
        <w:t>S</w:t>
      </w:r>
      <w:r w:rsidRPr="007E19AE">
        <w:rPr>
          <w:rFonts w:ascii="Book Antiqua" w:eastAsia="Calibri" w:hAnsi="Book Antiqua" w:cs="Arial"/>
          <w:sz w:val="24"/>
          <w:szCs w:val="24"/>
        </w:rPr>
        <w:t>ocial. Es importante mencionar que los Despachos completen la boleta de Solicitud de valoraciones al Departamento de Trabajo Social y Psicología</w:t>
      </w:r>
      <w:r w:rsidR="00843DD4" w:rsidRPr="007E19AE">
        <w:rPr>
          <w:rFonts w:ascii="Book Antiqua" w:eastAsia="Calibri" w:hAnsi="Book Antiqua" w:cs="Arial"/>
          <w:sz w:val="24"/>
          <w:szCs w:val="24"/>
        </w:rPr>
        <w:t>,</w:t>
      </w:r>
      <w:r w:rsidRPr="007E19AE">
        <w:rPr>
          <w:rFonts w:ascii="Book Antiqua" w:eastAsia="Calibri" w:hAnsi="Book Antiqua" w:cs="Arial"/>
          <w:sz w:val="24"/>
          <w:szCs w:val="24"/>
        </w:rPr>
        <w:t xml:space="preserve"> cuando solicit</w:t>
      </w:r>
      <w:r w:rsidR="00843DD4" w:rsidRPr="007E19AE">
        <w:rPr>
          <w:rFonts w:ascii="Book Antiqua" w:eastAsia="Calibri" w:hAnsi="Book Antiqua" w:cs="Arial"/>
          <w:sz w:val="24"/>
          <w:szCs w:val="24"/>
        </w:rPr>
        <w:t>e</w:t>
      </w:r>
      <w:r w:rsidRPr="007E19AE">
        <w:rPr>
          <w:rFonts w:ascii="Book Antiqua" w:eastAsia="Calibri" w:hAnsi="Book Antiqua" w:cs="Arial"/>
          <w:sz w:val="24"/>
          <w:szCs w:val="24"/>
        </w:rPr>
        <w:t>n las valoraciones</w:t>
      </w:r>
      <w:r w:rsidR="00843DD4" w:rsidRPr="007E19AE">
        <w:rPr>
          <w:rFonts w:ascii="Book Antiqua" w:eastAsia="Calibri" w:hAnsi="Book Antiqua" w:cs="Arial"/>
          <w:sz w:val="24"/>
          <w:szCs w:val="24"/>
        </w:rPr>
        <w:t>.</w:t>
      </w:r>
    </w:p>
    <w:p w14:paraId="4409B041" w14:textId="77777777" w:rsidR="00BD208F" w:rsidRDefault="00BD208F" w:rsidP="00326277">
      <w:pPr>
        <w:spacing w:after="0" w:line="276" w:lineRule="auto"/>
        <w:jc w:val="both"/>
        <w:rPr>
          <w:rFonts w:ascii="Book Antiqua" w:eastAsia="Calibri" w:hAnsi="Book Antiqua" w:cs="Arial"/>
          <w:sz w:val="24"/>
          <w:szCs w:val="24"/>
        </w:rPr>
      </w:pPr>
    </w:p>
    <w:p w14:paraId="44C4B3FF" w14:textId="397ACF19" w:rsidR="00A72336" w:rsidRDefault="00A72336" w:rsidP="00A72336">
      <w:pPr>
        <w:spacing w:after="0" w:line="276" w:lineRule="auto"/>
        <w:jc w:val="both"/>
        <w:rPr>
          <w:rFonts w:ascii="Book Antiqua" w:eastAsia="Calibri" w:hAnsi="Book Antiqua" w:cs="Arial"/>
          <w:sz w:val="24"/>
          <w:szCs w:val="24"/>
        </w:rPr>
      </w:pPr>
      <w:r w:rsidRPr="00A72336">
        <w:rPr>
          <w:rFonts w:ascii="Book Antiqua" w:eastAsia="Calibri" w:hAnsi="Book Antiqua" w:cs="Arial"/>
          <w:sz w:val="24"/>
          <w:szCs w:val="24"/>
        </w:rPr>
        <w:t>Por otra parte, el Departamento de Trabajo Social y Psicología, mediante la circular 0</w:t>
      </w:r>
      <w:r w:rsidR="00C469D5">
        <w:rPr>
          <w:rFonts w:ascii="Book Antiqua" w:eastAsia="Calibri" w:hAnsi="Book Antiqua" w:cs="Arial"/>
          <w:sz w:val="24"/>
          <w:szCs w:val="24"/>
        </w:rPr>
        <w:t>2</w:t>
      </w:r>
      <w:r w:rsidRPr="00A72336">
        <w:rPr>
          <w:rFonts w:ascii="Book Antiqua" w:eastAsia="Calibri" w:hAnsi="Book Antiqua" w:cs="Arial"/>
          <w:sz w:val="24"/>
          <w:szCs w:val="24"/>
        </w:rPr>
        <w:t>-20</w:t>
      </w:r>
      <w:r w:rsidR="005F506D">
        <w:rPr>
          <w:rFonts w:ascii="Book Antiqua" w:eastAsia="Calibri" w:hAnsi="Book Antiqua" w:cs="Arial"/>
          <w:sz w:val="24"/>
          <w:szCs w:val="24"/>
        </w:rPr>
        <w:t>23</w:t>
      </w:r>
      <w:r w:rsidRPr="00A72336">
        <w:rPr>
          <w:rFonts w:ascii="Book Antiqua" w:eastAsia="Calibri" w:hAnsi="Book Antiqua" w:cs="Arial"/>
          <w:sz w:val="24"/>
          <w:szCs w:val="24"/>
        </w:rPr>
        <w:t xml:space="preserve">-DTSP </w:t>
      </w:r>
      <w:r w:rsidR="0058304D">
        <w:rPr>
          <w:rFonts w:ascii="Book Antiqua" w:eastAsia="Calibri" w:hAnsi="Book Antiqua" w:cs="Arial"/>
          <w:sz w:val="24"/>
          <w:szCs w:val="24"/>
        </w:rPr>
        <w:t>“</w:t>
      </w:r>
      <w:r w:rsidR="0058304D" w:rsidRPr="0058304D">
        <w:rPr>
          <w:rFonts w:ascii="Book Antiqua" w:eastAsia="Calibri" w:hAnsi="Book Antiqua" w:cs="Arial"/>
          <w:sz w:val="24"/>
          <w:szCs w:val="24"/>
        </w:rPr>
        <w:t>Actualización de la circular 08-2018-DTSP Tiempos de entrega de informes</w:t>
      </w:r>
      <w:r w:rsidR="0058304D">
        <w:rPr>
          <w:rFonts w:ascii="Book Antiqua" w:eastAsia="Calibri" w:hAnsi="Book Antiqua" w:cs="Arial"/>
          <w:sz w:val="24"/>
          <w:szCs w:val="24"/>
        </w:rPr>
        <w:t xml:space="preserve">”, </w:t>
      </w:r>
      <w:r w:rsidRPr="00A72336">
        <w:rPr>
          <w:rFonts w:ascii="Book Antiqua" w:eastAsia="Calibri" w:hAnsi="Book Antiqua" w:cs="Arial"/>
          <w:sz w:val="24"/>
          <w:szCs w:val="24"/>
        </w:rPr>
        <w:t xml:space="preserve">relacionada con los tiempos de entrega de los informes periciales estableció los siguientes plazos de entrega de los productos que se generen de la intervención profesional por parte de las personas peritos </w:t>
      </w:r>
      <w:r w:rsidRPr="00E173F7">
        <w:rPr>
          <w:rFonts w:ascii="Book Antiqua" w:eastAsia="Calibri" w:hAnsi="Book Antiqua" w:cs="Arial"/>
          <w:sz w:val="24"/>
          <w:szCs w:val="24"/>
        </w:rPr>
        <w:t xml:space="preserve">(ver </w:t>
      </w:r>
      <w:r w:rsidRPr="00E173F7">
        <w:rPr>
          <w:rFonts w:ascii="Book Antiqua" w:eastAsia="Calibri" w:hAnsi="Book Antiqua" w:cs="Arial"/>
          <w:b/>
          <w:i/>
          <w:sz w:val="24"/>
          <w:szCs w:val="24"/>
        </w:rPr>
        <w:t xml:space="preserve">anexo </w:t>
      </w:r>
      <w:r w:rsidR="007858F3">
        <w:rPr>
          <w:rFonts w:ascii="Book Antiqua" w:eastAsia="Calibri" w:hAnsi="Book Antiqua" w:cs="Arial"/>
          <w:b/>
          <w:i/>
          <w:sz w:val="24"/>
          <w:szCs w:val="24"/>
        </w:rPr>
        <w:t>6</w:t>
      </w:r>
      <w:r w:rsidRPr="00E173F7">
        <w:rPr>
          <w:rFonts w:ascii="Book Antiqua" w:eastAsia="Calibri" w:hAnsi="Book Antiqua" w:cs="Arial"/>
          <w:sz w:val="24"/>
          <w:szCs w:val="24"/>
        </w:rPr>
        <w:t>).</w:t>
      </w:r>
      <w:r w:rsidRPr="00A72336">
        <w:rPr>
          <w:rFonts w:ascii="Book Antiqua" w:eastAsia="Calibri" w:hAnsi="Book Antiqua" w:cs="Arial"/>
          <w:sz w:val="24"/>
          <w:szCs w:val="24"/>
        </w:rPr>
        <w:t xml:space="preserve"> </w:t>
      </w:r>
    </w:p>
    <w:p w14:paraId="378D826F" w14:textId="77777777" w:rsidR="003C18A3" w:rsidRDefault="003C18A3" w:rsidP="00A72336">
      <w:pPr>
        <w:spacing w:after="0" w:line="276" w:lineRule="auto"/>
        <w:jc w:val="both"/>
        <w:rPr>
          <w:rFonts w:ascii="Book Antiqua" w:eastAsia="Calibri" w:hAnsi="Book Antiqua" w:cs="Arial"/>
          <w:sz w:val="24"/>
          <w:szCs w:val="24"/>
        </w:rPr>
      </w:pPr>
    </w:p>
    <w:p w14:paraId="18FBC5AD" w14:textId="46BF922B" w:rsidR="004139DB" w:rsidRDefault="004139DB" w:rsidP="00A723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w:t>
      </w:r>
    </w:p>
    <w:p w14:paraId="7315DD31" w14:textId="0435A06C" w:rsidR="00C06BAE" w:rsidRDefault="004139DB" w:rsidP="00587B81">
      <w:pPr>
        <w:spacing w:after="0" w:line="276" w:lineRule="auto"/>
        <w:ind w:left="567" w:right="567"/>
        <w:jc w:val="both"/>
        <w:rPr>
          <w:rFonts w:ascii="Book Antiqua" w:eastAsia="Calibri" w:hAnsi="Book Antiqua" w:cs="Arial"/>
          <w:i/>
          <w:iCs/>
          <w:sz w:val="24"/>
          <w:szCs w:val="24"/>
        </w:rPr>
      </w:pPr>
      <w:r w:rsidRPr="003B7281">
        <w:rPr>
          <w:rFonts w:ascii="Book Antiqua" w:eastAsia="Calibri" w:hAnsi="Book Antiqua" w:cs="Arial"/>
          <w:i/>
          <w:iCs/>
          <w:sz w:val="24"/>
          <w:szCs w:val="24"/>
        </w:rPr>
        <w:t>la presentación de dictámenes se modifica a 3 meses máximo, a partir de la entrevista, con la salvedad en violencia doméstica que corresponderá a 2 meses</w:t>
      </w:r>
      <w:r w:rsidR="00587B81">
        <w:rPr>
          <w:rFonts w:ascii="Book Antiqua" w:eastAsia="Calibri" w:hAnsi="Book Antiqua" w:cs="Arial"/>
          <w:i/>
          <w:iCs/>
          <w:sz w:val="24"/>
          <w:szCs w:val="24"/>
        </w:rPr>
        <w:t>…”</w:t>
      </w:r>
    </w:p>
    <w:p w14:paraId="76A1D578" w14:textId="77777777" w:rsidR="00E312C4" w:rsidRPr="00A72336" w:rsidRDefault="00E312C4" w:rsidP="003B7281">
      <w:pPr>
        <w:spacing w:after="0" w:line="276" w:lineRule="auto"/>
        <w:ind w:left="567" w:right="567"/>
        <w:jc w:val="both"/>
        <w:rPr>
          <w:rFonts w:ascii="Book Antiqua" w:eastAsia="Calibri" w:hAnsi="Book Antiqua" w:cs="Arial"/>
          <w:sz w:val="24"/>
          <w:szCs w:val="24"/>
        </w:rPr>
      </w:pPr>
    </w:p>
    <w:p w14:paraId="3C190BC6" w14:textId="73D13137" w:rsidR="002A3B19" w:rsidRDefault="002A3B19" w:rsidP="00E312C4">
      <w:pPr>
        <w:spacing w:after="0" w:line="276" w:lineRule="auto"/>
        <w:ind w:left="567" w:right="567"/>
        <w:jc w:val="both"/>
        <w:rPr>
          <w:rFonts w:ascii="Book Antiqua" w:eastAsia="Calibri" w:hAnsi="Book Antiqua" w:cs="Arial"/>
          <w:i/>
          <w:iCs/>
          <w:sz w:val="24"/>
          <w:szCs w:val="24"/>
        </w:rPr>
      </w:pPr>
      <w:r w:rsidRPr="002A3B19">
        <w:rPr>
          <w:rFonts w:ascii="Book Antiqua" w:eastAsia="Calibri" w:hAnsi="Book Antiqua" w:cs="Arial"/>
          <w:i/>
          <w:iCs/>
          <w:sz w:val="24"/>
          <w:szCs w:val="24"/>
        </w:rPr>
        <w:t>En aquellos casos en que se realice un informe de gestión debe entregarse en la misma audiencia; según lo indicado en la Circular 01-2023 DTSP Asunto: Reprogramaciones y reiteración de la circular 28-2021-DTSP.</w:t>
      </w:r>
    </w:p>
    <w:p w14:paraId="2B8226F9" w14:textId="77777777" w:rsidR="002A3B19" w:rsidRDefault="002A3B19" w:rsidP="00E312C4">
      <w:pPr>
        <w:spacing w:after="0" w:line="276" w:lineRule="auto"/>
        <w:ind w:left="567" w:right="567"/>
        <w:jc w:val="both"/>
        <w:rPr>
          <w:rFonts w:ascii="Book Antiqua" w:eastAsia="Calibri" w:hAnsi="Book Antiqua" w:cs="Arial"/>
          <w:i/>
          <w:iCs/>
          <w:sz w:val="24"/>
          <w:szCs w:val="24"/>
        </w:rPr>
      </w:pPr>
    </w:p>
    <w:p w14:paraId="726D2B4B" w14:textId="40C391B1" w:rsidR="002A3B19" w:rsidRDefault="00E62A0F" w:rsidP="00E312C4">
      <w:pPr>
        <w:spacing w:after="0" w:line="276" w:lineRule="auto"/>
        <w:ind w:left="567" w:right="567"/>
        <w:jc w:val="both"/>
        <w:rPr>
          <w:rFonts w:ascii="Book Antiqua" w:eastAsia="Calibri" w:hAnsi="Book Antiqua" w:cs="Arial"/>
          <w:i/>
          <w:iCs/>
          <w:sz w:val="24"/>
          <w:szCs w:val="24"/>
        </w:rPr>
      </w:pPr>
      <w:r w:rsidRPr="00E62A0F">
        <w:rPr>
          <w:rFonts w:ascii="Book Antiqua" w:eastAsia="Calibri" w:hAnsi="Book Antiqua" w:cs="Arial"/>
          <w:i/>
          <w:iCs/>
          <w:sz w:val="24"/>
          <w:szCs w:val="24"/>
        </w:rPr>
        <w:t>En el caso de los informes de intervención independientemente de la materia cuentan con un plazo de entrega de 2 meses calendario. Tendrán un plazo de 1 mes calendario los asuntos en los que se comisiona por parte de Trabajo Social la aplicación de una técnica específica para concluir el proceso de investigación y se genera un informe de intervención.</w:t>
      </w:r>
    </w:p>
    <w:p w14:paraId="330FD86C" w14:textId="77777777" w:rsidR="00A249EE" w:rsidRDefault="00A249EE" w:rsidP="00E312C4">
      <w:pPr>
        <w:spacing w:after="0" w:line="276" w:lineRule="auto"/>
        <w:ind w:left="567" w:right="567"/>
        <w:jc w:val="both"/>
        <w:rPr>
          <w:rFonts w:ascii="Book Antiqua" w:eastAsia="Calibri" w:hAnsi="Book Antiqua" w:cs="Arial"/>
          <w:i/>
          <w:iCs/>
          <w:sz w:val="24"/>
          <w:szCs w:val="24"/>
        </w:rPr>
      </w:pPr>
    </w:p>
    <w:p w14:paraId="600E3590" w14:textId="166E667E" w:rsidR="00A249EE" w:rsidRDefault="00A249EE" w:rsidP="00E312C4">
      <w:pPr>
        <w:spacing w:after="0" w:line="276" w:lineRule="auto"/>
        <w:ind w:left="567" w:right="567"/>
        <w:jc w:val="both"/>
        <w:rPr>
          <w:rFonts w:ascii="Book Antiqua" w:eastAsia="Calibri" w:hAnsi="Book Antiqua" w:cs="Arial"/>
          <w:i/>
          <w:iCs/>
          <w:sz w:val="24"/>
          <w:szCs w:val="24"/>
        </w:rPr>
      </w:pPr>
      <w:r w:rsidRPr="00A249EE">
        <w:rPr>
          <w:rFonts w:ascii="Book Antiqua" w:eastAsia="Calibri" w:hAnsi="Book Antiqua" w:cs="Arial"/>
          <w:i/>
          <w:iCs/>
          <w:sz w:val="24"/>
          <w:szCs w:val="24"/>
        </w:rPr>
        <w:t>Cuando se soliciten ampliaciones, adiciones o aclaraciones, el plazo de entrega será de dos semanas calendario, o en su defecto el plazo establecido por la autoridad solicitante.</w:t>
      </w:r>
    </w:p>
    <w:p w14:paraId="771CA52A" w14:textId="77777777" w:rsidR="002A3B19" w:rsidRDefault="002A3B19" w:rsidP="00E312C4">
      <w:pPr>
        <w:spacing w:after="0" w:line="276" w:lineRule="auto"/>
        <w:ind w:left="567" w:right="567"/>
        <w:jc w:val="both"/>
        <w:rPr>
          <w:rFonts w:ascii="Book Antiqua" w:eastAsia="Calibri" w:hAnsi="Book Antiqua" w:cs="Arial"/>
          <w:i/>
          <w:iCs/>
          <w:sz w:val="24"/>
          <w:szCs w:val="24"/>
        </w:rPr>
      </w:pPr>
    </w:p>
    <w:p w14:paraId="4ED18C26" w14:textId="69DD8744" w:rsidR="000A1BF0" w:rsidRPr="003B7281" w:rsidRDefault="000A1BF0" w:rsidP="002C0365">
      <w:pPr>
        <w:spacing w:after="0" w:line="276" w:lineRule="auto"/>
        <w:ind w:left="567" w:right="567"/>
        <w:jc w:val="both"/>
        <w:rPr>
          <w:rFonts w:ascii="Book Antiqua" w:eastAsia="Calibri" w:hAnsi="Book Antiqua" w:cs="Arial"/>
          <w:i/>
          <w:iCs/>
          <w:sz w:val="24"/>
          <w:szCs w:val="24"/>
        </w:rPr>
      </w:pPr>
      <w:r w:rsidRPr="000A1BF0">
        <w:rPr>
          <w:rFonts w:ascii="Book Antiqua" w:eastAsia="Calibri" w:hAnsi="Book Antiqua" w:cs="Arial"/>
          <w:i/>
          <w:iCs/>
          <w:sz w:val="24"/>
          <w:szCs w:val="24"/>
        </w:rPr>
        <w:t>Para otros tipos de informes se cuenta con los siguientes tiempos:</w:t>
      </w:r>
    </w:p>
    <w:p w14:paraId="077FE0CC" w14:textId="77777777" w:rsidR="000A1BF0" w:rsidRDefault="000A1BF0" w:rsidP="00A72336">
      <w:pPr>
        <w:spacing w:after="0" w:line="276" w:lineRule="auto"/>
        <w:jc w:val="both"/>
        <w:rPr>
          <w:rFonts w:ascii="Book Antiqua" w:eastAsia="Calibri" w:hAnsi="Book Antiqua" w:cs="Arial"/>
          <w:sz w:val="24"/>
          <w:szCs w:val="24"/>
        </w:rPr>
      </w:pPr>
    </w:p>
    <w:p w14:paraId="53FCBC7E" w14:textId="20F4C0FD" w:rsidR="00A72336" w:rsidRPr="00A72336" w:rsidRDefault="000C3B05" w:rsidP="00A723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Casos</w:t>
      </w:r>
      <w:r w:rsidR="00A72336" w:rsidRPr="00A72336">
        <w:rPr>
          <w:rFonts w:ascii="Book Antiqua" w:eastAsia="Calibri" w:hAnsi="Book Antiqua" w:cs="Arial"/>
          <w:sz w:val="24"/>
          <w:szCs w:val="24"/>
        </w:rPr>
        <w:t xml:space="preserve"> de Familia:</w:t>
      </w:r>
    </w:p>
    <w:p w14:paraId="58466C8E" w14:textId="77777777" w:rsidR="000C38CF" w:rsidRDefault="000C38CF" w:rsidP="009A629B">
      <w:pPr>
        <w:spacing w:after="0" w:line="276" w:lineRule="auto"/>
        <w:jc w:val="both"/>
        <w:rPr>
          <w:rFonts w:ascii="Book Antiqua" w:eastAsia="Calibri" w:hAnsi="Book Antiqua" w:cs="Arial"/>
          <w:sz w:val="24"/>
          <w:szCs w:val="24"/>
        </w:rPr>
      </w:pPr>
    </w:p>
    <w:p w14:paraId="3D12887F" w14:textId="2FFB2739"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Informe </w:t>
      </w:r>
      <w:r w:rsidR="009E6D42" w:rsidRPr="009E6D42">
        <w:rPr>
          <w:rFonts w:ascii="Book Antiqua" w:eastAsia="Calibri" w:hAnsi="Book Antiqua" w:cs="Arial"/>
          <w:sz w:val="24"/>
          <w:szCs w:val="24"/>
        </w:rPr>
        <w:t>evaluativo de interrelación familiar supervisado</w:t>
      </w:r>
      <w:r w:rsidRPr="009A629B">
        <w:rPr>
          <w:rFonts w:ascii="Book Antiqua" w:eastAsia="Calibri" w:hAnsi="Book Antiqua" w:cs="Arial"/>
          <w:sz w:val="24"/>
          <w:szCs w:val="24"/>
        </w:rPr>
        <w:t xml:space="preserve">: </w:t>
      </w:r>
      <w:r w:rsidR="00193E0B">
        <w:rPr>
          <w:rFonts w:ascii="Book Antiqua" w:eastAsia="Calibri" w:hAnsi="Book Antiqua" w:cs="Arial"/>
          <w:sz w:val="24"/>
          <w:szCs w:val="24"/>
        </w:rPr>
        <w:t>2</w:t>
      </w:r>
      <w:r w:rsidRPr="009A629B">
        <w:rPr>
          <w:rFonts w:ascii="Book Antiqua" w:eastAsia="Calibri" w:hAnsi="Book Antiqua" w:cs="Arial"/>
          <w:sz w:val="24"/>
          <w:szCs w:val="24"/>
        </w:rPr>
        <w:t xml:space="preserve"> semana</w:t>
      </w:r>
      <w:r w:rsidR="00193E0B">
        <w:rPr>
          <w:rFonts w:ascii="Book Antiqua" w:eastAsia="Calibri" w:hAnsi="Book Antiqua" w:cs="Arial"/>
          <w:sz w:val="24"/>
          <w:szCs w:val="24"/>
        </w:rPr>
        <w:t>s</w:t>
      </w:r>
      <w:r w:rsidRPr="009A629B">
        <w:rPr>
          <w:rFonts w:ascii="Book Antiqua" w:eastAsia="Calibri" w:hAnsi="Book Antiqua" w:cs="Arial"/>
          <w:sz w:val="24"/>
          <w:szCs w:val="24"/>
        </w:rPr>
        <w:t xml:space="preserve"> calendario</w:t>
      </w:r>
      <w:r w:rsidR="00690189">
        <w:rPr>
          <w:rFonts w:ascii="Book Antiqua" w:eastAsia="Calibri" w:hAnsi="Book Antiqua" w:cs="Arial"/>
          <w:sz w:val="24"/>
          <w:szCs w:val="24"/>
        </w:rPr>
        <w:t xml:space="preserve"> </w:t>
      </w:r>
      <w:r w:rsidR="00690189" w:rsidRPr="00690189">
        <w:rPr>
          <w:rFonts w:ascii="Book Antiqua" w:eastAsia="Calibri" w:hAnsi="Book Antiqua" w:cs="Arial"/>
          <w:sz w:val="24"/>
          <w:szCs w:val="24"/>
        </w:rPr>
        <w:t>después de la última sesión programada</w:t>
      </w:r>
      <w:r w:rsidRPr="009A629B">
        <w:rPr>
          <w:rFonts w:ascii="Book Antiqua" w:eastAsia="Calibri" w:hAnsi="Book Antiqua" w:cs="Arial"/>
          <w:sz w:val="24"/>
          <w:szCs w:val="24"/>
        </w:rPr>
        <w:t xml:space="preserve">. </w:t>
      </w:r>
    </w:p>
    <w:p w14:paraId="0B0B4A21" w14:textId="4A17C888"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Informe </w:t>
      </w:r>
      <w:r w:rsidR="00193E0B" w:rsidRPr="00193E0B">
        <w:rPr>
          <w:rFonts w:ascii="Book Antiqua" w:eastAsia="Calibri" w:hAnsi="Book Antiqua" w:cs="Arial"/>
          <w:sz w:val="24"/>
          <w:szCs w:val="24"/>
        </w:rPr>
        <w:t>evaluativo de seguimiento</w:t>
      </w:r>
      <w:r w:rsidR="00193E0B">
        <w:rPr>
          <w:rFonts w:ascii="Book Antiqua" w:eastAsia="Calibri" w:hAnsi="Book Antiqua" w:cs="Arial"/>
          <w:sz w:val="24"/>
          <w:szCs w:val="24"/>
        </w:rPr>
        <w:t xml:space="preserve"> (RIFS)</w:t>
      </w:r>
      <w:r w:rsidRPr="009A629B">
        <w:rPr>
          <w:rFonts w:ascii="Book Antiqua" w:eastAsia="Calibri" w:hAnsi="Book Antiqua" w:cs="Arial"/>
          <w:sz w:val="24"/>
          <w:szCs w:val="24"/>
        </w:rPr>
        <w:t xml:space="preserve">: </w:t>
      </w:r>
      <w:r w:rsidR="00E80B8C">
        <w:rPr>
          <w:rFonts w:ascii="Book Antiqua" w:eastAsia="Calibri" w:hAnsi="Book Antiqua" w:cs="Arial"/>
          <w:sz w:val="24"/>
          <w:szCs w:val="24"/>
        </w:rPr>
        <w:t>1 semana</w:t>
      </w:r>
      <w:r w:rsidRPr="009A629B">
        <w:rPr>
          <w:rFonts w:ascii="Book Antiqua" w:eastAsia="Calibri" w:hAnsi="Book Antiqua" w:cs="Arial"/>
          <w:sz w:val="24"/>
          <w:szCs w:val="24"/>
        </w:rPr>
        <w:t xml:space="preserve"> calendario. </w:t>
      </w:r>
    </w:p>
    <w:p w14:paraId="4B278D3C" w14:textId="5320199C" w:rsidR="009A629B" w:rsidRPr="009A629B" w:rsidRDefault="003C132B" w:rsidP="009A629B">
      <w:pPr>
        <w:spacing w:after="0" w:line="276" w:lineRule="auto"/>
        <w:jc w:val="both"/>
        <w:rPr>
          <w:rFonts w:ascii="Book Antiqua" w:eastAsia="Calibri" w:hAnsi="Book Antiqua" w:cs="Arial"/>
          <w:sz w:val="24"/>
          <w:szCs w:val="24"/>
        </w:rPr>
      </w:pPr>
      <w:r w:rsidRPr="003C132B">
        <w:rPr>
          <w:rFonts w:ascii="Book Antiqua" w:eastAsia="Calibri" w:hAnsi="Book Antiqua" w:cs="Arial"/>
          <w:sz w:val="24"/>
          <w:szCs w:val="24"/>
        </w:rPr>
        <w:t>Informe de seguimiento de salvaguardia</w:t>
      </w:r>
      <w:r w:rsidR="009A629B" w:rsidRPr="009A629B">
        <w:rPr>
          <w:rFonts w:ascii="Book Antiqua" w:eastAsia="Calibri" w:hAnsi="Book Antiqua" w:cs="Arial"/>
          <w:sz w:val="24"/>
          <w:szCs w:val="24"/>
        </w:rPr>
        <w:t xml:space="preserve">: 5 </w:t>
      </w:r>
      <w:r w:rsidR="000F2398" w:rsidRPr="009A629B">
        <w:rPr>
          <w:rFonts w:ascii="Book Antiqua" w:eastAsia="Calibri" w:hAnsi="Book Antiqua" w:cs="Arial"/>
          <w:sz w:val="24"/>
          <w:szCs w:val="24"/>
        </w:rPr>
        <w:t>mes</w:t>
      </w:r>
      <w:r w:rsidR="000F2398">
        <w:rPr>
          <w:rFonts w:ascii="Book Antiqua" w:eastAsia="Calibri" w:hAnsi="Book Antiqua" w:cs="Arial"/>
          <w:sz w:val="24"/>
          <w:szCs w:val="24"/>
        </w:rPr>
        <w:t xml:space="preserve"> y 2 semanas </w:t>
      </w:r>
      <w:r w:rsidR="009A629B" w:rsidRPr="009A629B">
        <w:rPr>
          <w:rFonts w:ascii="Book Antiqua" w:eastAsia="Calibri" w:hAnsi="Book Antiqua" w:cs="Arial"/>
          <w:sz w:val="24"/>
          <w:szCs w:val="24"/>
        </w:rPr>
        <w:t>calendario.</w:t>
      </w:r>
    </w:p>
    <w:p w14:paraId="476207F2" w14:textId="77777777" w:rsidR="009A629B" w:rsidRPr="009A629B" w:rsidRDefault="009A629B" w:rsidP="009A629B">
      <w:pPr>
        <w:spacing w:after="0" w:line="276" w:lineRule="auto"/>
        <w:jc w:val="both"/>
        <w:rPr>
          <w:rFonts w:ascii="Book Antiqua" w:eastAsia="Calibri" w:hAnsi="Book Antiqua" w:cs="Arial"/>
          <w:sz w:val="24"/>
          <w:szCs w:val="24"/>
        </w:rPr>
      </w:pPr>
    </w:p>
    <w:p w14:paraId="16D79DE4"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Casos del Tribunal de Familia: </w:t>
      </w:r>
    </w:p>
    <w:p w14:paraId="68D0F889" w14:textId="4B3C9BA8" w:rsidR="009A629B" w:rsidRPr="009A629B" w:rsidRDefault="00605B13" w:rsidP="009A629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Casos del Tribunal de Familia: </w:t>
      </w:r>
      <w:r w:rsidR="009A629B" w:rsidRPr="009A629B">
        <w:rPr>
          <w:rFonts w:ascii="Book Antiqua" w:eastAsia="Calibri" w:hAnsi="Book Antiqua" w:cs="Arial"/>
          <w:sz w:val="24"/>
          <w:szCs w:val="24"/>
        </w:rPr>
        <w:t xml:space="preserve">1 mes calendario </w:t>
      </w:r>
      <w:r w:rsidR="00B90A4E">
        <w:rPr>
          <w:rFonts w:ascii="Book Antiqua" w:eastAsia="Calibri" w:hAnsi="Book Antiqua" w:cs="Arial"/>
          <w:sz w:val="24"/>
          <w:szCs w:val="24"/>
        </w:rPr>
        <w:t>(</w:t>
      </w:r>
      <w:r w:rsidR="003F7B1B" w:rsidRPr="003F7B1B">
        <w:t xml:space="preserve"> </w:t>
      </w:r>
      <w:r w:rsidR="003F7B1B" w:rsidRPr="003F7B1B">
        <w:rPr>
          <w:rFonts w:ascii="Book Antiqua" w:eastAsia="Calibri" w:hAnsi="Book Antiqua" w:cs="Arial"/>
          <w:sz w:val="24"/>
          <w:szCs w:val="24"/>
        </w:rPr>
        <w:t>dictamen o informe de intervención</w:t>
      </w:r>
      <w:r w:rsidR="009A629B" w:rsidRPr="009A629B">
        <w:rPr>
          <w:rFonts w:ascii="Book Antiqua" w:eastAsia="Calibri" w:hAnsi="Book Antiqua" w:cs="Arial"/>
          <w:sz w:val="24"/>
          <w:szCs w:val="24"/>
        </w:rPr>
        <w:t>.</w:t>
      </w:r>
    </w:p>
    <w:p w14:paraId="16EDF264" w14:textId="77777777" w:rsidR="005476E8" w:rsidRDefault="005476E8" w:rsidP="00CA0A27">
      <w:pPr>
        <w:spacing w:after="0" w:line="276" w:lineRule="auto"/>
        <w:jc w:val="both"/>
        <w:rPr>
          <w:rFonts w:ascii="Book Antiqua" w:eastAsia="Calibri" w:hAnsi="Book Antiqua" w:cs="Arial"/>
          <w:sz w:val="24"/>
          <w:szCs w:val="24"/>
        </w:rPr>
      </w:pPr>
    </w:p>
    <w:p w14:paraId="64914F40" w14:textId="66DF42BD" w:rsidR="00CA0A27" w:rsidRPr="00CA0A27" w:rsidRDefault="005476E8"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Casos de </w:t>
      </w:r>
      <w:r w:rsidR="00CA0A27" w:rsidRPr="00CA0A27">
        <w:rPr>
          <w:rFonts w:ascii="Book Antiqua" w:eastAsia="Calibri" w:hAnsi="Book Antiqua" w:cs="Arial"/>
          <w:sz w:val="24"/>
          <w:szCs w:val="24"/>
        </w:rPr>
        <w:t>Violencia Doméstica:</w:t>
      </w:r>
    </w:p>
    <w:p w14:paraId="359A3865" w14:textId="77777777" w:rsidR="00CA0A27" w:rsidRPr="00CA0A27" w:rsidRDefault="00CA0A27" w:rsidP="00CA0A27">
      <w:pPr>
        <w:spacing w:after="0" w:line="276" w:lineRule="auto"/>
        <w:jc w:val="both"/>
        <w:rPr>
          <w:rFonts w:ascii="Book Antiqua" w:eastAsia="Calibri" w:hAnsi="Book Antiqua" w:cs="Arial"/>
          <w:sz w:val="24"/>
          <w:szCs w:val="24"/>
        </w:rPr>
      </w:pPr>
    </w:p>
    <w:p w14:paraId="5532F64D" w14:textId="33352944"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Informe evaluativo</w:t>
      </w:r>
      <w:r w:rsidR="002D7B9B">
        <w:rPr>
          <w:rFonts w:ascii="Book Antiqua" w:eastAsia="Calibri" w:hAnsi="Book Antiqua" w:cs="Arial"/>
          <w:sz w:val="24"/>
          <w:szCs w:val="24"/>
        </w:rPr>
        <w:t xml:space="preserve"> </w:t>
      </w:r>
      <w:r w:rsidR="00D26A4B">
        <w:rPr>
          <w:rFonts w:ascii="Book Antiqua" w:eastAsia="Calibri" w:hAnsi="Book Antiqua" w:cs="Arial"/>
          <w:sz w:val="24"/>
          <w:szCs w:val="24"/>
        </w:rPr>
        <w:t>de levantamiento</w:t>
      </w:r>
      <w:r w:rsidRPr="00CA0A27">
        <w:rPr>
          <w:rFonts w:ascii="Book Antiqua" w:eastAsia="Calibri" w:hAnsi="Book Antiqua" w:cs="Arial"/>
          <w:sz w:val="24"/>
          <w:szCs w:val="24"/>
        </w:rPr>
        <w:t xml:space="preserve">: 2 semanas calendario. </w:t>
      </w:r>
    </w:p>
    <w:p w14:paraId="1F1FCF00" w14:textId="415D5CFA"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w:t>
      </w:r>
      <w:r w:rsidR="004C4287">
        <w:rPr>
          <w:rFonts w:ascii="Book Antiqua" w:eastAsia="Calibri" w:hAnsi="Book Antiqua" w:cs="Arial"/>
          <w:sz w:val="24"/>
          <w:szCs w:val="24"/>
        </w:rPr>
        <w:t xml:space="preserve">evaluativo de seguimiento </w:t>
      </w:r>
      <w:r w:rsidR="00215EEA">
        <w:rPr>
          <w:rFonts w:ascii="Book Antiqua" w:eastAsia="Calibri" w:hAnsi="Book Antiqua" w:cs="Arial"/>
          <w:sz w:val="24"/>
          <w:szCs w:val="24"/>
        </w:rPr>
        <w:t>de VD</w:t>
      </w:r>
      <w:r w:rsidRPr="00CA0A27">
        <w:rPr>
          <w:rFonts w:ascii="Book Antiqua" w:eastAsia="Calibri" w:hAnsi="Book Antiqua" w:cs="Arial"/>
          <w:sz w:val="24"/>
          <w:szCs w:val="24"/>
        </w:rPr>
        <w:t xml:space="preserve">: 2 </w:t>
      </w:r>
      <w:r w:rsidR="00BB1FAE">
        <w:rPr>
          <w:rFonts w:ascii="Book Antiqua" w:eastAsia="Calibri" w:hAnsi="Book Antiqua" w:cs="Arial"/>
          <w:sz w:val="24"/>
          <w:szCs w:val="24"/>
        </w:rPr>
        <w:t xml:space="preserve">semanas </w:t>
      </w:r>
      <w:r w:rsidRPr="00CA0A27">
        <w:rPr>
          <w:rFonts w:ascii="Book Antiqua" w:eastAsia="Calibri" w:hAnsi="Book Antiqua" w:cs="Arial"/>
          <w:sz w:val="24"/>
          <w:szCs w:val="24"/>
        </w:rPr>
        <w:t xml:space="preserve">calendario. </w:t>
      </w:r>
    </w:p>
    <w:p w14:paraId="2255037A" w14:textId="71DCEE29" w:rsidR="00CA0A27" w:rsidRPr="00CA0A27" w:rsidRDefault="00E02589" w:rsidP="00CA0A27">
      <w:pPr>
        <w:spacing w:after="0" w:line="276" w:lineRule="auto"/>
        <w:jc w:val="both"/>
        <w:rPr>
          <w:rFonts w:ascii="Book Antiqua" w:eastAsia="Calibri" w:hAnsi="Book Antiqua" w:cs="Arial"/>
          <w:sz w:val="24"/>
          <w:szCs w:val="24"/>
        </w:rPr>
      </w:pPr>
      <w:r w:rsidRPr="00E02589">
        <w:rPr>
          <w:rFonts w:ascii="Book Antiqua" w:eastAsia="Calibri" w:hAnsi="Book Antiqua" w:cs="Arial"/>
          <w:sz w:val="24"/>
          <w:szCs w:val="24"/>
        </w:rPr>
        <w:t xml:space="preserve">Informe evaluativo </w:t>
      </w:r>
      <w:r>
        <w:rPr>
          <w:rFonts w:ascii="Book Antiqua" w:eastAsia="Calibri" w:hAnsi="Book Antiqua" w:cs="Arial"/>
          <w:sz w:val="24"/>
          <w:szCs w:val="24"/>
        </w:rPr>
        <w:t xml:space="preserve">final </w:t>
      </w:r>
      <w:r w:rsidRPr="00E02589">
        <w:rPr>
          <w:rFonts w:ascii="Book Antiqua" w:eastAsia="Calibri" w:hAnsi="Book Antiqua" w:cs="Arial"/>
          <w:sz w:val="24"/>
          <w:szCs w:val="24"/>
        </w:rPr>
        <w:t>de seguimiento de VD</w:t>
      </w:r>
      <w:r w:rsidR="00CA0A27" w:rsidRPr="00CA0A27">
        <w:rPr>
          <w:rFonts w:ascii="Book Antiqua" w:eastAsia="Calibri" w:hAnsi="Book Antiqua" w:cs="Arial"/>
          <w:sz w:val="24"/>
          <w:szCs w:val="24"/>
        </w:rPr>
        <w:t xml:space="preserve">: </w:t>
      </w:r>
      <w:r w:rsidR="001B7614">
        <w:rPr>
          <w:rFonts w:ascii="Book Antiqua" w:eastAsia="Calibri" w:hAnsi="Book Antiqua" w:cs="Arial"/>
          <w:sz w:val="24"/>
          <w:szCs w:val="24"/>
        </w:rPr>
        <w:t xml:space="preserve">2 semanas </w:t>
      </w:r>
      <w:r w:rsidR="00CA0A27" w:rsidRPr="00CA0A27">
        <w:rPr>
          <w:rFonts w:ascii="Book Antiqua" w:eastAsia="Calibri" w:hAnsi="Book Antiqua" w:cs="Arial"/>
          <w:sz w:val="24"/>
          <w:szCs w:val="24"/>
        </w:rPr>
        <w:t xml:space="preserve">calendario. </w:t>
      </w:r>
    </w:p>
    <w:p w14:paraId="327315F2" w14:textId="77777777" w:rsidR="00CA0A27" w:rsidRPr="00CA0A27" w:rsidRDefault="00CA0A27" w:rsidP="00CA0A27">
      <w:pPr>
        <w:spacing w:after="0" w:line="276" w:lineRule="auto"/>
        <w:jc w:val="both"/>
        <w:rPr>
          <w:rFonts w:ascii="Book Antiqua" w:eastAsia="Calibri" w:hAnsi="Book Antiqua" w:cs="Arial"/>
          <w:sz w:val="24"/>
          <w:szCs w:val="24"/>
        </w:rPr>
      </w:pPr>
    </w:p>
    <w:p w14:paraId="0982D501" w14:textId="77777777" w:rsidR="0076767F" w:rsidRDefault="0076767F" w:rsidP="00CA0A27">
      <w:pPr>
        <w:spacing w:after="0" w:line="276" w:lineRule="auto"/>
        <w:jc w:val="both"/>
        <w:rPr>
          <w:rFonts w:ascii="Book Antiqua" w:eastAsia="Calibri" w:hAnsi="Book Antiqua" w:cs="Arial"/>
          <w:sz w:val="24"/>
          <w:szCs w:val="24"/>
        </w:rPr>
      </w:pPr>
    </w:p>
    <w:p w14:paraId="6FE04702" w14:textId="3B06B11C" w:rsidR="00A92178" w:rsidRDefault="00212CDC"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w:t>
      </w:r>
      <w:r w:rsidR="0076767F">
        <w:rPr>
          <w:rFonts w:ascii="Book Antiqua" w:eastAsia="Calibri" w:hAnsi="Book Antiqua" w:cs="Arial"/>
          <w:sz w:val="24"/>
          <w:szCs w:val="24"/>
        </w:rPr>
        <w:t>ara tener un dato de cuál es la duración real</w:t>
      </w:r>
      <w:r w:rsidR="00C942F4">
        <w:rPr>
          <w:rFonts w:ascii="Book Antiqua" w:eastAsia="Calibri" w:hAnsi="Book Antiqua" w:cs="Arial"/>
          <w:sz w:val="24"/>
          <w:szCs w:val="24"/>
        </w:rPr>
        <w:t xml:space="preserve"> de los plazos citados en la circular</w:t>
      </w:r>
      <w:r w:rsidR="00C70E2C">
        <w:rPr>
          <w:rFonts w:ascii="Book Antiqua" w:eastAsia="Calibri" w:hAnsi="Book Antiqua" w:cs="Arial"/>
          <w:sz w:val="24"/>
          <w:szCs w:val="24"/>
        </w:rPr>
        <w:t xml:space="preserve"> 02-2’23-DTSP</w:t>
      </w:r>
      <w:r w:rsidR="0076767F">
        <w:rPr>
          <w:rFonts w:ascii="Book Antiqua" w:eastAsia="Calibri" w:hAnsi="Book Antiqua" w:cs="Arial"/>
          <w:sz w:val="24"/>
          <w:szCs w:val="24"/>
        </w:rPr>
        <w:t xml:space="preserve">, se consultó al Departamento de Trabajo Social y </w:t>
      </w:r>
      <w:r w:rsidR="0076767F" w:rsidRPr="00612E7C">
        <w:rPr>
          <w:rFonts w:ascii="Book Antiqua" w:eastAsia="Calibri" w:hAnsi="Book Antiqua" w:cs="Arial"/>
          <w:sz w:val="24"/>
          <w:szCs w:val="24"/>
        </w:rPr>
        <w:t xml:space="preserve">Psicología </w:t>
      </w:r>
      <w:r w:rsidR="0076767F" w:rsidRPr="003B7281">
        <w:rPr>
          <w:rFonts w:ascii="Book Antiqua" w:eastAsia="Calibri" w:hAnsi="Book Antiqua" w:cs="Arial"/>
          <w:sz w:val="24"/>
          <w:szCs w:val="24"/>
        </w:rPr>
        <w:t xml:space="preserve">quienes el </w:t>
      </w:r>
      <w:r w:rsidR="00C70E2C">
        <w:rPr>
          <w:rFonts w:ascii="Book Antiqua" w:eastAsia="Calibri" w:hAnsi="Book Antiqua" w:cs="Arial"/>
          <w:sz w:val="24"/>
          <w:szCs w:val="24"/>
        </w:rPr>
        <w:t>11</w:t>
      </w:r>
      <w:r w:rsidR="00C70E2C" w:rsidRPr="003B7281">
        <w:rPr>
          <w:rFonts w:ascii="Book Antiqua" w:eastAsia="Calibri" w:hAnsi="Book Antiqua" w:cs="Arial"/>
          <w:sz w:val="24"/>
          <w:szCs w:val="24"/>
        </w:rPr>
        <w:t xml:space="preserve"> </w:t>
      </w:r>
      <w:r w:rsidR="0076767F" w:rsidRPr="003B7281">
        <w:rPr>
          <w:rFonts w:ascii="Book Antiqua" w:eastAsia="Calibri" w:hAnsi="Book Antiqua" w:cs="Arial"/>
          <w:sz w:val="24"/>
          <w:szCs w:val="24"/>
        </w:rPr>
        <w:t xml:space="preserve">de </w:t>
      </w:r>
      <w:r w:rsidR="00C70E2C">
        <w:rPr>
          <w:rFonts w:ascii="Book Antiqua" w:eastAsia="Calibri" w:hAnsi="Book Antiqua" w:cs="Arial"/>
          <w:sz w:val="24"/>
          <w:szCs w:val="24"/>
        </w:rPr>
        <w:t>abril</w:t>
      </w:r>
      <w:r w:rsidR="007A77CA">
        <w:rPr>
          <w:rFonts w:ascii="Book Antiqua" w:eastAsia="Calibri" w:hAnsi="Book Antiqua" w:cs="Arial"/>
          <w:sz w:val="24"/>
          <w:szCs w:val="24"/>
        </w:rPr>
        <w:t xml:space="preserve"> de 2023</w:t>
      </w:r>
      <w:r w:rsidR="0076767F" w:rsidRPr="00612E7C">
        <w:rPr>
          <w:rFonts w:ascii="Book Antiqua" w:eastAsia="Calibri" w:hAnsi="Book Antiqua" w:cs="Arial"/>
          <w:sz w:val="24"/>
          <w:szCs w:val="24"/>
        </w:rPr>
        <w:t xml:space="preserve"> informan</w:t>
      </w:r>
      <w:r w:rsidR="00DC2A6A">
        <w:rPr>
          <w:rFonts w:ascii="Book Antiqua" w:eastAsia="Calibri" w:hAnsi="Book Antiqua" w:cs="Arial"/>
          <w:sz w:val="24"/>
          <w:szCs w:val="24"/>
        </w:rPr>
        <w:t xml:space="preserve"> que una vez consultadas las distintas oficinas, se tien</w:t>
      </w:r>
      <w:r w:rsidR="007858F3">
        <w:rPr>
          <w:rFonts w:ascii="Book Antiqua" w:eastAsia="Calibri" w:hAnsi="Book Antiqua" w:cs="Arial"/>
          <w:sz w:val="24"/>
          <w:szCs w:val="24"/>
        </w:rPr>
        <w:t>e</w:t>
      </w:r>
      <w:r w:rsidR="00DC2A6A">
        <w:rPr>
          <w:rFonts w:ascii="Book Antiqua" w:eastAsia="Calibri" w:hAnsi="Book Antiqua" w:cs="Arial"/>
          <w:sz w:val="24"/>
          <w:szCs w:val="24"/>
        </w:rPr>
        <w:t xml:space="preserve">n los siguientes datos, de </w:t>
      </w:r>
      <w:r w:rsidR="00F93B09">
        <w:rPr>
          <w:rFonts w:ascii="Book Antiqua" w:eastAsia="Calibri" w:hAnsi="Book Antiqua" w:cs="Arial"/>
          <w:sz w:val="24"/>
          <w:szCs w:val="24"/>
        </w:rPr>
        <w:t xml:space="preserve">aquellas oficinas </w:t>
      </w:r>
      <w:r w:rsidR="00DC2A6A">
        <w:rPr>
          <w:rFonts w:ascii="Book Antiqua" w:eastAsia="Calibri" w:hAnsi="Book Antiqua" w:cs="Arial"/>
          <w:sz w:val="24"/>
          <w:szCs w:val="24"/>
        </w:rPr>
        <w:t>que contestaron la consul</w:t>
      </w:r>
      <w:r w:rsidR="00F93B09">
        <w:rPr>
          <w:rFonts w:ascii="Book Antiqua" w:eastAsia="Calibri" w:hAnsi="Book Antiqua" w:cs="Arial"/>
          <w:sz w:val="24"/>
          <w:szCs w:val="24"/>
        </w:rPr>
        <w:t>t</w:t>
      </w:r>
      <w:r w:rsidR="00DC2A6A">
        <w:rPr>
          <w:rFonts w:ascii="Book Antiqua" w:eastAsia="Calibri" w:hAnsi="Book Antiqua" w:cs="Arial"/>
          <w:sz w:val="24"/>
          <w:szCs w:val="24"/>
        </w:rPr>
        <w:t>a realizada</w:t>
      </w:r>
      <w:r w:rsidR="007858F3">
        <w:rPr>
          <w:rFonts w:ascii="Book Antiqua" w:eastAsia="Calibri" w:hAnsi="Book Antiqua" w:cs="Arial"/>
          <w:sz w:val="24"/>
          <w:szCs w:val="24"/>
        </w:rPr>
        <w:t xml:space="preserve"> (</w:t>
      </w:r>
      <w:r w:rsidR="00BF3ED6">
        <w:rPr>
          <w:rFonts w:ascii="Book Antiqua" w:eastAsia="Calibri" w:hAnsi="Book Antiqua" w:cs="Arial"/>
          <w:sz w:val="24"/>
          <w:szCs w:val="24"/>
        </w:rPr>
        <w:t xml:space="preserve">ver </w:t>
      </w:r>
      <w:r w:rsidR="007858F3" w:rsidRPr="00BF3ED6">
        <w:rPr>
          <w:rFonts w:ascii="Book Antiqua" w:eastAsia="Calibri" w:hAnsi="Book Antiqua" w:cs="Arial"/>
          <w:b/>
          <w:bCs/>
          <w:sz w:val="24"/>
          <w:szCs w:val="24"/>
        </w:rPr>
        <w:t>anexo 7</w:t>
      </w:r>
      <w:r w:rsidR="007858F3">
        <w:rPr>
          <w:rFonts w:ascii="Book Antiqua" w:eastAsia="Calibri" w:hAnsi="Book Antiqua" w:cs="Arial"/>
          <w:sz w:val="24"/>
          <w:szCs w:val="24"/>
        </w:rPr>
        <w:t>)</w:t>
      </w:r>
      <w:r w:rsidR="0076767F">
        <w:rPr>
          <w:rFonts w:ascii="Book Antiqua" w:eastAsia="Calibri" w:hAnsi="Book Antiqua" w:cs="Arial"/>
          <w:sz w:val="24"/>
          <w:szCs w:val="24"/>
        </w:rPr>
        <w:t xml:space="preserve">: </w:t>
      </w:r>
    </w:p>
    <w:p w14:paraId="4F2F3D6F" w14:textId="55F18A05" w:rsidR="00DC2A6A" w:rsidRPr="001D0C10" w:rsidRDefault="00DC2A6A" w:rsidP="004407B8">
      <w:pPr>
        <w:spacing w:after="0" w:line="276" w:lineRule="auto"/>
        <w:jc w:val="both"/>
        <w:rPr>
          <w:rFonts w:ascii="Book Antiqua" w:eastAsia="Calibri" w:hAnsi="Book Antiqua" w:cs="Arial"/>
          <w:i/>
          <w:iCs/>
        </w:rPr>
      </w:pPr>
    </w:p>
    <w:p w14:paraId="1522E978" w14:textId="341BA95F" w:rsidR="004407B8" w:rsidRDefault="005227A7">
      <w:pPr>
        <w:jc w:val="both"/>
        <w:rPr>
          <w:rFonts w:ascii="Book Antiqua" w:hAnsi="Book Antiqua"/>
          <w:i/>
          <w:iCs/>
          <w:lang w:val="es-ES"/>
        </w:rPr>
      </w:pPr>
      <w:r w:rsidRPr="005227A7">
        <w:rPr>
          <w:rFonts w:ascii="Book Antiqua" w:hAnsi="Book Antiqua"/>
          <w:i/>
          <w:iCs/>
          <w:lang w:val="es-ES"/>
        </w:rPr>
        <w:t>De conformidad con la información recibida por las oficinas de Trabajo Social y Psicología a nivel nacional con relación a la duración en la atención de las solicitudes realizadas por los Juzgado de Familia, Pensiones Alimentarias y Violencia Doméstica durante el 2022, se indica lo siguiente</w:t>
      </w:r>
      <w:r w:rsidR="004407B8" w:rsidRPr="001D0C10">
        <w:rPr>
          <w:rFonts w:ascii="Book Antiqua" w:hAnsi="Book Antiqua"/>
          <w:i/>
          <w:iCs/>
          <w:lang w:val="es-ES"/>
        </w:rPr>
        <w:t>:</w:t>
      </w:r>
    </w:p>
    <w:p w14:paraId="4DFE03D7" w14:textId="6EC4B83E" w:rsidR="00F93B09" w:rsidRPr="00F93B09" w:rsidRDefault="00F93B09"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93B09">
        <w:rPr>
          <w:rFonts w:ascii="Book Antiqua" w:eastAsia="Calibri" w:hAnsi="Book Antiqua" w:cs="Arial"/>
          <w:b/>
          <w:bCs/>
          <w:color w:val="1F497D"/>
          <w:szCs w:val="24"/>
          <w:lang w:val="es-ES" w:eastAsia="es-ES"/>
        </w:rPr>
        <w:t xml:space="preserve">Cuadro </w:t>
      </w:r>
      <w:r w:rsidRPr="00F93B09">
        <w:rPr>
          <w:rFonts w:ascii="Book Antiqua" w:eastAsia="Calibri" w:hAnsi="Book Antiqua" w:cs="Arial"/>
          <w:b/>
          <w:bCs/>
          <w:color w:val="1F497D"/>
          <w:szCs w:val="24"/>
          <w:lang w:val="es-ES" w:eastAsia="es-ES"/>
        </w:rPr>
        <w:fldChar w:fldCharType="begin"/>
      </w:r>
      <w:r w:rsidRPr="00F93B09">
        <w:rPr>
          <w:rFonts w:ascii="Book Antiqua" w:eastAsia="Calibri" w:hAnsi="Book Antiqua" w:cs="Arial"/>
          <w:b/>
          <w:bCs/>
          <w:color w:val="1F497D"/>
          <w:szCs w:val="24"/>
          <w:lang w:val="es-ES" w:eastAsia="es-ES"/>
        </w:rPr>
        <w:instrText xml:space="preserve"> SEQ Cuadro \* ARABIC </w:instrText>
      </w:r>
      <w:r w:rsidRPr="00F93B0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17</w:t>
      </w:r>
      <w:r w:rsidRPr="00F93B09">
        <w:rPr>
          <w:rFonts w:ascii="Book Antiqua" w:eastAsia="Calibri" w:hAnsi="Book Antiqua" w:cs="Arial"/>
          <w:b/>
          <w:bCs/>
          <w:color w:val="1F497D"/>
          <w:szCs w:val="24"/>
          <w:lang w:val="es-ES" w:eastAsia="es-ES"/>
        </w:rPr>
        <w:fldChar w:fldCharType="end"/>
      </w:r>
      <w:r w:rsidRPr="00F93B09">
        <w:rPr>
          <w:rFonts w:ascii="Book Antiqua" w:eastAsia="Calibri" w:hAnsi="Book Antiqua" w:cs="Arial"/>
          <w:b/>
          <w:bCs/>
          <w:color w:val="1F497D"/>
          <w:szCs w:val="24"/>
          <w:lang w:val="es-ES" w:eastAsia="es-ES"/>
        </w:rPr>
        <w:t xml:space="preserve"> </w:t>
      </w:r>
    </w:p>
    <w:p w14:paraId="008D7340" w14:textId="4C60B86D" w:rsidR="000B7781" w:rsidRDefault="000B7781"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Duración en la atención de las solicitudes por el Departamento </w:t>
      </w:r>
    </w:p>
    <w:p w14:paraId="24E63935" w14:textId="22786A29" w:rsidR="00F93B09" w:rsidRDefault="000B7781" w:rsidP="00F93B09">
      <w:pPr>
        <w:keepNext/>
        <w:numPr>
          <w:ilvl w:val="12"/>
          <w:numId w:val="0"/>
        </w:numPr>
        <w:spacing w:after="0" w:line="276" w:lineRule="auto"/>
        <w:jc w:val="center"/>
        <w:rPr>
          <w:rFonts w:ascii="Book Antiqua" w:hAnsi="Book Antiqua"/>
          <w:b/>
          <w:bCs/>
          <w:i/>
          <w:iCs/>
          <w:color w:val="FFFFFF" w:themeColor="background1"/>
          <w:sz w:val="20"/>
          <w:szCs w:val="20"/>
          <w:lang w:val="es-ES"/>
        </w:rPr>
      </w:pPr>
      <w:r>
        <w:rPr>
          <w:rFonts w:ascii="Book Antiqua" w:eastAsia="Calibri" w:hAnsi="Book Antiqua" w:cs="Arial"/>
          <w:b/>
          <w:bCs/>
          <w:color w:val="1F497D"/>
          <w:szCs w:val="24"/>
          <w:lang w:val="es-ES" w:eastAsia="es-ES"/>
        </w:rPr>
        <w:t>de Trabajo Social y Psicología</w:t>
      </w:r>
    </w:p>
    <w:tbl>
      <w:tblPr>
        <w:tblStyle w:val="Tablaconcuadrcula"/>
        <w:tblW w:w="0" w:type="auto"/>
        <w:jc w:val="center"/>
        <w:tblLook w:val="04A0" w:firstRow="1" w:lastRow="0" w:firstColumn="1" w:lastColumn="0" w:noHBand="0" w:noVBand="1"/>
      </w:tblPr>
      <w:tblGrid>
        <w:gridCol w:w="2547"/>
        <w:gridCol w:w="6281"/>
      </w:tblGrid>
      <w:tr w:rsidR="00B2027A" w14:paraId="1588DA68" w14:textId="77777777" w:rsidTr="00F525FB">
        <w:trPr>
          <w:tblHeader/>
          <w:jc w:val="center"/>
        </w:trPr>
        <w:tc>
          <w:tcPr>
            <w:tcW w:w="2547" w:type="dxa"/>
            <w:shd w:val="clear" w:color="auto" w:fill="002060"/>
          </w:tcPr>
          <w:p w14:paraId="5C1175EB" w14:textId="77777777" w:rsidR="00B2027A" w:rsidRPr="00F90BAD" w:rsidRDefault="00B2027A" w:rsidP="00591A4C">
            <w:pPr>
              <w:jc w:val="center"/>
              <w:rPr>
                <w:rFonts w:ascii="Book Antiqua" w:hAnsi="Book Antiqua"/>
                <w:b/>
                <w:bCs/>
                <w:sz w:val="20"/>
                <w:szCs w:val="20"/>
                <w:lang w:val="es-ES"/>
              </w:rPr>
            </w:pPr>
            <w:r w:rsidRPr="00F90BAD">
              <w:rPr>
                <w:rFonts w:ascii="Book Antiqua" w:hAnsi="Book Antiqua"/>
                <w:b/>
                <w:bCs/>
                <w:sz w:val="20"/>
                <w:szCs w:val="20"/>
                <w:lang w:val="es-ES"/>
              </w:rPr>
              <w:t>OFICINA</w:t>
            </w:r>
          </w:p>
        </w:tc>
        <w:tc>
          <w:tcPr>
            <w:tcW w:w="6281" w:type="dxa"/>
            <w:shd w:val="clear" w:color="auto" w:fill="002060"/>
          </w:tcPr>
          <w:p w14:paraId="24E58E17" w14:textId="77777777" w:rsidR="00B2027A" w:rsidRPr="00F90BAD" w:rsidRDefault="00B2027A" w:rsidP="00591A4C">
            <w:pPr>
              <w:jc w:val="center"/>
              <w:rPr>
                <w:rFonts w:ascii="Book Antiqua" w:hAnsi="Book Antiqua"/>
                <w:b/>
                <w:bCs/>
                <w:sz w:val="20"/>
                <w:szCs w:val="20"/>
                <w:lang w:val="es-ES"/>
              </w:rPr>
            </w:pPr>
            <w:r w:rsidRPr="00F90BAD">
              <w:rPr>
                <w:rFonts w:ascii="Book Antiqua" w:hAnsi="Book Antiqua"/>
                <w:b/>
                <w:bCs/>
                <w:sz w:val="20"/>
                <w:szCs w:val="20"/>
                <w:lang w:val="es-ES"/>
              </w:rPr>
              <w:t>RESPUESTAS DE LAS OFICINAS</w:t>
            </w:r>
          </w:p>
        </w:tc>
      </w:tr>
      <w:tr w:rsidR="00B2027A" w14:paraId="59A2E706" w14:textId="77777777" w:rsidTr="00F525FB">
        <w:trPr>
          <w:jc w:val="center"/>
        </w:trPr>
        <w:tc>
          <w:tcPr>
            <w:tcW w:w="2547" w:type="dxa"/>
            <w:vAlign w:val="center"/>
          </w:tcPr>
          <w:p w14:paraId="3E2F7749"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San Ramón</w:t>
            </w:r>
          </w:p>
        </w:tc>
        <w:tc>
          <w:tcPr>
            <w:tcW w:w="6281" w:type="dxa"/>
            <w:vAlign w:val="center"/>
          </w:tcPr>
          <w:p w14:paraId="3E000B81"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10 meses</w:t>
            </w:r>
          </w:p>
          <w:p w14:paraId="22C6217E"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2 meses</w:t>
            </w:r>
          </w:p>
          <w:p w14:paraId="25FF9925"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4 meses</w:t>
            </w:r>
          </w:p>
        </w:tc>
      </w:tr>
      <w:tr w:rsidR="00B2027A" w14:paraId="3F543E94" w14:textId="77777777" w:rsidTr="00F525FB">
        <w:trPr>
          <w:jc w:val="center"/>
        </w:trPr>
        <w:tc>
          <w:tcPr>
            <w:tcW w:w="2547" w:type="dxa"/>
            <w:vAlign w:val="center"/>
          </w:tcPr>
          <w:p w14:paraId="5985AF10"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Corredores</w:t>
            </w:r>
          </w:p>
        </w:tc>
        <w:tc>
          <w:tcPr>
            <w:tcW w:w="6281" w:type="dxa"/>
            <w:vAlign w:val="center"/>
          </w:tcPr>
          <w:p w14:paraId="7899E980"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20 meses</w:t>
            </w:r>
          </w:p>
          <w:p w14:paraId="439FDAE5"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2 meses</w:t>
            </w:r>
          </w:p>
          <w:p w14:paraId="669D65B8"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4 meses</w:t>
            </w:r>
          </w:p>
        </w:tc>
      </w:tr>
      <w:tr w:rsidR="00B2027A" w14:paraId="0756AFF3" w14:textId="77777777" w:rsidTr="00F525FB">
        <w:trPr>
          <w:jc w:val="center"/>
        </w:trPr>
        <w:tc>
          <w:tcPr>
            <w:tcW w:w="2547" w:type="dxa"/>
            <w:vAlign w:val="center"/>
          </w:tcPr>
          <w:p w14:paraId="1DF17B79"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Golfito</w:t>
            </w:r>
          </w:p>
        </w:tc>
        <w:tc>
          <w:tcPr>
            <w:tcW w:w="6281" w:type="dxa"/>
            <w:vAlign w:val="center"/>
          </w:tcPr>
          <w:p w14:paraId="541AA447"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12 meses</w:t>
            </w:r>
          </w:p>
          <w:p w14:paraId="1D1D1109"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1 mes y medio</w:t>
            </w:r>
          </w:p>
          <w:p w14:paraId="7F23468E"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7 meses</w:t>
            </w:r>
          </w:p>
        </w:tc>
      </w:tr>
      <w:tr w:rsidR="00B2027A" w14:paraId="26E70DD5" w14:textId="77777777" w:rsidTr="00F525FB">
        <w:trPr>
          <w:jc w:val="center"/>
        </w:trPr>
        <w:tc>
          <w:tcPr>
            <w:tcW w:w="2547" w:type="dxa"/>
            <w:vAlign w:val="center"/>
          </w:tcPr>
          <w:p w14:paraId="23A8A238"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Piscología de Puntarenas</w:t>
            </w:r>
          </w:p>
        </w:tc>
        <w:tc>
          <w:tcPr>
            <w:tcW w:w="6281" w:type="dxa"/>
            <w:vAlign w:val="center"/>
          </w:tcPr>
          <w:p w14:paraId="176406E1"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8 meses en promedio</w:t>
            </w:r>
          </w:p>
          <w:p w14:paraId="7368929E"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2,5 meses en promedio</w:t>
            </w:r>
          </w:p>
          <w:p w14:paraId="0DCDB009"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5 meses en promedio</w:t>
            </w:r>
          </w:p>
        </w:tc>
      </w:tr>
      <w:tr w:rsidR="00B2027A" w14:paraId="46B5CC7F" w14:textId="77777777" w:rsidTr="00F525FB">
        <w:trPr>
          <w:jc w:val="center"/>
        </w:trPr>
        <w:tc>
          <w:tcPr>
            <w:tcW w:w="2547" w:type="dxa"/>
            <w:vAlign w:val="center"/>
          </w:tcPr>
          <w:p w14:paraId="090A5F93"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Upala</w:t>
            </w:r>
          </w:p>
        </w:tc>
        <w:tc>
          <w:tcPr>
            <w:tcW w:w="6281" w:type="dxa"/>
            <w:vAlign w:val="center"/>
          </w:tcPr>
          <w:p w14:paraId="6E0150E8"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8 meses Social y 5 meses Psicología</w:t>
            </w:r>
          </w:p>
          <w:p w14:paraId="4389D190"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1 mes Psicología</w:t>
            </w:r>
          </w:p>
          <w:p w14:paraId="19394FC4"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6 meses</w:t>
            </w:r>
          </w:p>
        </w:tc>
      </w:tr>
      <w:tr w:rsidR="00B2027A" w14:paraId="176D87BB" w14:textId="77777777" w:rsidTr="00F525FB">
        <w:trPr>
          <w:jc w:val="center"/>
        </w:trPr>
        <w:tc>
          <w:tcPr>
            <w:tcW w:w="2547" w:type="dxa"/>
            <w:vAlign w:val="center"/>
          </w:tcPr>
          <w:p w14:paraId="47730A1D"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Sarapiquí</w:t>
            </w:r>
          </w:p>
        </w:tc>
        <w:tc>
          <w:tcPr>
            <w:tcW w:w="6281" w:type="dxa"/>
            <w:vAlign w:val="center"/>
          </w:tcPr>
          <w:p w14:paraId="2357DC8B"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9 meses</w:t>
            </w:r>
          </w:p>
          <w:p w14:paraId="7CB48A72"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4 meses</w:t>
            </w:r>
          </w:p>
          <w:p w14:paraId="35304255"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No hay datos que aportar</w:t>
            </w:r>
          </w:p>
        </w:tc>
      </w:tr>
      <w:tr w:rsidR="00B2027A" w14:paraId="2932B294" w14:textId="77777777" w:rsidTr="00F525FB">
        <w:trPr>
          <w:jc w:val="center"/>
        </w:trPr>
        <w:tc>
          <w:tcPr>
            <w:tcW w:w="2547" w:type="dxa"/>
            <w:vAlign w:val="center"/>
          </w:tcPr>
          <w:p w14:paraId="5FFCC408"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Quepos</w:t>
            </w:r>
          </w:p>
        </w:tc>
        <w:tc>
          <w:tcPr>
            <w:tcW w:w="6281" w:type="dxa"/>
            <w:vAlign w:val="center"/>
          </w:tcPr>
          <w:p w14:paraId="7EF96276"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10 meses</w:t>
            </w:r>
          </w:p>
          <w:p w14:paraId="404336DD"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4 meses</w:t>
            </w:r>
          </w:p>
          <w:p w14:paraId="6D9C88A2"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9 meses</w:t>
            </w:r>
          </w:p>
        </w:tc>
      </w:tr>
      <w:tr w:rsidR="00B2027A" w14:paraId="1B62444F" w14:textId="77777777" w:rsidTr="00F525FB">
        <w:trPr>
          <w:jc w:val="center"/>
        </w:trPr>
        <w:tc>
          <w:tcPr>
            <w:tcW w:w="2547" w:type="dxa"/>
            <w:vAlign w:val="center"/>
          </w:tcPr>
          <w:p w14:paraId="18F997D5"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Grecia</w:t>
            </w:r>
          </w:p>
        </w:tc>
        <w:tc>
          <w:tcPr>
            <w:tcW w:w="6281" w:type="dxa"/>
            <w:vAlign w:val="center"/>
          </w:tcPr>
          <w:p w14:paraId="3A428578"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10 meses</w:t>
            </w:r>
          </w:p>
          <w:p w14:paraId="25072430"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5 meses</w:t>
            </w:r>
          </w:p>
          <w:p w14:paraId="1E0405E1"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7 meses</w:t>
            </w:r>
          </w:p>
        </w:tc>
      </w:tr>
      <w:tr w:rsidR="00B2027A" w14:paraId="4B0C51D1" w14:textId="77777777" w:rsidTr="00F525FB">
        <w:trPr>
          <w:jc w:val="center"/>
        </w:trPr>
        <w:tc>
          <w:tcPr>
            <w:tcW w:w="2547" w:type="dxa"/>
            <w:vAlign w:val="center"/>
          </w:tcPr>
          <w:p w14:paraId="23E34DB0"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Goicoechea</w:t>
            </w:r>
          </w:p>
        </w:tc>
        <w:tc>
          <w:tcPr>
            <w:tcW w:w="6281" w:type="dxa"/>
            <w:vAlign w:val="center"/>
          </w:tcPr>
          <w:p w14:paraId="62281B3F"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5 a 8 meses dependiendo del tipo de proceso en familia</w:t>
            </w:r>
          </w:p>
          <w:p w14:paraId="37AA3693"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7 meses</w:t>
            </w:r>
            <w:r w:rsidRPr="00F90BAD">
              <w:rPr>
                <w:rFonts w:ascii="Book Antiqua" w:hAnsi="Book Antiqua"/>
                <w:b/>
                <w:bCs/>
                <w:sz w:val="20"/>
                <w:szCs w:val="20"/>
                <w:lang w:val="es-ES"/>
              </w:rPr>
              <w:t xml:space="preserve"> </w:t>
            </w:r>
          </w:p>
          <w:p w14:paraId="17FC7474"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6 meses</w:t>
            </w:r>
          </w:p>
        </w:tc>
      </w:tr>
      <w:tr w:rsidR="00B2027A" w14:paraId="726A9EED" w14:textId="77777777" w:rsidTr="00F525FB">
        <w:trPr>
          <w:jc w:val="center"/>
        </w:trPr>
        <w:tc>
          <w:tcPr>
            <w:tcW w:w="2547" w:type="dxa"/>
            <w:vAlign w:val="center"/>
          </w:tcPr>
          <w:p w14:paraId="32ABAA4D"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Cartago</w:t>
            </w:r>
          </w:p>
        </w:tc>
        <w:tc>
          <w:tcPr>
            <w:tcW w:w="6281" w:type="dxa"/>
            <w:vAlign w:val="center"/>
          </w:tcPr>
          <w:p w14:paraId="7EB10A9C"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4.7 meses</w:t>
            </w:r>
          </w:p>
          <w:p w14:paraId="68F0FD2D"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2.2 meses</w:t>
            </w:r>
          </w:p>
          <w:p w14:paraId="002DA6F4"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5 meses</w:t>
            </w:r>
          </w:p>
        </w:tc>
      </w:tr>
      <w:tr w:rsidR="00B2027A" w14:paraId="42D4D4CE" w14:textId="77777777" w:rsidTr="00F525FB">
        <w:trPr>
          <w:jc w:val="center"/>
        </w:trPr>
        <w:tc>
          <w:tcPr>
            <w:tcW w:w="2547" w:type="dxa"/>
            <w:vAlign w:val="center"/>
          </w:tcPr>
          <w:p w14:paraId="7F5FE474"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Liberia</w:t>
            </w:r>
          </w:p>
        </w:tc>
        <w:tc>
          <w:tcPr>
            <w:tcW w:w="6281" w:type="dxa"/>
            <w:vAlign w:val="center"/>
          </w:tcPr>
          <w:p w14:paraId="1CCC3632"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8 meses</w:t>
            </w:r>
          </w:p>
          <w:p w14:paraId="6147DFF9"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6 meses (no se toma en cuenta para el promedio los asuntos de seguimiento en Violencia Doméstica de estas, el cual podría ser casi un año)</w:t>
            </w:r>
          </w:p>
          <w:p w14:paraId="1D683C0F"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12 meses</w:t>
            </w:r>
          </w:p>
        </w:tc>
      </w:tr>
      <w:tr w:rsidR="00B2027A" w14:paraId="6D877CFC" w14:textId="77777777" w:rsidTr="00F525FB">
        <w:trPr>
          <w:jc w:val="center"/>
        </w:trPr>
        <w:tc>
          <w:tcPr>
            <w:tcW w:w="2547" w:type="dxa"/>
            <w:vAlign w:val="center"/>
          </w:tcPr>
          <w:p w14:paraId="79F4B601"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Desamparados</w:t>
            </w:r>
          </w:p>
        </w:tc>
        <w:tc>
          <w:tcPr>
            <w:tcW w:w="6281" w:type="dxa"/>
            <w:vAlign w:val="center"/>
          </w:tcPr>
          <w:p w14:paraId="3BF73608"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4 meses</w:t>
            </w:r>
          </w:p>
          <w:p w14:paraId="15E09984"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2 meses</w:t>
            </w:r>
          </w:p>
          <w:p w14:paraId="646E10CD"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3 meses</w:t>
            </w:r>
          </w:p>
        </w:tc>
      </w:tr>
      <w:tr w:rsidR="00B2027A" w14:paraId="0A84807E" w14:textId="77777777" w:rsidTr="00F525FB">
        <w:trPr>
          <w:jc w:val="center"/>
        </w:trPr>
        <w:tc>
          <w:tcPr>
            <w:tcW w:w="2547" w:type="dxa"/>
            <w:vAlign w:val="center"/>
          </w:tcPr>
          <w:p w14:paraId="01D2BAB3"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San Carlos</w:t>
            </w:r>
          </w:p>
        </w:tc>
        <w:tc>
          <w:tcPr>
            <w:tcW w:w="6281" w:type="dxa"/>
            <w:vAlign w:val="center"/>
          </w:tcPr>
          <w:p w14:paraId="0C510EEA"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7 meses</w:t>
            </w:r>
          </w:p>
          <w:p w14:paraId="1CB5EF18"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6 meses</w:t>
            </w:r>
          </w:p>
          <w:p w14:paraId="0AA22C27"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8 meses</w:t>
            </w:r>
          </w:p>
        </w:tc>
      </w:tr>
      <w:tr w:rsidR="00B2027A" w14:paraId="02AC2F22" w14:textId="77777777" w:rsidTr="00F525FB">
        <w:trPr>
          <w:jc w:val="center"/>
        </w:trPr>
        <w:tc>
          <w:tcPr>
            <w:tcW w:w="2547" w:type="dxa"/>
            <w:vAlign w:val="center"/>
          </w:tcPr>
          <w:p w14:paraId="184212F7"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Hatillo</w:t>
            </w:r>
          </w:p>
        </w:tc>
        <w:tc>
          <w:tcPr>
            <w:tcW w:w="6281" w:type="dxa"/>
            <w:vAlign w:val="center"/>
          </w:tcPr>
          <w:p w14:paraId="39DE5DDE"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9 meses</w:t>
            </w:r>
          </w:p>
          <w:p w14:paraId="22C3DE76"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Casos de Violencia Doméstica:</w:t>
            </w:r>
            <w:r w:rsidRPr="00F90BAD">
              <w:rPr>
                <w:rFonts w:ascii="Book Antiqua" w:hAnsi="Book Antiqua"/>
                <w:sz w:val="20"/>
                <w:szCs w:val="20"/>
                <w:lang w:val="es-ES"/>
              </w:rPr>
              <w:t xml:space="preserve"> 2 meses</w:t>
            </w:r>
          </w:p>
          <w:p w14:paraId="4F3A17B4"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No se recibieron solicitudes de esta materia en el 2022</w:t>
            </w:r>
          </w:p>
        </w:tc>
      </w:tr>
      <w:tr w:rsidR="00B2027A" w14:paraId="530C3516" w14:textId="77777777" w:rsidTr="00F525FB">
        <w:trPr>
          <w:jc w:val="center"/>
        </w:trPr>
        <w:tc>
          <w:tcPr>
            <w:tcW w:w="2547" w:type="dxa"/>
            <w:vAlign w:val="center"/>
          </w:tcPr>
          <w:p w14:paraId="2298DD8E"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Santa Cruz</w:t>
            </w:r>
          </w:p>
        </w:tc>
        <w:tc>
          <w:tcPr>
            <w:tcW w:w="6281" w:type="dxa"/>
            <w:vAlign w:val="center"/>
          </w:tcPr>
          <w:p w14:paraId="5D785EE3"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7.5 meses</w:t>
            </w:r>
          </w:p>
          <w:p w14:paraId="6DDD1430"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3 meses</w:t>
            </w:r>
          </w:p>
          <w:p w14:paraId="555C5A97"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7 meses</w:t>
            </w:r>
          </w:p>
        </w:tc>
      </w:tr>
      <w:tr w:rsidR="00B2027A" w14:paraId="702D5350" w14:textId="77777777" w:rsidTr="00F525FB">
        <w:trPr>
          <w:jc w:val="center"/>
        </w:trPr>
        <w:tc>
          <w:tcPr>
            <w:tcW w:w="2547" w:type="dxa"/>
            <w:vAlign w:val="center"/>
          </w:tcPr>
          <w:p w14:paraId="165D6BDB"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Buenos Aires</w:t>
            </w:r>
          </w:p>
        </w:tc>
        <w:tc>
          <w:tcPr>
            <w:tcW w:w="6281" w:type="dxa"/>
            <w:vAlign w:val="center"/>
          </w:tcPr>
          <w:p w14:paraId="18FF6263"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4 a 8 meses</w:t>
            </w:r>
          </w:p>
          <w:p w14:paraId="186E41CA"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3 meses</w:t>
            </w:r>
          </w:p>
          <w:p w14:paraId="58DEA358"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No se registran valoraciones sociales realizadas en esta materia</w:t>
            </w:r>
          </w:p>
        </w:tc>
      </w:tr>
      <w:tr w:rsidR="00B2027A" w14:paraId="6C81D6BC" w14:textId="77777777" w:rsidTr="00F525FB">
        <w:trPr>
          <w:jc w:val="center"/>
        </w:trPr>
        <w:tc>
          <w:tcPr>
            <w:tcW w:w="2547" w:type="dxa"/>
            <w:vAlign w:val="center"/>
          </w:tcPr>
          <w:p w14:paraId="15E216EE"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Pérez Zeledón</w:t>
            </w:r>
          </w:p>
        </w:tc>
        <w:tc>
          <w:tcPr>
            <w:tcW w:w="6281" w:type="dxa"/>
            <w:vAlign w:val="center"/>
          </w:tcPr>
          <w:p w14:paraId="1D966D79"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5 meses</w:t>
            </w:r>
          </w:p>
          <w:p w14:paraId="2EF27999"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2 a 3 meses</w:t>
            </w:r>
          </w:p>
          <w:p w14:paraId="272FB6BA"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2 a 3 meses</w:t>
            </w:r>
          </w:p>
        </w:tc>
      </w:tr>
      <w:tr w:rsidR="00B2027A" w14:paraId="35D37342" w14:textId="77777777" w:rsidTr="00F525FB">
        <w:trPr>
          <w:jc w:val="center"/>
        </w:trPr>
        <w:tc>
          <w:tcPr>
            <w:tcW w:w="2547" w:type="dxa"/>
            <w:vAlign w:val="center"/>
          </w:tcPr>
          <w:p w14:paraId="4C17C9FB"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Limón</w:t>
            </w:r>
          </w:p>
        </w:tc>
        <w:tc>
          <w:tcPr>
            <w:tcW w:w="6281" w:type="dxa"/>
            <w:vAlign w:val="center"/>
          </w:tcPr>
          <w:p w14:paraId="47AC7A60"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8 meses</w:t>
            </w:r>
          </w:p>
          <w:p w14:paraId="3EDF86B2"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8 meses</w:t>
            </w:r>
          </w:p>
          <w:p w14:paraId="203F41FE"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12 meses</w:t>
            </w:r>
          </w:p>
        </w:tc>
      </w:tr>
      <w:tr w:rsidR="00B2027A" w14:paraId="4A46F497" w14:textId="77777777" w:rsidTr="00F525FB">
        <w:trPr>
          <w:jc w:val="center"/>
        </w:trPr>
        <w:tc>
          <w:tcPr>
            <w:tcW w:w="2547" w:type="dxa"/>
            <w:vAlign w:val="center"/>
          </w:tcPr>
          <w:p w14:paraId="0BF9777B"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Bribri</w:t>
            </w:r>
          </w:p>
        </w:tc>
        <w:tc>
          <w:tcPr>
            <w:tcW w:w="6281" w:type="dxa"/>
            <w:vAlign w:val="center"/>
          </w:tcPr>
          <w:p w14:paraId="7C696E9D"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no tienen cierres con dictamen</w:t>
            </w:r>
          </w:p>
          <w:p w14:paraId="73C5816E"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4.7 meses</w:t>
            </w:r>
          </w:p>
          <w:p w14:paraId="7B0357A9"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no tienen cierres con dictamen</w:t>
            </w:r>
          </w:p>
        </w:tc>
      </w:tr>
      <w:tr w:rsidR="00B2027A" w14:paraId="63D5D47A" w14:textId="77777777" w:rsidTr="00F525FB">
        <w:trPr>
          <w:jc w:val="center"/>
        </w:trPr>
        <w:tc>
          <w:tcPr>
            <w:tcW w:w="2547" w:type="dxa"/>
            <w:vAlign w:val="center"/>
          </w:tcPr>
          <w:p w14:paraId="1F222AFC" w14:textId="77777777" w:rsidR="00B2027A" w:rsidRPr="00F90BAD" w:rsidRDefault="00B2027A" w:rsidP="00591A4C">
            <w:pPr>
              <w:jc w:val="both"/>
              <w:rPr>
                <w:rFonts w:ascii="Book Antiqua" w:hAnsi="Book Antiqua"/>
                <w:sz w:val="20"/>
                <w:szCs w:val="20"/>
                <w:lang w:val="es-ES"/>
              </w:rPr>
            </w:pPr>
            <w:r w:rsidRPr="00F90BAD">
              <w:rPr>
                <w:rFonts w:ascii="Book Antiqua" w:hAnsi="Book Antiqua"/>
                <w:sz w:val="20"/>
                <w:szCs w:val="20"/>
                <w:lang w:val="es-ES"/>
              </w:rPr>
              <w:t>Oficina de Trabajo Social y Psicología de Puriscal</w:t>
            </w:r>
          </w:p>
        </w:tc>
        <w:tc>
          <w:tcPr>
            <w:tcW w:w="6281" w:type="dxa"/>
            <w:vAlign w:val="center"/>
          </w:tcPr>
          <w:p w14:paraId="7CD7CF20"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Casos de Familia</w:t>
            </w:r>
            <w:r w:rsidRPr="00F90BAD">
              <w:rPr>
                <w:rFonts w:ascii="Book Antiqua" w:hAnsi="Book Antiqua"/>
                <w:sz w:val="20"/>
                <w:szCs w:val="20"/>
                <w:lang w:val="es-ES"/>
              </w:rPr>
              <w:t>: 2 a 12 meses</w:t>
            </w:r>
          </w:p>
          <w:p w14:paraId="7E31E6B2" w14:textId="77777777" w:rsidR="00B2027A" w:rsidRPr="00F90BAD" w:rsidRDefault="00B2027A" w:rsidP="00B2027A">
            <w:pPr>
              <w:pStyle w:val="Prrafodelista"/>
              <w:numPr>
                <w:ilvl w:val="0"/>
                <w:numId w:val="49"/>
              </w:numPr>
              <w:jc w:val="both"/>
              <w:rPr>
                <w:rFonts w:ascii="Book Antiqua" w:hAnsi="Book Antiqua"/>
                <w:b/>
                <w:bCs/>
                <w:sz w:val="20"/>
                <w:szCs w:val="20"/>
                <w:lang w:val="es-ES"/>
              </w:rPr>
            </w:pPr>
            <w:r w:rsidRPr="00F90BAD">
              <w:rPr>
                <w:rFonts w:ascii="Book Antiqua" w:hAnsi="Book Antiqua"/>
                <w:b/>
                <w:bCs/>
                <w:sz w:val="20"/>
                <w:szCs w:val="20"/>
                <w:lang w:val="es-ES"/>
              </w:rPr>
              <w:t xml:space="preserve">Casos de Violencia Doméstica: </w:t>
            </w:r>
            <w:r w:rsidRPr="00F90BAD">
              <w:rPr>
                <w:rFonts w:ascii="Book Antiqua" w:hAnsi="Book Antiqua"/>
                <w:sz w:val="20"/>
                <w:szCs w:val="20"/>
                <w:lang w:val="es-ES"/>
              </w:rPr>
              <w:t>2 a 8 meses</w:t>
            </w:r>
          </w:p>
          <w:p w14:paraId="5B6C4667" w14:textId="77777777" w:rsidR="00B2027A" w:rsidRPr="00F90BAD" w:rsidRDefault="00B2027A" w:rsidP="00B2027A">
            <w:pPr>
              <w:pStyle w:val="Prrafodelista"/>
              <w:numPr>
                <w:ilvl w:val="0"/>
                <w:numId w:val="49"/>
              </w:numPr>
              <w:jc w:val="both"/>
              <w:rPr>
                <w:rFonts w:ascii="Book Antiqua" w:hAnsi="Book Antiqua"/>
                <w:sz w:val="20"/>
                <w:szCs w:val="20"/>
                <w:lang w:val="es-ES"/>
              </w:rPr>
            </w:pPr>
            <w:r w:rsidRPr="00F90BAD">
              <w:rPr>
                <w:rFonts w:ascii="Book Antiqua" w:hAnsi="Book Antiqua"/>
                <w:b/>
                <w:bCs/>
                <w:sz w:val="20"/>
                <w:szCs w:val="20"/>
                <w:lang w:val="es-ES"/>
              </w:rPr>
              <w:t xml:space="preserve">Casos de Pensiones Alimentarias: </w:t>
            </w:r>
            <w:r w:rsidRPr="00F90BAD">
              <w:rPr>
                <w:rFonts w:ascii="Book Antiqua" w:hAnsi="Book Antiqua"/>
                <w:sz w:val="20"/>
                <w:szCs w:val="20"/>
                <w:lang w:val="es-ES"/>
              </w:rPr>
              <w:t>5 meses</w:t>
            </w:r>
          </w:p>
        </w:tc>
      </w:tr>
    </w:tbl>
    <w:p w14:paraId="45CF8505" w14:textId="03D5B220" w:rsidR="00F93B09" w:rsidRPr="001D0C10" w:rsidRDefault="00F93B09" w:rsidP="00812A7D">
      <w:pPr>
        <w:spacing w:after="0" w:line="240" w:lineRule="auto"/>
        <w:jc w:val="both"/>
        <w:rPr>
          <w:rFonts w:ascii="Book Antiqua" w:hAnsi="Book Antiqua"/>
          <w:i/>
          <w:iCs/>
          <w:lang w:val="es-ES"/>
        </w:rPr>
      </w:pPr>
      <w:r w:rsidRPr="00F134FF">
        <w:rPr>
          <w:rFonts w:ascii="Book Antiqua" w:hAnsi="Book Antiqua"/>
          <w:b/>
          <w:bCs/>
          <w:i/>
          <w:iCs/>
          <w:lang w:val="es-ES"/>
        </w:rPr>
        <w:t>Fuente:</w:t>
      </w:r>
      <w:r>
        <w:rPr>
          <w:rFonts w:ascii="Book Antiqua" w:hAnsi="Book Antiqua"/>
          <w:i/>
          <w:iCs/>
          <w:lang w:val="es-ES"/>
        </w:rPr>
        <w:t xml:space="preserve"> Departamento de Trabajo Social y Psicología</w:t>
      </w:r>
      <w:r w:rsidR="00C2144D">
        <w:rPr>
          <w:rFonts w:ascii="Book Antiqua" w:hAnsi="Book Antiqua"/>
          <w:i/>
          <w:iCs/>
          <w:lang w:val="es-ES"/>
        </w:rPr>
        <w:t xml:space="preserve">, </w:t>
      </w:r>
      <w:r w:rsidR="00EF311D">
        <w:rPr>
          <w:rFonts w:ascii="Book Antiqua" w:hAnsi="Book Antiqua"/>
          <w:i/>
          <w:iCs/>
          <w:lang w:val="es-ES"/>
        </w:rPr>
        <w:t xml:space="preserve">Lic. </w:t>
      </w:r>
      <w:r w:rsidR="0055226F">
        <w:rPr>
          <w:rFonts w:ascii="Book Antiqua" w:hAnsi="Book Antiqua"/>
          <w:i/>
          <w:iCs/>
          <w:lang w:val="es-ES"/>
        </w:rPr>
        <w:t xml:space="preserve">Alcioni </w:t>
      </w:r>
      <w:r w:rsidR="00812A7D">
        <w:rPr>
          <w:rFonts w:ascii="Book Antiqua" w:hAnsi="Book Antiqua"/>
          <w:i/>
          <w:iCs/>
          <w:lang w:val="es-ES"/>
        </w:rPr>
        <w:t>Vázquez</w:t>
      </w:r>
      <w:r w:rsidR="0055226F">
        <w:rPr>
          <w:rFonts w:ascii="Book Antiqua" w:hAnsi="Book Antiqua"/>
          <w:i/>
          <w:iCs/>
          <w:lang w:val="es-ES"/>
        </w:rPr>
        <w:t xml:space="preserve"> Retana, el 1</w:t>
      </w:r>
      <w:r w:rsidR="00EF311D">
        <w:rPr>
          <w:rFonts w:ascii="Book Antiqua" w:hAnsi="Book Antiqua"/>
          <w:i/>
          <w:iCs/>
          <w:lang w:val="es-ES"/>
        </w:rPr>
        <w:t>1</w:t>
      </w:r>
      <w:r w:rsidR="0055226F">
        <w:rPr>
          <w:rFonts w:ascii="Book Antiqua" w:hAnsi="Book Antiqua"/>
          <w:i/>
          <w:iCs/>
          <w:lang w:val="es-ES"/>
        </w:rPr>
        <w:t xml:space="preserve"> de </w:t>
      </w:r>
      <w:r w:rsidR="00EF311D">
        <w:rPr>
          <w:rFonts w:ascii="Book Antiqua" w:hAnsi="Book Antiqua"/>
          <w:i/>
          <w:iCs/>
          <w:lang w:val="es-ES"/>
        </w:rPr>
        <w:t xml:space="preserve">abril </w:t>
      </w:r>
      <w:r w:rsidR="0055226F">
        <w:rPr>
          <w:rFonts w:ascii="Book Antiqua" w:hAnsi="Book Antiqua"/>
          <w:i/>
          <w:iCs/>
          <w:lang w:val="es-ES"/>
        </w:rPr>
        <w:t>de 202</w:t>
      </w:r>
      <w:r w:rsidR="00EF311D">
        <w:rPr>
          <w:rFonts w:ascii="Book Antiqua" w:hAnsi="Book Antiqua"/>
          <w:i/>
          <w:iCs/>
          <w:lang w:val="es-ES"/>
        </w:rPr>
        <w:t>3.</w:t>
      </w:r>
    </w:p>
    <w:p w14:paraId="4CCD7708" w14:textId="77777777" w:rsidR="00165A2D" w:rsidRDefault="00165A2D" w:rsidP="00612142">
      <w:pPr>
        <w:spacing w:after="0" w:line="276" w:lineRule="auto"/>
        <w:jc w:val="both"/>
        <w:rPr>
          <w:rFonts w:ascii="Book Antiqua" w:eastAsia="Calibri" w:hAnsi="Book Antiqua" w:cs="Arial"/>
          <w:sz w:val="24"/>
          <w:szCs w:val="24"/>
        </w:rPr>
      </w:pPr>
    </w:p>
    <w:p w14:paraId="1DF837D6" w14:textId="4B210519" w:rsidR="00485CAA" w:rsidRDefault="00612142" w:rsidP="00612142">
      <w:pPr>
        <w:spacing w:after="0" w:line="276" w:lineRule="auto"/>
        <w:jc w:val="both"/>
        <w:rPr>
          <w:rFonts w:ascii="Segoe UI" w:eastAsia="Times New Roman" w:hAnsi="Segoe UI" w:cs="Segoe UI"/>
          <w:color w:val="242424"/>
          <w:sz w:val="21"/>
          <w:szCs w:val="21"/>
          <w:lang w:eastAsia="es-CR"/>
        </w:rPr>
      </w:pPr>
      <w:r>
        <w:rPr>
          <w:rFonts w:ascii="Book Antiqua" w:eastAsia="Calibri" w:hAnsi="Book Antiqua" w:cs="Arial"/>
          <w:sz w:val="24"/>
          <w:szCs w:val="24"/>
        </w:rPr>
        <w:t xml:space="preserve">El Consejo Superior en la sesión 82-2021 del 21 de setiembre de 2021, artículo </w:t>
      </w:r>
      <w:r w:rsidRPr="00165A2D">
        <w:rPr>
          <w:rFonts w:ascii="Book Antiqua" w:eastAsia="Calibri" w:hAnsi="Book Antiqua" w:cs="Arial"/>
          <w:sz w:val="24"/>
          <w:szCs w:val="24"/>
        </w:rPr>
        <w:t>XXXV, aprobó el oficio 981-PLA-ES-2021, d</w:t>
      </w:r>
      <w:r w:rsidR="00485CAA" w:rsidRPr="00165A2D">
        <w:rPr>
          <w:rFonts w:ascii="Book Antiqua" w:eastAsia="Calibri" w:hAnsi="Book Antiqua" w:cs="Arial"/>
          <w:sz w:val="24"/>
          <w:szCs w:val="24"/>
        </w:rPr>
        <w:t xml:space="preserve">el Subproceso de Estadística de la Dirección de </w:t>
      </w:r>
      <w:r w:rsidR="00DC2A6A" w:rsidRPr="00165A2D">
        <w:rPr>
          <w:rFonts w:ascii="Book Antiqua" w:eastAsia="Calibri" w:hAnsi="Book Antiqua" w:cs="Arial"/>
          <w:sz w:val="24"/>
          <w:szCs w:val="24"/>
        </w:rPr>
        <w:t>Planificación</w:t>
      </w:r>
      <w:r w:rsidRPr="00165A2D">
        <w:rPr>
          <w:rFonts w:ascii="Book Antiqua" w:eastAsia="Calibri" w:hAnsi="Book Antiqua" w:cs="Arial"/>
          <w:sz w:val="24"/>
          <w:szCs w:val="24"/>
        </w:rPr>
        <w:t xml:space="preserve"> relacionado con la fórmula estadística, también se</w:t>
      </w:r>
      <w:r w:rsidR="00DC2A6A" w:rsidRPr="00165A2D">
        <w:rPr>
          <w:rFonts w:ascii="Book Antiqua" w:eastAsia="Calibri" w:hAnsi="Book Antiqua" w:cs="Arial"/>
          <w:sz w:val="24"/>
          <w:szCs w:val="24"/>
        </w:rPr>
        <w:t xml:space="preserve"> incorporó dentro de la plantilla de informe mensual del DTSP</w:t>
      </w:r>
      <w:r w:rsidRPr="00165A2D">
        <w:rPr>
          <w:rFonts w:ascii="Book Antiqua" w:eastAsia="Calibri" w:hAnsi="Book Antiqua" w:cs="Arial"/>
          <w:sz w:val="24"/>
          <w:szCs w:val="24"/>
        </w:rPr>
        <w:t>,</w:t>
      </w:r>
      <w:r w:rsidR="00DC2A6A" w:rsidRPr="00165A2D">
        <w:rPr>
          <w:rFonts w:ascii="Book Antiqua" w:eastAsia="Calibri" w:hAnsi="Book Antiqua" w:cs="Arial"/>
          <w:sz w:val="24"/>
          <w:szCs w:val="24"/>
        </w:rPr>
        <w:t xml:space="preserve"> la duración de los procesos, desde que entran hasta que se </w:t>
      </w:r>
      <w:r w:rsidR="00DC2A6A" w:rsidRPr="0015333B">
        <w:rPr>
          <w:rFonts w:ascii="Book Antiqua" w:eastAsia="Calibri" w:hAnsi="Book Antiqua" w:cs="Arial"/>
          <w:sz w:val="24"/>
          <w:szCs w:val="24"/>
        </w:rPr>
        <w:t>finalizan</w:t>
      </w:r>
      <w:r w:rsidRPr="0015333B">
        <w:rPr>
          <w:rFonts w:ascii="Book Antiqua" w:eastAsia="Calibri" w:hAnsi="Book Antiqua" w:cs="Arial"/>
          <w:sz w:val="24"/>
          <w:szCs w:val="24"/>
        </w:rPr>
        <w:t xml:space="preserve">; </w:t>
      </w:r>
      <w:r w:rsidR="00DC2A6A" w:rsidRPr="0015333B">
        <w:rPr>
          <w:rFonts w:ascii="Book Antiqua" w:eastAsia="Calibri" w:hAnsi="Book Antiqua" w:cs="Arial"/>
          <w:sz w:val="24"/>
          <w:szCs w:val="24"/>
        </w:rPr>
        <w:t>e</w:t>
      </w:r>
      <w:r w:rsidRPr="0015333B">
        <w:rPr>
          <w:rFonts w:ascii="Book Antiqua" w:eastAsia="Calibri" w:hAnsi="Book Antiqua" w:cs="Arial"/>
          <w:sz w:val="24"/>
          <w:szCs w:val="24"/>
        </w:rPr>
        <w:t>l</w:t>
      </w:r>
      <w:r w:rsidR="00DC2A6A" w:rsidRPr="0015333B">
        <w:rPr>
          <w:rFonts w:ascii="Book Antiqua" w:eastAsia="Calibri" w:hAnsi="Book Antiqua" w:cs="Arial"/>
          <w:sz w:val="24"/>
          <w:szCs w:val="24"/>
        </w:rPr>
        <w:t xml:space="preserve"> informe </w:t>
      </w:r>
      <w:r w:rsidR="00485CAA" w:rsidRPr="0015333B">
        <w:rPr>
          <w:rFonts w:ascii="Book Antiqua" w:eastAsia="Calibri" w:hAnsi="Book Antiqua" w:cs="Arial"/>
          <w:sz w:val="24"/>
          <w:szCs w:val="24"/>
        </w:rPr>
        <w:t>está en pruebas con las oficinas, hasta que</w:t>
      </w:r>
      <w:r w:rsidR="00DC2A6A" w:rsidRPr="0015333B">
        <w:rPr>
          <w:rFonts w:ascii="Book Antiqua" w:eastAsia="Calibri" w:hAnsi="Book Antiqua" w:cs="Arial"/>
          <w:sz w:val="24"/>
          <w:szCs w:val="24"/>
        </w:rPr>
        <w:t xml:space="preserve"> el DTSP indique </w:t>
      </w:r>
      <w:r w:rsidR="00485CAA" w:rsidRPr="0015333B">
        <w:rPr>
          <w:rFonts w:ascii="Book Antiqua" w:eastAsia="Calibri" w:hAnsi="Book Antiqua" w:cs="Arial"/>
          <w:sz w:val="24"/>
          <w:szCs w:val="24"/>
        </w:rPr>
        <w:t xml:space="preserve">que la información está </w:t>
      </w:r>
      <w:r w:rsidR="00DC2A6A" w:rsidRPr="0015333B">
        <w:rPr>
          <w:rFonts w:ascii="Book Antiqua" w:eastAsia="Calibri" w:hAnsi="Book Antiqua" w:cs="Arial"/>
          <w:sz w:val="24"/>
          <w:szCs w:val="24"/>
        </w:rPr>
        <w:t xml:space="preserve">generándose correctamente, que a nivel de SIGMA se están reflejando los datos de todas las oficinas y se obtenga el visto bueno de la jefatura de ese departamento, el Subproceso de Estadística coordinaría con las oficinas la realización de </w:t>
      </w:r>
      <w:r w:rsidR="00F93B09" w:rsidRPr="0015333B">
        <w:rPr>
          <w:rFonts w:ascii="Book Antiqua" w:eastAsia="Calibri" w:hAnsi="Book Antiqua" w:cs="Arial"/>
          <w:sz w:val="24"/>
          <w:szCs w:val="24"/>
        </w:rPr>
        <w:t>un</w:t>
      </w:r>
      <w:r w:rsidR="00DC2A6A" w:rsidRPr="0015333B">
        <w:rPr>
          <w:rFonts w:ascii="Book Antiqua" w:eastAsia="Calibri" w:hAnsi="Book Antiqua" w:cs="Arial"/>
          <w:sz w:val="24"/>
          <w:szCs w:val="24"/>
        </w:rPr>
        <w:t xml:space="preserve"> inventario para actualizar la información según la nueva fórmula y a partir de ese momento se podría generar </w:t>
      </w:r>
      <w:r w:rsidR="00F93B09" w:rsidRPr="0015333B">
        <w:rPr>
          <w:rFonts w:ascii="Book Antiqua" w:eastAsia="Calibri" w:hAnsi="Book Antiqua" w:cs="Arial"/>
          <w:sz w:val="24"/>
          <w:szCs w:val="24"/>
        </w:rPr>
        <w:t>los</w:t>
      </w:r>
      <w:r w:rsidR="00DC2A6A" w:rsidRPr="0015333B">
        <w:rPr>
          <w:rFonts w:ascii="Book Antiqua" w:eastAsia="Calibri" w:hAnsi="Book Antiqua" w:cs="Arial"/>
          <w:sz w:val="24"/>
          <w:szCs w:val="24"/>
        </w:rPr>
        <w:t xml:space="preserve"> datos de la duración directamente de los sistemas.</w:t>
      </w:r>
      <w:r w:rsidR="00DC2A6A">
        <w:rPr>
          <w:rFonts w:ascii="Segoe UI" w:eastAsia="Times New Roman" w:hAnsi="Segoe UI" w:cs="Segoe UI"/>
          <w:color w:val="242424"/>
          <w:sz w:val="21"/>
          <w:szCs w:val="21"/>
          <w:lang w:eastAsia="es-CR"/>
        </w:rPr>
        <w:t xml:space="preserve"> </w:t>
      </w:r>
    </w:p>
    <w:p w14:paraId="72550948" w14:textId="77777777" w:rsidR="00485CAA" w:rsidRDefault="00485CAA" w:rsidP="00CA0A27">
      <w:pPr>
        <w:spacing w:after="0" w:line="276" w:lineRule="auto"/>
        <w:jc w:val="both"/>
        <w:rPr>
          <w:rFonts w:ascii="Book Antiqua" w:eastAsia="Calibri" w:hAnsi="Book Antiqua" w:cs="Arial"/>
          <w:sz w:val="24"/>
          <w:szCs w:val="24"/>
        </w:rPr>
      </w:pPr>
    </w:p>
    <w:p w14:paraId="2E5F1144" w14:textId="77777777" w:rsidR="001F41B2" w:rsidRPr="00BC6C07" w:rsidRDefault="00511838"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los datos anteriores, se observa la necesidad de acortar los plazos de entrega de informes de este Departamento</w:t>
      </w:r>
      <w:r w:rsidRPr="00BC6C07">
        <w:rPr>
          <w:rFonts w:ascii="Book Antiqua" w:eastAsia="Calibri" w:hAnsi="Book Antiqua" w:cs="Arial"/>
          <w:sz w:val="24"/>
          <w:szCs w:val="24"/>
        </w:rPr>
        <w:t xml:space="preserve">, por lo </w:t>
      </w:r>
      <w:r w:rsidR="001F41B2" w:rsidRPr="00BC6C07">
        <w:rPr>
          <w:rFonts w:ascii="Book Antiqua" w:eastAsia="Calibri" w:hAnsi="Book Antiqua" w:cs="Arial"/>
          <w:sz w:val="24"/>
          <w:szCs w:val="24"/>
        </w:rPr>
        <w:t>anterior en el 2021 y 2022, se le otorgó presupuesto a este Departamento para la contratación de pericias externas y reducción de tiempos de entrega de los dictámenes en materia de familia.</w:t>
      </w:r>
    </w:p>
    <w:p w14:paraId="217ECB97" w14:textId="77777777" w:rsidR="001F41B2" w:rsidRDefault="001F41B2" w:rsidP="00CA0A27">
      <w:pPr>
        <w:spacing w:after="0" w:line="276" w:lineRule="auto"/>
        <w:jc w:val="both"/>
        <w:rPr>
          <w:rFonts w:ascii="Book Antiqua" w:eastAsia="Calibri" w:hAnsi="Book Antiqua" w:cs="Arial"/>
          <w:sz w:val="24"/>
          <w:szCs w:val="24"/>
          <w:highlight w:val="cyan"/>
        </w:rPr>
      </w:pPr>
    </w:p>
    <w:p w14:paraId="5C4D2C39" w14:textId="2F10F64D" w:rsidR="00485CAA" w:rsidRDefault="001F41B2" w:rsidP="00CA0A27">
      <w:pPr>
        <w:spacing w:after="0" w:line="276" w:lineRule="auto"/>
        <w:jc w:val="both"/>
        <w:rPr>
          <w:rFonts w:ascii="Book Antiqua" w:eastAsia="Calibri" w:hAnsi="Book Antiqua" w:cs="Arial"/>
          <w:sz w:val="24"/>
          <w:szCs w:val="24"/>
        </w:rPr>
      </w:pPr>
      <w:r w:rsidRPr="00BC6C07">
        <w:rPr>
          <w:rFonts w:ascii="Book Antiqua" w:eastAsia="Calibri" w:hAnsi="Book Antiqua" w:cs="Arial"/>
          <w:sz w:val="24"/>
          <w:szCs w:val="24"/>
        </w:rPr>
        <w:t>Para el 2</w:t>
      </w:r>
      <w:r w:rsidR="00511838" w:rsidRPr="00BC6C07">
        <w:rPr>
          <w:rFonts w:ascii="Book Antiqua" w:eastAsia="Calibri" w:hAnsi="Book Antiqua" w:cs="Arial"/>
          <w:sz w:val="24"/>
          <w:szCs w:val="24"/>
        </w:rPr>
        <w:t>02</w:t>
      </w:r>
      <w:r w:rsidRPr="00BC6C07">
        <w:rPr>
          <w:rFonts w:ascii="Book Antiqua" w:eastAsia="Calibri" w:hAnsi="Book Antiqua" w:cs="Arial"/>
          <w:sz w:val="24"/>
          <w:szCs w:val="24"/>
        </w:rPr>
        <w:t>3, cuentan con recu</w:t>
      </w:r>
      <w:r w:rsidR="00BC6C07" w:rsidRPr="00BC6C07">
        <w:rPr>
          <w:rFonts w:ascii="Book Antiqua" w:eastAsia="Calibri" w:hAnsi="Book Antiqua" w:cs="Arial"/>
          <w:sz w:val="24"/>
          <w:szCs w:val="24"/>
        </w:rPr>
        <w:t xml:space="preserve">rsos para estas contrataciones en materia de </w:t>
      </w:r>
      <w:r w:rsidR="00BC6C07">
        <w:rPr>
          <w:rFonts w:ascii="Book Antiqua" w:eastAsia="Calibri" w:hAnsi="Book Antiqua" w:cs="Arial"/>
          <w:sz w:val="24"/>
          <w:szCs w:val="24"/>
        </w:rPr>
        <w:t>F</w:t>
      </w:r>
      <w:r w:rsidR="00BC6C07" w:rsidRPr="00BC6C07">
        <w:rPr>
          <w:rFonts w:ascii="Book Antiqua" w:eastAsia="Calibri" w:hAnsi="Book Antiqua" w:cs="Arial"/>
          <w:sz w:val="24"/>
          <w:szCs w:val="24"/>
        </w:rPr>
        <w:t xml:space="preserve">amilia y </w:t>
      </w:r>
      <w:r w:rsidR="00BC6C07">
        <w:rPr>
          <w:rFonts w:ascii="Book Antiqua" w:eastAsia="Calibri" w:hAnsi="Book Antiqua" w:cs="Arial"/>
          <w:sz w:val="24"/>
          <w:szCs w:val="24"/>
        </w:rPr>
        <w:t>V</w:t>
      </w:r>
      <w:r w:rsidR="00BC6C07" w:rsidRPr="00BC6C07">
        <w:rPr>
          <w:rFonts w:ascii="Book Antiqua" w:eastAsia="Calibri" w:hAnsi="Book Antiqua" w:cs="Arial"/>
          <w:sz w:val="24"/>
          <w:szCs w:val="24"/>
        </w:rPr>
        <w:t xml:space="preserve">iolencia </w:t>
      </w:r>
      <w:r w:rsidR="00BC6C07">
        <w:rPr>
          <w:rFonts w:ascii="Book Antiqua" w:eastAsia="Calibri" w:hAnsi="Book Antiqua" w:cs="Arial"/>
          <w:sz w:val="24"/>
          <w:szCs w:val="24"/>
        </w:rPr>
        <w:t>D</w:t>
      </w:r>
      <w:r w:rsidR="00BC6C07" w:rsidRPr="00BC6C07">
        <w:rPr>
          <w:rFonts w:ascii="Book Antiqua" w:eastAsia="Calibri" w:hAnsi="Book Antiqua" w:cs="Arial"/>
          <w:sz w:val="24"/>
          <w:szCs w:val="24"/>
        </w:rPr>
        <w:t>om</w:t>
      </w:r>
      <w:r w:rsidR="00BC6C07">
        <w:rPr>
          <w:rFonts w:ascii="Book Antiqua" w:eastAsia="Calibri" w:hAnsi="Book Antiqua" w:cs="Arial"/>
          <w:sz w:val="24"/>
          <w:szCs w:val="24"/>
        </w:rPr>
        <w:t>és</w:t>
      </w:r>
      <w:r w:rsidR="00BC6C07" w:rsidRPr="00BC6C07">
        <w:rPr>
          <w:rFonts w:ascii="Book Antiqua" w:eastAsia="Calibri" w:hAnsi="Book Antiqua" w:cs="Arial"/>
          <w:sz w:val="24"/>
          <w:szCs w:val="24"/>
        </w:rPr>
        <w:t>tica</w:t>
      </w:r>
      <w:r w:rsidR="00511838" w:rsidRPr="00BC6C07">
        <w:rPr>
          <w:rFonts w:ascii="Book Antiqua" w:eastAsia="Calibri" w:hAnsi="Book Antiqua" w:cs="Arial"/>
          <w:sz w:val="24"/>
          <w:szCs w:val="24"/>
        </w:rPr>
        <w:t>.</w:t>
      </w:r>
      <w:r w:rsidR="00511838">
        <w:rPr>
          <w:rFonts w:ascii="Book Antiqua" w:eastAsia="Calibri" w:hAnsi="Book Antiqua" w:cs="Arial"/>
          <w:sz w:val="24"/>
          <w:szCs w:val="24"/>
        </w:rPr>
        <w:t xml:space="preserve">  </w:t>
      </w:r>
    </w:p>
    <w:p w14:paraId="750B5940" w14:textId="12FCF904" w:rsidR="00CA0A27" w:rsidRPr="000012B5" w:rsidRDefault="004B3C2D" w:rsidP="000012B5">
      <w:pPr>
        <w:pStyle w:val="Ttulo4"/>
        <w:rPr>
          <w:iCs/>
        </w:rPr>
      </w:pPr>
      <w:r w:rsidRPr="000012B5">
        <w:t>Cambios para el Departamento de Trabajo Social y Ps</w:t>
      </w:r>
      <w:r w:rsidR="00BC6C07">
        <w:t>i</w:t>
      </w:r>
      <w:r w:rsidRPr="000012B5">
        <w:t>cología a partir de la entrada en vigencia del Código Procesal de Familia</w:t>
      </w:r>
    </w:p>
    <w:p w14:paraId="0D9A460A" w14:textId="77777777" w:rsidR="00116B89" w:rsidRDefault="00116B89" w:rsidP="009C01E1">
      <w:pPr>
        <w:spacing w:line="276" w:lineRule="auto"/>
        <w:jc w:val="both"/>
        <w:rPr>
          <w:rFonts w:ascii="Book Antiqua" w:hAnsi="Book Antiqua"/>
          <w:sz w:val="24"/>
          <w:szCs w:val="24"/>
        </w:rPr>
      </w:pPr>
    </w:p>
    <w:p w14:paraId="5CB8C745" w14:textId="77777777" w:rsidR="00625B69" w:rsidRPr="00625B69" w:rsidRDefault="00625B69" w:rsidP="0090609F">
      <w:pPr>
        <w:numPr>
          <w:ilvl w:val="0"/>
          <w:numId w:val="13"/>
        </w:numPr>
        <w:spacing w:after="0" w:line="276" w:lineRule="auto"/>
        <w:contextualSpacing/>
        <w:jc w:val="both"/>
        <w:rPr>
          <w:rFonts w:ascii="Book Antiqua" w:eastAsia="Calibri" w:hAnsi="Book Antiqua" w:cs="Arial"/>
          <w:sz w:val="24"/>
          <w:szCs w:val="24"/>
          <w:lang w:eastAsia="es-CR"/>
        </w:rPr>
      </w:pPr>
      <w:r w:rsidRPr="00625B69">
        <w:rPr>
          <w:rFonts w:ascii="Book Antiqua" w:eastAsia="Calibri" w:hAnsi="Book Antiqua" w:cs="Arial"/>
          <w:sz w:val="24"/>
          <w:szCs w:val="24"/>
          <w:lang w:eastAsia="es-CR"/>
        </w:rPr>
        <w:t>Valoración de personas menores de 12 años cuando quieran ejercer su capacidad procesal</w:t>
      </w:r>
    </w:p>
    <w:p w14:paraId="37C17B62" w14:textId="77777777" w:rsidR="00625B69" w:rsidRPr="00625B69" w:rsidRDefault="00625B69" w:rsidP="00625B69">
      <w:pPr>
        <w:spacing w:after="0" w:line="276" w:lineRule="auto"/>
        <w:jc w:val="both"/>
        <w:rPr>
          <w:rFonts w:ascii="Book Antiqua" w:eastAsia="Calibri" w:hAnsi="Book Antiqua" w:cs="Arial"/>
          <w:sz w:val="24"/>
          <w:szCs w:val="24"/>
        </w:rPr>
      </w:pPr>
    </w:p>
    <w:p w14:paraId="14A725DD" w14:textId="77777777" w:rsidR="00625B69" w:rsidRPr="00625B69" w:rsidRDefault="00625B69" w:rsidP="00625B69">
      <w:pPr>
        <w:spacing w:after="0" w:line="276" w:lineRule="auto"/>
        <w:jc w:val="both"/>
        <w:rPr>
          <w:rFonts w:ascii="Book Antiqua" w:eastAsia="Calibri" w:hAnsi="Book Antiqua" w:cs="Arial"/>
          <w:sz w:val="24"/>
          <w:szCs w:val="24"/>
        </w:rPr>
      </w:pPr>
      <w:r w:rsidRPr="00625B69">
        <w:rPr>
          <w:rFonts w:ascii="Book Antiqua" w:eastAsia="Calibri" w:hAnsi="Book Antiqua" w:cs="Arial"/>
          <w:sz w:val="24"/>
          <w:szCs w:val="24"/>
        </w:rPr>
        <w:t>El párrafo final del artículo 41 del Código Procesal de Familia, respecto a la representación de personas menores de edad establece:</w:t>
      </w:r>
    </w:p>
    <w:p w14:paraId="6B6438CB" w14:textId="77777777" w:rsidR="00625B69" w:rsidRPr="00625B69" w:rsidRDefault="00625B69" w:rsidP="00625B69">
      <w:pPr>
        <w:spacing w:after="0" w:line="276" w:lineRule="auto"/>
        <w:jc w:val="both"/>
        <w:rPr>
          <w:rFonts w:ascii="Book Antiqua" w:eastAsia="Calibri" w:hAnsi="Book Antiqua" w:cs="Arial"/>
          <w:sz w:val="24"/>
          <w:highlight w:val="yellow"/>
        </w:rPr>
      </w:pPr>
    </w:p>
    <w:p w14:paraId="7EE3B5B5"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w:t>
      </w:r>
      <w:r w:rsidRPr="00625B69">
        <w:rPr>
          <w:rFonts w:ascii="Book Antiqua" w:eastAsia="Calibri" w:hAnsi="Book Antiqua" w:cs="Arial"/>
          <w:b/>
          <w:bCs/>
          <w:i/>
          <w:iCs/>
          <w:sz w:val="24"/>
          <w:szCs w:val="24"/>
        </w:rPr>
        <w:t>Artículo 41- Representación de personas menores de edad</w:t>
      </w:r>
    </w:p>
    <w:p w14:paraId="00BEEB9A"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14:paraId="37611663"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22A4AA96" w14:textId="1B9520AC" w:rsidR="00625B69" w:rsidRDefault="00625B69" w:rsidP="00625B69">
      <w:pPr>
        <w:autoSpaceDE w:val="0"/>
        <w:autoSpaceDN w:val="0"/>
        <w:adjustRightInd w:val="0"/>
        <w:spacing w:after="0" w:line="276" w:lineRule="auto"/>
        <w:ind w:left="567" w:right="616"/>
        <w:jc w:val="both"/>
        <w:rPr>
          <w:rFonts w:ascii="Book Antiqua" w:eastAsia="Calibri" w:hAnsi="Book Antiqua" w:cs="Arial"/>
          <w:b/>
          <w:bCs/>
          <w:i/>
          <w:iCs/>
          <w:sz w:val="24"/>
          <w:szCs w:val="24"/>
          <w:u w:val="single"/>
        </w:rPr>
      </w:pPr>
      <w:r w:rsidRPr="00625B69">
        <w:rPr>
          <w:rFonts w:ascii="Book Antiqua" w:eastAsia="Calibri" w:hAnsi="Book Antiqua" w:cs="Arial"/>
          <w:b/>
          <w:bCs/>
          <w:i/>
          <w:iCs/>
          <w:sz w:val="24"/>
          <w:szCs w:val="24"/>
          <w:u w:val="single"/>
        </w:rPr>
        <w:t>Excepcionalmente, las personas menores de doce años podrán accionar de forma personal. En este caso, para el inicio del proceso el tribunal deberá contar con un informe psicológico del Departamento de Trabajo Social y Psicología del Poder Judicial, que acredite que la persona menor de edad tiene la capacidad para ejercer dicha acción.”.</w:t>
      </w:r>
    </w:p>
    <w:p w14:paraId="43132E6A" w14:textId="77777777" w:rsidR="00E03A52" w:rsidRPr="00625B69" w:rsidRDefault="00E03A52" w:rsidP="00625B69">
      <w:pPr>
        <w:autoSpaceDE w:val="0"/>
        <w:autoSpaceDN w:val="0"/>
        <w:adjustRightInd w:val="0"/>
        <w:spacing w:after="0" w:line="276" w:lineRule="auto"/>
        <w:ind w:left="567" w:right="616"/>
        <w:jc w:val="both"/>
        <w:rPr>
          <w:rFonts w:ascii="Book Antiqua" w:eastAsia="Calibri" w:hAnsi="Book Antiqua" w:cs="Arial"/>
          <w:b/>
          <w:bCs/>
          <w:i/>
          <w:iCs/>
          <w:sz w:val="24"/>
          <w:szCs w:val="24"/>
          <w:u w:val="single"/>
        </w:rPr>
      </w:pPr>
    </w:p>
    <w:p w14:paraId="4B8BCC30" w14:textId="77777777" w:rsidR="00E03A52" w:rsidRPr="00E03A52" w:rsidRDefault="00E03A52" w:rsidP="0090609F">
      <w:pPr>
        <w:numPr>
          <w:ilvl w:val="0"/>
          <w:numId w:val="13"/>
        </w:numPr>
        <w:spacing w:after="0" w:line="276" w:lineRule="auto"/>
        <w:contextualSpacing/>
        <w:jc w:val="both"/>
        <w:rPr>
          <w:rFonts w:ascii="Book Antiqua" w:eastAsia="Calibri" w:hAnsi="Book Antiqua" w:cs="Arial"/>
          <w:sz w:val="24"/>
          <w:szCs w:val="24"/>
          <w:lang w:eastAsia="es-CR"/>
        </w:rPr>
      </w:pPr>
      <w:r w:rsidRPr="00E03A52">
        <w:rPr>
          <w:rFonts w:ascii="Book Antiqua" w:eastAsia="Calibri" w:hAnsi="Book Antiqua" w:cs="Arial"/>
          <w:sz w:val="24"/>
          <w:szCs w:val="24"/>
          <w:lang w:eastAsia="es-CR"/>
        </w:rPr>
        <w:t>Ampliación de dictámenes en audiencia</w:t>
      </w:r>
    </w:p>
    <w:p w14:paraId="26AE1177" w14:textId="77777777" w:rsidR="00E03A52" w:rsidRPr="00E03A52" w:rsidRDefault="00E03A52" w:rsidP="00E03A52">
      <w:pPr>
        <w:spacing w:after="0" w:line="276" w:lineRule="auto"/>
        <w:jc w:val="both"/>
        <w:rPr>
          <w:rFonts w:ascii="Book Antiqua" w:eastAsia="Calibri" w:hAnsi="Book Antiqua" w:cs="Arial"/>
          <w:sz w:val="24"/>
        </w:rPr>
      </w:pPr>
      <w:r w:rsidRPr="00E03A52">
        <w:rPr>
          <w:rFonts w:ascii="Book Antiqua" w:eastAsia="Calibri" w:hAnsi="Book Antiqua" w:cs="Arial"/>
          <w:sz w:val="24"/>
        </w:rPr>
        <w:t xml:space="preserve">Debe considerarse que, a partir de la entrada en vigencia de la Ley 9747, los dictámenes podrán rendirse en audiencia dando posibilidad al contradictorio en los casos que el tribunal así lo determine, de conformidad con lo dispuesto en el artículo 186 del Código Procesal de Familia.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una estimación, ya que la metodología aplicaría en ciertos casos y hasta la entrada en vigencia de la norma.   </w:t>
      </w:r>
    </w:p>
    <w:p w14:paraId="7EE0C9EF" w14:textId="77777777" w:rsidR="00E03A52" w:rsidRPr="00E03A52" w:rsidRDefault="00E03A52" w:rsidP="00E03A52">
      <w:pPr>
        <w:spacing w:after="0" w:line="276" w:lineRule="auto"/>
        <w:jc w:val="both"/>
        <w:rPr>
          <w:rFonts w:ascii="Book Antiqua" w:eastAsia="Calibri" w:hAnsi="Book Antiqua" w:cs="Arial"/>
          <w:sz w:val="24"/>
          <w:szCs w:val="24"/>
        </w:rPr>
      </w:pPr>
    </w:p>
    <w:p w14:paraId="10AFCF83"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6245-Identity-H"/>
          <w:b/>
          <w:bCs/>
          <w:i/>
          <w:iCs/>
          <w:color w:val="0A0A0A"/>
          <w:sz w:val="24"/>
          <w:szCs w:val="24"/>
        </w:rPr>
      </w:pPr>
      <w:r w:rsidRPr="00E03A52">
        <w:rPr>
          <w:rFonts w:ascii="Book Antiqua" w:eastAsia="Calibri" w:hAnsi="Book Antiqua" w:cs="*Arial-6245-Identity-H"/>
          <w:b/>
          <w:bCs/>
          <w:i/>
          <w:iCs/>
          <w:color w:val="0A0A0A"/>
          <w:sz w:val="24"/>
          <w:szCs w:val="24"/>
        </w:rPr>
        <w:t>“Artículo 186- Examen y ampliación de peritajes en audiencias</w:t>
      </w:r>
    </w:p>
    <w:p w14:paraId="43B88777"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6245-Identity-H"/>
          <w:i/>
          <w:iCs/>
          <w:color w:val="0B0B0B"/>
          <w:sz w:val="24"/>
          <w:szCs w:val="24"/>
        </w:rPr>
      </w:pPr>
      <w:r w:rsidRPr="00E03A52">
        <w:rPr>
          <w:rFonts w:ascii="Book Antiqua" w:eastAsia="Calibri" w:hAnsi="Book Antiqua" w:cs="*Arial-6245-Identity-H"/>
          <w:i/>
          <w:iCs/>
          <w:color w:val="0B0B0B"/>
          <w:sz w:val="24"/>
          <w:szCs w:val="24"/>
        </w:rPr>
        <w:t>Cuando así lo determine el tribunal, la persona perita deberá comparecer a la</w:t>
      </w:r>
    </w:p>
    <w:p w14:paraId="1931C6E3"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
          <w:i/>
          <w:iCs/>
          <w:sz w:val="24"/>
          <w:szCs w:val="24"/>
        </w:rPr>
      </w:pPr>
      <w:r w:rsidRPr="00E03A52">
        <w:rPr>
          <w:rFonts w:ascii="Book Antiqua" w:eastAsia="Calibri" w:hAnsi="Book Antiqua" w:cs="*Arial-6245-Identity-H"/>
          <w:i/>
          <w:iCs/>
          <w:color w:val="0B0B0B"/>
          <w:sz w:val="24"/>
          <w:szCs w:val="24"/>
        </w:rPr>
        <w:t xml:space="preserve">audiencia de prueba para informar, ampliar o aclarar la pericia y lo hará de la forma más sencilla posible. Las partes podrán hacerse acompañar, para estos efectos, de una persona profesional en la materia, quien podrá solicitar, por medio de la autoridad judicial, las aclaraciones y adiciones que sean necesarias.”. </w:t>
      </w:r>
    </w:p>
    <w:p w14:paraId="25A7A019" w14:textId="77777777" w:rsidR="00E03A52" w:rsidRPr="00E03A52" w:rsidRDefault="00E03A52" w:rsidP="00E03A52">
      <w:pPr>
        <w:spacing w:after="0" w:line="276" w:lineRule="auto"/>
        <w:ind w:left="284"/>
        <w:jc w:val="both"/>
        <w:rPr>
          <w:rFonts w:ascii="Book Antiqua" w:eastAsia="Calibri" w:hAnsi="Book Antiqua" w:cs="Arial"/>
          <w:sz w:val="24"/>
          <w:szCs w:val="24"/>
        </w:rPr>
      </w:pPr>
    </w:p>
    <w:p w14:paraId="2AB5AA50" w14:textId="60D4C607" w:rsidR="00E03A52" w:rsidRPr="00E03A52" w:rsidRDefault="00E03A52" w:rsidP="00E03A52">
      <w:pPr>
        <w:spacing w:after="0" w:line="276" w:lineRule="auto"/>
        <w:jc w:val="both"/>
        <w:rPr>
          <w:rFonts w:ascii="Book Antiqua" w:eastAsia="Calibri" w:hAnsi="Book Antiqua" w:cs="Arial"/>
          <w:sz w:val="24"/>
        </w:rPr>
      </w:pPr>
      <w:r w:rsidRPr="00E03A52">
        <w:rPr>
          <w:rFonts w:ascii="Book Antiqua" w:eastAsia="Calibri" w:hAnsi="Book Antiqua" w:cs="Arial"/>
          <w:sz w:val="24"/>
        </w:rPr>
        <w:t xml:space="preserve">Conforme lo indicado por la </w:t>
      </w:r>
      <w:r w:rsidR="00812A7D">
        <w:rPr>
          <w:rFonts w:ascii="Book Antiqua" w:eastAsia="Calibri" w:hAnsi="Book Antiqua" w:cs="Arial"/>
          <w:sz w:val="24"/>
        </w:rPr>
        <w:t>l</w:t>
      </w:r>
      <w:r w:rsidRPr="00E03A52">
        <w:rPr>
          <w:rFonts w:ascii="Book Antiqua" w:eastAsia="Calibri" w:hAnsi="Book Antiqua" w:cs="Arial"/>
          <w:sz w:val="24"/>
        </w:rPr>
        <w:t xml:space="preserve">icenciada Alba Gutiérrez Villalobos, </w:t>
      </w:r>
      <w:r w:rsidR="00812A7D">
        <w:rPr>
          <w:rFonts w:ascii="Book Antiqua" w:eastAsia="Calibri" w:hAnsi="Book Antiqua" w:cs="Arial"/>
          <w:sz w:val="24"/>
        </w:rPr>
        <w:t>J</w:t>
      </w:r>
      <w:r w:rsidRPr="00E03A52">
        <w:rPr>
          <w:rFonts w:ascii="Book Antiqua" w:eastAsia="Calibri" w:hAnsi="Book Antiqua" w:cs="Arial"/>
          <w:sz w:val="24"/>
        </w:rPr>
        <w:t>efatura del Departamento de Trabajo Social Psicología (DTSP) en sesión de trabajo del 29 de enero de 2021 (minuta 49-PLA-MI-MNTA-2021</w:t>
      </w:r>
      <w:r w:rsidRPr="002609AA">
        <w:rPr>
          <w:rFonts w:ascii="Book Antiqua" w:eastAsia="Calibri" w:hAnsi="Book Antiqua" w:cs="Arial"/>
          <w:sz w:val="24"/>
        </w:rPr>
        <w:t>-</w:t>
      </w:r>
      <w:r w:rsidRPr="002609AA">
        <w:rPr>
          <w:rFonts w:ascii="Book Antiqua" w:eastAsia="Calibri" w:hAnsi="Book Antiqua" w:cs="Arial"/>
          <w:b/>
          <w:bCs/>
          <w:i/>
          <w:iCs/>
          <w:sz w:val="24"/>
        </w:rPr>
        <w:t xml:space="preserve">anexo </w:t>
      </w:r>
      <w:r w:rsidR="00C43B80">
        <w:rPr>
          <w:rFonts w:ascii="Book Antiqua" w:eastAsia="Calibri" w:hAnsi="Book Antiqua" w:cs="Arial"/>
          <w:b/>
          <w:bCs/>
          <w:i/>
          <w:iCs/>
          <w:sz w:val="24"/>
        </w:rPr>
        <w:t>9</w:t>
      </w:r>
      <w:r w:rsidRPr="002609AA">
        <w:rPr>
          <w:rFonts w:ascii="Book Antiqua" w:eastAsia="Calibri" w:hAnsi="Book Antiqua" w:cs="Arial"/>
          <w:sz w:val="24"/>
        </w:rPr>
        <w:t>); respecto</w:t>
      </w:r>
      <w:r w:rsidRPr="00E03A52">
        <w:rPr>
          <w:rFonts w:ascii="Book Antiqua" w:eastAsia="Calibri" w:hAnsi="Book Antiqua" w:cs="Arial"/>
          <w:sz w:val="24"/>
        </w:rPr>
        <w:t xml:space="preserve"> a la valoración de menores de 12 años, ya el departamento las realiza, pero en materia penal principalmente, </w:t>
      </w:r>
      <w:r w:rsidRPr="00391382">
        <w:rPr>
          <w:rFonts w:ascii="Book Antiqua" w:eastAsia="Calibri" w:hAnsi="Book Antiqua" w:cs="Arial"/>
          <w:b/>
          <w:bCs/>
          <w:sz w:val="24"/>
        </w:rPr>
        <w:t>por lo que el cambio radicará básicamente en la materia, pero la metodología ya se tiene.</w:t>
      </w:r>
      <w:r w:rsidRPr="00E03A52">
        <w:rPr>
          <w:rFonts w:ascii="Book Antiqua" w:eastAsia="Calibri" w:hAnsi="Book Antiqua" w:cs="Arial"/>
          <w:sz w:val="24"/>
        </w:rPr>
        <w:t xml:space="preserve"> </w:t>
      </w:r>
    </w:p>
    <w:p w14:paraId="04ED7C72" w14:textId="77777777" w:rsidR="00FC14AD" w:rsidRDefault="00FC14AD" w:rsidP="00AD2B6E">
      <w:pPr>
        <w:spacing w:after="0" w:line="276" w:lineRule="auto"/>
        <w:jc w:val="both"/>
        <w:rPr>
          <w:rFonts w:ascii="Book Antiqua" w:eastAsia="Calibri" w:hAnsi="Book Antiqua" w:cs="Arial"/>
          <w:sz w:val="24"/>
        </w:rPr>
      </w:pPr>
    </w:p>
    <w:p w14:paraId="5E9E1C3D" w14:textId="66B69135" w:rsidR="00AD2B6E" w:rsidRPr="00AD2B6E" w:rsidRDefault="00AD2B6E" w:rsidP="00AD2B6E">
      <w:pPr>
        <w:spacing w:after="0" w:line="276" w:lineRule="auto"/>
        <w:jc w:val="both"/>
        <w:rPr>
          <w:rFonts w:ascii="Book Antiqua" w:eastAsia="Calibri" w:hAnsi="Book Antiqua" w:cs="Arial"/>
          <w:sz w:val="24"/>
        </w:rPr>
      </w:pPr>
      <w:r w:rsidRPr="00BC6C07">
        <w:rPr>
          <w:rFonts w:ascii="Book Antiqua" w:eastAsia="Calibri" w:hAnsi="Book Antiqua" w:cs="Arial"/>
          <w:sz w:val="24"/>
        </w:rPr>
        <w:t>Respecto al punto 2, una vez entrada en vigencia la Ley, es que se podrá valorar el impacto. Se cuenta con el antecedente en materia de Trabajo en donde a la fecha solo se tuvo que rendir el dictamen en audiencia en 1 ocasión (la reforma al Código de Trabajo entró en vigencia en julio 2017).</w:t>
      </w:r>
    </w:p>
    <w:p w14:paraId="72AE48DE" w14:textId="77777777" w:rsidR="00AD2B6E" w:rsidRPr="00AD2B6E" w:rsidRDefault="00AD2B6E" w:rsidP="00AD2B6E">
      <w:pPr>
        <w:spacing w:after="0" w:line="276" w:lineRule="auto"/>
        <w:jc w:val="both"/>
        <w:rPr>
          <w:rFonts w:ascii="Book Antiqua" w:eastAsia="Calibri" w:hAnsi="Book Antiqua" w:cs="Arial"/>
          <w:sz w:val="24"/>
        </w:rPr>
      </w:pPr>
    </w:p>
    <w:p w14:paraId="232E5E64" w14:textId="77777777" w:rsidR="00AD2B6E" w:rsidRPr="00AD2B6E" w:rsidRDefault="00AD2B6E" w:rsidP="00AD2B6E">
      <w:pPr>
        <w:spacing w:after="0" w:line="276" w:lineRule="auto"/>
        <w:jc w:val="both"/>
        <w:rPr>
          <w:rFonts w:ascii="Book Antiqua" w:eastAsia="Calibri" w:hAnsi="Book Antiqua" w:cs="Arial"/>
          <w:sz w:val="24"/>
        </w:rPr>
      </w:pPr>
      <w:r w:rsidRPr="00AD2B6E">
        <w:rPr>
          <w:rFonts w:ascii="Book Antiqua" w:eastAsia="Calibri" w:hAnsi="Book Antiqua" w:cs="Arial"/>
          <w:sz w:val="24"/>
        </w:rPr>
        <w:t xml:space="preserve">Respecto a la preparación del DTSP para la entrada en vigencia del Código Procesal de Familia se indica en la minuta de la sesión de trabajo: </w:t>
      </w:r>
    </w:p>
    <w:p w14:paraId="44E7F1FA" w14:textId="77777777" w:rsidR="00AD2B6E" w:rsidRPr="00AD2B6E" w:rsidRDefault="00AD2B6E" w:rsidP="00AD2B6E">
      <w:pPr>
        <w:spacing w:after="0"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t>“…</w:t>
      </w:r>
    </w:p>
    <w:p w14:paraId="113AE0E2" w14:textId="77777777" w:rsidR="00AD2B6E" w:rsidRPr="00AD2B6E" w:rsidRDefault="00AD2B6E" w:rsidP="003472C3">
      <w:pPr>
        <w:spacing w:after="0"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t>1.</w:t>
      </w:r>
      <w:r w:rsidRPr="00AD2B6E">
        <w:rPr>
          <w:rFonts w:ascii="Book Antiqua" w:eastAsia="Calibri" w:hAnsi="Book Antiqua" w:cs="Arial"/>
          <w:i/>
          <w:iCs/>
          <w:sz w:val="24"/>
          <w:szCs w:val="24"/>
        </w:rPr>
        <w:tab/>
        <w:t>Doña Alba explica en el DTSP como parte de las acciones de preparación entrada en vigencia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68686694" w14:textId="77777777" w:rsidR="00812A7D" w:rsidRDefault="00AD2B6E" w:rsidP="00812A7D">
      <w:pPr>
        <w:spacing w:after="0" w:line="240" w:lineRule="auto"/>
        <w:ind w:left="567" w:right="618"/>
        <w:jc w:val="both"/>
        <w:rPr>
          <w:rFonts w:ascii="Book Antiqua" w:eastAsia="Calibri" w:hAnsi="Book Antiqua" w:cs="Arial"/>
          <w:i/>
          <w:iCs/>
          <w:sz w:val="24"/>
          <w:szCs w:val="24"/>
        </w:rPr>
      </w:pPr>
      <w:r w:rsidRPr="00AD2B6E">
        <w:rPr>
          <w:rFonts w:ascii="Book Antiqua" w:eastAsia="Calibri" w:hAnsi="Book Antiqua" w:cs="Arial"/>
          <w:i/>
          <w:iCs/>
          <w:sz w:val="24"/>
          <w:szCs w:val="24"/>
        </w:rPr>
        <w:t>2.</w:t>
      </w:r>
      <w:r w:rsidRPr="00AD2B6E">
        <w:rPr>
          <w:rFonts w:ascii="Book Antiqua" w:eastAsia="Calibri" w:hAnsi="Book Antiqua" w:cs="Arial"/>
          <w:i/>
          <w:iCs/>
          <w:sz w:val="24"/>
          <w:szCs w:val="24"/>
        </w:rPr>
        <w:tab/>
        <w:t>También informa que el año pasado, el DTSP a nivel nacional consolidó las dudas del personal respecto al CPF y sostuvo una reunión con el Lic. Cristian Martínez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w:t>
      </w:r>
      <w:r w:rsidR="00E64F82">
        <w:rPr>
          <w:rFonts w:ascii="Book Antiqua" w:eastAsia="Calibri" w:hAnsi="Book Antiqua" w:cs="Arial"/>
          <w:i/>
          <w:iCs/>
          <w:sz w:val="24"/>
          <w:szCs w:val="24"/>
        </w:rPr>
        <w:t xml:space="preserve"> </w:t>
      </w:r>
      <w:r w:rsidR="00E64F82" w:rsidRPr="00E64F82">
        <w:rPr>
          <w:rFonts w:ascii="Book Antiqua" w:eastAsia="Calibri" w:hAnsi="Book Antiqua" w:cs="Arial"/>
          <w:i/>
          <w:iCs/>
          <w:sz w:val="24"/>
          <w:szCs w:val="24"/>
        </w:rPr>
        <w:t>del DTSP las nuevas competencias y el alcance del CPF dentro de su labor ordinaria incluyendo la participación en audiencias simuladas para mejorar las habilidades de cada uno en oralidad.</w:t>
      </w:r>
    </w:p>
    <w:p w14:paraId="0C5BD98A" w14:textId="59F35DF5" w:rsidR="00E64F82" w:rsidRPr="00E64F82" w:rsidRDefault="00E64F82" w:rsidP="00812A7D">
      <w:pPr>
        <w:spacing w:after="0" w:line="240" w:lineRule="auto"/>
        <w:ind w:left="567" w:right="618"/>
        <w:jc w:val="both"/>
        <w:rPr>
          <w:rFonts w:ascii="Book Antiqua" w:eastAsia="Calibri" w:hAnsi="Book Antiqua" w:cs="Arial"/>
          <w:i/>
          <w:iCs/>
          <w:sz w:val="24"/>
          <w:szCs w:val="24"/>
        </w:rPr>
      </w:pPr>
      <w:r w:rsidRPr="00E64F82">
        <w:rPr>
          <w:rFonts w:ascii="Book Antiqua" w:eastAsia="Calibri" w:hAnsi="Book Antiqua" w:cs="Arial"/>
          <w:i/>
          <w:iCs/>
          <w:sz w:val="24"/>
          <w:szCs w:val="24"/>
        </w:rPr>
        <w:t>3.</w:t>
      </w:r>
      <w:r w:rsidRPr="00E64F82">
        <w:rPr>
          <w:rFonts w:ascii="Book Antiqua" w:eastAsia="Calibri" w:hAnsi="Book Antiqua" w:cs="Arial"/>
          <w:i/>
          <w:iCs/>
          <w:sz w:val="24"/>
          <w:szCs w:val="24"/>
        </w:rPr>
        <w:tab/>
        <w:t xml:space="preserve">Lo anterior, dado que a partir de la entrada en vigencia del CPF el profesional debe estar en capacidad de rendir el dictamen, ampliarlo, contestar dudas durante la audiencia oral si así lo considera la persona juzgadora.  </w:t>
      </w:r>
    </w:p>
    <w:p w14:paraId="3AB5473E" w14:textId="77777777" w:rsidR="00E64F82" w:rsidRPr="00E64F82" w:rsidRDefault="00E64F82" w:rsidP="003472C3">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 xml:space="preserve">Al respecto se le consultó a la Licda. Alba sobre la experiencia en Laboral, a casi 4 años de entrada en vigencia de la reforma, que también daba la posibilidad para que los peritajes en materia de seguridad social se rendieran de forma oral durante la audiencia, a lo que indica que solamente ha habido 1 experiencia en donde se solicitó de esa forma la pericia. </w:t>
      </w:r>
    </w:p>
    <w:p w14:paraId="577AF3A2" w14:textId="77777777" w:rsidR="00E64F82" w:rsidRPr="00E64F82" w:rsidRDefault="00E64F82" w:rsidP="00E64F82">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4.</w:t>
      </w:r>
      <w:r w:rsidRPr="00E64F82">
        <w:rPr>
          <w:rFonts w:ascii="Book Antiqua" w:eastAsia="Calibri" w:hAnsi="Book Antiqua" w:cs="Arial"/>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22E16D16" w14:textId="784E5292" w:rsidR="00E64F82" w:rsidRPr="00E64F82" w:rsidRDefault="00E64F82" w:rsidP="00E64F82">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5.</w:t>
      </w:r>
      <w:r w:rsidRPr="00E64F82">
        <w:rPr>
          <w:rFonts w:ascii="Book Antiqua" w:eastAsia="Calibri" w:hAnsi="Book Antiqua" w:cs="Arial"/>
          <w:i/>
          <w:iCs/>
          <w:sz w:val="24"/>
          <w:szCs w:val="24"/>
        </w:rPr>
        <w:tab/>
        <w:t>Respecto a lo que establece el artículo 41 del CPF sobre la valoración de personas menores de 12 años que quieran formar parte del proceso de familia, indica doña Alba que ese tipo de valoración ya la hace el Departamento en materia penal, el cambio sería en que ahora se sumaran los casos en materia de familia.”.</w:t>
      </w:r>
    </w:p>
    <w:p w14:paraId="2FB8AA94" w14:textId="3548DF48" w:rsidR="0080427B" w:rsidRDefault="0080427B" w:rsidP="00AD2B6E">
      <w:pPr>
        <w:spacing w:line="276" w:lineRule="auto"/>
        <w:jc w:val="both"/>
        <w:rPr>
          <w:rFonts w:ascii="Book Antiqua" w:hAnsi="Book Antiqua"/>
          <w:sz w:val="24"/>
          <w:szCs w:val="24"/>
        </w:rPr>
      </w:pPr>
    </w:p>
    <w:p w14:paraId="555F7951" w14:textId="17CEBCD4" w:rsidR="007A6D89" w:rsidRPr="007A6D89" w:rsidRDefault="00C27B4F" w:rsidP="00C27B4F">
      <w:pPr>
        <w:keepNext/>
        <w:widowControl w:val="0"/>
        <w:tabs>
          <w:tab w:val="left" w:pos="993"/>
        </w:tabs>
        <w:spacing w:before="120" w:after="0" w:line="276" w:lineRule="auto"/>
        <w:jc w:val="both"/>
        <w:outlineLvl w:val="3"/>
        <w:rPr>
          <w:rFonts w:ascii="Book Antiqua" w:eastAsia="Times New Roman" w:hAnsi="Book Antiqua" w:cs="Times New Roman"/>
          <w:b/>
          <w:bCs/>
          <w:sz w:val="24"/>
          <w:szCs w:val="24"/>
        </w:rPr>
      </w:pPr>
      <w:r w:rsidRPr="007A6D89">
        <w:rPr>
          <w:rFonts w:ascii="Book Antiqua" w:eastAsia="Times New Roman" w:hAnsi="Book Antiqua" w:cs="Times New Roman"/>
          <w:b/>
          <w:bCs/>
          <w:sz w:val="24"/>
          <w:szCs w:val="24"/>
        </w:rPr>
        <w:t>Presupuesto para contratación de pericias</w:t>
      </w:r>
    </w:p>
    <w:p w14:paraId="35FF0337" w14:textId="78759B2D" w:rsidR="007A6D89" w:rsidRDefault="007A6D89" w:rsidP="007A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w:t>
      </w:r>
      <w:r w:rsidRPr="00A763D8">
        <w:rPr>
          <w:rFonts w:ascii="Book Antiqua" w:eastAsia="Calibri" w:hAnsi="Book Antiqua" w:cs="Arial"/>
          <w:sz w:val="24"/>
          <w:szCs w:val="24"/>
        </w:rPr>
        <w:t xml:space="preserve">ara </w:t>
      </w:r>
      <w:r>
        <w:rPr>
          <w:rFonts w:ascii="Book Antiqua" w:eastAsia="Calibri" w:hAnsi="Book Antiqua" w:cs="Arial"/>
          <w:sz w:val="24"/>
          <w:szCs w:val="24"/>
        </w:rPr>
        <w:t xml:space="preserve">2020, </w:t>
      </w:r>
      <w:r w:rsidRPr="00A763D8">
        <w:rPr>
          <w:rFonts w:ascii="Book Antiqua" w:eastAsia="Calibri" w:hAnsi="Book Antiqua" w:cs="Arial"/>
          <w:sz w:val="24"/>
          <w:szCs w:val="24"/>
        </w:rPr>
        <w:t>2021</w:t>
      </w:r>
      <w:r>
        <w:rPr>
          <w:rFonts w:ascii="Book Antiqua" w:eastAsia="Calibri" w:hAnsi="Book Antiqua" w:cs="Arial"/>
          <w:sz w:val="24"/>
          <w:szCs w:val="24"/>
        </w:rPr>
        <w:t xml:space="preserve"> y 2022</w:t>
      </w:r>
      <w:r w:rsidRPr="00A763D8">
        <w:rPr>
          <w:rFonts w:ascii="Book Antiqua" w:eastAsia="Calibri" w:hAnsi="Book Antiqua" w:cs="Arial"/>
          <w:sz w:val="24"/>
          <w:szCs w:val="24"/>
        </w:rPr>
        <w:t xml:space="preserve">, se incluyó en el presupuesto ordinario de la Institución un monto de 30 millones de colones </w:t>
      </w:r>
      <w:r>
        <w:rPr>
          <w:rFonts w:ascii="Book Antiqua" w:eastAsia="Calibri" w:hAnsi="Book Antiqua" w:cs="Arial"/>
          <w:sz w:val="24"/>
          <w:szCs w:val="24"/>
        </w:rPr>
        <w:t xml:space="preserve">respectivamente, </w:t>
      </w:r>
      <w:r w:rsidRPr="00A763D8">
        <w:rPr>
          <w:rFonts w:ascii="Book Antiqua" w:eastAsia="Calibri" w:hAnsi="Book Antiqua" w:cs="Arial"/>
          <w:sz w:val="24"/>
          <w:szCs w:val="24"/>
        </w:rPr>
        <w:t xml:space="preserve">a fin de que el Departamento </w:t>
      </w:r>
      <w:r>
        <w:rPr>
          <w:rFonts w:ascii="Book Antiqua" w:eastAsia="Calibri" w:hAnsi="Book Antiqua" w:cs="Arial"/>
          <w:sz w:val="24"/>
          <w:szCs w:val="24"/>
        </w:rPr>
        <w:t>d</w:t>
      </w:r>
      <w:r w:rsidRPr="00A763D8">
        <w:rPr>
          <w:rFonts w:ascii="Book Antiqua" w:eastAsia="Calibri" w:hAnsi="Book Antiqua" w:cs="Arial"/>
          <w:sz w:val="24"/>
          <w:szCs w:val="24"/>
        </w:rPr>
        <w:t>e Trabajo Social y Psicología, gestion</w:t>
      </w:r>
      <w:r>
        <w:rPr>
          <w:rFonts w:ascii="Book Antiqua" w:eastAsia="Calibri" w:hAnsi="Book Antiqua" w:cs="Arial"/>
          <w:sz w:val="24"/>
          <w:szCs w:val="24"/>
        </w:rPr>
        <w:t>ara</w:t>
      </w:r>
      <w:r w:rsidRPr="00A763D8">
        <w:rPr>
          <w:rFonts w:ascii="Book Antiqua" w:eastAsia="Calibri" w:hAnsi="Book Antiqua" w:cs="Arial"/>
          <w:sz w:val="24"/>
          <w:szCs w:val="24"/>
        </w:rPr>
        <w:t xml:space="preserve"> el plan de trabajo necesario para que distintas pericias sean asumidas por peritos externos al departamento y contratados con el presupuesto disponible para esos efectos.  </w:t>
      </w:r>
    </w:p>
    <w:p w14:paraId="2C7F4D10" w14:textId="77777777" w:rsidR="007A6D89" w:rsidRDefault="007A6D89" w:rsidP="0069724A">
      <w:pPr>
        <w:rPr>
          <w:highlight w:val="magenta"/>
        </w:rPr>
      </w:pPr>
    </w:p>
    <w:p w14:paraId="67E2436A" w14:textId="71655AF6" w:rsidR="007A6D89" w:rsidRDefault="007A6D89" w:rsidP="007A6D89">
      <w:pPr>
        <w:spacing w:after="0" w:line="276" w:lineRule="auto"/>
        <w:jc w:val="both"/>
        <w:rPr>
          <w:rFonts w:ascii="Book Antiqua" w:eastAsia="Calibri" w:hAnsi="Book Antiqua" w:cs="Arial"/>
          <w:sz w:val="24"/>
          <w:szCs w:val="24"/>
        </w:rPr>
      </w:pPr>
      <w:r w:rsidRPr="00585486">
        <w:rPr>
          <w:rFonts w:ascii="Book Antiqua" w:eastAsia="Calibri" w:hAnsi="Book Antiqua" w:cs="Arial"/>
          <w:sz w:val="24"/>
          <w:szCs w:val="24"/>
        </w:rPr>
        <w:t>Para 202</w:t>
      </w:r>
      <w:r>
        <w:rPr>
          <w:rFonts w:ascii="Book Antiqua" w:eastAsia="Calibri" w:hAnsi="Book Antiqua" w:cs="Arial"/>
          <w:sz w:val="24"/>
          <w:szCs w:val="24"/>
        </w:rPr>
        <w:t>3</w:t>
      </w:r>
      <w:r w:rsidRPr="00585486">
        <w:rPr>
          <w:rFonts w:ascii="Book Antiqua" w:eastAsia="Calibri" w:hAnsi="Book Antiqua" w:cs="Arial"/>
          <w:sz w:val="24"/>
          <w:szCs w:val="24"/>
        </w:rPr>
        <w:t xml:space="preserve">, </w:t>
      </w:r>
      <w:bookmarkStart w:id="27" w:name="_Hlk127951970"/>
      <w:r w:rsidRPr="00585486">
        <w:rPr>
          <w:rFonts w:ascii="Book Antiqua" w:eastAsia="Calibri" w:hAnsi="Book Antiqua" w:cs="Arial"/>
          <w:sz w:val="24"/>
          <w:szCs w:val="24"/>
        </w:rPr>
        <w:t>se incluye</w:t>
      </w:r>
      <w:r>
        <w:rPr>
          <w:rFonts w:ascii="Book Antiqua" w:eastAsia="Calibri" w:hAnsi="Book Antiqua" w:cs="Arial"/>
          <w:sz w:val="24"/>
          <w:szCs w:val="24"/>
        </w:rPr>
        <w:t xml:space="preserve"> incorporar</w:t>
      </w:r>
      <w:r w:rsidRPr="00585486">
        <w:rPr>
          <w:rFonts w:ascii="Book Antiqua" w:eastAsia="Calibri" w:hAnsi="Book Antiqua" w:cs="Arial"/>
          <w:sz w:val="24"/>
          <w:szCs w:val="24"/>
        </w:rPr>
        <w:t xml:space="preserve"> en el presupuesto </w:t>
      </w:r>
      <w:r>
        <w:rPr>
          <w:rFonts w:ascii="Book Antiqua" w:eastAsia="Calibri" w:hAnsi="Book Antiqua" w:cs="Arial"/>
          <w:sz w:val="24"/>
          <w:szCs w:val="24"/>
        </w:rPr>
        <w:t xml:space="preserve">del DTSP </w:t>
      </w:r>
      <w:r w:rsidRPr="009D3DA6">
        <w:rPr>
          <w:rFonts w:ascii="Book Antiqua" w:eastAsia="Calibri" w:hAnsi="Book Antiqua" w:cs="Arial"/>
          <w:sz w:val="24"/>
          <w:szCs w:val="24"/>
        </w:rPr>
        <w:t xml:space="preserve">el monto de </w:t>
      </w:r>
      <w:r w:rsidRPr="009D3DA6">
        <w:rPr>
          <w:rFonts w:ascii="Book Antiqua" w:eastAsia="Calibri" w:hAnsi="Book Antiqua" w:cs="Arial"/>
          <w:sz w:val="24"/>
          <w:szCs w:val="24"/>
          <w:shd w:val="clear" w:color="auto" w:fill="FFFFFF" w:themeFill="background1"/>
        </w:rPr>
        <w:t>60 millones de colones</w:t>
      </w:r>
      <w:r w:rsidRPr="009D3DA6">
        <w:rPr>
          <w:rFonts w:ascii="Book Antiqua" w:eastAsia="Calibri" w:hAnsi="Book Antiqua" w:cs="Arial"/>
          <w:sz w:val="24"/>
          <w:szCs w:val="24"/>
        </w:rPr>
        <w:t xml:space="preserve"> para garantizar la atención célere de los dictámenes</w:t>
      </w:r>
      <w:r w:rsidRPr="00585486">
        <w:rPr>
          <w:rFonts w:ascii="Book Antiqua" w:eastAsia="Calibri" w:hAnsi="Book Antiqua" w:cs="Arial"/>
          <w:sz w:val="24"/>
          <w:szCs w:val="24"/>
        </w:rPr>
        <w:t xml:space="preserve"> solicitados por los distintos juzgados de familia a nivel nacional y permitir que el Departamento de Trabajo Social y Psicología pueda reducir al mínimo los plazos de respuesta para la realización de las valoraciones solicitadas en adelante</w:t>
      </w:r>
      <w:r>
        <w:rPr>
          <w:rFonts w:ascii="Book Antiqua" w:eastAsia="Calibri" w:hAnsi="Book Antiqua" w:cs="Arial"/>
          <w:sz w:val="24"/>
          <w:szCs w:val="24"/>
        </w:rPr>
        <w:t>, tanto en materia de Familia como en Violencia Doméstica</w:t>
      </w:r>
      <w:bookmarkEnd w:id="27"/>
      <w:r>
        <w:rPr>
          <w:rFonts w:ascii="Book Antiqua" w:eastAsia="Calibri" w:hAnsi="Book Antiqua" w:cs="Arial"/>
          <w:sz w:val="24"/>
          <w:szCs w:val="24"/>
        </w:rPr>
        <w:t>.</w:t>
      </w:r>
    </w:p>
    <w:p w14:paraId="53B3D27C" w14:textId="349ED2F6" w:rsidR="007A6D89" w:rsidRDefault="007A6D89" w:rsidP="007A6D89">
      <w:pPr>
        <w:spacing w:after="0" w:line="276" w:lineRule="auto"/>
        <w:jc w:val="both"/>
        <w:rPr>
          <w:rFonts w:ascii="Book Antiqua" w:eastAsia="Calibri" w:hAnsi="Book Antiqua" w:cs="Arial"/>
          <w:sz w:val="24"/>
          <w:szCs w:val="24"/>
        </w:rPr>
      </w:pPr>
    </w:p>
    <w:p w14:paraId="6F88E06B" w14:textId="53726BB8" w:rsidR="007E0DBC" w:rsidRPr="002E2349" w:rsidRDefault="007E0DBC" w:rsidP="007E0DBC">
      <w:pPr>
        <w:jc w:val="both"/>
        <w:rPr>
          <w:rFonts w:ascii="Book Antiqua" w:eastAsia="Calibri" w:hAnsi="Book Antiqua" w:cs="Arial"/>
          <w:sz w:val="24"/>
          <w:szCs w:val="24"/>
        </w:rPr>
      </w:pPr>
      <w:r>
        <w:rPr>
          <w:rFonts w:ascii="Book Antiqua" w:eastAsia="Calibri" w:hAnsi="Book Antiqua" w:cs="Arial"/>
          <w:sz w:val="24"/>
          <w:szCs w:val="24"/>
        </w:rPr>
        <w:t xml:space="preserve">Por otra parte, mediante correo electrónico del 9 de febrero de 2023, la MSc. Alba Gutiérrez Villalobos, Jefa del Departamento de Trabajo Social y Psicología, informa sobre la ejecución de los 30 000 000 (treinta millones de colones exactos), para el periodo 2022, informado al Consejo Superior mediante oficio </w:t>
      </w:r>
      <w:r w:rsidRPr="002E2349">
        <w:rPr>
          <w:rFonts w:ascii="Book Antiqua" w:eastAsia="Calibri" w:hAnsi="Book Antiqua" w:cs="Arial"/>
          <w:sz w:val="24"/>
          <w:szCs w:val="24"/>
        </w:rPr>
        <w:t>DTSP-007-2023</w:t>
      </w:r>
      <w:r>
        <w:rPr>
          <w:rFonts w:ascii="Book Antiqua" w:eastAsia="Calibri" w:hAnsi="Book Antiqua" w:cs="Arial"/>
          <w:sz w:val="24"/>
          <w:szCs w:val="24"/>
        </w:rPr>
        <w:t>, del DTSP el 19 de enero de 2023 (</w:t>
      </w:r>
      <w:r w:rsidRPr="000C455F">
        <w:rPr>
          <w:rFonts w:ascii="Book Antiqua" w:eastAsia="Calibri" w:hAnsi="Book Antiqua" w:cs="Arial"/>
          <w:b/>
          <w:bCs/>
          <w:sz w:val="24"/>
          <w:szCs w:val="24"/>
        </w:rPr>
        <w:t xml:space="preserve">anexo </w:t>
      </w:r>
      <w:r w:rsidR="000C455F">
        <w:rPr>
          <w:rFonts w:ascii="Book Antiqua" w:eastAsia="Calibri" w:hAnsi="Book Antiqua" w:cs="Arial"/>
          <w:b/>
          <w:bCs/>
          <w:sz w:val="24"/>
          <w:szCs w:val="24"/>
        </w:rPr>
        <w:t>8</w:t>
      </w:r>
      <w:r w:rsidRPr="00836F00">
        <w:rPr>
          <w:rFonts w:ascii="Book Antiqua" w:eastAsia="Calibri" w:hAnsi="Book Antiqua" w:cs="Arial"/>
          <w:sz w:val="24"/>
          <w:szCs w:val="24"/>
        </w:rPr>
        <w:t>).</w:t>
      </w:r>
    </w:p>
    <w:p w14:paraId="414EAB62" w14:textId="65FA45A6" w:rsidR="000C455F" w:rsidRPr="000C455F" w:rsidRDefault="000C455F" w:rsidP="000C455F">
      <w:pPr>
        <w:jc w:val="both"/>
        <w:rPr>
          <w:rFonts w:ascii="Book Antiqua" w:eastAsia="Calibri" w:hAnsi="Book Antiqua" w:cs="Arial"/>
          <w:sz w:val="24"/>
          <w:szCs w:val="24"/>
        </w:rPr>
      </w:pPr>
      <w:r w:rsidRPr="000C455F">
        <w:rPr>
          <w:rFonts w:ascii="Book Antiqua" w:eastAsia="Calibri" w:hAnsi="Book Antiqua" w:cs="Arial"/>
          <w:sz w:val="24"/>
          <w:szCs w:val="24"/>
        </w:rPr>
        <w:t>De</w:t>
      </w:r>
      <w:r w:rsidR="00861846">
        <w:rPr>
          <w:rFonts w:ascii="Book Antiqua" w:eastAsia="Calibri" w:hAnsi="Book Antiqua" w:cs="Arial"/>
          <w:sz w:val="24"/>
          <w:szCs w:val="24"/>
        </w:rPr>
        <w:t>l</w:t>
      </w:r>
      <w:r w:rsidRPr="000C455F">
        <w:rPr>
          <w:rFonts w:ascii="Book Antiqua" w:eastAsia="Calibri" w:hAnsi="Book Antiqua" w:cs="Arial"/>
          <w:sz w:val="24"/>
          <w:szCs w:val="24"/>
        </w:rPr>
        <w:t xml:space="preserve"> </w:t>
      </w:r>
      <w:r w:rsidR="00861846">
        <w:rPr>
          <w:rFonts w:ascii="Book Antiqua" w:eastAsia="Calibri" w:hAnsi="Book Antiqua" w:cs="Arial"/>
          <w:sz w:val="24"/>
          <w:szCs w:val="24"/>
        </w:rPr>
        <w:t xml:space="preserve">oficio </w:t>
      </w:r>
      <w:r w:rsidR="00861846" w:rsidRPr="002E2349">
        <w:rPr>
          <w:rFonts w:ascii="Book Antiqua" w:eastAsia="Calibri" w:hAnsi="Book Antiqua" w:cs="Arial"/>
          <w:sz w:val="24"/>
          <w:szCs w:val="24"/>
        </w:rPr>
        <w:t>DTSP-007-2023</w:t>
      </w:r>
      <w:r w:rsidR="00861846">
        <w:rPr>
          <w:rFonts w:ascii="Book Antiqua" w:eastAsia="Calibri" w:hAnsi="Book Antiqua" w:cs="Arial"/>
          <w:sz w:val="24"/>
          <w:szCs w:val="24"/>
        </w:rPr>
        <w:t xml:space="preserve">, se extrae que de </w:t>
      </w:r>
      <w:r w:rsidRPr="000C455F">
        <w:rPr>
          <w:rFonts w:ascii="Book Antiqua" w:eastAsia="Calibri" w:hAnsi="Book Antiqua" w:cs="Arial"/>
          <w:sz w:val="24"/>
          <w:szCs w:val="24"/>
        </w:rPr>
        <w:t>los 30.000.000, se ejecutaron 28.621.615,38 y se cedieron 12.870.574,00 a la Dirección Ejecutiva</w:t>
      </w:r>
      <w:r w:rsidR="00861846">
        <w:rPr>
          <w:rFonts w:ascii="Book Antiqua" w:eastAsia="Calibri" w:hAnsi="Book Antiqua" w:cs="Arial"/>
          <w:sz w:val="24"/>
          <w:szCs w:val="24"/>
        </w:rPr>
        <w:t>,</w:t>
      </w:r>
      <w:r w:rsidRPr="000C455F">
        <w:rPr>
          <w:rFonts w:ascii="Book Antiqua" w:eastAsia="Calibri" w:hAnsi="Book Antiqua" w:cs="Arial"/>
          <w:sz w:val="24"/>
          <w:szCs w:val="24"/>
        </w:rPr>
        <w:t xml:space="preserve"> y a diciembre de 2022, quedó un saldo sin ejecutar de 1.378.384,62 que fue caducado</w:t>
      </w:r>
      <w:r w:rsidR="00861846">
        <w:rPr>
          <w:rFonts w:ascii="Book Antiqua" w:eastAsia="Calibri" w:hAnsi="Book Antiqua" w:cs="Arial"/>
          <w:sz w:val="24"/>
          <w:szCs w:val="24"/>
        </w:rPr>
        <w:t>.</w:t>
      </w:r>
    </w:p>
    <w:p w14:paraId="302B6836" w14:textId="33236EFB" w:rsidR="000C455F" w:rsidRDefault="000C455F" w:rsidP="000C455F">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el 2024 </w:t>
      </w:r>
      <w:r w:rsidRPr="00617559">
        <w:rPr>
          <w:rFonts w:ascii="Book Antiqua" w:eastAsia="Calibri" w:hAnsi="Book Antiqua" w:cs="Arial"/>
          <w:sz w:val="24"/>
          <w:szCs w:val="24"/>
        </w:rPr>
        <w:t xml:space="preserve">se incluye </w:t>
      </w:r>
      <w:r>
        <w:rPr>
          <w:rFonts w:ascii="Book Antiqua" w:eastAsia="Calibri" w:hAnsi="Book Antiqua" w:cs="Arial"/>
          <w:sz w:val="24"/>
          <w:szCs w:val="24"/>
        </w:rPr>
        <w:t xml:space="preserve">nuevamente </w:t>
      </w:r>
      <w:r w:rsidRPr="00617559">
        <w:rPr>
          <w:rFonts w:ascii="Book Antiqua" w:eastAsia="Calibri" w:hAnsi="Book Antiqua" w:cs="Arial"/>
          <w:sz w:val="24"/>
          <w:szCs w:val="24"/>
        </w:rPr>
        <w:t>en el presupuesto del DTSP</w:t>
      </w:r>
      <w:r>
        <w:rPr>
          <w:rFonts w:ascii="Book Antiqua" w:eastAsia="Calibri" w:hAnsi="Book Antiqua" w:cs="Arial"/>
          <w:sz w:val="24"/>
          <w:szCs w:val="24"/>
        </w:rPr>
        <w:t xml:space="preserve">, </w:t>
      </w:r>
      <w:r w:rsidRPr="00617559">
        <w:rPr>
          <w:rFonts w:ascii="Book Antiqua" w:eastAsia="Calibri" w:hAnsi="Book Antiqua" w:cs="Arial"/>
          <w:sz w:val="24"/>
          <w:szCs w:val="24"/>
        </w:rPr>
        <w:t xml:space="preserve">el monto de 60 millones de colones para garantizar la atención </w:t>
      </w:r>
      <w:r>
        <w:rPr>
          <w:rFonts w:ascii="Book Antiqua" w:eastAsia="Calibri" w:hAnsi="Book Antiqua" w:cs="Arial"/>
          <w:sz w:val="24"/>
          <w:szCs w:val="24"/>
        </w:rPr>
        <w:t>oportuna y expedita</w:t>
      </w:r>
      <w:r w:rsidRPr="00617559">
        <w:rPr>
          <w:rFonts w:ascii="Book Antiqua" w:eastAsia="Calibri" w:hAnsi="Book Antiqua" w:cs="Arial"/>
          <w:sz w:val="24"/>
          <w:szCs w:val="24"/>
        </w:rPr>
        <w:t xml:space="preserve"> de los dictámenes solicitados por los juzgados de </w:t>
      </w:r>
      <w:r>
        <w:rPr>
          <w:rFonts w:ascii="Book Antiqua" w:eastAsia="Calibri" w:hAnsi="Book Antiqua" w:cs="Arial"/>
          <w:sz w:val="24"/>
          <w:szCs w:val="24"/>
        </w:rPr>
        <w:t>F</w:t>
      </w:r>
      <w:r w:rsidRPr="00617559">
        <w:rPr>
          <w:rFonts w:ascii="Book Antiqua" w:eastAsia="Calibri" w:hAnsi="Book Antiqua" w:cs="Arial"/>
          <w:sz w:val="24"/>
          <w:szCs w:val="24"/>
        </w:rPr>
        <w:t xml:space="preserve">amilia </w:t>
      </w:r>
      <w:r>
        <w:rPr>
          <w:rFonts w:ascii="Book Antiqua" w:eastAsia="Calibri" w:hAnsi="Book Antiqua" w:cs="Arial"/>
          <w:sz w:val="24"/>
          <w:szCs w:val="24"/>
        </w:rPr>
        <w:t xml:space="preserve">y Violencia Doméstica </w:t>
      </w:r>
      <w:r w:rsidRPr="00617559">
        <w:rPr>
          <w:rFonts w:ascii="Book Antiqua" w:eastAsia="Calibri" w:hAnsi="Book Antiqua" w:cs="Arial"/>
          <w:sz w:val="24"/>
          <w:szCs w:val="24"/>
        </w:rPr>
        <w:t>a nivel nacional y permitir que el Departamento de Trabajo Social y Psicología pueda reducir al mínimo los plazos de respuesta para la realización de las valoraciones</w:t>
      </w:r>
      <w:r>
        <w:rPr>
          <w:rFonts w:ascii="Book Antiqua" w:eastAsia="Calibri" w:hAnsi="Book Antiqua" w:cs="Arial"/>
          <w:sz w:val="24"/>
          <w:szCs w:val="24"/>
        </w:rPr>
        <w:t>.</w:t>
      </w:r>
      <w:r w:rsidRPr="00617559">
        <w:rPr>
          <w:rFonts w:ascii="Book Antiqua" w:eastAsia="Calibri" w:hAnsi="Book Antiqua" w:cs="Arial"/>
          <w:sz w:val="24"/>
          <w:szCs w:val="24"/>
        </w:rPr>
        <w:t xml:space="preserve"> </w:t>
      </w:r>
    </w:p>
    <w:p w14:paraId="5A90A2F1" w14:textId="77777777" w:rsidR="0069724A" w:rsidRDefault="0069724A" w:rsidP="0069724A"/>
    <w:p w14:paraId="747E6D50" w14:textId="77777777" w:rsidR="0025554E" w:rsidRPr="00585486" w:rsidRDefault="0025554E" w:rsidP="00585486">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85486">
        <w:rPr>
          <w:rFonts w:ascii="Book Antiqua" w:eastAsiaTheme="majorEastAsia" w:hAnsi="Book Antiqua" w:cstheme="majorBidi"/>
          <w:b/>
          <w:color w:val="1F3864" w:themeColor="accent1" w:themeShade="80"/>
          <w:sz w:val="24"/>
          <w:lang w:val="es-ES"/>
        </w:rPr>
        <w:t>Sistemas Informáticos</w:t>
      </w:r>
    </w:p>
    <w:p w14:paraId="7EBE2CC1" w14:textId="7D59BFD4" w:rsidR="007F4749" w:rsidRDefault="007F4749" w:rsidP="008904E0">
      <w:pPr>
        <w:spacing w:after="0" w:line="276" w:lineRule="auto"/>
        <w:jc w:val="both"/>
        <w:rPr>
          <w:rFonts w:ascii="Book Antiqua" w:eastAsia="Calibri" w:hAnsi="Book Antiqua" w:cs="Arial"/>
          <w:sz w:val="24"/>
          <w:szCs w:val="24"/>
        </w:rPr>
      </w:pPr>
    </w:p>
    <w:p w14:paraId="114E2148" w14:textId="77777777" w:rsidR="003C3841" w:rsidRPr="003C3841" w:rsidRDefault="003C3841" w:rsidP="003C3841">
      <w:pPr>
        <w:spacing w:after="0" w:line="276" w:lineRule="auto"/>
        <w:jc w:val="both"/>
        <w:rPr>
          <w:rFonts w:ascii="Book Antiqua" w:eastAsia="Calibri" w:hAnsi="Book Antiqua" w:cs="Arial"/>
          <w:sz w:val="24"/>
          <w:szCs w:val="24"/>
        </w:rPr>
      </w:pPr>
      <w:r w:rsidRPr="003C3841">
        <w:rPr>
          <w:rFonts w:ascii="Book Antiqua" w:eastAsia="Calibri" w:hAnsi="Book Antiqua" w:cs="Arial"/>
          <w:sz w:val="24"/>
          <w:szCs w:val="24"/>
        </w:rPr>
        <w:t>En todos los Juzgados competentes en materia de Familia están implementados los siguientes sistemas:</w:t>
      </w:r>
    </w:p>
    <w:p w14:paraId="7D5F75FC" w14:textId="77777777" w:rsidR="003C3841" w:rsidRPr="003C3841" w:rsidRDefault="003C3841" w:rsidP="003C3841">
      <w:pPr>
        <w:spacing w:after="0" w:line="276" w:lineRule="auto"/>
        <w:jc w:val="both"/>
        <w:rPr>
          <w:rFonts w:ascii="Book Antiqua" w:eastAsia="Calibri" w:hAnsi="Book Antiqua" w:cs="Arial"/>
          <w:sz w:val="24"/>
          <w:szCs w:val="24"/>
        </w:rPr>
      </w:pPr>
    </w:p>
    <w:p w14:paraId="523E328A" w14:textId="12165C8C"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Gestión en Línea</w:t>
      </w:r>
      <w:r w:rsidR="00812A7D">
        <w:rPr>
          <w:rFonts w:ascii="Book Antiqua" w:eastAsia="Calibri" w:hAnsi="Book Antiqua" w:cs="Arial"/>
          <w:sz w:val="24"/>
          <w:szCs w:val="24"/>
          <w:lang w:eastAsia="es-CR"/>
        </w:rPr>
        <w:t>.</w:t>
      </w:r>
      <w:r w:rsidRPr="003C3841">
        <w:rPr>
          <w:rFonts w:ascii="Book Antiqua" w:eastAsia="Calibri" w:hAnsi="Book Antiqua" w:cs="Arial"/>
          <w:sz w:val="24"/>
          <w:szCs w:val="24"/>
          <w:lang w:eastAsia="es-CR"/>
        </w:rPr>
        <w:t xml:space="preserve"> </w:t>
      </w:r>
    </w:p>
    <w:p w14:paraId="3725CAD9"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3FE3C431" w14:textId="6C4B5403"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Gestión de Despachos Judiciales</w:t>
      </w:r>
      <w:r w:rsidR="00F05BCC">
        <w:rPr>
          <w:rFonts w:ascii="Book Antiqua" w:eastAsia="Calibri" w:hAnsi="Book Antiqua" w:cs="Arial"/>
          <w:sz w:val="24"/>
          <w:szCs w:val="24"/>
          <w:lang w:eastAsia="es-CR"/>
        </w:rPr>
        <w:t>.</w:t>
      </w:r>
    </w:p>
    <w:p w14:paraId="1FEA7215" w14:textId="54E2CD78"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Itineraciones</w:t>
      </w:r>
      <w:r w:rsidR="00F05BCC">
        <w:rPr>
          <w:rFonts w:ascii="Book Antiqua" w:eastAsia="Calibri" w:hAnsi="Book Antiqua" w:cs="Arial"/>
          <w:sz w:val="24"/>
          <w:szCs w:val="24"/>
          <w:lang w:eastAsia="es-CR"/>
        </w:rPr>
        <w:t>.</w:t>
      </w:r>
    </w:p>
    <w:p w14:paraId="002740C9" w14:textId="1BF14F2F"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Depósitos Judiciales</w:t>
      </w:r>
      <w:r w:rsidR="00F05BCC">
        <w:rPr>
          <w:rFonts w:ascii="Book Antiqua" w:eastAsia="Calibri" w:hAnsi="Book Antiqua" w:cs="Arial"/>
          <w:sz w:val="24"/>
          <w:szCs w:val="24"/>
          <w:lang w:eastAsia="es-CR"/>
        </w:rPr>
        <w:t>.</w:t>
      </w:r>
    </w:p>
    <w:p w14:paraId="0E248A8F" w14:textId="137788B5"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Rol de Peritos</w:t>
      </w:r>
      <w:r w:rsidR="00F05BCC">
        <w:rPr>
          <w:rFonts w:ascii="Book Antiqua" w:eastAsia="Calibri" w:hAnsi="Book Antiqua" w:cs="Arial"/>
          <w:sz w:val="24"/>
          <w:szCs w:val="24"/>
          <w:lang w:eastAsia="es-CR"/>
        </w:rPr>
        <w:t>.</w:t>
      </w:r>
    </w:p>
    <w:p w14:paraId="2AE45077" w14:textId="6BC437EE"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Electrónico de Mandamientos</w:t>
      </w:r>
      <w:r w:rsidR="00F05BCC">
        <w:rPr>
          <w:rFonts w:ascii="Book Antiqua" w:eastAsia="Calibri" w:hAnsi="Book Antiqua" w:cs="Arial"/>
          <w:sz w:val="24"/>
          <w:szCs w:val="24"/>
          <w:lang w:eastAsia="es-CR"/>
        </w:rPr>
        <w:t>.</w:t>
      </w:r>
    </w:p>
    <w:p w14:paraId="13EFA7C5" w14:textId="61A29DCB"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Obligados Alimentarios y Penal-PA</w:t>
      </w:r>
      <w:r w:rsidR="00F05BCC">
        <w:rPr>
          <w:rFonts w:ascii="Book Antiqua" w:eastAsia="Calibri" w:hAnsi="Book Antiqua" w:cs="Arial"/>
          <w:sz w:val="24"/>
          <w:szCs w:val="24"/>
          <w:lang w:eastAsia="es-CR"/>
        </w:rPr>
        <w:t>.</w:t>
      </w:r>
    </w:p>
    <w:p w14:paraId="6C03EF6E" w14:textId="368C6A29"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Obligados Alimentarios y Penal-ME</w:t>
      </w:r>
      <w:r w:rsidR="00F05BCC">
        <w:rPr>
          <w:rFonts w:ascii="Book Antiqua" w:eastAsia="Calibri" w:hAnsi="Book Antiqua" w:cs="Arial"/>
          <w:sz w:val="24"/>
          <w:szCs w:val="24"/>
          <w:lang w:eastAsia="es-CR"/>
        </w:rPr>
        <w:t>.</w:t>
      </w:r>
      <w:r w:rsidRPr="00DB42EF">
        <w:rPr>
          <w:rFonts w:ascii="Book Antiqua" w:eastAsia="Calibri" w:hAnsi="Book Antiqua" w:cs="Arial"/>
          <w:sz w:val="24"/>
          <w:szCs w:val="24"/>
          <w:lang w:eastAsia="es-CR"/>
        </w:rPr>
        <w:t xml:space="preserve"> </w:t>
      </w:r>
    </w:p>
    <w:p w14:paraId="6E053802" w14:textId="43D17292"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Agenda Cronos</w:t>
      </w:r>
      <w:r w:rsidR="00F05BCC">
        <w:rPr>
          <w:rFonts w:ascii="Book Antiqua" w:eastAsia="Calibri" w:hAnsi="Book Antiqua" w:cs="Arial"/>
          <w:sz w:val="24"/>
          <w:szCs w:val="24"/>
          <w:lang w:eastAsia="es-CR"/>
        </w:rPr>
        <w:t>.</w:t>
      </w:r>
    </w:p>
    <w:p w14:paraId="5942980A" w14:textId="55253669"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envíos archivo FTP (edictos)</w:t>
      </w:r>
      <w:r w:rsidR="00F05BCC">
        <w:rPr>
          <w:rFonts w:ascii="Book Antiqua" w:eastAsia="Calibri" w:hAnsi="Book Antiqua" w:cs="Arial"/>
          <w:sz w:val="24"/>
          <w:szCs w:val="24"/>
          <w:lang w:eastAsia="es-CR"/>
        </w:rPr>
        <w:t>.</w:t>
      </w:r>
    </w:p>
    <w:p w14:paraId="1CFDA5A1" w14:textId="49C7CF3B" w:rsidR="0025554E" w:rsidRDefault="0025554E" w:rsidP="008904E0">
      <w:pPr>
        <w:spacing w:after="0" w:line="276" w:lineRule="auto"/>
        <w:jc w:val="both"/>
        <w:rPr>
          <w:rFonts w:ascii="Book Antiqua" w:eastAsia="Calibri" w:hAnsi="Book Antiqua" w:cs="Arial"/>
          <w:sz w:val="24"/>
          <w:szCs w:val="24"/>
        </w:rPr>
      </w:pPr>
    </w:p>
    <w:p w14:paraId="01C2B107" w14:textId="0781C9A2" w:rsidR="00D534D9" w:rsidRPr="002E6406" w:rsidRDefault="00D534D9" w:rsidP="00D534D9">
      <w:pPr>
        <w:spacing w:after="0" w:line="276" w:lineRule="auto"/>
        <w:jc w:val="both"/>
        <w:rPr>
          <w:rFonts w:ascii="Book Antiqua" w:eastAsia="Calibri" w:hAnsi="Book Antiqua" w:cs="Arial"/>
          <w:sz w:val="24"/>
          <w:szCs w:val="24"/>
        </w:rPr>
      </w:pPr>
      <w:r w:rsidRPr="00D534D9">
        <w:rPr>
          <w:rFonts w:ascii="Book Antiqua" w:eastAsia="Calibri" w:hAnsi="Book Antiqua" w:cs="Arial"/>
          <w:sz w:val="24"/>
          <w:szCs w:val="24"/>
        </w:rPr>
        <w:t xml:space="preserve">Al finalizar 2020 todos </w:t>
      </w:r>
      <w:r w:rsidR="00F20C4A">
        <w:rPr>
          <w:rFonts w:ascii="Book Antiqua" w:eastAsia="Calibri" w:hAnsi="Book Antiqua" w:cs="Arial"/>
          <w:sz w:val="24"/>
          <w:szCs w:val="24"/>
        </w:rPr>
        <w:t xml:space="preserve">los </w:t>
      </w:r>
      <w:r w:rsidRPr="00D534D9">
        <w:rPr>
          <w:rFonts w:ascii="Book Antiqua" w:eastAsia="Calibri" w:hAnsi="Book Antiqua" w:cs="Arial"/>
          <w:sz w:val="24"/>
          <w:szCs w:val="24"/>
        </w:rPr>
        <w:t xml:space="preserve">Juzgados que atienden la materia de Familia cuentan con los sistemas debidamente implementados por parte de la Dirección de Tecnología de la Información. La información </w:t>
      </w:r>
      <w:r w:rsidRPr="00562CBA">
        <w:rPr>
          <w:rFonts w:ascii="Book Antiqua" w:eastAsia="Calibri" w:hAnsi="Book Antiqua" w:cs="Arial"/>
          <w:sz w:val="24"/>
          <w:szCs w:val="24"/>
        </w:rPr>
        <w:t xml:space="preserve">se certificó como entregable dentro del Proyecto de implementación del CPF, </w:t>
      </w:r>
      <w:r w:rsidRPr="00562CBA">
        <w:rPr>
          <w:rFonts w:ascii="Book Antiqua" w:eastAsia="Calibri" w:hAnsi="Book Antiqua" w:cs="Arial"/>
          <w:b/>
          <w:bCs/>
          <w:i/>
          <w:iCs/>
          <w:sz w:val="24"/>
          <w:szCs w:val="24"/>
        </w:rPr>
        <w:t xml:space="preserve">anexo </w:t>
      </w:r>
      <w:r w:rsidR="00C43B80" w:rsidRPr="00562CBA">
        <w:rPr>
          <w:rFonts w:ascii="Book Antiqua" w:eastAsia="Calibri" w:hAnsi="Book Antiqua" w:cs="Arial"/>
          <w:b/>
          <w:bCs/>
          <w:i/>
          <w:iCs/>
          <w:sz w:val="24"/>
          <w:szCs w:val="24"/>
        </w:rPr>
        <w:t>10</w:t>
      </w:r>
      <w:r w:rsidRPr="00562CBA">
        <w:rPr>
          <w:rFonts w:ascii="Book Antiqua" w:eastAsia="Calibri" w:hAnsi="Book Antiqua" w:cs="Arial"/>
          <w:b/>
          <w:bCs/>
          <w:i/>
          <w:iCs/>
          <w:sz w:val="24"/>
          <w:szCs w:val="24"/>
        </w:rPr>
        <w:t>.</w:t>
      </w:r>
    </w:p>
    <w:p w14:paraId="1165D7B0" w14:textId="3C09DAD2" w:rsidR="0025554E" w:rsidRDefault="0025554E" w:rsidP="008904E0">
      <w:pPr>
        <w:spacing w:after="0" w:line="276" w:lineRule="auto"/>
        <w:jc w:val="both"/>
        <w:rPr>
          <w:rFonts w:ascii="Book Antiqua" w:eastAsia="Calibri" w:hAnsi="Book Antiqua" w:cs="Arial"/>
          <w:sz w:val="24"/>
          <w:szCs w:val="24"/>
        </w:rPr>
      </w:pPr>
    </w:p>
    <w:p w14:paraId="142DD489" w14:textId="77777777" w:rsidR="00695CAD" w:rsidRPr="00AA0E8E" w:rsidRDefault="00695CAD" w:rsidP="00AA0E8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E8E">
        <w:rPr>
          <w:rFonts w:ascii="Book Antiqua" w:eastAsiaTheme="majorEastAsia" w:hAnsi="Book Antiqua" w:cstheme="majorBidi"/>
          <w:b/>
          <w:color w:val="1F3864" w:themeColor="accent1" w:themeShade="80"/>
          <w:sz w:val="24"/>
          <w:lang w:val="es-ES"/>
        </w:rPr>
        <w:t xml:space="preserve">Libros de Control </w:t>
      </w:r>
    </w:p>
    <w:p w14:paraId="611C7704" w14:textId="77777777" w:rsidR="00AF28C5" w:rsidRDefault="00AF28C5" w:rsidP="008904E0">
      <w:pPr>
        <w:spacing w:after="0" w:line="276" w:lineRule="auto"/>
        <w:jc w:val="both"/>
        <w:rPr>
          <w:rFonts w:ascii="Book Antiqua" w:eastAsia="Calibri" w:hAnsi="Book Antiqua" w:cs="Arial"/>
          <w:sz w:val="24"/>
          <w:szCs w:val="24"/>
        </w:rPr>
      </w:pPr>
    </w:p>
    <w:p w14:paraId="62EEA9EA" w14:textId="77777777" w:rsidR="00273B7F" w:rsidRPr="00273B7F" w:rsidRDefault="00273B7F" w:rsidP="00273B7F">
      <w:pPr>
        <w:spacing w:after="0" w:line="276" w:lineRule="auto"/>
        <w:jc w:val="both"/>
        <w:rPr>
          <w:rFonts w:ascii="Book Antiqua" w:eastAsia="Calibri" w:hAnsi="Book Antiqua" w:cs="Arial"/>
          <w:sz w:val="24"/>
          <w:szCs w:val="24"/>
        </w:rPr>
      </w:pPr>
      <w:r w:rsidRPr="00273B7F">
        <w:rPr>
          <w:rFonts w:ascii="Book Antiqua" w:eastAsia="Calibri" w:hAnsi="Book Antiqua" w:cs="Arial"/>
          <w:sz w:val="24"/>
          <w:szCs w:val="24"/>
        </w:rPr>
        <w:t>Los Juzgados de Familia deberán llevar como mínimo los siguientes libros de control:</w:t>
      </w:r>
    </w:p>
    <w:p w14:paraId="78F964C0" w14:textId="77777777" w:rsidR="00273B7F" w:rsidRPr="00273B7F" w:rsidRDefault="00273B7F" w:rsidP="00273B7F">
      <w:pPr>
        <w:spacing w:after="0" w:line="276" w:lineRule="auto"/>
        <w:jc w:val="both"/>
        <w:rPr>
          <w:rFonts w:ascii="Book Antiqua" w:eastAsia="Calibri" w:hAnsi="Book Antiqua" w:cs="Arial"/>
          <w:sz w:val="24"/>
          <w:szCs w:val="24"/>
        </w:rPr>
      </w:pPr>
    </w:p>
    <w:p w14:paraId="129B056D" w14:textId="0FA53F2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bookmarkStart w:id="28" w:name="_Hlk32915803"/>
      <w:r w:rsidRPr="00273B7F">
        <w:rPr>
          <w:rFonts w:ascii="Book Antiqua" w:eastAsia="Calibri" w:hAnsi="Book Antiqua" w:cs="Arial"/>
          <w:sz w:val="24"/>
          <w:szCs w:val="24"/>
          <w:lang w:eastAsia="es-CR"/>
        </w:rPr>
        <w:t>Libro de pase a fallo y utilización módulo de pase a fallo en el Escritorio Virtual</w:t>
      </w:r>
      <w:r w:rsidR="00F05BCC">
        <w:rPr>
          <w:rFonts w:ascii="Book Antiqua" w:eastAsia="Calibri" w:hAnsi="Book Antiqua" w:cs="Arial"/>
          <w:sz w:val="24"/>
          <w:szCs w:val="24"/>
          <w:lang w:eastAsia="es-CR"/>
        </w:rPr>
        <w:t>.</w:t>
      </w:r>
    </w:p>
    <w:p w14:paraId="602BDAD2" w14:textId="517468F3"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juramentaciones</w:t>
      </w:r>
      <w:r w:rsidR="00F05BCC">
        <w:rPr>
          <w:rFonts w:ascii="Book Antiqua" w:eastAsia="Calibri" w:hAnsi="Book Antiqua" w:cs="Arial"/>
          <w:sz w:val="24"/>
          <w:szCs w:val="24"/>
          <w:lang w:eastAsia="es-CR"/>
        </w:rPr>
        <w:t>.</w:t>
      </w:r>
    </w:p>
    <w:p w14:paraId="0D769B49" w14:textId="79EB0B70"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depósitos de dineros</w:t>
      </w:r>
      <w:r w:rsidR="00F05BCC">
        <w:rPr>
          <w:rFonts w:ascii="Book Antiqua" w:eastAsia="Calibri" w:hAnsi="Book Antiqua" w:cs="Arial"/>
          <w:sz w:val="24"/>
          <w:szCs w:val="24"/>
          <w:lang w:eastAsia="es-CR"/>
        </w:rPr>
        <w:t>.</w:t>
      </w:r>
    </w:p>
    <w:p w14:paraId="1A2FEFB3" w14:textId="4922CDBC"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recursos de Pensiones Alimentarias</w:t>
      </w:r>
      <w:r w:rsidR="00F05BCC">
        <w:rPr>
          <w:rFonts w:ascii="Book Antiqua" w:eastAsia="Calibri" w:hAnsi="Book Antiqua" w:cs="Arial"/>
          <w:sz w:val="24"/>
          <w:szCs w:val="24"/>
          <w:lang w:eastAsia="es-CR"/>
        </w:rPr>
        <w:t>.</w:t>
      </w:r>
    </w:p>
    <w:p w14:paraId="3C0B7800" w14:textId="573B7D7D"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remisión de recursos al Tribunal</w:t>
      </w:r>
      <w:r w:rsidR="00F05BCC">
        <w:rPr>
          <w:rFonts w:ascii="Book Antiqua" w:eastAsia="Calibri" w:hAnsi="Book Antiqua" w:cs="Arial"/>
          <w:sz w:val="24"/>
          <w:szCs w:val="24"/>
          <w:lang w:eastAsia="es-CR"/>
        </w:rPr>
        <w:t>.</w:t>
      </w:r>
      <w:r w:rsidRPr="00273B7F">
        <w:rPr>
          <w:rFonts w:ascii="Book Antiqua" w:eastAsia="Calibri" w:hAnsi="Book Antiqua" w:cs="Arial"/>
          <w:sz w:val="24"/>
          <w:szCs w:val="24"/>
          <w:lang w:eastAsia="es-CR"/>
        </w:rPr>
        <w:t xml:space="preserve"> </w:t>
      </w:r>
    </w:p>
    <w:bookmarkEnd w:id="28"/>
    <w:p w14:paraId="1F0766E7" w14:textId="77777777" w:rsidR="00273B7F" w:rsidRPr="00273B7F" w:rsidRDefault="00273B7F" w:rsidP="00273B7F">
      <w:pPr>
        <w:spacing w:after="0" w:line="276" w:lineRule="auto"/>
        <w:jc w:val="both"/>
        <w:rPr>
          <w:rFonts w:ascii="Book Antiqua" w:eastAsia="Calibri" w:hAnsi="Book Antiqua" w:cs="Arial"/>
          <w:sz w:val="24"/>
          <w:szCs w:val="24"/>
        </w:rPr>
      </w:pPr>
    </w:p>
    <w:p w14:paraId="358E7FDB" w14:textId="243D6121" w:rsidR="0025554E" w:rsidRDefault="00273B7F" w:rsidP="00681EDC">
      <w:pPr>
        <w:ind w:right="49"/>
        <w:jc w:val="both"/>
        <w:rPr>
          <w:rFonts w:ascii="Book Antiqua" w:eastAsia="Calibri" w:hAnsi="Book Antiqua" w:cs="Arial"/>
          <w:sz w:val="24"/>
          <w:szCs w:val="24"/>
        </w:rPr>
      </w:pPr>
      <w:r w:rsidRPr="008F2D5A">
        <w:rPr>
          <w:rFonts w:ascii="Book Antiqua" w:eastAsia="Calibri" w:hAnsi="Book Antiqua" w:cs="Arial"/>
          <w:sz w:val="24"/>
          <w:szCs w:val="24"/>
        </w:rPr>
        <w:t xml:space="preserve">De conformidad con la </w:t>
      </w:r>
      <w:r w:rsidRPr="008F2D5A">
        <w:rPr>
          <w:rFonts w:ascii="Book Antiqua" w:eastAsia="Calibri" w:hAnsi="Book Antiqua" w:cs="Arial"/>
          <w:b/>
          <w:bCs/>
          <w:i/>
          <w:iCs/>
          <w:sz w:val="24"/>
          <w:szCs w:val="24"/>
        </w:rPr>
        <w:t>circular 223-2020</w:t>
      </w:r>
      <w:r w:rsidRPr="008F2D5A">
        <w:rPr>
          <w:rFonts w:ascii="Book Antiqua" w:eastAsia="Calibri" w:hAnsi="Book Antiqua" w:cs="Arial"/>
          <w:i/>
          <w:iCs/>
          <w:sz w:val="24"/>
          <w:szCs w:val="24"/>
        </w:rPr>
        <w:t xml:space="preserve"> “Obligación de uso del libro de pase a fallo y de reparto automático de asuntos en materias de Familia y Pensiones Alimentarias”</w:t>
      </w:r>
      <w:r w:rsidRPr="008F2D5A">
        <w:rPr>
          <w:rFonts w:ascii="Book Antiqua" w:eastAsia="Calibri" w:hAnsi="Book Antiqua" w:cs="Arial"/>
          <w:sz w:val="24"/>
          <w:szCs w:val="24"/>
        </w:rPr>
        <w:t xml:space="preserve"> </w:t>
      </w:r>
      <w:r w:rsidRPr="008F2D5A">
        <w:rPr>
          <w:rFonts w:ascii="Book Antiqua" w:eastAsia="Calibri" w:hAnsi="Book Antiqua" w:cs="Arial"/>
          <w:b/>
          <w:bCs/>
          <w:i/>
          <w:iCs/>
          <w:sz w:val="24"/>
          <w:szCs w:val="24"/>
        </w:rPr>
        <w:t>(anexo 1</w:t>
      </w:r>
      <w:r w:rsidR="004A1405">
        <w:rPr>
          <w:rFonts w:ascii="Book Antiqua" w:eastAsia="Calibri" w:hAnsi="Book Antiqua" w:cs="Arial"/>
          <w:b/>
          <w:bCs/>
          <w:i/>
          <w:iCs/>
          <w:sz w:val="24"/>
          <w:szCs w:val="24"/>
        </w:rPr>
        <w:t>1</w:t>
      </w:r>
      <w:r w:rsidRPr="008F2D5A">
        <w:rPr>
          <w:rFonts w:ascii="Book Antiqua" w:eastAsia="Calibri" w:hAnsi="Book Antiqua" w:cs="Arial"/>
          <w:b/>
          <w:bCs/>
          <w:i/>
          <w:iCs/>
          <w:sz w:val="24"/>
          <w:szCs w:val="24"/>
        </w:rPr>
        <w:t>)</w:t>
      </w:r>
      <w:r w:rsidRPr="008F2D5A">
        <w:rPr>
          <w:rFonts w:ascii="Book Antiqua" w:eastAsia="Calibri" w:hAnsi="Book Antiqua" w:cs="Arial"/>
          <w:sz w:val="24"/>
          <w:szCs w:val="24"/>
        </w:rPr>
        <w:t xml:space="preserve"> comunicada el 7 de octubre de 2020, todas las oficinas competentes en materia de Familia y Pensiones Alimentarias deben hacer uso del módulo de pase a fallo en Escritorio Virtual. Para ello fueron configuradas por parte de la Dirección de Tecnología de la Información las</w:t>
      </w:r>
      <w:r w:rsidRPr="00273B7F">
        <w:rPr>
          <w:rFonts w:ascii="Book Antiqua" w:eastAsia="Calibri" w:hAnsi="Book Antiqua" w:cs="Calibri"/>
          <w:sz w:val="24"/>
          <w:szCs w:val="24"/>
          <w:lang w:eastAsia="es-CR"/>
        </w:rPr>
        <w:t xml:space="preserve"> </w:t>
      </w:r>
      <w:r w:rsidRPr="002E1709">
        <w:rPr>
          <w:rFonts w:ascii="Book Antiqua" w:eastAsia="Calibri" w:hAnsi="Book Antiqua" w:cs="Arial"/>
          <w:sz w:val="24"/>
          <w:szCs w:val="24"/>
        </w:rPr>
        <w:t>tareas y plazos definidos con el Juez Gestor en la materia y validadas por la Comisión de Familia, Niñez y Adolescencia; y también se brindó la</w:t>
      </w:r>
      <w:r w:rsidR="00E85731" w:rsidRPr="002E1709">
        <w:rPr>
          <w:rFonts w:ascii="Book Antiqua" w:eastAsia="Calibri" w:hAnsi="Book Antiqua" w:cs="Arial"/>
          <w:sz w:val="24"/>
          <w:szCs w:val="24"/>
        </w:rPr>
        <w:t xml:space="preserve"> </w:t>
      </w:r>
      <w:r w:rsidRPr="002E1709">
        <w:rPr>
          <w:rFonts w:ascii="Book Antiqua" w:eastAsia="Calibri" w:hAnsi="Book Antiqua" w:cs="Arial"/>
          <w:sz w:val="24"/>
          <w:szCs w:val="24"/>
        </w:rPr>
        <w:t>respectiva capacitación a las oficinas en el uso de la</w:t>
      </w:r>
      <w:r w:rsidR="00E85731" w:rsidRPr="002E1709">
        <w:rPr>
          <w:rFonts w:ascii="Book Antiqua" w:eastAsia="Calibri" w:hAnsi="Book Antiqua" w:cs="Arial"/>
          <w:sz w:val="24"/>
          <w:szCs w:val="24"/>
        </w:rPr>
        <w:t xml:space="preserve"> </w:t>
      </w:r>
      <w:r w:rsidRPr="002E1709">
        <w:rPr>
          <w:rFonts w:ascii="Book Antiqua" w:eastAsia="Calibri" w:hAnsi="Book Antiqua" w:cs="Arial"/>
          <w:sz w:val="24"/>
          <w:szCs w:val="24"/>
        </w:rPr>
        <w:t>herramienta por parte de DTI (oficio 2374-DTI-2020-</w:t>
      </w:r>
      <w:r w:rsidRPr="002E1709">
        <w:rPr>
          <w:rFonts w:ascii="Book Antiqua" w:eastAsia="Calibri" w:hAnsi="Book Antiqua" w:cs="Arial"/>
          <w:b/>
          <w:bCs/>
          <w:i/>
          <w:iCs/>
          <w:sz w:val="24"/>
          <w:szCs w:val="24"/>
        </w:rPr>
        <w:t>anexo 1</w:t>
      </w:r>
      <w:r w:rsidR="00E173C5">
        <w:rPr>
          <w:rFonts w:ascii="Book Antiqua" w:eastAsia="Calibri" w:hAnsi="Book Antiqua" w:cs="Arial"/>
          <w:b/>
          <w:bCs/>
          <w:i/>
          <w:iCs/>
          <w:sz w:val="24"/>
          <w:szCs w:val="24"/>
        </w:rPr>
        <w:t>2</w:t>
      </w:r>
      <w:r w:rsidRPr="002E1709">
        <w:rPr>
          <w:rFonts w:ascii="Book Antiqua" w:eastAsia="Calibri" w:hAnsi="Book Antiqua" w:cs="Arial"/>
          <w:sz w:val="24"/>
          <w:szCs w:val="24"/>
        </w:rPr>
        <w:t>)</w:t>
      </w:r>
      <w:r w:rsidR="008F2D5A" w:rsidRPr="002E1709">
        <w:rPr>
          <w:rFonts w:ascii="Book Antiqua" w:eastAsia="Calibri" w:hAnsi="Book Antiqua" w:cs="Arial"/>
          <w:sz w:val="24"/>
          <w:szCs w:val="24"/>
        </w:rPr>
        <w:t>.</w:t>
      </w:r>
    </w:p>
    <w:p w14:paraId="63395005" w14:textId="2049F63C" w:rsidR="00090F1D" w:rsidRPr="00090F1D" w:rsidRDefault="00090F1D" w:rsidP="00090F1D">
      <w:pPr>
        <w:spacing w:after="0" w:line="276" w:lineRule="auto"/>
        <w:jc w:val="both"/>
        <w:rPr>
          <w:rFonts w:ascii="Book Antiqua" w:eastAsia="Calibri" w:hAnsi="Book Antiqua" w:cs="Calibri"/>
          <w:sz w:val="24"/>
          <w:szCs w:val="24"/>
          <w:lang w:eastAsia="es-CR"/>
        </w:rPr>
      </w:pPr>
      <w:r w:rsidRPr="00090F1D">
        <w:rPr>
          <w:rFonts w:ascii="Book Antiqua" w:eastAsia="Calibri" w:hAnsi="Book Antiqua" w:cs="Calibri"/>
          <w:sz w:val="24"/>
          <w:szCs w:val="24"/>
          <w:lang w:eastAsia="es-CR"/>
        </w:rPr>
        <w:t xml:space="preserve">Adicionalmente, de conformidad con lo acordado por el Consejo Superior en sesión 97-2020 celebrada el 08 de octubre del 2020, artículo LI, las oficinas de Familia y Pensiones a nivel </w:t>
      </w:r>
      <w:r w:rsidRPr="00AA0E8E">
        <w:rPr>
          <w:rFonts w:ascii="Book Antiqua" w:eastAsia="Calibri" w:hAnsi="Book Antiqua" w:cs="Calibri"/>
          <w:sz w:val="24"/>
          <w:szCs w:val="24"/>
          <w:lang w:eastAsia="es-CR"/>
        </w:rPr>
        <w:t>nacional deben llevar tanto el libro de pase a fallo “Excel” como el registro en el módulo de</w:t>
      </w:r>
      <w:r w:rsidR="00F05BCC">
        <w:rPr>
          <w:rFonts w:ascii="Book Antiqua" w:eastAsia="Calibri" w:hAnsi="Book Antiqua" w:cs="Calibri"/>
          <w:sz w:val="24"/>
          <w:szCs w:val="24"/>
          <w:lang w:eastAsia="es-CR"/>
        </w:rPr>
        <w:t>l</w:t>
      </w:r>
      <w:r w:rsidRPr="00AA0E8E">
        <w:rPr>
          <w:rFonts w:ascii="Book Antiqua" w:eastAsia="Calibri" w:hAnsi="Book Antiqua" w:cs="Calibri"/>
          <w:sz w:val="24"/>
          <w:szCs w:val="24"/>
          <w:lang w:eastAsia="es-CR"/>
        </w:rPr>
        <w:t xml:space="preserve"> Escritorio Virtual de forma paralela por al menos 6 meses, así como el correspondiente registro que se obtiene de SIGMA.</w:t>
      </w:r>
      <w:r w:rsidRPr="00090F1D">
        <w:rPr>
          <w:rFonts w:ascii="Book Antiqua" w:eastAsia="Calibri" w:hAnsi="Book Antiqua" w:cs="Calibri"/>
          <w:sz w:val="24"/>
          <w:szCs w:val="24"/>
          <w:lang w:eastAsia="es-CR"/>
        </w:rPr>
        <w:t xml:space="preserve">  </w:t>
      </w:r>
    </w:p>
    <w:p w14:paraId="28BFC78E" w14:textId="77777777" w:rsidR="00090F1D" w:rsidRPr="00090F1D" w:rsidRDefault="00090F1D" w:rsidP="00090F1D">
      <w:pPr>
        <w:spacing w:after="0" w:line="276" w:lineRule="auto"/>
        <w:rPr>
          <w:rFonts w:ascii="Book Antiqua" w:eastAsia="Calibri" w:hAnsi="Book Antiqua" w:cs="Calibri"/>
          <w:i/>
          <w:iCs/>
          <w:sz w:val="24"/>
          <w:szCs w:val="24"/>
          <w:lang w:eastAsia="es-CR"/>
        </w:rPr>
      </w:pPr>
    </w:p>
    <w:p w14:paraId="1F4D08F0" w14:textId="77777777" w:rsidR="00BB502D" w:rsidRPr="00BB502D" w:rsidRDefault="00090F1D" w:rsidP="00BB502D">
      <w:pPr>
        <w:spacing w:line="276" w:lineRule="auto"/>
        <w:ind w:left="567" w:right="616"/>
        <w:jc w:val="both"/>
        <w:rPr>
          <w:rFonts w:ascii="Book Antiqua" w:eastAsia="Calibri" w:hAnsi="Book Antiqua" w:cs="Arial"/>
          <w:bCs/>
          <w:i/>
          <w:iCs/>
          <w:sz w:val="24"/>
          <w:szCs w:val="24"/>
          <w:lang w:val="es-419"/>
        </w:rPr>
      </w:pPr>
      <w:bookmarkStart w:id="29" w:name="_Hlk95999041"/>
      <w:r w:rsidRPr="00090F1D">
        <w:rPr>
          <w:rFonts w:ascii="Book Antiqua" w:eastAsia="Calibri" w:hAnsi="Book Antiqua" w:cs="Arial"/>
          <w:b/>
          <w:bCs/>
          <w:i/>
          <w:iCs/>
          <w:sz w:val="24"/>
          <w:szCs w:val="24"/>
          <w:lang w:val="es-419"/>
        </w:rPr>
        <w:t xml:space="preserve">Se acordó: 1.) </w:t>
      </w:r>
      <w:r w:rsidRPr="00090F1D">
        <w:rPr>
          <w:rFonts w:ascii="Book Antiqua" w:eastAsia="Calibri" w:hAnsi="Book Antiqua" w:cs="Arial"/>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w:t>
      </w:r>
      <w:r w:rsidR="00BB502D">
        <w:rPr>
          <w:rFonts w:ascii="Book Antiqua" w:eastAsia="Calibri" w:hAnsi="Book Antiqua" w:cs="Arial"/>
          <w:i/>
          <w:iCs/>
          <w:sz w:val="24"/>
          <w:szCs w:val="24"/>
          <w:lang w:val="es-419"/>
        </w:rPr>
        <w:t xml:space="preserve"> </w:t>
      </w:r>
      <w:r w:rsidR="00BB502D" w:rsidRPr="00BB502D">
        <w:rPr>
          <w:rFonts w:ascii="Book Antiqua" w:eastAsia="Calibri" w:hAnsi="Book Antiqua" w:cs="Arial"/>
          <w:i/>
          <w:iCs/>
          <w:sz w:val="24"/>
          <w:szCs w:val="24"/>
          <w:lang w:val="es-419"/>
        </w:rPr>
        <w:t>de administración de la justicia de los juzgados de Familia y de Pensiones alimentarias</w:t>
      </w:r>
      <w:r w:rsidR="00BB502D" w:rsidRPr="00BB502D">
        <w:rPr>
          <w:rFonts w:ascii="Book Antiqua" w:eastAsia="Calibri" w:hAnsi="Book Antiqua" w:cs="Arial"/>
          <w:b/>
          <w:bCs/>
          <w:i/>
          <w:iCs/>
          <w:sz w:val="24"/>
          <w:szCs w:val="24"/>
          <w:lang w:val="es-419"/>
        </w:rPr>
        <w:t>. 2.)</w:t>
      </w:r>
      <w:r w:rsidR="00BB502D" w:rsidRPr="00BB502D">
        <w:rPr>
          <w:rFonts w:ascii="Book Antiqua" w:eastAsia="Calibri" w:hAnsi="Book Antiqua" w:cs="Arial"/>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BB502D" w:rsidRPr="00BB502D">
        <w:rPr>
          <w:rFonts w:ascii="Book Antiqua" w:eastAsia="Calibri" w:hAnsi="Book Antiqua" w:cs="Arial"/>
          <w:b/>
          <w:bCs/>
          <w:i/>
          <w:iCs/>
          <w:sz w:val="24"/>
          <w:szCs w:val="24"/>
          <w:u w:val="single"/>
          <w:lang w:val="es-419"/>
        </w:rPr>
        <w:t>al diseño y establecimiento formal de la herramienta de “pase a fallo”.</w:t>
      </w:r>
      <w:r w:rsidR="00BB502D" w:rsidRPr="00BB502D">
        <w:rPr>
          <w:rFonts w:ascii="Book Antiqua" w:eastAsia="Calibri" w:hAnsi="Book Antiqua" w:cs="Arial"/>
          <w:b/>
          <w:bCs/>
          <w:i/>
          <w:iCs/>
          <w:sz w:val="24"/>
          <w:szCs w:val="24"/>
          <w:lang w:val="es-419"/>
        </w:rPr>
        <w:t xml:space="preserve"> 3.) </w:t>
      </w:r>
      <w:r w:rsidR="00BB502D" w:rsidRPr="00BB502D">
        <w:rPr>
          <w:rFonts w:ascii="Book Antiqua" w:eastAsia="Calibri" w:hAnsi="Book Antiqua" w:cs="Arial"/>
          <w:bCs/>
          <w:i/>
          <w:iCs/>
          <w:sz w:val="24"/>
          <w:szCs w:val="24"/>
          <w:lang w:val="es-419"/>
        </w:rPr>
        <w:t xml:space="preserve">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00BB502D" w:rsidRPr="00BB502D">
        <w:rPr>
          <w:rFonts w:ascii="Book Antiqua" w:eastAsia="Calibri" w:hAnsi="Book Antiqua" w:cs="Arial"/>
          <w:b/>
          <w:i/>
          <w:iCs/>
          <w:sz w:val="24"/>
          <w:szCs w:val="24"/>
          <w:lang w:val="es-419"/>
        </w:rPr>
        <w:t>4.)</w:t>
      </w:r>
      <w:r w:rsidR="00BB502D" w:rsidRPr="00BB502D">
        <w:rPr>
          <w:rFonts w:ascii="Book Antiqua" w:eastAsia="Calibri" w:hAnsi="Book Antiqua" w:cs="Arial"/>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w:t>
      </w:r>
      <w:r w:rsidR="00BB502D" w:rsidRPr="005B78EF">
        <w:rPr>
          <w:rFonts w:ascii="Book Antiqua" w:eastAsia="Calibri" w:hAnsi="Book Antiqua" w:cs="Arial"/>
          <w:bCs/>
          <w:i/>
          <w:iCs/>
          <w:sz w:val="24"/>
          <w:szCs w:val="24"/>
          <w:lang w:val="es-419"/>
        </w:rPr>
        <w:t>judicial</w:t>
      </w:r>
      <w:bookmarkStart w:id="30" w:name="_Hlk95998821"/>
      <w:r w:rsidR="00BB502D" w:rsidRPr="005B78EF">
        <w:rPr>
          <w:rFonts w:ascii="Book Antiqua" w:eastAsia="Calibri" w:hAnsi="Book Antiqua" w:cs="Arial"/>
          <w:bCs/>
          <w:i/>
          <w:iCs/>
          <w:sz w:val="24"/>
          <w:szCs w:val="24"/>
          <w:lang w:val="es-419"/>
        </w:rPr>
        <w:t xml:space="preserve">. </w:t>
      </w:r>
      <w:r w:rsidR="00BB502D" w:rsidRPr="005B78EF">
        <w:rPr>
          <w:rFonts w:ascii="Book Antiqua" w:eastAsia="Calibri" w:hAnsi="Book Antiqua" w:cs="Arial"/>
          <w:b/>
          <w:i/>
          <w:iCs/>
          <w:sz w:val="24"/>
          <w:szCs w:val="24"/>
          <w:lang w:val="es-419"/>
        </w:rPr>
        <w:t>5.)</w:t>
      </w:r>
      <w:r w:rsidR="00BB502D" w:rsidRPr="005B78EF">
        <w:rPr>
          <w:rFonts w:ascii="Book Antiqua" w:eastAsia="Calibri" w:hAnsi="Book Antiqua" w:cs="Arial"/>
          <w:bCs/>
          <w:i/>
          <w:iCs/>
          <w:sz w:val="24"/>
          <w:szCs w:val="24"/>
          <w:lang w:val="es-419"/>
        </w:rPr>
        <w:t xml:space="preserve"> El Subproceso de Estadística de la Dirección de Planificación, informará el resultado de ese seguimiento al Consejo Superior y a la Comisión de Familia para lo que corresponda</w:t>
      </w:r>
      <w:bookmarkEnd w:id="30"/>
      <w:r w:rsidR="00BB502D" w:rsidRPr="005B78EF">
        <w:rPr>
          <w:rFonts w:ascii="Book Antiqua" w:eastAsia="Calibri" w:hAnsi="Book Antiqua" w:cs="Arial"/>
          <w:bCs/>
          <w:i/>
          <w:iCs/>
          <w:sz w:val="24"/>
          <w:szCs w:val="24"/>
          <w:lang w:val="es-419"/>
        </w:rPr>
        <w:t xml:space="preserve">. </w:t>
      </w:r>
      <w:r w:rsidR="00BB502D" w:rsidRPr="005B78EF">
        <w:rPr>
          <w:rFonts w:ascii="Book Antiqua" w:eastAsia="Calibri" w:hAnsi="Book Antiqua" w:cs="Arial"/>
          <w:b/>
          <w:i/>
          <w:iCs/>
          <w:sz w:val="24"/>
          <w:szCs w:val="24"/>
          <w:lang w:val="es-419"/>
        </w:rPr>
        <w:t>6</w:t>
      </w:r>
      <w:r w:rsidR="00BB502D" w:rsidRPr="00BB502D">
        <w:rPr>
          <w:rFonts w:ascii="Book Antiqua" w:eastAsia="Calibri" w:hAnsi="Book Antiqua" w:cs="Arial"/>
          <w:b/>
          <w:i/>
          <w:iCs/>
          <w:sz w:val="24"/>
          <w:szCs w:val="24"/>
          <w:lang w:val="es-419"/>
        </w:rPr>
        <w:t>.)</w:t>
      </w:r>
      <w:r w:rsidR="00BB502D" w:rsidRPr="00BB502D">
        <w:rPr>
          <w:rFonts w:ascii="Book Antiqua" w:eastAsia="Calibri" w:hAnsi="Book Antiqua" w:cs="Arial"/>
          <w:bCs/>
          <w:i/>
          <w:iCs/>
          <w:sz w:val="24"/>
          <w:szCs w:val="24"/>
          <w:lang w:val="es-419"/>
        </w:rPr>
        <w:t xml:space="preserve"> Hacer este acuerdo de conocimiento del Despacho de la Presidencia para que comunique a la Contraloría General de la República lo que corresponda.</w:t>
      </w:r>
    </w:p>
    <w:p w14:paraId="20C6862C" w14:textId="04289C89" w:rsidR="00BB502D" w:rsidRDefault="00BB502D" w:rsidP="00BB502D">
      <w:pPr>
        <w:spacing w:after="0" w:line="276" w:lineRule="auto"/>
        <w:ind w:left="567" w:right="616"/>
        <w:jc w:val="both"/>
        <w:rPr>
          <w:rFonts w:ascii="Book Antiqua" w:eastAsia="Calibri" w:hAnsi="Book Antiqua" w:cs="Arial"/>
          <w:bCs/>
          <w:i/>
          <w:iCs/>
          <w:sz w:val="24"/>
          <w:szCs w:val="24"/>
          <w:lang w:val="es-419"/>
        </w:rPr>
      </w:pPr>
      <w:r w:rsidRPr="00BB502D">
        <w:rPr>
          <w:rFonts w:ascii="Book Antiqua" w:eastAsia="Calibri" w:hAnsi="Book Antiqua" w:cs="Arial"/>
          <w:bCs/>
          <w:i/>
          <w:iCs/>
          <w:sz w:val="24"/>
          <w:szCs w:val="24"/>
          <w:lang w:val="es-419"/>
        </w:rPr>
        <w:t>La Comisión de la Jurisdicción de Familia y la Dirección de Planificación, tomarán nota para lo que corresponda. Se declara acuerdo firme.”.</w:t>
      </w:r>
    </w:p>
    <w:p w14:paraId="095B5753" w14:textId="77777777" w:rsidR="00A07B23" w:rsidRDefault="00A07B23" w:rsidP="00F60C0B">
      <w:pPr>
        <w:spacing w:after="0" w:line="276" w:lineRule="auto"/>
        <w:jc w:val="both"/>
        <w:rPr>
          <w:rFonts w:ascii="Book Antiqua" w:eastAsia="Calibri" w:hAnsi="Book Antiqua" w:cs="Arial"/>
          <w:sz w:val="24"/>
          <w:szCs w:val="24"/>
        </w:rPr>
      </w:pPr>
    </w:p>
    <w:p w14:paraId="04BFC512" w14:textId="32B29DC5"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Respecto a</w:t>
      </w:r>
      <w:r w:rsidR="00093ECD">
        <w:rPr>
          <w:rFonts w:ascii="Book Antiqua" w:eastAsia="Calibri" w:hAnsi="Book Antiqua" w:cs="Arial"/>
          <w:sz w:val="24"/>
          <w:szCs w:val="24"/>
        </w:rPr>
        <w:t>l</w:t>
      </w:r>
      <w:r w:rsidRPr="00F60C0B">
        <w:rPr>
          <w:rFonts w:ascii="Book Antiqua" w:eastAsia="Calibri" w:hAnsi="Book Antiqua" w:cs="Arial"/>
          <w:sz w:val="24"/>
          <w:szCs w:val="24"/>
        </w:rPr>
        <w:t xml:space="preserve"> reporte en SIGMA del módulo de pase a fallo, este se trabajó en conjunto entre la Dirección de Tecnología de la Información</w:t>
      </w:r>
      <w:r w:rsidR="00F05BCC">
        <w:rPr>
          <w:rFonts w:ascii="Book Antiqua" w:eastAsia="Calibri" w:hAnsi="Book Antiqua" w:cs="Arial"/>
          <w:sz w:val="24"/>
          <w:szCs w:val="24"/>
        </w:rPr>
        <w:t xml:space="preserve"> y Comunicaciones</w:t>
      </w:r>
      <w:r w:rsidRPr="00F60C0B">
        <w:rPr>
          <w:rFonts w:ascii="Book Antiqua" w:eastAsia="Calibri" w:hAnsi="Book Antiqua" w:cs="Arial"/>
          <w:sz w:val="24"/>
          <w:szCs w:val="24"/>
        </w:rPr>
        <w:t xml:space="preserve">, Dirección de Planificación, Auditoría </w:t>
      </w:r>
      <w:r w:rsidR="00F05BCC">
        <w:rPr>
          <w:rFonts w:ascii="Book Antiqua" w:eastAsia="Calibri" w:hAnsi="Book Antiqua" w:cs="Arial"/>
          <w:sz w:val="24"/>
          <w:szCs w:val="24"/>
        </w:rPr>
        <w:t xml:space="preserve">Judicial </w:t>
      </w:r>
      <w:r w:rsidRPr="00F60C0B">
        <w:rPr>
          <w:rFonts w:ascii="Book Antiqua" w:eastAsia="Calibri" w:hAnsi="Book Antiqua" w:cs="Arial"/>
          <w:sz w:val="24"/>
          <w:szCs w:val="24"/>
        </w:rPr>
        <w:t xml:space="preserve">e Inspección Judicial. En atención a la obligatoriedad de su uso, se emitió por parte de la Dirección de Planificación </w:t>
      </w:r>
      <w:r w:rsidRPr="00F60C0B">
        <w:rPr>
          <w:rFonts w:ascii="Book Antiqua" w:eastAsia="Calibri" w:hAnsi="Book Antiqua" w:cs="Arial"/>
          <w:b/>
          <w:bCs/>
          <w:i/>
          <w:iCs/>
          <w:sz w:val="24"/>
          <w:szCs w:val="24"/>
        </w:rPr>
        <w:t>la</w:t>
      </w:r>
      <w:r w:rsidR="00556515">
        <w:rPr>
          <w:rFonts w:ascii="Book Antiqua" w:eastAsia="Calibri" w:hAnsi="Book Antiqua" w:cs="Arial"/>
          <w:b/>
          <w:bCs/>
          <w:i/>
          <w:iCs/>
          <w:sz w:val="24"/>
          <w:szCs w:val="24"/>
        </w:rPr>
        <w:t>s</w:t>
      </w:r>
      <w:r w:rsidRPr="00F60C0B">
        <w:rPr>
          <w:rFonts w:ascii="Book Antiqua" w:eastAsia="Calibri" w:hAnsi="Book Antiqua" w:cs="Arial"/>
          <w:b/>
          <w:bCs/>
          <w:i/>
          <w:iCs/>
          <w:sz w:val="24"/>
          <w:szCs w:val="24"/>
        </w:rPr>
        <w:t xml:space="preserve"> circular</w:t>
      </w:r>
      <w:r w:rsidR="00556515">
        <w:rPr>
          <w:rFonts w:ascii="Book Antiqua" w:eastAsia="Calibri" w:hAnsi="Book Antiqua" w:cs="Arial"/>
          <w:b/>
          <w:bCs/>
          <w:i/>
          <w:iCs/>
          <w:sz w:val="24"/>
          <w:szCs w:val="24"/>
        </w:rPr>
        <w:t>es</w:t>
      </w:r>
      <w:r w:rsidRPr="00F60C0B">
        <w:rPr>
          <w:rFonts w:ascii="Book Antiqua" w:eastAsia="Calibri" w:hAnsi="Book Antiqua" w:cs="Arial"/>
          <w:b/>
          <w:bCs/>
          <w:i/>
          <w:iCs/>
          <w:sz w:val="24"/>
          <w:szCs w:val="24"/>
        </w:rPr>
        <w:t xml:space="preserve"> externa</w:t>
      </w:r>
      <w:r w:rsidR="00556515">
        <w:rPr>
          <w:rFonts w:ascii="Book Antiqua" w:eastAsia="Calibri" w:hAnsi="Book Antiqua" w:cs="Arial"/>
          <w:b/>
          <w:bCs/>
          <w:i/>
          <w:iCs/>
          <w:sz w:val="24"/>
          <w:szCs w:val="24"/>
        </w:rPr>
        <w:t>s</w:t>
      </w:r>
      <w:r w:rsidRPr="00F60C0B">
        <w:rPr>
          <w:rFonts w:ascii="Book Antiqua" w:eastAsia="Calibri" w:hAnsi="Book Antiqua" w:cs="Arial"/>
          <w:b/>
          <w:bCs/>
          <w:i/>
          <w:iCs/>
          <w:sz w:val="24"/>
          <w:szCs w:val="24"/>
        </w:rPr>
        <w:t xml:space="preserve"> 4</w:t>
      </w:r>
      <w:r w:rsidR="00556515">
        <w:rPr>
          <w:rFonts w:ascii="Book Antiqua" w:eastAsia="Calibri" w:hAnsi="Book Antiqua" w:cs="Arial"/>
          <w:b/>
          <w:bCs/>
          <w:i/>
          <w:iCs/>
          <w:sz w:val="24"/>
          <w:szCs w:val="24"/>
        </w:rPr>
        <w:t xml:space="preserve"> y 7-</w:t>
      </w:r>
      <w:r w:rsidRPr="00F60C0B">
        <w:rPr>
          <w:rFonts w:ascii="Book Antiqua" w:eastAsia="Calibri" w:hAnsi="Book Antiqua" w:cs="Arial"/>
          <w:b/>
          <w:bCs/>
          <w:i/>
          <w:iCs/>
          <w:sz w:val="24"/>
          <w:szCs w:val="24"/>
        </w:rPr>
        <w:t>2021</w:t>
      </w:r>
      <w:r w:rsidRPr="00F60C0B">
        <w:rPr>
          <w:rFonts w:ascii="Book Antiqua" w:eastAsia="Calibri" w:hAnsi="Book Antiqua" w:cs="Arial"/>
          <w:sz w:val="24"/>
          <w:szCs w:val="24"/>
        </w:rPr>
        <w:t xml:space="preserve"> (</w:t>
      </w:r>
      <w:r w:rsidRPr="00F60C0B">
        <w:rPr>
          <w:rFonts w:ascii="Book Antiqua" w:eastAsia="Calibri" w:hAnsi="Book Antiqua" w:cs="Arial"/>
          <w:b/>
          <w:bCs/>
          <w:i/>
          <w:iCs/>
          <w:sz w:val="24"/>
          <w:szCs w:val="24"/>
        </w:rPr>
        <w:t>anexo 1</w:t>
      </w:r>
      <w:r w:rsidR="007655D5">
        <w:rPr>
          <w:rFonts w:ascii="Book Antiqua" w:eastAsia="Calibri" w:hAnsi="Book Antiqua" w:cs="Arial"/>
          <w:b/>
          <w:bCs/>
          <w:i/>
          <w:iCs/>
          <w:sz w:val="24"/>
          <w:szCs w:val="24"/>
        </w:rPr>
        <w:t>3</w:t>
      </w:r>
      <w:r w:rsidRPr="00F60C0B">
        <w:rPr>
          <w:rFonts w:ascii="Book Antiqua" w:eastAsia="Calibri" w:hAnsi="Book Antiqua" w:cs="Arial"/>
          <w:b/>
          <w:bCs/>
          <w:i/>
          <w:iCs/>
          <w:sz w:val="24"/>
          <w:szCs w:val="24"/>
        </w:rPr>
        <w:t>)</w:t>
      </w:r>
      <w:r w:rsidR="00556515">
        <w:rPr>
          <w:rFonts w:ascii="Book Antiqua" w:eastAsia="Calibri" w:hAnsi="Book Antiqua" w:cs="Arial"/>
          <w:b/>
          <w:bCs/>
          <w:i/>
          <w:iCs/>
          <w:sz w:val="24"/>
          <w:szCs w:val="24"/>
        </w:rPr>
        <w:t xml:space="preserve"> </w:t>
      </w:r>
      <w:r w:rsidRPr="00F60C0B">
        <w:rPr>
          <w:rFonts w:ascii="Book Antiqua" w:eastAsia="Calibri" w:hAnsi="Book Antiqua" w:cs="Arial"/>
          <w:sz w:val="24"/>
          <w:szCs w:val="24"/>
        </w:rPr>
        <w:t>donde se les solicita a las oficinas hacer uso del reporte, la ubicación del informe dentro del SIGMA, así mismo la necesidad de certificar al Subproceso de Estadística de la Dirección de Planificación que la información es consistente con el registro en Excel.</w:t>
      </w:r>
    </w:p>
    <w:p w14:paraId="4BF7E961" w14:textId="7777777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 xml:space="preserve">  </w:t>
      </w:r>
    </w:p>
    <w:p w14:paraId="00C0FDAB" w14:textId="2E89E14D"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 xml:space="preserve">Se aclara que para que la información que se visualice correctamente en el reporte </w:t>
      </w:r>
      <w:r w:rsidR="00F05BCC">
        <w:rPr>
          <w:rFonts w:ascii="Book Antiqua" w:eastAsia="Calibri" w:hAnsi="Book Antiqua" w:cs="Arial"/>
          <w:sz w:val="24"/>
          <w:szCs w:val="24"/>
        </w:rPr>
        <w:t>de</w:t>
      </w:r>
      <w:r w:rsidRPr="00F60C0B">
        <w:rPr>
          <w:rFonts w:ascii="Book Antiqua" w:eastAsia="Calibri" w:hAnsi="Book Antiqua" w:cs="Arial"/>
          <w:sz w:val="24"/>
          <w:szCs w:val="24"/>
        </w:rPr>
        <w:t xml:space="preserve"> SIGMA</w:t>
      </w:r>
      <w:r w:rsidR="00F05BCC">
        <w:rPr>
          <w:rFonts w:ascii="Book Antiqua" w:eastAsia="Calibri" w:hAnsi="Book Antiqua" w:cs="Arial"/>
          <w:sz w:val="24"/>
          <w:szCs w:val="24"/>
        </w:rPr>
        <w:t>,</w:t>
      </w:r>
      <w:r w:rsidRPr="00F60C0B">
        <w:rPr>
          <w:rFonts w:ascii="Book Antiqua" w:eastAsia="Calibri" w:hAnsi="Book Antiqua" w:cs="Arial"/>
          <w:sz w:val="24"/>
          <w:szCs w:val="24"/>
        </w:rPr>
        <w:t xml:space="preserve"> debe hacerse el registro adecuado por parte de las oficinas en las tareas previamente configuradas para estos efectos.</w:t>
      </w:r>
    </w:p>
    <w:p w14:paraId="06D02AEB" w14:textId="77777777" w:rsidR="00F60C0B" w:rsidRPr="00F60C0B" w:rsidRDefault="00F60C0B" w:rsidP="00F60C0B">
      <w:pPr>
        <w:spacing w:after="0" w:line="276" w:lineRule="auto"/>
        <w:jc w:val="both"/>
        <w:rPr>
          <w:rFonts w:ascii="Book Antiqua" w:eastAsia="Calibri" w:hAnsi="Book Antiqua" w:cs="Arial"/>
          <w:sz w:val="24"/>
          <w:szCs w:val="24"/>
        </w:rPr>
      </w:pPr>
    </w:p>
    <w:p w14:paraId="292F6107" w14:textId="6F206642" w:rsidR="00280C2F" w:rsidRPr="00280C2F" w:rsidRDefault="00F60C0B" w:rsidP="00280C2F">
      <w:pPr>
        <w:spacing w:after="0" w:line="276" w:lineRule="auto"/>
        <w:jc w:val="both"/>
        <w:rPr>
          <w:rFonts w:ascii="Book Antiqua" w:eastAsia="Calibri" w:hAnsi="Book Antiqua" w:cs="Arial"/>
          <w:bCs/>
          <w:i/>
          <w:iCs/>
          <w:sz w:val="24"/>
          <w:szCs w:val="24"/>
          <w:lang w:val="es-ES"/>
        </w:rPr>
      </w:pPr>
      <w:r w:rsidRPr="00F60C0B">
        <w:rPr>
          <w:rFonts w:ascii="Book Antiqua" w:eastAsia="Calibri" w:hAnsi="Book Antiqua" w:cs="Arial"/>
          <w:bCs/>
          <w:sz w:val="24"/>
          <w:szCs w:val="24"/>
          <w:lang w:val="es-ES"/>
        </w:rPr>
        <w:t xml:space="preserve">De forma simultánea, los diferentes despachos del Poder Judicial </w:t>
      </w:r>
      <w:r w:rsidR="00C26B47">
        <w:rPr>
          <w:rFonts w:ascii="Book Antiqua" w:eastAsia="Calibri" w:hAnsi="Book Antiqua" w:cs="Arial"/>
          <w:bCs/>
          <w:sz w:val="24"/>
          <w:szCs w:val="24"/>
          <w:lang w:val="es-ES"/>
        </w:rPr>
        <w:t>cuentan</w:t>
      </w:r>
      <w:r w:rsidR="00C26B47" w:rsidRPr="00F60C0B">
        <w:rPr>
          <w:rFonts w:ascii="Book Antiqua" w:eastAsia="Calibri" w:hAnsi="Book Antiqua" w:cs="Arial"/>
          <w:bCs/>
          <w:sz w:val="24"/>
          <w:szCs w:val="24"/>
          <w:lang w:val="es-ES"/>
        </w:rPr>
        <w:t xml:space="preserve"> </w:t>
      </w:r>
      <w:r w:rsidRPr="00F60C0B">
        <w:rPr>
          <w:rFonts w:ascii="Book Antiqua" w:eastAsia="Calibri" w:hAnsi="Book Antiqua" w:cs="Arial"/>
          <w:bCs/>
          <w:sz w:val="24"/>
          <w:szCs w:val="24"/>
          <w:lang w:val="es-ES"/>
        </w:rPr>
        <w:t>con la herramienta de</w:t>
      </w:r>
      <w:r w:rsidR="00F05BCC">
        <w:rPr>
          <w:rFonts w:ascii="Book Antiqua" w:eastAsia="Calibri" w:hAnsi="Book Antiqua" w:cs="Arial"/>
          <w:bCs/>
          <w:sz w:val="24"/>
          <w:szCs w:val="24"/>
          <w:lang w:val="es-ES"/>
        </w:rPr>
        <w:t>l</w:t>
      </w:r>
      <w:r w:rsidRPr="00F60C0B">
        <w:rPr>
          <w:rFonts w:ascii="Book Antiqua" w:eastAsia="Calibri" w:hAnsi="Book Antiqua" w:cs="Arial"/>
          <w:bCs/>
          <w:sz w:val="24"/>
          <w:szCs w:val="24"/>
          <w:lang w:val="es-ES"/>
        </w:rPr>
        <w:t xml:space="preserve"> libro de pase a fallo en versión Excel para el control del pase a fallo y también el reporte que deben generar y certificar mensualmente en el sistema SIGMA (cumple con los requerimientos también de la Inspección y Auditoría Judicial).   </w:t>
      </w:r>
    </w:p>
    <w:p w14:paraId="764E834E" w14:textId="77777777" w:rsidR="00F60C0B" w:rsidRPr="00F60C0B" w:rsidRDefault="00F60C0B" w:rsidP="00F60C0B">
      <w:pPr>
        <w:spacing w:after="0" w:line="276" w:lineRule="auto"/>
        <w:jc w:val="both"/>
        <w:rPr>
          <w:rFonts w:ascii="Book Antiqua" w:eastAsia="Calibri" w:hAnsi="Book Antiqua" w:cs="Arial"/>
          <w:sz w:val="24"/>
          <w:szCs w:val="24"/>
        </w:rPr>
      </w:pPr>
    </w:p>
    <w:p w14:paraId="3D103EFF" w14:textId="0E854416"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De forma adicional se emitió el oficio 46-PLA-MI-2021 con un explicativo para las oficinas de Familia sobre el uso de la herramienta</w:t>
      </w:r>
      <w:r w:rsidRPr="00F60C0B">
        <w:rPr>
          <w:rFonts w:ascii="Book Antiqua" w:eastAsia="Calibri" w:hAnsi="Book Antiqua" w:cs="Arial"/>
          <w:bCs/>
          <w:sz w:val="24"/>
          <w:szCs w:val="24"/>
        </w:rPr>
        <w:t xml:space="preserve"> con el fin de lograr la estandarización en el uso de la mejora y además se reguló por parte de la Comisión de Familia, Niñez y Adolescencia que tipo de resoluciones se catalogan como sentencia y por ende deben registrarse en el libro de pase a fallo </w:t>
      </w:r>
      <w:bookmarkStart w:id="31" w:name="_Hlk97307793"/>
      <w:r w:rsidRPr="00F60C0B">
        <w:rPr>
          <w:rFonts w:ascii="Book Antiqua" w:eastAsia="Calibri" w:hAnsi="Book Antiqua" w:cs="Arial"/>
          <w:bCs/>
          <w:sz w:val="24"/>
          <w:szCs w:val="24"/>
        </w:rPr>
        <w:t>(circular 260-2020-</w:t>
      </w:r>
      <w:r w:rsidRPr="00F60C0B">
        <w:rPr>
          <w:rFonts w:ascii="Book Antiqua" w:eastAsia="Calibri" w:hAnsi="Book Antiqua" w:cs="Arial"/>
          <w:b/>
          <w:i/>
          <w:iCs/>
          <w:sz w:val="24"/>
          <w:szCs w:val="24"/>
        </w:rPr>
        <w:t>anexo 1</w:t>
      </w:r>
      <w:r w:rsidR="00217D4F">
        <w:rPr>
          <w:rFonts w:ascii="Book Antiqua" w:eastAsia="Calibri" w:hAnsi="Book Antiqua" w:cs="Arial"/>
          <w:b/>
          <w:i/>
          <w:iCs/>
          <w:sz w:val="24"/>
          <w:szCs w:val="24"/>
        </w:rPr>
        <w:t>4</w:t>
      </w:r>
      <w:r w:rsidRPr="00F60C0B">
        <w:rPr>
          <w:rFonts w:ascii="Book Antiqua" w:eastAsia="Calibri" w:hAnsi="Book Antiqua" w:cs="Arial"/>
          <w:bCs/>
          <w:sz w:val="24"/>
          <w:szCs w:val="24"/>
        </w:rPr>
        <w:t xml:space="preserve">). </w:t>
      </w:r>
      <w:r w:rsidRPr="00F60C0B">
        <w:rPr>
          <w:rFonts w:ascii="Book Antiqua" w:eastAsia="Calibri" w:hAnsi="Book Antiqua" w:cs="Arial"/>
          <w:sz w:val="24"/>
          <w:szCs w:val="24"/>
        </w:rPr>
        <w:t xml:space="preserve"> </w:t>
      </w:r>
    </w:p>
    <w:bookmarkEnd w:id="29"/>
    <w:bookmarkEnd w:id="31"/>
    <w:p w14:paraId="259FB3CA" w14:textId="7AC11E5A" w:rsidR="005B78EF" w:rsidRDefault="005B78EF" w:rsidP="005B78EF">
      <w:pPr>
        <w:spacing w:after="0" w:line="276" w:lineRule="auto"/>
        <w:ind w:right="616"/>
        <w:jc w:val="both"/>
        <w:rPr>
          <w:rFonts w:ascii="Book Antiqua" w:eastAsia="Calibri" w:hAnsi="Book Antiqua" w:cs="Arial"/>
          <w:bCs/>
          <w:i/>
          <w:iCs/>
          <w:sz w:val="24"/>
          <w:szCs w:val="24"/>
          <w:lang w:val="es-419"/>
        </w:rPr>
      </w:pPr>
    </w:p>
    <w:p w14:paraId="251AA770" w14:textId="7BCF96AD" w:rsidR="0055600A" w:rsidRPr="0055600A" w:rsidRDefault="0055600A" w:rsidP="0055600A">
      <w:pPr>
        <w:spacing w:after="0" w:line="276" w:lineRule="auto"/>
        <w:ind w:right="49"/>
        <w:jc w:val="both"/>
        <w:rPr>
          <w:rFonts w:ascii="Book Antiqua" w:eastAsia="Calibri" w:hAnsi="Book Antiqua" w:cs="Arial"/>
          <w:sz w:val="24"/>
          <w:szCs w:val="24"/>
        </w:rPr>
      </w:pPr>
      <w:r w:rsidRPr="0055600A">
        <w:rPr>
          <w:rFonts w:ascii="Book Antiqua" w:eastAsia="Calibri" w:hAnsi="Book Antiqua" w:cs="Arial"/>
          <w:sz w:val="24"/>
          <w:szCs w:val="24"/>
        </w:rPr>
        <w:t xml:space="preserve">El Subproceso de Estadística, remitió a la Secretaría General de la Corte el oficio 45-PLA-ES-2023, relacionado con el seguimiento mensual que realiza el Subproceso de Estadística para detectar inconsistencias en la información registrada en el Módulo de pase a fallo, una vez aplicada la mejora informática (reporte en Sigma) por un lapso de seis meses; según cronograma de trabajo de este subproceso, se efectuó un muestreo de los meses de junio y julio, en las oficinas competentes en materia Familia y Pensiones Alimentarias; al respectó </w:t>
      </w:r>
      <w:r>
        <w:rPr>
          <w:rFonts w:ascii="Book Antiqua" w:eastAsia="Calibri" w:hAnsi="Book Antiqua" w:cs="Arial"/>
          <w:sz w:val="24"/>
          <w:szCs w:val="24"/>
        </w:rPr>
        <w:t xml:space="preserve">se </w:t>
      </w:r>
      <w:r w:rsidRPr="0055600A">
        <w:rPr>
          <w:rFonts w:ascii="Book Antiqua" w:eastAsia="Calibri" w:hAnsi="Book Antiqua" w:cs="Arial"/>
          <w:sz w:val="24"/>
          <w:szCs w:val="24"/>
        </w:rPr>
        <w:t>recomendó:</w:t>
      </w:r>
    </w:p>
    <w:p w14:paraId="4099A334" w14:textId="77777777" w:rsidR="0055600A" w:rsidRPr="0055600A" w:rsidRDefault="0055600A" w:rsidP="0055600A">
      <w:pPr>
        <w:spacing w:after="0" w:line="276" w:lineRule="auto"/>
        <w:ind w:right="49"/>
        <w:jc w:val="both"/>
        <w:rPr>
          <w:rFonts w:ascii="Book Antiqua" w:eastAsia="Calibri" w:hAnsi="Book Antiqua" w:cs="Arial"/>
          <w:i/>
          <w:iCs/>
          <w:sz w:val="24"/>
          <w:szCs w:val="24"/>
        </w:rPr>
      </w:pPr>
      <w:r w:rsidRPr="0055600A">
        <w:rPr>
          <w:rFonts w:ascii="Book Antiqua" w:eastAsia="Calibri" w:hAnsi="Book Antiqua" w:cs="Arial"/>
          <w:i/>
          <w:iCs/>
          <w:sz w:val="24"/>
          <w:szCs w:val="24"/>
        </w:rPr>
        <w:t>3.1 Aprobar el reporte de la herramienta sigma pues el seguimiento efectuado durante el 2022 por este subproceso refleja que el informe genera la información tal cual se encuentra actualizada en el escritorio virtual; se toma en consideración que, si la información no coincide con el archivo de Excel manual se debe a la falta de actualización de las causas en el módulo de pase a fallo o de ambos reportes (Sigma versus Excel).</w:t>
      </w:r>
    </w:p>
    <w:p w14:paraId="6116C7CC" w14:textId="77777777" w:rsidR="0055600A" w:rsidRPr="0055600A" w:rsidRDefault="0055600A" w:rsidP="0055600A">
      <w:pPr>
        <w:spacing w:after="0" w:line="276" w:lineRule="auto"/>
        <w:ind w:right="49"/>
        <w:jc w:val="both"/>
        <w:rPr>
          <w:rFonts w:ascii="Book Antiqua" w:eastAsia="Calibri" w:hAnsi="Book Antiqua" w:cs="Arial"/>
          <w:sz w:val="24"/>
          <w:szCs w:val="24"/>
        </w:rPr>
      </w:pPr>
    </w:p>
    <w:p w14:paraId="5C66615D" w14:textId="1A46ACC3" w:rsidR="00280C2F" w:rsidRDefault="0055600A" w:rsidP="0055600A">
      <w:pPr>
        <w:spacing w:after="0" w:line="276" w:lineRule="auto"/>
        <w:ind w:right="49"/>
        <w:jc w:val="both"/>
        <w:rPr>
          <w:rFonts w:ascii="Book Antiqua" w:eastAsia="Calibri" w:hAnsi="Book Antiqua" w:cs="Arial"/>
          <w:sz w:val="24"/>
          <w:szCs w:val="24"/>
        </w:rPr>
      </w:pPr>
      <w:r w:rsidRPr="0055600A">
        <w:rPr>
          <w:rFonts w:ascii="Book Antiqua" w:eastAsia="Calibri" w:hAnsi="Book Antiqua" w:cs="Arial"/>
          <w:sz w:val="24"/>
          <w:szCs w:val="24"/>
        </w:rPr>
        <w:t xml:space="preserve">                                                                                                                                       (…)</w:t>
      </w:r>
    </w:p>
    <w:p w14:paraId="2C5C903B" w14:textId="77777777" w:rsidR="00F525FB" w:rsidRDefault="00F525FB" w:rsidP="001D0C10">
      <w:pPr>
        <w:spacing w:after="0" w:line="276" w:lineRule="auto"/>
        <w:ind w:right="49"/>
        <w:jc w:val="both"/>
        <w:rPr>
          <w:rFonts w:ascii="Book Antiqua" w:eastAsia="Calibri" w:hAnsi="Book Antiqua" w:cs="Arial"/>
          <w:sz w:val="24"/>
          <w:szCs w:val="24"/>
        </w:rPr>
      </w:pPr>
    </w:p>
    <w:p w14:paraId="01AAD15E" w14:textId="112EA445" w:rsidR="00B74C1B" w:rsidRDefault="00B74C1B" w:rsidP="001D0C10">
      <w:pPr>
        <w:spacing w:after="0" w:line="276" w:lineRule="auto"/>
        <w:ind w:right="49"/>
        <w:jc w:val="both"/>
        <w:rPr>
          <w:rFonts w:ascii="Book Antiqua" w:eastAsia="Calibri" w:hAnsi="Book Antiqua" w:cs="Arial"/>
          <w:sz w:val="24"/>
          <w:szCs w:val="24"/>
        </w:rPr>
      </w:pPr>
    </w:p>
    <w:p w14:paraId="6DF212B4" w14:textId="77777777" w:rsidR="00E54CBF" w:rsidRPr="005B78EF" w:rsidRDefault="00E54CBF" w:rsidP="005B78E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B78EF">
        <w:rPr>
          <w:rFonts w:ascii="Book Antiqua" w:eastAsiaTheme="majorEastAsia" w:hAnsi="Book Antiqua" w:cstheme="majorBidi"/>
          <w:b/>
          <w:color w:val="1F3864" w:themeColor="accent1" w:themeShade="80"/>
          <w:sz w:val="24"/>
          <w:lang w:val="es-ES"/>
        </w:rPr>
        <w:t>Modelo de Sostenibilidad y Seguimiento de los proyectos de rediseño de oficinas en materia de Familia</w:t>
      </w:r>
    </w:p>
    <w:p w14:paraId="7AC46BD6" w14:textId="77777777" w:rsidR="00E54CBF" w:rsidRPr="00E54CBF" w:rsidRDefault="00E54CBF" w:rsidP="00E54CBF">
      <w:pPr>
        <w:spacing w:after="0" w:line="276" w:lineRule="auto"/>
        <w:jc w:val="both"/>
        <w:rPr>
          <w:rFonts w:ascii="Book Antiqua" w:eastAsia="Calibri" w:hAnsi="Book Antiqua" w:cs="Arial"/>
          <w:sz w:val="24"/>
          <w:szCs w:val="24"/>
        </w:rPr>
      </w:pPr>
    </w:p>
    <w:p w14:paraId="5E48FD90" w14:textId="77777777" w:rsidR="006E7FF7" w:rsidRPr="006E7FF7" w:rsidRDefault="006E7FF7" w:rsidP="006E7FF7">
      <w:pPr>
        <w:spacing w:after="0" w:line="276" w:lineRule="auto"/>
        <w:jc w:val="both"/>
        <w:rPr>
          <w:rFonts w:ascii="Book Antiqua" w:eastAsia="Calibri" w:hAnsi="Book Antiqua" w:cs="Arial"/>
          <w:sz w:val="24"/>
          <w:szCs w:val="24"/>
        </w:rPr>
      </w:pPr>
      <w:r w:rsidRPr="00C814B2">
        <w:rPr>
          <w:rFonts w:ascii="Book Antiqua" w:eastAsia="Calibri" w:hAnsi="Book Antiqua" w:cs="Arial"/>
          <w:sz w:val="24"/>
          <w:szCs w:val="24"/>
        </w:rPr>
        <w:t>El establecimiento</w:t>
      </w:r>
      <w:r w:rsidRPr="006E7FF7">
        <w:rPr>
          <w:rFonts w:ascii="Book Antiqua" w:eastAsia="Calibri" w:hAnsi="Book Antiqua" w:cs="Arial"/>
          <w:sz w:val="24"/>
          <w:szCs w:val="24"/>
        </w:rPr>
        <w:t xml:space="preserve"> de cuotas de trabajo a las personas juzgadoras y técnicas judiciales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14:paraId="31345BA6" w14:textId="77777777" w:rsidR="006E7FF7" w:rsidRPr="006E7FF7" w:rsidRDefault="006E7FF7" w:rsidP="006E7FF7">
      <w:pPr>
        <w:spacing w:after="0" w:line="276" w:lineRule="auto"/>
        <w:jc w:val="both"/>
        <w:rPr>
          <w:rFonts w:ascii="Book Antiqua" w:eastAsia="Calibri" w:hAnsi="Book Antiqua" w:cs="Arial"/>
          <w:sz w:val="24"/>
          <w:szCs w:val="24"/>
        </w:rPr>
      </w:pPr>
    </w:p>
    <w:p w14:paraId="40ACBD15"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14:paraId="3DDE96EF" w14:textId="77777777" w:rsidR="006E7FF7" w:rsidRPr="006E7FF7" w:rsidRDefault="006E7FF7" w:rsidP="006E7FF7">
      <w:pPr>
        <w:spacing w:after="0" w:line="276" w:lineRule="auto"/>
        <w:jc w:val="both"/>
        <w:rPr>
          <w:rFonts w:ascii="Book Antiqua" w:eastAsia="Calibri" w:hAnsi="Book Antiqua" w:cs="Arial"/>
          <w:sz w:val="24"/>
          <w:szCs w:val="24"/>
        </w:rPr>
      </w:pPr>
    </w:p>
    <w:p w14:paraId="1F513388"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r w:rsidRPr="006E7FF7">
        <w:rPr>
          <w:rFonts w:ascii="Book Antiqua" w:eastAsia="Calibri" w:hAnsi="Book Antiqua" w:cs="Arial"/>
          <w:i/>
          <w:iCs/>
          <w:sz w:val="24"/>
          <w:szCs w:val="24"/>
        </w:rPr>
        <w:t>“5.3.</w:t>
      </w:r>
      <w:r w:rsidRPr="006E7FF7">
        <w:rPr>
          <w:rFonts w:ascii="Book Antiqua" w:eastAsia="Calibri" w:hAnsi="Book Antiqua" w:cs="Arial"/>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0932A0AE"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p>
    <w:p w14:paraId="764AF67E"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r w:rsidRPr="006E7FF7">
        <w:rPr>
          <w:rFonts w:ascii="Book Antiqua" w:eastAsia="Calibri" w:hAnsi="Book Antiqua" w:cs="Arial"/>
          <w:i/>
          <w:iCs/>
          <w:sz w:val="24"/>
          <w:szCs w:val="24"/>
        </w:rPr>
        <w:t>5.4.</w:t>
      </w:r>
      <w:r w:rsidRPr="006E7FF7">
        <w:rPr>
          <w:rFonts w:ascii="Book Antiqua" w:eastAsia="Calibri" w:hAnsi="Book Antiqua" w:cs="Arial"/>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34DF4453" w14:textId="77777777" w:rsidR="006E7FF7" w:rsidRPr="006E7FF7" w:rsidRDefault="006E7FF7" w:rsidP="006E7FF7">
      <w:pPr>
        <w:spacing w:after="0" w:line="276" w:lineRule="auto"/>
        <w:jc w:val="both"/>
        <w:rPr>
          <w:rFonts w:ascii="Book Antiqua" w:eastAsia="Calibri" w:hAnsi="Book Antiqua" w:cs="Arial"/>
          <w:sz w:val="24"/>
          <w:szCs w:val="24"/>
        </w:rPr>
      </w:pPr>
    </w:p>
    <w:p w14:paraId="44D637B1"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 xml:space="preserve">Cada Juzgado cuenta con su equipo de mejora conformado y además hacen uso de la matriz de indicadores que se les diseño y para lo cual fueron capacitados por la Dirección de Planificación sobre la forma de completar esa matriz.  </w:t>
      </w:r>
    </w:p>
    <w:p w14:paraId="0D523B68"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Lo anterior, también como parte de un proceso de retroalimentación en atención de la recomendación 4.7 de informe  DFOE-PG-0098 (2683)-2020, relacionado con el informe DFOE-PG-IF-00002-2020 “</w:t>
      </w:r>
      <w:r w:rsidRPr="006E7FF7">
        <w:rPr>
          <w:rFonts w:ascii="Book Antiqua" w:eastAsia="Calibri" w:hAnsi="Book Antiqua" w:cs="Arial"/>
          <w:i/>
          <w:iCs/>
          <w:sz w:val="24"/>
          <w:szCs w:val="24"/>
        </w:rPr>
        <w:t xml:space="preserve">Informe de Auditoría Operativa sobre la gestión del Poder Judicial en cuanto a la oportunidad de la prestación del servicio público de administración de la justicia de los juzgados de Familia y de Pensiones alimentarias” </w:t>
      </w:r>
      <w:r w:rsidRPr="006E7FF7">
        <w:rPr>
          <w:rFonts w:ascii="Book Antiqua" w:eastAsia="Calibri" w:hAnsi="Book Antiqua" w:cs="Arial"/>
          <w:sz w:val="24"/>
          <w:szCs w:val="24"/>
        </w:rPr>
        <w:t>y donde el Consejo Superior aprueba el oficio 2058-PLA-EV-2020 en sesión 2-2021 celebrada el 07 de enero del 2021, artículo XXXIX y dispuso:</w:t>
      </w:r>
    </w:p>
    <w:p w14:paraId="3119966A" w14:textId="3DAC2AFD" w:rsidR="0025554E" w:rsidRDefault="0025554E" w:rsidP="008904E0">
      <w:pPr>
        <w:spacing w:after="0" w:line="276" w:lineRule="auto"/>
        <w:jc w:val="both"/>
        <w:rPr>
          <w:rFonts w:ascii="Book Antiqua" w:eastAsia="Calibri" w:hAnsi="Book Antiqua" w:cs="Arial"/>
          <w:sz w:val="24"/>
          <w:szCs w:val="24"/>
        </w:rPr>
      </w:pPr>
    </w:p>
    <w:p w14:paraId="6DA4A2B5" w14:textId="35513EDC" w:rsidR="003B3D1C" w:rsidRPr="003B3D1C" w:rsidRDefault="003B3D1C" w:rsidP="003B3D1C">
      <w:pPr>
        <w:spacing w:after="0" w:line="276" w:lineRule="auto"/>
        <w:ind w:left="567" w:right="616"/>
        <w:jc w:val="both"/>
        <w:rPr>
          <w:rFonts w:ascii="Book Antiqua" w:eastAsia="Calibri" w:hAnsi="Book Antiqua" w:cs="Times New Roman"/>
          <w:i/>
          <w:iCs/>
          <w:sz w:val="24"/>
          <w:szCs w:val="24"/>
          <w:lang w:eastAsia="es-CR"/>
        </w:rPr>
      </w:pPr>
      <w:r w:rsidRPr="003B3D1C">
        <w:rPr>
          <w:rFonts w:ascii="Book Antiqua" w:eastAsia="Calibri" w:hAnsi="Book Antiqua" w:cs="Calibri"/>
          <w:i/>
          <w:iCs/>
          <w:sz w:val="24"/>
          <w:szCs w:val="24"/>
          <w:lang w:eastAsia="es-CR"/>
        </w:rPr>
        <w:t>“</w:t>
      </w:r>
      <w:r w:rsidRPr="003B3D1C">
        <w:rPr>
          <w:rFonts w:ascii="Book Antiqua" w:eastAsia="Calibri" w:hAnsi="Book Antiqua" w:cs="Times New Roman"/>
          <w:b/>
          <w:bCs/>
          <w:i/>
          <w:iCs/>
          <w:sz w:val="24"/>
          <w:szCs w:val="24"/>
          <w:lang w:eastAsia="es-CR"/>
        </w:rPr>
        <w:t xml:space="preserve">Se acordó: 1.) </w:t>
      </w:r>
      <w:r w:rsidRPr="003B3D1C">
        <w:rPr>
          <w:rFonts w:ascii="Book Antiqua" w:eastAsia="Calibri" w:hAnsi="Book Antiqua" w:cs="Times New Roman"/>
          <w:i/>
          <w:iCs/>
          <w:sz w:val="24"/>
          <w:szCs w:val="24"/>
          <w:lang w:eastAsia="es-CR"/>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3B3D1C">
        <w:rPr>
          <w:rFonts w:ascii="Book Antiqua" w:eastAsia="Calibri" w:hAnsi="Book Antiqua" w:cs="Times New Roman"/>
          <w:b/>
          <w:bCs/>
          <w:i/>
          <w:iCs/>
          <w:sz w:val="24"/>
          <w:szCs w:val="24"/>
          <w:lang w:eastAsia="es-CR"/>
        </w:rPr>
        <w:t xml:space="preserve">2.) </w:t>
      </w:r>
      <w:r w:rsidRPr="003B3D1C">
        <w:rPr>
          <w:rFonts w:ascii="Book Antiqua" w:eastAsia="Calibri" w:hAnsi="Book Antiqua" w:cs="Times New Roman"/>
          <w:i/>
          <w:iCs/>
          <w:sz w:val="24"/>
          <w:szCs w:val="24"/>
          <w:lang w:eastAsia="es-CR"/>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3B3D1C">
        <w:rPr>
          <w:rFonts w:ascii="Book Antiqua" w:eastAsia="Calibri" w:hAnsi="Book Antiqua" w:cs="Times New Roman"/>
          <w:b/>
          <w:bCs/>
          <w:i/>
          <w:iCs/>
          <w:sz w:val="24"/>
          <w:szCs w:val="24"/>
          <w:lang w:eastAsia="es-CR"/>
        </w:rPr>
        <w:t>3.)</w:t>
      </w:r>
      <w:r w:rsidRPr="003B3D1C">
        <w:rPr>
          <w:rFonts w:ascii="Book Antiqua" w:eastAsia="Calibri" w:hAnsi="Book Antiqua" w:cs="Times New Roman"/>
          <w:i/>
          <w:iCs/>
          <w:sz w:val="24"/>
          <w:szCs w:val="24"/>
          <w:lang w:eastAsia="es-CR"/>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3B3D1C">
        <w:rPr>
          <w:rFonts w:ascii="Book Antiqua" w:eastAsia="Calibri" w:hAnsi="Book Antiqua" w:cs="Times New Roman"/>
          <w:b/>
          <w:bCs/>
          <w:i/>
          <w:iCs/>
          <w:sz w:val="24"/>
          <w:szCs w:val="24"/>
          <w:lang w:eastAsia="es-CR"/>
        </w:rPr>
        <w:t xml:space="preserve">4.) </w:t>
      </w:r>
      <w:r w:rsidRPr="003B3D1C">
        <w:rPr>
          <w:rFonts w:ascii="Book Antiqua" w:eastAsia="Calibri" w:hAnsi="Book Antiqua" w:cs="Times New Roman"/>
          <w:i/>
          <w:iCs/>
          <w:sz w:val="24"/>
          <w:szCs w:val="24"/>
          <w:lang w:eastAsia="es-CR"/>
        </w:rPr>
        <w:t>Comisionar a la Secretaría General de la Corte para que tramite la remisión del contenido completo del informe N° 2058-PLA-EV-2020 de 18 de diciembre de 2020, a la Contraloría General de la República.</w:t>
      </w:r>
    </w:p>
    <w:p w14:paraId="6002E234" w14:textId="77777777" w:rsidR="003B3D1C" w:rsidRPr="003B3D1C" w:rsidRDefault="003B3D1C" w:rsidP="003B3D1C">
      <w:pPr>
        <w:spacing w:after="0" w:line="276" w:lineRule="auto"/>
        <w:ind w:left="567" w:right="616"/>
        <w:rPr>
          <w:rFonts w:ascii="Book Antiqua" w:eastAsia="Calibri" w:hAnsi="Book Antiqua" w:cs="Times New Roman"/>
          <w:i/>
          <w:iCs/>
          <w:sz w:val="24"/>
          <w:szCs w:val="24"/>
          <w:lang w:eastAsia="es-CR"/>
        </w:rPr>
      </w:pPr>
      <w:r w:rsidRPr="003B3D1C">
        <w:rPr>
          <w:rFonts w:ascii="Book Antiqua" w:eastAsia="Calibri" w:hAnsi="Book Antiqua" w:cs="Times New Roman"/>
          <w:i/>
          <w:iCs/>
          <w:sz w:val="24"/>
          <w:szCs w:val="24"/>
          <w:lang w:val="es-ES" w:eastAsia="es-CR"/>
        </w:rPr>
        <w:t> </w:t>
      </w:r>
    </w:p>
    <w:p w14:paraId="69ACC6D2" w14:textId="77777777" w:rsidR="003B3D1C" w:rsidRPr="003B3D1C" w:rsidRDefault="003B3D1C" w:rsidP="003B3D1C">
      <w:pPr>
        <w:spacing w:after="0" w:line="276" w:lineRule="auto"/>
        <w:ind w:left="567" w:right="616"/>
        <w:jc w:val="both"/>
        <w:rPr>
          <w:rFonts w:ascii="Book Antiqua" w:eastAsia="Calibri" w:hAnsi="Book Antiqua" w:cs="Times New Roman"/>
          <w:i/>
          <w:iCs/>
          <w:sz w:val="24"/>
          <w:szCs w:val="24"/>
          <w:lang w:eastAsia="es-CR"/>
        </w:rPr>
      </w:pPr>
      <w:r w:rsidRPr="003B3D1C">
        <w:rPr>
          <w:rFonts w:ascii="Book Antiqua" w:eastAsia="Calibri" w:hAnsi="Book Antiqua" w:cs="Times New Roman"/>
          <w:i/>
          <w:iCs/>
          <w:sz w:val="24"/>
          <w:szCs w:val="24"/>
          <w:lang w:eastAsia="es-CR"/>
        </w:rPr>
        <w:t xml:space="preserve">La Dirección de Planificación tomará nota para los fines consiguientes. </w:t>
      </w:r>
      <w:r w:rsidRPr="003B3D1C">
        <w:rPr>
          <w:rFonts w:ascii="Book Antiqua" w:eastAsia="Calibri" w:hAnsi="Book Antiqua" w:cs="Times New Roman"/>
          <w:b/>
          <w:bCs/>
          <w:i/>
          <w:iCs/>
          <w:sz w:val="24"/>
          <w:szCs w:val="24"/>
          <w:lang w:eastAsia="es-CR"/>
        </w:rPr>
        <w:t>Se declara acuerdo firme.</w:t>
      </w:r>
      <w:r w:rsidRPr="003B3D1C">
        <w:rPr>
          <w:rFonts w:ascii="Book Antiqua" w:eastAsia="Calibri" w:hAnsi="Book Antiqua" w:cs="Times New Roman"/>
          <w:i/>
          <w:iCs/>
          <w:sz w:val="24"/>
          <w:szCs w:val="24"/>
          <w:lang w:val="es-ES" w:eastAsia="es-CR"/>
        </w:rPr>
        <w:t>”.</w:t>
      </w:r>
    </w:p>
    <w:p w14:paraId="24544FA4" w14:textId="77777777" w:rsidR="003B3D1C" w:rsidRPr="003B3D1C" w:rsidRDefault="003B3D1C" w:rsidP="003B3D1C">
      <w:pPr>
        <w:spacing w:after="0" w:line="276" w:lineRule="auto"/>
        <w:ind w:left="851" w:right="851"/>
        <w:jc w:val="both"/>
        <w:rPr>
          <w:rFonts w:ascii="Times New Roman" w:eastAsia="Calibri" w:hAnsi="Times New Roman" w:cs="Times New Roman"/>
          <w:sz w:val="24"/>
          <w:szCs w:val="24"/>
          <w:lang w:eastAsia="es-CR"/>
        </w:rPr>
      </w:pPr>
      <w:r w:rsidRPr="003B3D1C">
        <w:rPr>
          <w:rFonts w:ascii="Times New Roman" w:eastAsia="Calibri" w:hAnsi="Times New Roman" w:cs="Times New Roman"/>
          <w:lang w:val="es-ES" w:eastAsia="es-CR"/>
        </w:rPr>
        <w:t> </w:t>
      </w:r>
    </w:p>
    <w:p w14:paraId="326FBBC1" w14:textId="1DAB4036" w:rsidR="00343BFF" w:rsidRDefault="003B3D1C" w:rsidP="003B3D1C">
      <w:pPr>
        <w:spacing w:after="0" w:line="276" w:lineRule="auto"/>
        <w:jc w:val="both"/>
        <w:rPr>
          <w:rFonts w:ascii="Book Antiqua" w:eastAsia="Calibri" w:hAnsi="Book Antiqua" w:cs="Arial"/>
          <w:i/>
          <w:iCs/>
          <w:sz w:val="24"/>
          <w:szCs w:val="24"/>
        </w:rPr>
      </w:pPr>
      <w:r w:rsidRPr="003B3D1C">
        <w:rPr>
          <w:rFonts w:ascii="Book Antiqua" w:eastAsia="Calibri" w:hAnsi="Book Antiqua" w:cs="Arial"/>
          <w:sz w:val="24"/>
          <w:szCs w:val="24"/>
        </w:rPr>
        <w:t xml:space="preserve">Adicionalmente el Consejo Superior acuerda en sesión 82-2020 celebrada el 20 de agosto del 2020, artículo XLI emitir las circulares 193-2020 </w:t>
      </w:r>
      <w:r w:rsidRPr="003B3D1C">
        <w:rPr>
          <w:rFonts w:ascii="Book Antiqua" w:eastAsia="Calibri" w:hAnsi="Book Antiqua" w:cs="Arial"/>
          <w:i/>
          <w:iCs/>
          <w:sz w:val="24"/>
          <w:szCs w:val="24"/>
        </w:rPr>
        <w:t>“Responsabilidades asociadas al Modelo de Sostenibilidad y Seguimientos de los proyectos de rediseño de oficinas”</w:t>
      </w:r>
      <w:r w:rsidRPr="003B3D1C">
        <w:rPr>
          <w:rFonts w:ascii="Book Antiqua" w:eastAsia="Calibri" w:hAnsi="Book Antiqua" w:cs="Arial"/>
          <w:sz w:val="24"/>
          <w:szCs w:val="24"/>
        </w:rPr>
        <w:t xml:space="preserve"> y 194-2020 </w:t>
      </w:r>
      <w:r w:rsidRPr="003B3D1C">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3B3D1C">
        <w:rPr>
          <w:rFonts w:ascii="Book Antiqua" w:eastAsia="Calibri" w:hAnsi="Book Antiqua" w:cs="Arial"/>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3B3D1C">
        <w:rPr>
          <w:rFonts w:ascii="Book Antiqua" w:eastAsia="Calibri"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0706D515" w14:textId="77777777" w:rsidR="00343BFF" w:rsidRDefault="00343BFF" w:rsidP="003B3D1C">
      <w:pPr>
        <w:spacing w:after="0" w:line="276" w:lineRule="auto"/>
        <w:jc w:val="both"/>
        <w:rPr>
          <w:rFonts w:ascii="Book Antiqua" w:eastAsia="Calibri" w:hAnsi="Book Antiqua" w:cs="Arial"/>
          <w:i/>
          <w:iCs/>
          <w:sz w:val="24"/>
          <w:szCs w:val="24"/>
        </w:rPr>
      </w:pPr>
    </w:p>
    <w:p w14:paraId="43E9A03F" w14:textId="77777777" w:rsidR="00EC233F" w:rsidRPr="00625442" w:rsidRDefault="00EC233F" w:rsidP="00625442">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625442">
        <w:rPr>
          <w:rFonts w:ascii="Book Antiqua" w:eastAsiaTheme="majorEastAsia" w:hAnsi="Book Antiqua" w:cstheme="majorBidi"/>
          <w:b/>
          <w:color w:val="1F3864" w:themeColor="accent1" w:themeShade="80"/>
          <w:sz w:val="24"/>
          <w:lang w:val="es-ES"/>
        </w:rPr>
        <w:t>Indicadores de Gestión en Despachos Rediseñados</w:t>
      </w:r>
    </w:p>
    <w:p w14:paraId="6C5F6EA0" w14:textId="77777777" w:rsidR="00625442" w:rsidRDefault="00625442" w:rsidP="00077CF2">
      <w:pPr>
        <w:spacing w:after="0" w:line="276" w:lineRule="auto"/>
        <w:jc w:val="both"/>
        <w:rPr>
          <w:rFonts w:ascii="Book Antiqua" w:eastAsia="Calibri" w:hAnsi="Book Antiqua" w:cs="Arial"/>
          <w:sz w:val="24"/>
          <w:szCs w:val="24"/>
        </w:rPr>
      </w:pPr>
    </w:p>
    <w:p w14:paraId="420BFE3F" w14:textId="2DF35DBA" w:rsidR="00077CF2" w:rsidRPr="00077CF2" w:rsidRDefault="00077CF2" w:rsidP="00077CF2">
      <w:pPr>
        <w:spacing w:after="0" w:line="276" w:lineRule="auto"/>
        <w:jc w:val="both"/>
        <w:rPr>
          <w:rFonts w:ascii="Book Antiqua" w:eastAsia="Calibri" w:hAnsi="Book Antiqua" w:cs="Arial"/>
          <w:sz w:val="24"/>
          <w:szCs w:val="24"/>
        </w:rPr>
      </w:pPr>
      <w:r w:rsidRPr="00077CF2">
        <w:rPr>
          <w:rFonts w:ascii="Book Antiqua" w:eastAsia="Calibri" w:hAnsi="Book Antiqua" w:cs="Arial"/>
          <w:sz w:val="24"/>
          <w:szCs w:val="24"/>
        </w:rPr>
        <w:t xml:space="preserve">El diseño de la matriz de indicadores de gestión para los despachos competentes en materia de Familia, tomo en consideración Rediseños en los Juzgados de Familia del Segundo Circuito Judicial de Alajuela y Cartago y fueron debidamente validados con el equipo gestor, en donde los indicadores se categorizan de la siguiente manera: </w:t>
      </w:r>
    </w:p>
    <w:p w14:paraId="76E95B5D" w14:textId="67C7974F" w:rsidR="00077CF2" w:rsidRDefault="00077CF2" w:rsidP="005B78EF">
      <w:pPr>
        <w:spacing w:after="0" w:line="276" w:lineRule="auto"/>
        <w:jc w:val="both"/>
        <w:rPr>
          <w:rFonts w:ascii="Book Antiqua" w:eastAsia="Calibri" w:hAnsi="Book Antiqua" w:cs="Arial"/>
          <w:sz w:val="24"/>
          <w:szCs w:val="24"/>
          <w:lang w:eastAsia="es-CR"/>
        </w:rPr>
      </w:pPr>
      <w:r w:rsidRPr="00077CF2">
        <w:rPr>
          <w:rFonts w:ascii="Book Antiqua" w:eastAsia="Calibri" w:hAnsi="Book Antiqua" w:cs="Arial"/>
          <w:sz w:val="24"/>
          <w:szCs w:val="24"/>
        </w:rPr>
        <w:t xml:space="preserve"> </w:t>
      </w:r>
      <w:r w:rsidRPr="00077CF2">
        <w:rPr>
          <w:rFonts w:ascii="Book Antiqua" w:eastAsia="Calibri" w:hAnsi="Book Antiqua" w:cs="Arial"/>
          <w:sz w:val="24"/>
          <w:szCs w:val="24"/>
          <w:lang w:eastAsia="es-CR"/>
        </w:rPr>
        <w:t xml:space="preserve">Rendimiento estadístico del despacho: en términos generales consisten en detallar una serie de variables estadísticas destinadas a calificar de manera general el movimiento de trabajo del despacho (entradas, salidas, circulante, etc.). </w:t>
      </w:r>
    </w:p>
    <w:p w14:paraId="6F04B08D" w14:textId="77777777" w:rsidR="00945E23" w:rsidRPr="00077CF2" w:rsidRDefault="00945E23" w:rsidP="005B78EF">
      <w:pPr>
        <w:spacing w:after="0" w:line="276" w:lineRule="auto"/>
        <w:jc w:val="both"/>
        <w:rPr>
          <w:rFonts w:ascii="Book Antiqua" w:eastAsia="Calibri" w:hAnsi="Book Antiqua" w:cs="Arial"/>
          <w:sz w:val="24"/>
          <w:szCs w:val="24"/>
          <w:lang w:eastAsia="es-CR"/>
        </w:rPr>
      </w:pPr>
    </w:p>
    <w:p w14:paraId="421F7939" w14:textId="77777777" w:rsidR="00F638A5" w:rsidRPr="00F638A5" w:rsidRDefault="00F638A5" w:rsidP="0090609F">
      <w:pPr>
        <w:numPr>
          <w:ilvl w:val="0"/>
          <w:numId w:val="16"/>
        </w:numPr>
        <w:spacing w:after="0" w:line="276" w:lineRule="auto"/>
        <w:ind w:left="0" w:firstLine="0"/>
        <w:contextualSpacing/>
        <w:jc w:val="both"/>
        <w:rPr>
          <w:rFonts w:ascii="Book Antiqua" w:eastAsia="Calibri" w:hAnsi="Book Antiqua" w:cs="Arial"/>
          <w:sz w:val="24"/>
          <w:szCs w:val="24"/>
          <w:lang w:eastAsia="es-CR"/>
        </w:rPr>
      </w:pPr>
      <w:r w:rsidRPr="00F638A5">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0E28D1C2" w14:textId="308B3461" w:rsidR="00F638A5" w:rsidRDefault="00F638A5" w:rsidP="0090609F">
      <w:pPr>
        <w:numPr>
          <w:ilvl w:val="0"/>
          <w:numId w:val="16"/>
        </w:numPr>
        <w:spacing w:after="0" w:line="276" w:lineRule="auto"/>
        <w:ind w:left="0" w:firstLine="0"/>
        <w:contextualSpacing/>
        <w:jc w:val="both"/>
        <w:rPr>
          <w:rFonts w:ascii="Book Antiqua" w:eastAsia="Calibri" w:hAnsi="Book Antiqua" w:cs="Arial"/>
          <w:sz w:val="24"/>
          <w:szCs w:val="24"/>
          <w:lang w:eastAsia="es-CR"/>
        </w:rPr>
      </w:pPr>
      <w:r w:rsidRPr="009C462E">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676532B2" w14:textId="77777777" w:rsidR="009C462E" w:rsidRPr="009C462E" w:rsidRDefault="009C462E" w:rsidP="009C462E">
      <w:pPr>
        <w:spacing w:after="0" w:line="276" w:lineRule="auto"/>
        <w:contextualSpacing/>
        <w:jc w:val="both"/>
        <w:rPr>
          <w:rFonts w:ascii="Book Antiqua" w:eastAsia="Calibri" w:hAnsi="Book Antiqua" w:cs="Arial"/>
          <w:sz w:val="24"/>
          <w:szCs w:val="24"/>
          <w:lang w:eastAsia="es-CR"/>
        </w:rPr>
      </w:pPr>
    </w:p>
    <w:p w14:paraId="4F03AE75" w14:textId="77777777" w:rsidR="00F638A5" w:rsidRPr="009C462E" w:rsidRDefault="00F638A5" w:rsidP="009C462E">
      <w:pPr>
        <w:spacing w:line="276" w:lineRule="auto"/>
        <w:jc w:val="both"/>
        <w:rPr>
          <w:rFonts w:ascii="Book Antiqua" w:eastAsia="Calibri" w:hAnsi="Book Antiqua" w:cs="Arial"/>
          <w:sz w:val="24"/>
          <w:szCs w:val="24"/>
        </w:rPr>
      </w:pPr>
      <w:r w:rsidRPr="009C462E">
        <w:rPr>
          <w:rFonts w:ascii="Book Antiqua" w:eastAsia="Calibri" w:hAnsi="Book Antiqua" w:cs="Arial"/>
          <w:sz w:val="24"/>
          <w:szCs w:val="24"/>
        </w:rPr>
        <w:t xml:space="preserve">Respecto a los indicadores y parámetros estos fueron sometidos a aprobación de Consejo Superior y Corte Plena mediante informe 656-PLA-RH-MI-2020 y aprobados por ambas instancias en sesiones sesión 45-2020 celebrada el 8 de mayo de 2020, artículo XIX y sesión 31-2020 del dos de junio del 2020, artículo I, respectivamente. </w:t>
      </w:r>
    </w:p>
    <w:p w14:paraId="4A02AC93" w14:textId="5BA09E76" w:rsidR="007F24CE" w:rsidRDefault="00B510D7" w:rsidP="002E7334">
      <w:pPr>
        <w:spacing w:line="276" w:lineRule="auto"/>
        <w:jc w:val="both"/>
        <w:rPr>
          <w:rFonts w:ascii="Book Antiqua" w:eastAsia="Calibri" w:hAnsi="Book Antiqua" w:cs="Arial"/>
          <w:sz w:val="24"/>
          <w:szCs w:val="24"/>
        </w:rPr>
      </w:pPr>
      <w:r>
        <w:rPr>
          <w:rFonts w:ascii="Book Antiqua" w:eastAsia="Calibri" w:hAnsi="Book Antiqua" w:cs="Arial"/>
          <w:sz w:val="24"/>
          <w:szCs w:val="24"/>
        </w:rPr>
        <w:t>Adicionalmente</w:t>
      </w:r>
      <w:r w:rsidR="00376141">
        <w:rPr>
          <w:rFonts w:ascii="Book Antiqua" w:eastAsia="Calibri" w:hAnsi="Book Antiqua" w:cs="Arial"/>
          <w:sz w:val="24"/>
          <w:szCs w:val="24"/>
        </w:rPr>
        <w:t>, c</w:t>
      </w:r>
      <w:r w:rsidR="00C35A5E">
        <w:rPr>
          <w:rFonts w:ascii="Book Antiqua" w:eastAsia="Calibri" w:hAnsi="Book Antiqua" w:cs="Arial"/>
          <w:sz w:val="24"/>
          <w:szCs w:val="24"/>
        </w:rPr>
        <w:t>omo parte del seguimiento realizado en los Juzgados</w:t>
      </w:r>
      <w:r w:rsidR="002E7334">
        <w:rPr>
          <w:rFonts w:ascii="Book Antiqua" w:eastAsia="Calibri" w:hAnsi="Book Antiqua" w:cs="Arial"/>
          <w:sz w:val="24"/>
          <w:szCs w:val="24"/>
        </w:rPr>
        <w:t xml:space="preserve"> Especializados de Familia durante el 2021, </w:t>
      </w:r>
      <w:r>
        <w:rPr>
          <w:rFonts w:ascii="Book Antiqua" w:eastAsia="Calibri" w:hAnsi="Book Antiqua" w:cs="Arial"/>
          <w:sz w:val="24"/>
          <w:szCs w:val="24"/>
        </w:rPr>
        <w:t>s</w:t>
      </w:r>
      <w:r w:rsidR="00C35A5E">
        <w:rPr>
          <w:rFonts w:ascii="Book Antiqua" w:eastAsia="Calibri" w:hAnsi="Book Antiqua" w:cs="Arial"/>
          <w:sz w:val="24"/>
          <w:szCs w:val="24"/>
        </w:rPr>
        <w:t>e detect</w:t>
      </w:r>
      <w:r w:rsidR="002E7334">
        <w:rPr>
          <w:rFonts w:ascii="Book Antiqua" w:eastAsia="Calibri" w:hAnsi="Book Antiqua" w:cs="Arial"/>
          <w:sz w:val="24"/>
          <w:szCs w:val="24"/>
        </w:rPr>
        <w:t xml:space="preserve">aron oportunidades de mejora para la matriz de indicadores de gestión, </w:t>
      </w:r>
      <w:r w:rsidR="00276272">
        <w:rPr>
          <w:rFonts w:ascii="Book Antiqua" w:eastAsia="Calibri" w:hAnsi="Book Antiqua" w:cs="Arial"/>
          <w:sz w:val="24"/>
          <w:szCs w:val="24"/>
        </w:rPr>
        <w:t xml:space="preserve">por lo que </w:t>
      </w:r>
      <w:r w:rsidR="002E7334">
        <w:rPr>
          <w:rFonts w:ascii="Book Antiqua" w:eastAsia="Calibri" w:hAnsi="Book Antiqua" w:cs="Arial"/>
          <w:sz w:val="24"/>
          <w:szCs w:val="24"/>
        </w:rPr>
        <w:t xml:space="preserve">se realizaron ajustes a </w:t>
      </w:r>
      <w:r w:rsidR="00276272">
        <w:rPr>
          <w:rFonts w:ascii="Book Antiqua" w:eastAsia="Calibri" w:hAnsi="Book Antiqua" w:cs="Arial"/>
          <w:sz w:val="24"/>
          <w:szCs w:val="24"/>
        </w:rPr>
        <w:t xml:space="preserve">estas, </w:t>
      </w:r>
      <w:r w:rsidR="003D6239">
        <w:rPr>
          <w:rFonts w:ascii="Book Antiqua" w:eastAsia="Calibri" w:hAnsi="Book Antiqua" w:cs="Arial"/>
          <w:sz w:val="24"/>
          <w:szCs w:val="24"/>
        </w:rPr>
        <w:t>los cuales fueron comunicados mediante informe 6-PLA-MI-2022</w:t>
      </w:r>
      <w:r w:rsidR="00376141">
        <w:rPr>
          <w:rFonts w:ascii="Book Antiqua" w:eastAsia="Calibri" w:hAnsi="Book Antiqua" w:cs="Arial"/>
          <w:sz w:val="24"/>
          <w:szCs w:val="24"/>
        </w:rPr>
        <w:t xml:space="preserve"> “</w:t>
      </w:r>
      <w:r w:rsidR="00376141" w:rsidRPr="00B510D7">
        <w:rPr>
          <w:rFonts w:ascii="Book Antiqua" w:eastAsia="Calibri" w:hAnsi="Book Antiqua" w:cs="Arial"/>
          <w:i/>
          <w:iCs/>
          <w:sz w:val="24"/>
          <w:szCs w:val="24"/>
        </w:rPr>
        <w:t>Informe de cierre del seguimiento efectuado a los Juzgados Especializados de Familia</w:t>
      </w:r>
      <w:r>
        <w:rPr>
          <w:rFonts w:ascii="Book Antiqua" w:eastAsia="Calibri" w:hAnsi="Book Antiqua" w:cs="Arial"/>
          <w:i/>
          <w:iCs/>
          <w:sz w:val="24"/>
          <w:szCs w:val="24"/>
        </w:rPr>
        <w:t>”</w:t>
      </w:r>
      <w:r w:rsidR="00376141" w:rsidRPr="00B510D7">
        <w:rPr>
          <w:rFonts w:ascii="Book Antiqua" w:eastAsia="Calibri" w:hAnsi="Book Antiqua" w:cs="Arial"/>
          <w:i/>
          <w:iCs/>
          <w:sz w:val="24"/>
          <w:szCs w:val="24"/>
        </w:rPr>
        <w:t xml:space="preserve"> </w:t>
      </w:r>
      <w:r w:rsidR="00376141" w:rsidRPr="00B510D7">
        <w:rPr>
          <w:rFonts w:ascii="Book Antiqua" w:eastAsia="Calibri" w:hAnsi="Book Antiqua" w:cs="Arial"/>
          <w:sz w:val="24"/>
          <w:szCs w:val="24"/>
        </w:rPr>
        <w:t>de la Dirección de Planificación</w:t>
      </w:r>
      <w:r w:rsidR="004D6013">
        <w:rPr>
          <w:rFonts w:ascii="Book Antiqua" w:eastAsia="Calibri" w:hAnsi="Book Antiqua" w:cs="Arial"/>
          <w:sz w:val="24"/>
          <w:szCs w:val="24"/>
        </w:rPr>
        <w:t xml:space="preserve"> y se remitió a cada uno de los despachos un correo electrónico con los ajustes realizados</w:t>
      </w:r>
      <w:r w:rsidR="00724CC8">
        <w:rPr>
          <w:rFonts w:ascii="Book Antiqua" w:eastAsia="Calibri" w:hAnsi="Book Antiqua" w:cs="Arial"/>
          <w:sz w:val="24"/>
          <w:szCs w:val="24"/>
        </w:rPr>
        <w:t xml:space="preserve"> a la matriz</w:t>
      </w:r>
      <w:r w:rsidR="004D6013">
        <w:rPr>
          <w:rFonts w:ascii="Book Antiqua" w:eastAsia="Calibri" w:hAnsi="Book Antiqua" w:cs="Arial"/>
          <w:sz w:val="24"/>
          <w:szCs w:val="24"/>
        </w:rPr>
        <w:t xml:space="preserve">, además, se capacitó al personal en el uso de la nueva </w:t>
      </w:r>
      <w:r w:rsidR="00724CC8">
        <w:rPr>
          <w:rFonts w:ascii="Book Antiqua" w:eastAsia="Calibri" w:hAnsi="Book Antiqua" w:cs="Arial"/>
          <w:sz w:val="24"/>
          <w:szCs w:val="24"/>
        </w:rPr>
        <w:t>herramienta</w:t>
      </w:r>
      <w:r w:rsidR="003D6239">
        <w:rPr>
          <w:rFonts w:ascii="Book Antiqua" w:eastAsia="Calibri" w:hAnsi="Book Antiqua" w:cs="Arial"/>
          <w:sz w:val="24"/>
          <w:szCs w:val="24"/>
        </w:rPr>
        <w:t>.</w:t>
      </w:r>
    </w:p>
    <w:p w14:paraId="0A656104" w14:textId="3BEBEC29" w:rsidR="00F638A5" w:rsidRDefault="00376141"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w:t>
      </w:r>
      <w:r w:rsidR="004967D4">
        <w:rPr>
          <w:rFonts w:ascii="Book Antiqua" w:eastAsia="Calibri" w:hAnsi="Book Antiqua" w:cs="Arial"/>
          <w:sz w:val="24"/>
          <w:szCs w:val="24"/>
        </w:rPr>
        <w:t xml:space="preserve">se </w:t>
      </w:r>
      <w:r w:rsidR="00B132D5">
        <w:rPr>
          <w:rFonts w:ascii="Book Antiqua" w:eastAsia="Calibri" w:hAnsi="Book Antiqua" w:cs="Arial"/>
          <w:sz w:val="24"/>
          <w:szCs w:val="24"/>
        </w:rPr>
        <w:t>detalla l</w:t>
      </w:r>
      <w:r w:rsidR="003D6239">
        <w:rPr>
          <w:rFonts w:ascii="Book Antiqua" w:eastAsia="Calibri" w:hAnsi="Book Antiqua" w:cs="Arial"/>
          <w:sz w:val="24"/>
          <w:szCs w:val="24"/>
        </w:rPr>
        <w:t>a</w:t>
      </w:r>
      <w:r w:rsidR="00F638A5" w:rsidRPr="00A06ADC">
        <w:rPr>
          <w:rFonts w:ascii="Book Antiqua" w:eastAsia="Calibri" w:hAnsi="Book Antiqua" w:cs="Arial"/>
          <w:sz w:val="24"/>
          <w:szCs w:val="24"/>
        </w:rPr>
        <w:t xml:space="preserve"> </w:t>
      </w:r>
      <w:r w:rsidR="003D6239">
        <w:rPr>
          <w:rFonts w:ascii="Book Antiqua" w:eastAsia="Calibri" w:hAnsi="Book Antiqua" w:cs="Arial"/>
          <w:sz w:val="24"/>
          <w:szCs w:val="24"/>
        </w:rPr>
        <w:t xml:space="preserve">matriz de los </w:t>
      </w:r>
      <w:r w:rsidR="00F638A5" w:rsidRPr="00A06ADC">
        <w:rPr>
          <w:rFonts w:ascii="Book Antiqua" w:eastAsia="Calibri" w:hAnsi="Book Antiqua" w:cs="Arial"/>
          <w:sz w:val="24"/>
          <w:szCs w:val="24"/>
        </w:rPr>
        <w:t xml:space="preserve">indicadores </w:t>
      </w:r>
      <w:r w:rsidR="003D6239">
        <w:rPr>
          <w:rFonts w:ascii="Book Antiqua" w:eastAsia="Calibri" w:hAnsi="Book Antiqua" w:cs="Arial"/>
          <w:sz w:val="24"/>
          <w:szCs w:val="24"/>
        </w:rPr>
        <w:t xml:space="preserve">de gestión </w:t>
      </w:r>
      <w:r w:rsidR="00F638A5" w:rsidRPr="00A06ADC">
        <w:rPr>
          <w:rFonts w:ascii="Book Antiqua" w:eastAsia="Calibri" w:hAnsi="Book Antiqua" w:cs="Arial"/>
          <w:sz w:val="24"/>
          <w:szCs w:val="24"/>
        </w:rPr>
        <w:t xml:space="preserve">en despachos especializados de Familia </w:t>
      </w:r>
      <w:r w:rsidR="00B132D5">
        <w:rPr>
          <w:rFonts w:ascii="Book Antiqua" w:eastAsia="Calibri" w:hAnsi="Book Antiqua" w:cs="Arial"/>
          <w:sz w:val="24"/>
          <w:szCs w:val="24"/>
        </w:rPr>
        <w:t xml:space="preserve">que </w:t>
      </w:r>
      <w:r w:rsidR="00F638A5" w:rsidRPr="00A06ADC">
        <w:rPr>
          <w:rFonts w:ascii="Book Antiqua" w:eastAsia="Calibri" w:hAnsi="Book Antiqua" w:cs="Arial"/>
          <w:sz w:val="24"/>
          <w:szCs w:val="24"/>
        </w:rPr>
        <w:t>contempla</w:t>
      </w:r>
      <w:r w:rsidR="003D6239">
        <w:rPr>
          <w:rFonts w:ascii="Book Antiqua" w:eastAsia="Calibri" w:hAnsi="Book Antiqua" w:cs="Arial"/>
          <w:sz w:val="24"/>
          <w:szCs w:val="24"/>
        </w:rPr>
        <w:t xml:space="preserve"> los siguientes</w:t>
      </w:r>
      <w:r w:rsidR="00F638A5" w:rsidRPr="00A06ADC">
        <w:rPr>
          <w:rFonts w:ascii="Book Antiqua" w:eastAsia="Calibri" w:hAnsi="Book Antiqua" w:cs="Arial"/>
          <w:sz w:val="24"/>
          <w:szCs w:val="24"/>
        </w:rPr>
        <w:t xml:space="preserve">:    </w:t>
      </w:r>
    </w:p>
    <w:p w14:paraId="0D0A47E5" w14:textId="0BDD0EF3" w:rsidR="00B746A8" w:rsidRPr="00B746A8" w:rsidRDefault="00B746A8" w:rsidP="00B746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746A8">
        <w:rPr>
          <w:rFonts w:ascii="Book Antiqua" w:eastAsia="Calibri" w:hAnsi="Book Antiqua" w:cs="Arial"/>
          <w:b/>
          <w:bCs/>
          <w:color w:val="1F497D"/>
          <w:szCs w:val="24"/>
          <w:lang w:val="es-ES" w:eastAsia="es-ES"/>
        </w:rPr>
        <w:t xml:space="preserve">Cuadro </w:t>
      </w:r>
      <w:r w:rsidRPr="00B746A8">
        <w:rPr>
          <w:rFonts w:ascii="Book Antiqua" w:eastAsia="Calibri" w:hAnsi="Book Antiqua" w:cs="Arial"/>
          <w:b/>
          <w:bCs/>
          <w:color w:val="1F497D"/>
          <w:szCs w:val="24"/>
          <w:lang w:val="es-ES" w:eastAsia="es-ES"/>
        </w:rPr>
        <w:fldChar w:fldCharType="begin"/>
      </w:r>
      <w:r w:rsidRPr="00B746A8">
        <w:rPr>
          <w:rFonts w:ascii="Book Antiqua" w:eastAsia="Calibri" w:hAnsi="Book Antiqua" w:cs="Arial"/>
          <w:b/>
          <w:bCs/>
          <w:color w:val="1F497D"/>
          <w:szCs w:val="24"/>
          <w:lang w:val="es-ES" w:eastAsia="es-ES"/>
        </w:rPr>
        <w:instrText xml:space="preserve"> SEQ Cuadro \* ARABIC </w:instrText>
      </w:r>
      <w:r w:rsidRPr="00B746A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18</w:t>
      </w:r>
      <w:r w:rsidRPr="00B746A8">
        <w:rPr>
          <w:rFonts w:ascii="Book Antiqua" w:eastAsia="Calibri" w:hAnsi="Book Antiqua" w:cs="Arial"/>
          <w:b/>
          <w:bCs/>
          <w:color w:val="1F497D"/>
          <w:szCs w:val="24"/>
          <w:lang w:val="es-ES" w:eastAsia="es-ES"/>
        </w:rPr>
        <w:fldChar w:fldCharType="end"/>
      </w:r>
    </w:p>
    <w:p w14:paraId="5E74D9C8" w14:textId="6140333B" w:rsidR="00B746A8" w:rsidRPr="00B746A8" w:rsidRDefault="00B746A8" w:rsidP="00B746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746A8">
        <w:rPr>
          <w:rFonts w:ascii="Book Antiqua" w:eastAsia="Calibri" w:hAnsi="Book Antiqua" w:cs="Arial"/>
          <w:b/>
          <w:bCs/>
          <w:color w:val="1F497D"/>
          <w:szCs w:val="24"/>
          <w:lang w:val="es-ES" w:eastAsia="es-ES"/>
        </w:rPr>
        <w:t>Matriz de Indicadores de los Juzgados Especializados de Familia, 202</w:t>
      </w:r>
      <w:r>
        <w:rPr>
          <w:rFonts w:ascii="Book Antiqua" w:eastAsia="Calibri" w:hAnsi="Book Antiqua" w:cs="Arial"/>
          <w:b/>
          <w:bCs/>
          <w:color w:val="1F497D"/>
          <w:szCs w:val="24"/>
          <w:lang w:val="es-ES"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8"/>
        <w:gridCol w:w="422"/>
        <w:gridCol w:w="1619"/>
        <w:gridCol w:w="5299"/>
      </w:tblGrid>
      <w:tr w:rsidR="00D07F61" w:rsidRPr="00D07F61" w14:paraId="250B46AE" w14:textId="77777777" w:rsidTr="00346AC9">
        <w:trPr>
          <w:cantSplit/>
          <w:trHeight w:val="386"/>
          <w:tblHeader/>
          <w:jc w:val="center"/>
        </w:trPr>
        <w:tc>
          <w:tcPr>
            <w:tcW w:w="843" w:type="pct"/>
            <w:shd w:val="clear" w:color="auto" w:fill="002060"/>
            <w:vAlign w:val="center"/>
          </w:tcPr>
          <w:p w14:paraId="3A6C184A"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Categ.</w:t>
            </w:r>
          </w:p>
        </w:tc>
        <w:tc>
          <w:tcPr>
            <w:tcW w:w="239" w:type="pct"/>
            <w:shd w:val="clear" w:color="auto" w:fill="002060"/>
            <w:noWrap/>
            <w:vAlign w:val="center"/>
            <w:hideMark/>
          </w:tcPr>
          <w:p w14:paraId="5FECADF7"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N°</w:t>
            </w:r>
          </w:p>
        </w:tc>
        <w:tc>
          <w:tcPr>
            <w:tcW w:w="917" w:type="pct"/>
            <w:shd w:val="clear" w:color="auto" w:fill="002060"/>
            <w:noWrap/>
            <w:vAlign w:val="center"/>
            <w:hideMark/>
          </w:tcPr>
          <w:p w14:paraId="15DAD54B" w14:textId="77777777" w:rsidR="00D07F61" w:rsidRPr="00D07F61" w:rsidRDefault="00D07F61" w:rsidP="009B71C9">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Indicadores</w:t>
            </w:r>
          </w:p>
        </w:tc>
        <w:tc>
          <w:tcPr>
            <w:tcW w:w="3001" w:type="pct"/>
            <w:shd w:val="clear" w:color="auto" w:fill="002060"/>
            <w:noWrap/>
            <w:vAlign w:val="center"/>
            <w:hideMark/>
          </w:tcPr>
          <w:p w14:paraId="07355BB1"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Detalle</w:t>
            </w:r>
          </w:p>
        </w:tc>
      </w:tr>
      <w:tr w:rsidR="00D07F61" w:rsidRPr="00D07F61" w14:paraId="622CCF5A" w14:textId="77777777" w:rsidTr="00346AC9">
        <w:trPr>
          <w:cantSplit/>
          <w:trHeight w:val="1134"/>
          <w:jc w:val="center"/>
        </w:trPr>
        <w:tc>
          <w:tcPr>
            <w:tcW w:w="843" w:type="pct"/>
            <w:vMerge w:val="restart"/>
            <w:shd w:val="clear" w:color="auto" w:fill="DEE7FE"/>
            <w:textDirection w:val="btLr"/>
          </w:tcPr>
          <w:p w14:paraId="3CA34F96" w14:textId="77777777" w:rsidR="00D07F61" w:rsidRPr="00D07F61" w:rsidRDefault="00D07F61" w:rsidP="00D07F61">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Rendimiento Estadístico</w:t>
            </w:r>
          </w:p>
        </w:tc>
        <w:tc>
          <w:tcPr>
            <w:tcW w:w="239" w:type="pct"/>
            <w:shd w:val="clear" w:color="auto" w:fill="FFFFFF"/>
            <w:vAlign w:val="center"/>
            <w:hideMark/>
          </w:tcPr>
          <w:p w14:paraId="6031072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w:t>
            </w:r>
          </w:p>
        </w:tc>
        <w:tc>
          <w:tcPr>
            <w:tcW w:w="917" w:type="pct"/>
            <w:shd w:val="clear" w:color="auto" w:fill="FFFFFF"/>
            <w:vAlign w:val="center"/>
            <w:hideMark/>
          </w:tcPr>
          <w:p w14:paraId="53ED59CF"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total</w:t>
            </w:r>
          </w:p>
        </w:tc>
        <w:tc>
          <w:tcPr>
            <w:tcW w:w="3001" w:type="pct"/>
            <w:shd w:val="clear" w:color="auto" w:fill="auto"/>
            <w:vAlign w:val="center"/>
            <w:hideMark/>
          </w:tcPr>
          <w:p w14:paraId="539B3BD4"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Entrada total está conformada por el resultado de la sumatoria de la cantidad de asuntos nuevos ingresados y los casos reentrados en el mes.</w:t>
            </w:r>
          </w:p>
          <w:p w14:paraId="055327D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D07F61" w:rsidRPr="00D07F61" w14:paraId="1B5903EF" w14:textId="77777777" w:rsidTr="00346AC9">
        <w:trPr>
          <w:cantSplit/>
          <w:trHeight w:val="20"/>
          <w:jc w:val="center"/>
        </w:trPr>
        <w:tc>
          <w:tcPr>
            <w:tcW w:w="843" w:type="pct"/>
            <w:vMerge/>
            <w:shd w:val="clear" w:color="auto" w:fill="DEE7FE"/>
          </w:tcPr>
          <w:p w14:paraId="6C1BA4E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7B914F3C"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p>
        </w:tc>
        <w:tc>
          <w:tcPr>
            <w:tcW w:w="917" w:type="pct"/>
            <w:shd w:val="clear" w:color="auto" w:fill="FFFFFF"/>
            <w:vAlign w:val="center"/>
            <w:hideMark/>
          </w:tcPr>
          <w:p w14:paraId="1099A89C"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w:t>
            </w:r>
          </w:p>
        </w:tc>
        <w:tc>
          <w:tcPr>
            <w:tcW w:w="3001" w:type="pct"/>
            <w:shd w:val="clear" w:color="auto" w:fill="auto"/>
            <w:vAlign w:val="center"/>
            <w:hideMark/>
          </w:tcPr>
          <w:p w14:paraId="71E62D3B" w14:textId="12A829D1"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Salida Total</w:t>
            </w:r>
            <w:r w:rsidRPr="00D07F61">
              <w:rPr>
                <w:rFonts w:ascii="Book Antiqua" w:eastAsia="Calibri" w:hAnsi="Book Antiqua" w:cs="Times New Roman"/>
              </w:rPr>
              <w:t xml:space="preserve"> </w:t>
            </w:r>
            <w:r w:rsidRPr="00D07F61">
              <w:rPr>
                <w:rFonts w:ascii="Book Antiqua" w:eastAsia="Times New Roman" w:hAnsi="Book Antiqua" w:cs="Arial"/>
                <w:lang w:eastAsia="es-CR"/>
              </w:rPr>
              <w:t xml:space="preserve">está conformada por el resultado de: </w:t>
            </w:r>
            <w:r w:rsidRPr="00D07F61">
              <w:rPr>
                <w:rFonts w:ascii="Book Antiqua" w:eastAsia="Times New Roman" w:hAnsi="Book Antiqua" w:cs="Arial"/>
                <w:i/>
                <w:iCs/>
                <w:lang w:eastAsia="es-CR"/>
              </w:rPr>
              <w:t xml:space="preserve">Suma </w:t>
            </w:r>
            <w:r w:rsidR="00E03912" w:rsidRPr="00D07F61">
              <w:rPr>
                <w:rFonts w:ascii="Book Antiqua" w:eastAsia="Times New Roman" w:hAnsi="Book Antiqua" w:cs="Arial"/>
                <w:i/>
                <w:iCs/>
                <w:lang w:eastAsia="es-CR"/>
              </w:rPr>
              <w:t>casos terminados</w:t>
            </w:r>
            <w:r w:rsidRPr="00D07F61">
              <w:rPr>
                <w:rFonts w:ascii="Book Antiqua" w:eastAsia="Times New Roman" w:hAnsi="Book Antiqua" w:cs="Arial"/>
                <w:i/>
                <w:iCs/>
                <w:lang w:eastAsia="es-CR"/>
              </w:rPr>
              <w:t xml:space="preserve"> + casos inactivos</w:t>
            </w:r>
          </w:p>
          <w:p w14:paraId="266211F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9747F0" w:rsidRPr="00D07F61" w14:paraId="3C7BAAA0" w14:textId="77777777" w:rsidTr="00346AC9">
        <w:trPr>
          <w:cantSplit/>
          <w:trHeight w:val="20"/>
          <w:jc w:val="center"/>
        </w:trPr>
        <w:tc>
          <w:tcPr>
            <w:tcW w:w="843" w:type="pct"/>
            <w:vMerge/>
            <w:shd w:val="clear" w:color="auto" w:fill="DEE7FE"/>
          </w:tcPr>
          <w:p w14:paraId="3FD8EBE6" w14:textId="77777777" w:rsidR="009747F0" w:rsidRPr="00D07F61" w:rsidRDefault="009747F0"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7FDEAC58" w14:textId="1E899DB4" w:rsidR="009747F0" w:rsidRPr="00D07F61" w:rsidRDefault="009747F0" w:rsidP="00D07F61">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917" w:type="pct"/>
            <w:shd w:val="clear" w:color="auto" w:fill="FFFFFF"/>
            <w:vAlign w:val="center"/>
          </w:tcPr>
          <w:p w14:paraId="1C86AB59" w14:textId="720E08C0" w:rsidR="009747F0" w:rsidRPr="00D07F61" w:rsidRDefault="009747F0" w:rsidP="009B71C9">
            <w:pPr>
              <w:spacing w:after="0" w:line="276" w:lineRule="auto"/>
              <w:jc w:val="both"/>
              <w:rPr>
                <w:rFonts w:ascii="Book Antiqua" w:eastAsia="Times New Roman" w:hAnsi="Book Antiqua" w:cs="Arial"/>
                <w:b/>
                <w:bCs/>
                <w:color w:val="44546A"/>
                <w:lang w:eastAsia="es-CR"/>
              </w:rPr>
            </w:pPr>
            <w:r w:rsidRPr="009747F0">
              <w:rPr>
                <w:rFonts w:ascii="Book Antiqua" w:eastAsia="Times New Roman" w:hAnsi="Book Antiqua" w:cs="Arial"/>
                <w:b/>
                <w:bCs/>
                <w:color w:val="44546A"/>
                <w:lang w:eastAsia="es-CR"/>
              </w:rPr>
              <w:t>Cantidad de casos terminados por Juez o Jueza</w:t>
            </w:r>
          </w:p>
        </w:tc>
        <w:tc>
          <w:tcPr>
            <w:tcW w:w="3001" w:type="pct"/>
            <w:shd w:val="clear" w:color="auto" w:fill="auto"/>
            <w:vAlign w:val="center"/>
          </w:tcPr>
          <w:p w14:paraId="75684713" w14:textId="1FC3C85F" w:rsidR="009747F0" w:rsidRPr="00D07F61" w:rsidRDefault="006731FB"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nuevo</w:t>
            </w:r>
            <w:r>
              <w:rPr>
                <w:rFonts w:ascii="Book Antiqua" w:eastAsia="Times New Roman" w:hAnsi="Book Antiqua" w:cs="Arial"/>
                <w:lang w:eastAsia="es-CR"/>
              </w:rPr>
              <w:t xml:space="preserve">, </w:t>
            </w:r>
            <w:r w:rsidR="009747F0">
              <w:rPr>
                <w:rFonts w:ascii="Book Antiqua" w:eastAsia="Times New Roman" w:hAnsi="Book Antiqua" w:cs="Arial"/>
                <w:lang w:eastAsia="es-CR"/>
              </w:rPr>
              <w:t>contabiliza la cantidad de casos que se esp</w:t>
            </w:r>
            <w:r w:rsidR="00073719">
              <w:rPr>
                <w:rFonts w:ascii="Book Antiqua" w:eastAsia="Times New Roman" w:hAnsi="Book Antiqua" w:cs="Arial"/>
                <w:lang w:eastAsia="es-CR"/>
              </w:rPr>
              <w:t xml:space="preserve">era </w:t>
            </w:r>
            <w:r w:rsidR="009747F0">
              <w:rPr>
                <w:rFonts w:ascii="Book Antiqua" w:eastAsia="Times New Roman" w:hAnsi="Book Antiqua" w:cs="Arial"/>
                <w:lang w:eastAsia="es-CR"/>
              </w:rPr>
              <w:t>termin</w:t>
            </w:r>
            <w:r w:rsidR="00073719">
              <w:rPr>
                <w:rFonts w:ascii="Book Antiqua" w:eastAsia="Times New Roman" w:hAnsi="Book Antiqua" w:cs="Arial"/>
                <w:lang w:eastAsia="es-CR"/>
              </w:rPr>
              <w:t>en</w:t>
            </w:r>
            <w:r w:rsidR="009747F0">
              <w:rPr>
                <w:rFonts w:ascii="Book Antiqua" w:eastAsia="Times New Roman" w:hAnsi="Book Antiqua" w:cs="Arial"/>
                <w:lang w:eastAsia="es-CR"/>
              </w:rPr>
              <w:t xml:space="preserve"> las personas</w:t>
            </w:r>
            <w:r w:rsidR="00073719">
              <w:rPr>
                <w:rFonts w:ascii="Book Antiqua" w:eastAsia="Times New Roman" w:hAnsi="Book Antiqua" w:cs="Arial"/>
                <w:lang w:eastAsia="es-CR"/>
              </w:rPr>
              <w:t xml:space="preserve"> juzgadoras.                                El parámetro se define </w:t>
            </w:r>
            <w:r w:rsidR="009747F0" w:rsidRPr="009747F0">
              <w:rPr>
                <w:rFonts w:ascii="Book Antiqua" w:eastAsia="Times New Roman" w:hAnsi="Book Antiqua" w:cs="Arial"/>
                <w:lang w:eastAsia="es-CR"/>
              </w:rPr>
              <w:t xml:space="preserve">respecto </w:t>
            </w:r>
            <w:r w:rsidR="00B132D5" w:rsidRPr="009747F0">
              <w:rPr>
                <w:rFonts w:ascii="Book Antiqua" w:eastAsia="Times New Roman" w:hAnsi="Book Antiqua" w:cs="Arial"/>
                <w:lang w:eastAsia="es-CR"/>
              </w:rPr>
              <w:t>a los</w:t>
            </w:r>
            <w:r w:rsidR="009747F0" w:rsidRPr="009747F0">
              <w:rPr>
                <w:rFonts w:ascii="Book Antiqua" w:eastAsia="Times New Roman" w:hAnsi="Book Antiqua" w:cs="Arial"/>
                <w:lang w:eastAsia="es-CR"/>
              </w:rPr>
              <w:t xml:space="preserve"> 77 casos terminados que se esperan por persona juzgadora</w:t>
            </w:r>
            <w:r w:rsidR="002C1407">
              <w:rPr>
                <w:rFonts w:ascii="Book Antiqua" w:eastAsia="Times New Roman" w:hAnsi="Book Antiqua" w:cs="Arial"/>
                <w:lang w:eastAsia="es-CR"/>
              </w:rPr>
              <w:t>, el cual se basa en un dato histórico</w:t>
            </w:r>
          </w:p>
        </w:tc>
      </w:tr>
      <w:tr w:rsidR="00D07F61" w:rsidRPr="00D07F61" w14:paraId="439EB289" w14:textId="77777777" w:rsidTr="00346AC9">
        <w:trPr>
          <w:cantSplit/>
          <w:trHeight w:val="20"/>
          <w:jc w:val="center"/>
        </w:trPr>
        <w:tc>
          <w:tcPr>
            <w:tcW w:w="843" w:type="pct"/>
            <w:vMerge/>
            <w:shd w:val="clear" w:color="auto" w:fill="DEE7FE"/>
          </w:tcPr>
          <w:p w14:paraId="40F8A65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1E1137A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p>
        </w:tc>
        <w:tc>
          <w:tcPr>
            <w:tcW w:w="917" w:type="pct"/>
            <w:shd w:val="clear" w:color="auto" w:fill="FFFFFF"/>
            <w:vAlign w:val="center"/>
            <w:hideMark/>
          </w:tcPr>
          <w:p w14:paraId="15902343"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de casos por Conciliación</w:t>
            </w:r>
          </w:p>
        </w:tc>
        <w:tc>
          <w:tcPr>
            <w:tcW w:w="3001" w:type="pct"/>
            <w:shd w:val="clear" w:color="auto" w:fill="auto"/>
            <w:vAlign w:val="center"/>
            <w:hideMark/>
          </w:tcPr>
          <w:p w14:paraId="55A579E9"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que contabiliza la cantidad de terminados por conciliación.</w:t>
            </w:r>
          </w:p>
          <w:p w14:paraId="4842BEC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D07F61" w:rsidRPr="00D07F61" w14:paraId="74FA6775" w14:textId="77777777" w:rsidTr="00346AC9">
        <w:trPr>
          <w:cantSplit/>
          <w:trHeight w:val="20"/>
          <w:jc w:val="center"/>
        </w:trPr>
        <w:tc>
          <w:tcPr>
            <w:tcW w:w="843" w:type="pct"/>
            <w:vMerge/>
            <w:shd w:val="clear" w:color="auto" w:fill="DEE7FE"/>
          </w:tcPr>
          <w:p w14:paraId="3A34197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7BC1F96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4</w:t>
            </w:r>
          </w:p>
        </w:tc>
        <w:tc>
          <w:tcPr>
            <w:tcW w:w="917" w:type="pct"/>
            <w:shd w:val="clear" w:color="auto" w:fill="FFFFFF"/>
            <w:vAlign w:val="center"/>
            <w:hideMark/>
          </w:tcPr>
          <w:p w14:paraId="5B8A5C21"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w:t>
            </w:r>
          </w:p>
        </w:tc>
        <w:tc>
          <w:tcPr>
            <w:tcW w:w="3001" w:type="pct"/>
            <w:shd w:val="clear" w:color="auto" w:fill="auto"/>
            <w:vAlign w:val="center"/>
            <w:hideMark/>
          </w:tcPr>
          <w:p w14:paraId="65FD4B4F"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Circulante: </w:t>
            </w:r>
            <w:r w:rsidRPr="00D07F61">
              <w:rPr>
                <w:rFonts w:ascii="Book Antiqua" w:eastAsia="Times New Roman" w:hAnsi="Book Antiqua" w:cs="Arial"/>
                <w:i/>
                <w:iCs/>
                <w:lang w:eastAsia="es-CR"/>
              </w:rPr>
              <w:t>(Circulante Inicial + Entradas + Reentrados – Terminados -Inactivos)</w:t>
            </w:r>
          </w:p>
          <w:p w14:paraId="413EF01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define del circulante del despacho al momento del abordaje al despacho. </w:t>
            </w:r>
          </w:p>
          <w:p w14:paraId="268C71E7"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indicador se subdivide en circulante en trámite y circulante en ejecución.</w:t>
            </w:r>
          </w:p>
        </w:tc>
      </w:tr>
      <w:tr w:rsidR="00D07F61" w:rsidRPr="00D07F61" w14:paraId="3EE0FA2B" w14:textId="77777777" w:rsidTr="00346AC9">
        <w:trPr>
          <w:cantSplit/>
          <w:trHeight w:val="20"/>
          <w:jc w:val="center"/>
        </w:trPr>
        <w:tc>
          <w:tcPr>
            <w:tcW w:w="843" w:type="pct"/>
            <w:vMerge/>
            <w:shd w:val="clear" w:color="auto" w:fill="DEE7FE"/>
          </w:tcPr>
          <w:p w14:paraId="455FEAB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BBC4806"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5</w:t>
            </w:r>
          </w:p>
        </w:tc>
        <w:tc>
          <w:tcPr>
            <w:tcW w:w="917" w:type="pct"/>
            <w:shd w:val="clear" w:color="auto" w:fill="auto"/>
            <w:vAlign w:val="center"/>
            <w:hideMark/>
          </w:tcPr>
          <w:p w14:paraId="5123C3FA"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Relación salida Total / entrada total </w:t>
            </w:r>
          </w:p>
        </w:tc>
        <w:tc>
          <w:tcPr>
            <w:tcW w:w="3001" w:type="pct"/>
            <w:shd w:val="clear" w:color="auto" w:fill="auto"/>
            <w:vAlign w:val="center"/>
            <w:hideMark/>
          </w:tcPr>
          <w:p w14:paraId="642237B1"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Cálculo: </w:t>
            </w:r>
            <w:r w:rsidRPr="00D07F61">
              <w:rPr>
                <w:rFonts w:ascii="Book Antiqua" w:eastAsia="Times New Roman" w:hAnsi="Book Antiqua" w:cs="Arial"/>
                <w:i/>
                <w:iCs/>
                <w:lang w:eastAsia="es-CR"/>
              </w:rPr>
              <w:t>(Salidas/ Entradas) *100</w:t>
            </w:r>
          </w:p>
          <w:p w14:paraId="0FBF7465"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90% a 100%</w:t>
            </w:r>
          </w:p>
        </w:tc>
      </w:tr>
      <w:tr w:rsidR="00D07F61" w:rsidRPr="00D07F61" w14:paraId="57656672" w14:textId="77777777" w:rsidTr="00346AC9">
        <w:trPr>
          <w:cantSplit/>
          <w:trHeight w:val="20"/>
          <w:jc w:val="center"/>
        </w:trPr>
        <w:tc>
          <w:tcPr>
            <w:tcW w:w="843" w:type="pct"/>
            <w:vMerge/>
            <w:shd w:val="clear" w:color="auto" w:fill="DEE7FE"/>
          </w:tcPr>
          <w:p w14:paraId="57EA154B"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4A3FB7A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6</w:t>
            </w:r>
          </w:p>
        </w:tc>
        <w:tc>
          <w:tcPr>
            <w:tcW w:w="917" w:type="pct"/>
            <w:shd w:val="clear" w:color="auto" w:fill="auto"/>
            <w:vAlign w:val="center"/>
            <w:hideMark/>
          </w:tcPr>
          <w:p w14:paraId="0974B67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Incidentes</w:t>
            </w:r>
          </w:p>
        </w:tc>
        <w:tc>
          <w:tcPr>
            <w:tcW w:w="3001" w:type="pct"/>
            <w:shd w:val="clear" w:color="auto" w:fill="auto"/>
            <w:vAlign w:val="center"/>
            <w:hideMark/>
          </w:tcPr>
          <w:p w14:paraId="5D87D8C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para medir la entrada total de incidentes.</w:t>
            </w:r>
          </w:p>
          <w:p w14:paraId="3F9522D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del promedio del histórico del despacho del informe estadístico mensual de SIGMA.</w:t>
            </w:r>
          </w:p>
        </w:tc>
      </w:tr>
      <w:tr w:rsidR="00D07F61" w:rsidRPr="00D07F61" w14:paraId="44EB6BC1" w14:textId="77777777" w:rsidTr="00346AC9">
        <w:trPr>
          <w:cantSplit/>
          <w:trHeight w:val="20"/>
          <w:jc w:val="center"/>
        </w:trPr>
        <w:tc>
          <w:tcPr>
            <w:tcW w:w="843" w:type="pct"/>
            <w:vMerge/>
            <w:shd w:val="clear" w:color="auto" w:fill="DEE7FE"/>
          </w:tcPr>
          <w:p w14:paraId="6817F7E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7A8F617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7</w:t>
            </w:r>
          </w:p>
        </w:tc>
        <w:tc>
          <w:tcPr>
            <w:tcW w:w="917" w:type="pct"/>
            <w:shd w:val="clear" w:color="auto" w:fill="auto"/>
            <w:vAlign w:val="center"/>
            <w:hideMark/>
          </w:tcPr>
          <w:p w14:paraId="699B03AB"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Incidentes</w:t>
            </w:r>
          </w:p>
        </w:tc>
        <w:tc>
          <w:tcPr>
            <w:tcW w:w="3001" w:type="pct"/>
            <w:shd w:val="clear" w:color="auto" w:fill="auto"/>
            <w:vAlign w:val="center"/>
            <w:hideMark/>
          </w:tcPr>
          <w:p w14:paraId="7AE8B79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para medir la salida total de incidentes.</w:t>
            </w:r>
          </w:p>
          <w:p w14:paraId="4CD93C4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del promedio del histórico del despacho del informe estadístico mensual de SIGMA.</w:t>
            </w:r>
          </w:p>
        </w:tc>
      </w:tr>
      <w:tr w:rsidR="00D07F61" w:rsidRPr="00D07F61" w14:paraId="358C2F20" w14:textId="77777777" w:rsidTr="00346AC9">
        <w:trPr>
          <w:cantSplit/>
          <w:trHeight w:val="20"/>
          <w:jc w:val="center"/>
        </w:trPr>
        <w:tc>
          <w:tcPr>
            <w:tcW w:w="843" w:type="pct"/>
            <w:vMerge/>
            <w:shd w:val="clear" w:color="auto" w:fill="DEE7FE"/>
          </w:tcPr>
          <w:p w14:paraId="1691A8C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6D048FB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8</w:t>
            </w:r>
          </w:p>
        </w:tc>
        <w:tc>
          <w:tcPr>
            <w:tcW w:w="917" w:type="pct"/>
            <w:shd w:val="clear" w:color="auto" w:fill="auto"/>
            <w:vAlign w:val="center"/>
            <w:hideMark/>
          </w:tcPr>
          <w:p w14:paraId="630A4CE0"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 Incidentes</w:t>
            </w:r>
          </w:p>
        </w:tc>
        <w:tc>
          <w:tcPr>
            <w:tcW w:w="3001" w:type="pct"/>
            <w:shd w:val="clear" w:color="auto" w:fill="auto"/>
            <w:vAlign w:val="center"/>
            <w:hideMark/>
          </w:tcPr>
          <w:p w14:paraId="1D340EB6"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Indicador para circulante: </w:t>
            </w:r>
            <w:r w:rsidRPr="00D07F61">
              <w:rPr>
                <w:rFonts w:ascii="Book Antiqua" w:eastAsia="Times New Roman" w:hAnsi="Book Antiqua" w:cs="Arial"/>
                <w:i/>
                <w:iCs/>
                <w:lang w:eastAsia="es-CR"/>
              </w:rPr>
              <w:t>(Circulante Inicial + Entradas – Terminados)</w:t>
            </w:r>
          </w:p>
          <w:p w14:paraId="71250DB8"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obtiene del circulante del despacho al momento del abordaje al despacho. </w:t>
            </w:r>
          </w:p>
        </w:tc>
      </w:tr>
      <w:tr w:rsidR="00D07F61" w:rsidRPr="00D07F61" w14:paraId="29A8BCC8" w14:textId="77777777" w:rsidTr="00346AC9">
        <w:trPr>
          <w:cantSplit/>
          <w:trHeight w:val="20"/>
          <w:jc w:val="center"/>
        </w:trPr>
        <w:tc>
          <w:tcPr>
            <w:tcW w:w="843" w:type="pct"/>
            <w:vMerge/>
            <w:shd w:val="clear" w:color="auto" w:fill="DEE7FE"/>
          </w:tcPr>
          <w:p w14:paraId="5DF8AC06"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27EC545F"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9</w:t>
            </w:r>
          </w:p>
        </w:tc>
        <w:tc>
          <w:tcPr>
            <w:tcW w:w="917" w:type="pct"/>
            <w:shd w:val="clear" w:color="auto" w:fill="auto"/>
            <w:vAlign w:val="center"/>
            <w:hideMark/>
          </w:tcPr>
          <w:p w14:paraId="306D9375"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Relación salida Total / entrada total Incidentes</w:t>
            </w:r>
          </w:p>
        </w:tc>
        <w:tc>
          <w:tcPr>
            <w:tcW w:w="3001" w:type="pct"/>
            <w:shd w:val="clear" w:color="auto" w:fill="auto"/>
            <w:vAlign w:val="center"/>
            <w:hideMark/>
          </w:tcPr>
          <w:p w14:paraId="76BECC43"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(Salidas/ Entradas) *100</w:t>
            </w:r>
          </w:p>
          <w:p w14:paraId="10AF219A"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90% a 100%</w:t>
            </w:r>
          </w:p>
        </w:tc>
      </w:tr>
      <w:tr w:rsidR="00D07F61" w:rsidRPr="00D07F61" w14:paraId="6EBD6709" w14:textId="77777777" w:rsidTr="00346AC9">
        <w:trPr>
          <w:cantSplit/>
          <w:trHeight w:val="20"/>
          <w:jc w:val="center"/>
        </w:trPr>
        <w:tc>
          <w:tcPr>
            <w:tcW w:w="843" w:type="pct"/>
            <w:vMerge/>
            <w:shd w:val="clear" w:color="auto" w:fill="DEE7FE"/>
          </w:tcPr>
          <w:p w14:paraId="495F021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5CE050D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10</w:t>
            </w:r>
          </w:p>
        </w:tc>
        <w:tc>
          <w:tcPr>
            <w:tcW w:w="917" w:type="pct"/>
            <w:shd w:val="clear" w:color="auto" w:fill="FFFFFF"/>
            <w:vAlign w:val="center"/>
            <w:hideMark/>
          </w:tcPr>
          <w:p w14:paraId="24897D08"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Segunda Instancia</w:t>
            </w:r>
          </w:p>
        </w:tc>
        <w:tc>
          <w:tcPr>
            <w:tcW w:w="3001" w:type="pct"/>
            <w:shd w:val="clear" w:color="auto" w:fill="auto"/>
            <w:vAlign w:val="center"/>
            <w:hideMark/>
          </w:tcPr>
          <w:p w14:paraId="498E4F3B"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La entrada total de Segunda Instancia.</w:t>
            </w:r>
          </w:p>
          <w:p w14:paraId="73827487"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5C30FFF0" w14:textId="77777777" w:rsidTr="00346AC9">
        <w:trPr>
          <w:cantSplit/>
          <w:trHeight w:val="20"/>
          <w:jc w:val="center"/>
        </w:trPr>
        <w:tc>
          <w:tcPr>
            <w:tcW w:w="843" w:type="pct"/>
            <w:vMerge/>
            <w:shd w:val="clear" w:color="auto" w:fill="DEE7FE"/>
          </w:tcPr>
          <w:p w14:paraId="7326B82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2F74BCE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11</w:t>
            </w:r>
          </w:p>
        </w:tc>
        <w:tc>
          <w:tcPr>
            <w:tcW w:w="917" w:type="pct"/>
            <w:shd w:val="clear" w:color="auto" w:fill="FFFFFF"/>
            <w:vAlign w:val="center"/>
            <w:hideMark/>
          </w:tcPr>
          <w:p w14:paraId="2C802EC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Segunda Instancia</w:t>
            </w:r>
          </w:p>
        </w:tc>
        <w:tc>
          <w:tcPr>
            <w:tcW w:w="3001" w:type="pct"/>
            <w:shd w:val="clear" w:color="auto" w:fill="auto"/>
            <w:vAlign w:val="center"/>
            <w:hideMark/>
          </w:tcPr>
          <w:p w14:paraId="4C8E8278"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La cantidad de terminado total de Segunda Instancia.</w:t>
            </w:r>
          </w:p>
          <w:p w14:paraId="1230261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37A2B14A" w14:textId="77777777" w:rsidTr="00346AC9">
        <w:trPr>
          <w:cantSplit/>
          <w:trHeight w:val="20"/>
          <w:jc w:val="center"/>
        </w:trPr>
        <w:tc>
          <w:tcPr>
            <w:tcW w:w="843" w:type="pct"/>
            <w:vMerge/>
            <w:shd w:val="clear" w:color="auto" w:fill="DEE7FE"/>
          </w:tcPr>
          <w:p w14:paraId="5ED7890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0DAFDE0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12</w:t>
            </w:r>
          </w:p>
        </w:tc>
        <w:tc>
          <w:tcPr>
            <w:tcW w:w="917" w:type="pct"/>
            <w:shd w:val="clear" w:color="auto" w:fill="FFFFFF"/>
            <w:vAlign w:val="center"/>
            <w:hideMark/>
          </w:tcPr>
          <w:p w14:paraId="2EE4A2C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 Segunda Instancia</w:t>
            </w:r>
          </w:p>
        </w:tc>
        <w:tc>
          <w:tcPr>
            <w:tcW w:w="3001" w:type="pct"/>
            <w:shd w:val="clear" w:color="auto" w:fill="auto"/>
            <w:vAlign w:val="center"/>
            <w:hideMark/>
          </w:tcPr>
          <w:p w14:paraId="1444B084" w14:textId="34EA9CC9"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La cantidad de circulante de segunda instancia: </w:t>
            </w:r>
            <w:r w:rsidRPr="00D07F61">
              <w:rPr>
                <w:rFonts w:ascii="Book Antiqua" w:eastAsia="Times New Roman" w:hAnsi="Book Antiqua" w:cs="Arial"/>
                <w:lang w:eastAsia="es-CR"/>
              </w:rPr>
              <w:br/>
            </w:r>
            <w:r w:rsidRPr="00D07F61">
              <w:rPr>
                <w:rFonts w:ascii="Book Antiqua" w:eastAsia="Times New Roman" w:hAnsi="Book Antiqua" w:cs="Arial"/>
                <w:i/>
                <w:iCs/>
                <w:lang w:eastAsia="es-CR"/>
              </w:rPr>
              <w:t xml:space="preserve">(Circulante Inicial + Entradas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Total Terminados).</w:t>
            </w:r>
          </w:p>
          <w:p w14:paraId="2A3468B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442F9E33" w14:textId="77777777" w:rsidTr="00346AC9">
        <w:trPr>
          <w:cantSplit/>
          <w:trHeight w:val="20"/>
          <w:jc w:val="center"/>
        </w:trPr>
        <w:tc>
          <w:tcPr>
            <w:tcW w:w="843" w:type="pct"/>
            <w:vMerge/>
            <w:shd w:val="clear" w:color="auto" w:fill="DEE7FE"/>
          </w:tcPr>
          <w:p w14:paraId="7778382D"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5A0FFD7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13</w:t>
            </w:r>
          </w:p>
        </w:tc>
        <w:tc>
          <w:tcPr>
            <w:tcW w:w="917" w:type="pct"/>
            <w:shd w:val="clear" w:color="auto" w:fill="auto"/>
            <w:vAlign w:val="center"/>
            <w:hideMark/>
          </w:tcPr>
          <w:p w14:paraId="327AFC38"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Relación salida Total / entrada total Segunda Instancia</w:t>
            </w:r>
          </w:p>
        </w:tc>
        <w:tc>
          <w:tcPr>
            <w:tcW w:w="3001" w:type="pct"/>
            <w:shd w:val="clear" w:color="auto" w:fill="auto"/>
            <w:vAlign w:val="center"/>
            <w:hideMark/>
          </w:tcPr>
          <w:p w14:paraId="332AC936"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(Salidas/ Entradas) *100</w:t>
            </w:r>
          </w:p>
          <w:p w14:paraId="0B75E06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calcula con los datos de entradas y salidas de Segunda Instancia del informe mensual de estadística.</w:t>
            </w:r>
          </w:p>
        </w:tc>
      </w:tr>
      <w:tr w:rsidR="00D07F61" w:rsidRPr="00D07F61" w14:paraId="06262AC5" w14:textId="77777777" w:rsidTr="00346AC9">
        <w:trPr>
          <w:cantSplit/>
          <w:trHeight w:val="1134"/>
          <w:jc w:val="center"/>
        </w:trPr>
        <w:tc>
          <w:tcPr>
            <w:tcW w:w="843" w:type="pct"/>
            <w:vMerge w:val="restart"/>
            <w:shd w:val="clear" w:color="auto" w:fill="EAF1DD"/>
            <w:textDirection w:val="btLr"/>
          </w:tcPr>
          <w:p w14:paraId="71D4D3E1" w14:textId="77777777" w:rsidR="00D07F61" w:rsidRPr="00D07F61" w:rsidRDefault="00D07F61" w:rsidP="00D07F61">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Plazos</w:t>
            </w:r>
          </w:p>
        </w:tc>
        <w:tc>
          <w:tcPr>
            <w:tcW w:w="239" w:type="pct"/>
            <w:shd w:val="clear" w:color="auto" w:fill="FFFFFF"/>
            <w:vAlign w:val="center"/>
            <w:hideMark/>
          </w:tcPr>
          <w:p w14:paraId="0CD1584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14</w:t>
            </w:r>
          </w:p>
        </w:tc>
        <w:tc>
          <w:tcPr>
            <w:tcW w:w="917" w:type="pct"/>
            <w:shd w:val="clear" w:color="auto" w:fill="FFFFFF"/>
            <w:vAlign w:val="center"/>
            <w:hideMark/>
          </w:tcPr>
          <w:p w14:paraId="563440E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espera de dictado de sentencia</w:t>
            </w:r>
          </w:p>
        </w:tc>
        <w:tc>
          <w:tcPr>
            <w:tcW w:w="3001" w:type="pct"/>
            <w:shd w:val="clear" w:color="auto" w:fill="auto"/>
            <w:vAlign w:val="center"/>
            <w:hideMark/>
          </w:tcPr>
          <w:p w14:paraId="2DA9F492" w14:textId="278D8E4F"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Este indicador cuenta con dos mediciones, se separa por materia Familia y Segunda Instancia de Pensiones Alimentaria. 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del expediente más antiguo pendiente de fallar)</w:t>
            </w:r>
          </w:p>
          <w:p w14:paraId="6C18500A"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la fecha del expediente más antiguo pendiente de fallo registrada en el despacho, se obtiene del libro de pase a fallo y Módulo de pase a fallo del Escritorio Virtual.</w:t>
            </w:r>
          </w:p>
          <w:p w14:paraId="7BC38903" w14:textId="7EFB45D8"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establecido es el plazo mayor de ley, en este caso el otorgado al proceso ordinario de Familia que corresponde a un mes, 30 días hábiles.</w:t>
            </w:r>
          </w:p>
          <w:p w14:paraId="176C422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detalle de los plazos de la legislación actual es:</w:t>
            </w:r>
          </w:p>
          <w:p w14:paraId="2F33D5EC"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Ordinario: 1 mes</w:t>
            </w:r>
          </w:p>
          <w:p w14:paraId="72A29832"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Mutuo Consentimiento: 10 días</w:t>
            </w:r>
          </w:p>
          <w:p w14:paraId="62B5B1B8"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Abreviado: 15 días.</w:t>
            </w:r>
          </w:p>
          <w:p w14:paraId="6F6FCDE9"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Sumario 10 días</w:t>
            </w:r>
          </w:p>
          <w:p w14:paraId="2F3B5D54"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Especiales: 5 días.</w:t>
            </w:r>
          </w:p>
          <w:p w14:paraId="137838C2" w14:textId="3A130385"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Y en segunda instancia de 8 -</w:t>
            </w:r>
            <w:r w:rsidR="007A5DC5">
              <w:rPr>
                <w:rFonts w:ascii="Book Antiqua" w:eastAsia="Times New Roman" w:hAnsi="Book Antiqua" w:cs="Arial"/>
                <w:lang w:eastAsia="es-CR"/>
              </w:rPr>
              <w:t>10</w:t>
            </w:r>
            <w:r w:rsidRPr="00D07F61">
              <w:rPr>
                <w:rFonts w:ascii="Book Antiqua" w:eastAsia="Times New Roman" w:hAnsi="Book Antiqua" w:cs="Arial"/>
                <w:lang w:eastAsia="es-CR"/>
              </w:rPr>
              <w:t xml:space="preserve"> días. </w:t>
            </w:r>
          </w:p>
        </w:tc>
      </w:tr>
      <w:tr w:rsidR="00D07F61" w:rsidRPr="00D07F61" w14:paraId="0A0992E7" w14:textId="77777777" w:rsidTr="00346AC9">
        <w:trPr>
          <w:cantSplit/>
          <w:trHeight w:val="20"/>
          <w:jc w:val="center"/>
        </w:trPr>
        <w:tc>
          <w:tcPr>
            <w:tcW w:w="843" w:type="pct"/>
            <w:vMerge/>
            <w:shd w:val="clear" w:color="auto" w:fill="EAF1DD"/>
          </w:tcPr>
          <w:p w14:paraId="01437534"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13F3F0C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15</w:t>
            </w:r>
          </w:p>
        </w:tc>
        <w:tc>
          <w:tcPr>
            <w:tcW w:w="917" w:type="pct"/>
            <w:shd w:val="clear" w:color="auto" w:fill="FFFFFF"/>
            <w:vAlign w:val="center"/>
            <w:hideMark/>
          </w:tcPr>
          <w:p w14:paraId="1068040B"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espera para realización de señalamientos</w:t>
            </w:r>
          </w:p>
        </w:tc>
        <w:tc>
          <w:tcPr>
            <w:tcW w:w="3001" w:type="pct"/>
            <w:shd w:val="clear" w:color="auto" w:fill="auto"/>
            <w:vAlign w:val="center"/>
            <w:hideMark/>
          </w:tcPr>
          <w:p w14:paraId="016FD681" w14:textId="7C992484"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 xml:space="preserve">(Fecha del </w:t>
            </w:r>
            <w:r w:rsidR="007A5DC5" w:rsidRPr="00D07F61">
              <w:rPr>
                <w:rFonts w:ascii="Book Antiqua" w:eastAsia="Times New Roman" w:hAnsi="Book Antiqua" w:cs="Arial"/>
                <w:i/>
                <w:iCs/>
                <w:lang w:eastAsia="es-CR"/>
              </w:rPr>
              <w:t>último</w:t>
            </w:r>
            <w:r w:rsidRPr="00D07F61">
              <w:rPr>
                <w:rFonts w:ascii="Book Antiqua" w:eastAsia="Times New Roman" w:hAnsi="Book Antiqua" w:cs="Arial"/>
                <w:i/>
                <w:iCs/>
                <w:lang w:eastAsia="es-CR"/>
              </w:rPr>
              <w:t xml:space="preserve"> señalamiento de audiencia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actual)</w:t>
            </w:r>
          </w:p>
          <w:p w14:paraId="3A84CD0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el último señalamiento a Audiencia.</w:t>
            </w:r>
          </w:p>
          <w:p w14:paraId="13BB0DB5" w14:textId="653CD4D2"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6731FB">
              <w:rPr>
                <w:rFonts w:ascii="Book Antiqua" w:eastAsia="Times New Roman" w:hAnsi="Book Antiqua" w:cs="Arial"/>
                <w:lang w:eastAsia="es-CR"/>
              </w:rPr>
              <w:t xml:space="preserve">se define </w:t>
            </w:r>
            <w:r w:rsidR="006731FB" w:rsidRPr="006731FB">
              <w:rPr>
                <w:rFonts w:ascii="Book Antiqua" w:eastAsia="Times New Roman" w:hAnsi="Book Antiqua" w:cs="Arial"/>
                <w:lang w:eastAsia="es-CR"/>
              </w:rPr>
              <w:t>con el promedio nacional de enero a agosto de 2021, entre 60 y 90 día</w:t>
            </w:r>
            <w:r w:rsidR="006731FB">
              <w:rPr>
                <w:rFonts w:ascii="Book Antiqua" w:eastAsia="Times New Roman" w:hAnsi="Book Antiqua" w:cs="Arial"/>
                <w:lang w:eastAsia="es-CR"/>
              </w:rPr>
              <w:t>s.</w:t>
            </w:r>
          </w:p>
        </w:tc>
      </w:tr>
      <w:tr w:rsidR="00D07F61" w:rsidRPr="00D07F61" w14:paraId="47F20167" w14:textId="77777777" w:rsidTr="00346AC9">
        <w:trPr>
          <w:cantSplit/>
          <w:trHeight w:val="20"/>
          <w:jc w:val="center"/>
        </w:trPr>
        <w:tc>
          <w:tcPr>
            <w:tcW w:w="843" w:type="pct"/>
            <w:vMerge/>
            <w:shd w:val="clear" w:color="auto" w:fill="EAF1DD"/>
          </w:tcPr>
          <w:p w14:paraId="2C55599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615B067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16</w:t>
            </w:r>
          </w:p>
        </w:tc>
        <w:tc>
          <w:tcPr>
            <w:tcW w:w="917" w:type="pct"/>
            <w:shd w:val="clear" w:color="auto" w:fill="FFFFFF"/>
            <w:vAlign w:val="center"/>
            <w:hideMark/>
          </w:tcPr>
          <w:p w14:paraId="7C13F2CC"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para resolver demandas nuevas</w:t>
            </w:r>
          </w:p>
        </w:tc>
        <w:tc>
          <w:tcPr>
            <w:tcW w:w="3001" w:type="pct"/>
            <w:shd w:val="clear" w:color="auto" w:fill="auto"/>
            <w:vAlign w:val="center"/>
            <w:hideMark/>
          </w:tcPr>
          <w:p w14:paraId="245667B5" w14:textId="1A1AE885"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 la demanda más antigua pendiente de la primera resolución)</w:t>
            </w:r>
          </w:p>
          <w:p w14:paraId="21D55E4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18F77C2"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corresponde al implementado en los despachos rediseñados “&gt;14; &lt;=28”</w:t>
            </w:r>
          </w:p>
        </w:tc>
      </w:tr>
      <w:tr w:rsidR="00D07F61" w:rsidRPr="00D07F61" w14:paraId="73D92115" w14:textId="77777777" w:rsidTr="00346AC9">
        <w:trPr>
          <w:cantSplit/>
          <w:trHeight w:val="20"/>
          <w:jc w:val="center"/>
        </w:trPr>
        <w:tc>
          <w:tcPr>
            <w:tcW w:w="843" w:type="pct"/>
            <w:vMerge/>
            <w:shd w:val="clear" w:color="auto" w:fill="EAF1DD"/>
          </w:tcPr>
          <w:p w14:paraId="2A2CA18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vMerge w:val="restart"/>
            <w:shd w:val="clear" w:color="auto" w:fill="FFFFFF"/>
            <w:vAlign w:val="center"/>
            <w:hideMark/>
          </w:tcPr>
          <w:p w14:paraId="0D3DEBCD"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17</w:t>
            </w:r>
          </w:p>
        </w:tc>
        <w:tc>
          <w:tcPr>
            <w:tcW w:w="917" w:type="pct"/>
            <w:vMerge w:val="restart"/>
            <w:shd w:val="clear" w:color="auto" w:fill="FFFFFF"/>
            <w:vAlign w:val="center"/>
            <w:hideMark/>
          </w:tcPr>
          <w:p w14:paraId="1B8BC196"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para resolver escritos</w:t>
            </w:r>
          </w:p>
        </w:tc>
        <w:tc>
          <w:tcPr>
            <w:tcW w:w="3001" w:type="pct"/>
            <w:shd w:val="clear" w:color="auto" w:fill="auto"/>
            <w:vAlign w:val="center"/>
            <w:hideMark/>
          </w:tcPr>
          <w:p w14:paraId="5B8E4E1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subdivide en dos mediciones: </w:t>
            </w:r>
          </w:p>
          <w:p w14:paraId="7D579855" w14:textId="77777777" w:rsidR="00D07F61" w:rsidRPr="00D07F61" w:rsidRDefault="00D07F61" w:rsidP="00D07F61">
            <w:pPr>
              <w:spacing w:after="0" w:line="276" w:lineRule="auto"/>
              <w:jc w:val="both"/>
              <w:rPr>
                <w:rFonts w:ascii="Book Antiqua" w:eastAsia="Times New Roman" w:hAnsi="Book Antiqua" w:cs="Arial"/>
                <w:lang w:eastAsia="es-CR"/>
              </w:rPr>
            </w:pPr>
          </w:p>
          <w:p w14:paraId="247BE101" w14:textId="77777777"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b/>
                <w:bCs/>
                <w:lang w:eastAsia="es-CR"/>
              </w:rPr>
              <w:t>Escritos donde el expediente se encuentra fuera del Despacho:</w:t>
            </w:r>
          </w:p>
          <w:p w14:paraId="3F739B09"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510F8089" w14:textId="10C458DF" w:rsidR="00D07F61" w:rsidRPr="007655D5" w:rsidRDefault="00D07F61" w:rsidP="007655D5">
            <w:pPr>
              <w:spacing w:after="0" w:line="276" w:lineRule="auto"/>
              <w:jc w:val="both"/>
              <w:rPr>
                <w:lang w:eastAsia="es-CR"/>
              </w:rPr>
            </w:pPr>
            <w:r w:rsidRPr="007655D5">
              <w:rPr>
                <w:lang w:eastAsia="es-CR"/>
              </w:rPr>
              <w:t xml:space="preserve">1) </w:t>
            </w:r>
            <w:r w:rsidR="00DA42E9" w:rsidRPr="007655D5">
              <w:rPr>
                <w:lang w:eastAsia="es-CR"/>
              </w:rPr>
              <w:t>S</w:t>
            </w:r>
            <w:r w:rsidRPr="007655D5">
              <w:rPr>
                <w:lang w:eastAsia="es-CR"/>
              </w:rPr>
              <w:t>e calcula: (Fecha actual - fecha del escrito más antiguo pendiente de resolver de expedientes que se encuentran fuera del despacho)</w:t>
            </w:r>
          </w:p>
          <w:p w14:paraId="5AC2E08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012DB129" w14:textId="6351E100"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lang w:eastAsia="es-CR"/>
              </w:rPr>
              <w:t xml:space="preserve">Se deben revisar todos los Escritos que se encuentran Tramitándose, como los que se encuentran pendientes de distribuir, todas la Ubicaciones, </w:t>
            </w:r>
            <w:r w:rsidR="00DA42E9" w:rsidRPr="00D07F61">
              <w:rPr>
                <w:rFonts w:ascii="Book Antiqua" w:eastAsia="Times New Roman" w:hAnsi="Book Antiqua" w:cs="Arial"/>
                <w:lang w:eastAsia="es-CR"/>
              </w:rPr>
              <w:t>todas las personas técnicas</w:t>
            </w:r>
            <w:r w:rsidRPr="00D07F61">
              <w:rPr>
                <w:rFonts w:ascii="Book Antiqua" w:eastAsia="Times New Roman" w:hAnsi="Book Antiqua" w:cs="Arial"/>
                <w:lang w:eastAsia="es-CR"/>
              </w:rPr>
              <w:t xml:space="preserve">, Estado de Expediente: </w:t>
            </w:r>
            <w:r w:rsidRPr="00D07F61">
              <w:rPr>
                <w:rFonts w:ascii="Book Antiqua" w:eastAsia="Times New Roman" w:hAnsi="Book Antiqua" w:cs="Arial"/>
                <w:b/>
                <w:bCs/>
                <w:lang w:eastAsia="es-CR"/>
              </w:rPr>
              <w:t>En Alzada.</w:t>
            </w:r>
          </w:p>
          <w:p w14:paraId="50F211E3"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71A520C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que se propone es de 60 a 90 días, “&gt;60; &lt;=90” </w:t>
            </w:r>
          </w:p>
          <w:p w14:paraId="66E8875A" w14:textId="77777777" w:rsidR="00D07F61" w:rsidRPr="00D07F61" w:rsidRDefault="00D07F61" w:rsidP="00D07F61">
            <w:pPr>
              <w:spacing w:after="0" w:line="276" w:lineRule="auto"/>
              <w:jc w:val="both"/>
              <w:rPr>
                <w:rFonts w:ascii="Book Antiqua" w:eastAsia="Times New Roman" w:hAnsi="Book Antiqua" w:cs="Arial"/>
                <w:lang w:eastAsia="es-CR"/>
              </w:rPr>
            </w:pPr>
          </w:p>
          <w:p w14:paraId="019D861A" w14:textId="77777777"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b/>
                <w:bCs/>
                <w:lang w:eastAsia="es-CR"/>
              </w:rPr>
              <w:t>Escritos donde el expediente se encuentra en el Despacho:</w:t>
            </w:r>
          </w:p>
          <w:p w14:paraId="132E5755" w14:textId="77777777" w:rsidR="00D07F61" w:rsidRPr="00D07F61" w:rsidRDefault="00D07F61" w:rsidP="00D07F61">
            <w:pPr>
              <w:spacing w:after="0" w:line="276" w:lineRule="auto"/>
              <w:jc w:val="both"/>
              <w:rPr>
                <w:rFonts w:ascii="Book Antiqua" w:eastAsia="Times New Roman" w:hAnsi="Book Antiqua" w:cs="Arial"/>
                <w:lang w:eastAsia="es-CR"/>
              </w:rPr>
            </w:pPr>
          </w:p>
        </w:tc>
      </w:tr>
      <w:tr w:rsidR="00D07F61" w:rsidRPr="00D07F61" w14:paraId="00C062DD" w14:textId="77777777" w:rsidTr="00346AC9">
        <w:trPr>
          <w:cantSplit/>
          <w:trHeight w:val="20"/>
          <w:jc w:val="center"/>
        </w:trPr>
        <w:tc>
          <w:tcPr>
            <w:tcW w:w="843" w:type="pct"/>
            <w:vMerge/>
            <w:shd w:val="clear" w:color="auto" w:fill="EAF1DD"/>
          </w:tcPr>
          <w:p w14:paraId="6BD719BA"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239" w:type="pct"/>
            <w:vMerge/>
            <w:vAlign w:val="center"/>
            <w:hideMark/>
          </w:tcPr>
          <w:p w14:paraId="3602D6CD"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917" w:type="pct"/>
            <w:vMerge/>
            <w:vAlign w:val="center"/>
            <w:hideMark/>
          </w:tcPr>
          <w:p w14:paraId="25F75569"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p>
        </w:tc>
        <w:tc>
          <w:tcPr>
            <w:tcW w:w="3001" w:type="pct"/>
            <w:shd w:val="clear" w:color="auto" w:fill="auto"/>
            <w:vAlign w:val="center"/>
            <w:hideMark/>
          </w:tcPr>
          <w:p w14:paraId="1C9455F1" w14:textId="155706DE"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2) 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del escrito más antiguo pendiente de resolver de los que están en el despacho)</w:t>
            </w:r>
          </w:p>
          <w:p w14:paraId="01B1CC41"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1CF59AF4" w14:textId="293019DE"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lang w:eastAsia="es-CR"/>
              </w:rPr>
              <w:t>Se deben revisar todos los Escritos que se encuentran Tramitándose, como los que se encuentran pendientes de distribuir. Todas la Ubicaciones</w:t>
            </w:r>
            <w:r w:rsidR="00DA42E9" w:rsidRPr="00D07F61">
              <w:rPr>
                <w:rFonts w:ascii="Book Antiqua" w:eastAsia="Times New Roman" w:hAnsi="Book Antiqua" w:cs="Arial"/>
                <w:lang w:eastAsia="es-CR"/>
              </w:rPr>
              <w:t xml:space="preserve"> todas las personas técnicas</w:t>
            </w:r>
            <w:r w:rsidRPr="00D07F61">
              <w:rPr>
                <w:rFonts w:ascii="Book Antiqua" w:eastAsia="Times New Roman" w:hAnsi="Book Antiqua" w:cs="Arial"/>
                <w:lang w:eastAsia="es-CR"/>
              </w:rPr>
              <w:t xml:space="preserve">, estado de expediente: </w:t>
            </w:r>
            <w:r w:rsidRPr="00D07F61">
              <w:rPr>
                <w:rFonts w:ascii="Book Antiqua" w:eastAsia="Times New Roman" w:hAnsi="Book Antiqua" w:cs="Arial"/>
                <w:b/>
                <w:bCs/>
                <w:lang w:eastAsia="es-CR"/>
              </w:rPr>
              <w:t>En Trámite, Inactivo, entre otros.</w:t>
            </w:r>
          </w:p>
          <w:p w14:paraId="1546451B"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43D5EBB5"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corresponde al implementado en los despachos rediseñados “&gt;14; &lt;=28”</w:t>
            </w:r>
          </w:p>
        </w:tc>
      </w:tr>
      <w:tr w:rsidR="00D07F61" w:rsidRPr="00D07F61" w14:paraId="1133732B" w14:textId="77777777" w:rsidTr="00346AC9">
        <w:trPr>
          <w:cantSplit/>
          <w:trHeight w:val="20"/>
          <w:jc w:val="center"/>
        </w:trPr>
        <w:tc>
          <w:tcPr>
            <w:tcW w:w="843" w:type="pct"/>
            <w:vMerge/>
            <w:shd w:val="clear" w:color="auto" w:fill="EAF1DD"/>
          </w:tcPr>
          <w:p w14:paraId="6F9D5F2C"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239" w:type="pct"/>
            <w:vAlign w:val="center"/>
          </w:tcPr>
          <w:p w14:paraId="0358FF3E" w14:textId="77777777" w:rsidR="00D07F61" w:rsidRPr="00D07F61" w:rsidRDefault="00D07F61" w:rsidP="00D07F61">
            <w:pPr>
              <w:spacing w:after="0" w:line="276" w:lineRule="auto"/>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18</w:t>
            </w:r>
          </w:p>
        </w:tc>
        <w:tc>
          <w:tcPr>
            <w:tcW w:w="917" w:type="pct"/>
            <w:vAlign w:val="center"/>
          </w:tcPr>
          <w:p w14:paraId="0844ADE4"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de espera para pruebas de ADN</w:t>
            </w:r>
          </w:p>
        </w:tc>
        <w:tc>
          <w:tcPr>
            <w:tcW w:w="3001" w:type="pct"/>
            <w:shd w:val="clear" w:color="auto" w:fill="auto"/>
            <w:vAlign w:val="center"/>
          </w:tcPr>
          <w:p w14:paraId="4DCFB86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calcula: (</w:t>
            </w:r>
            <w:r w:rsidRPr="00D07F61">
              <w:rPr>
                <w:rFonts w:ascii="Book Antiqua" w:eastAsia="Times New Roman" w:hAnsi="Book Antiqua" w:cs="Arial"/>
                <w:i/>
                <w:iCs/>
                <w:lang w:eastAsia="es-CR"/>
              </w:rPr>
              <w:t>Fecha actual – fecha de la prueba de ADN más antigua pendiente de recibir resultado</w:t>
            </w:r>
            <w:r w:rsidRPr="00D07F61">
              <w:rPr>
                <w:rFonts w:ascii="Book Antiqua" w:eastAsia="Times New Roman" w:hAnsi="Book Antiqua" w:cs="Arial"/>
                <w:lang w:eastAsia="es-CR"/>
              </w:rPr>
              <w:t>)</w:t>
            </w:r>
          </w:p>
          <w:p w14:paraId="34E31B12"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los controles de solicitudes de pruebas del despacho, búsqueda por fecha y se obtiene la última prueba pendiente.</w:t>
            </w:r>
          </w:p>
          <w:p w14:paraId="0792437B" w14:textId="11C3CE52"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BA5D2D">
              <w:rPr>
                <w:rFonts w:ascii="Book Antiqua" w:eastAsia="Times New Roman" w:hAnsi="Book Antiqua" w:cs="Arial"/>
                <w:lang w:eastAsia="es-CR"/>
              </w:rPr>
              <w:t xml:space="preserve">se define </w:t>
            </w:r>
            <w:r w:rsidR="00BA5D2D" w:rsidRPr="00BA5D2D">
              <w:rPr>
                <w:rFonts w:ascii="Book Antiqua" w:eastAsia="Times New Roman" w:hAnsi="Book Antiqua" w:cs="Arial"/>
                <w:lang w:eastAsia="es-CR"/>
              </w:rPr>
              <w:t>de acuerdo con el promedio de enero a agosto de 2021 de los Juzgados de Familia a nivel nacional.</w:t>
            </w:r>
          </w:p>
        </w:tc>
      </w:tr>
      <w:tr w:rsidR="00DA42E9" w:rsidRPr="00D07F61" w14:paraId="43BDFE70" w14:textId="77777777" w:rsidTr="00346AC9">
        <w:trPr>
          <w:cantSplit/>
          <w:trHeight w:val="20"/>
          <w:jc w:val="center"/>
        </w:trPr>
        <w:tc>
          <w:tcPr>
            <w:tcW w:w="843" w:type="pct"/>
            <w:vMerge/>
            <w:shd w:val="clear" w:color="auto" w:fill="EAF1DD"/>
          </w:tcPr>
          <w:p w14:paraId="33D6044A" w14:textId="77777777" w:rsidR="00DA42E9" w:rsidRPr="00D07F61" w:rsidRDefault="00DA42E9" w:rsidP="00DA42E9">
            <w:pPr>
              <w:spacing w:after="0" w:line="276" w:lineRule="auto"/>
              <w:rPr>
                <w:rFonts w:ascii="Book Antiqua" w:eastAsia="Times New Roman" w:hAnsi="Book Antiqua" w:cs="Arial"/>
                <w:b/>
                <w:bCs/>
                <w:color w:val="44546A"/>
                <w:lang w:eastAsia="es-CR"/>
              </w:rPr>
            </w:pPr>
          </w:p>
        </w:tc>
        <w:tc>
          <w:tcPr>
            <w:tcW w:w="239" w:type="pct"/>
            <w:vAlign w:val="center"/>
          </w:tcPr>
          <w:p w14:paraId="346F6001" w14:textId="27DD2FEA" w:rsidR="00DA42E9" w:rsidRPr="00D07F61" w:rsidRDefault="00DA42E9" w:rsidP="00DA42E9">
            <w:pPr>
              <w:spacing w:after="0" w:line="276" w:lineRule="auto"/>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19</w:t>
            </w:r>
          </w:p>
        </w:tc>
        <w:tc>
          <w:tcPr>
            <w:tcW w:w="917" w:type="pct"/>
            <w:vAlign w:val="center"/>
          </w:tcPr>
          <w:p w14:paraId="2FC2C707" w14:textId="1929BE23"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Plazo de espera de </w:t>
            </w:r>
            <w:r>
              <w:rPr>
                <w:rFonts w:ascii="Book Antiqua" w:eastAsia="Times New Roman" w:hAnsi="Book Antiqua" w:cs="Arial"/>
                <w:b/>
                <w:bCs/>
                <w:color w:val="44546A"/>
                <w:lang w:eastAsia="es-CR"/>
              </w:rPr>
              <w:t>peritaje</w:t>
            </w:r>
          </w:p>
        </w:tc>
        <w:tc>
          <w:tcPr>
            <w:tcW w:w="3001" w:type="pct"/>
            <w:shd w:val="clear" w:color="auto" w:fill="auto"/>
            <w:vAlign w:val="center"/>
          </w:tcPr>
          <w:p w14:paraId="413584F0" w14:textId="46AF303D" w:rsidR="00DA42E9" w:rsidRPr="00D07F61" w:rsidRDefault="00BA5D2D" w:rsidP="00DA42E9">
            <w:pPr>
              <w:spacing w:after="0" w:line="276" w:lineRule="auto"/>
              <w:jc w:val="both"/>
              <w:rPr>
                <w:rFonts w:ascii="Book Antiqua" w:eastAsia="Times New Roman" w:hAnsi="Book Antiqua" w:cs="Arial"/>
                <w:i/>
                <w:iCs/>
                <w:lang w:eastAsia="es-CR"/>
              </w:rPr>
            </w:pPr>
            <w:r>
              <w:rPr>
                <w:rFonts w:ascii="Book Antiqua" w:eastAsia="Times New Roman" w:hAnsi="Book Antiqua" w:cs="Arial"/>
                <w:lang w:eastAsia="es-CR"/>
              </w:rPr>
              <w:t>Indicador nuevo, s</w:t>
            </w:r>
            <w:r w:rsidR="00DA42E9" w:rsidRPr="00D07F61">
              <w:rPr>
                <w:rFonts w:ascii="Book Antiqua" w:eastAsia="Times New Roman" w:hAnsi="Book Antiqua" w:cs="Arial"/>
                <w:lang w:eastAsia="es-CR"/>
              </w:rPr>
              <w:t xml:space="preserve">e calcula: </w:t>
            </w:r>
            <w:r w:rsidR="00DA42E9" w:rsidRPr="00D07F61">
              <w:rPr>
                <w:rFonts w:ascii="Book Antiqua" w:eastAsia="Times New Roman" w:hAnsi="Book Antiqua" w:cs="Arial"/>
                <w:i/>
                <w:iCs/>
                <w:lang w:eastAsia="es-CR"/>
              </w:rPr>
              <w:t>(Fecha actual</w:t>
            </w:r>
            <w:r w:rsidR="004953B7">
              <w:rPr>
                <w:rFonts w:ascii="Book Antiqua" w:eastAsia="Times New Roman" w:hAnsi="Book Antiqua" w:cs="Arial"/>
                <w:i/>
                <w:iCs/>
                <w:lang w:eastAsia="es-CR"/>
              </w:rPr>
              <w:t xml:space="preserve"> </w:t>
            </w:r>
            <w:r w:rsidR="00E85731">
              <w:rPr>
                <w:rFonts w:ascii="Book Antiqua" w:eastAsia="Times New Roman" w:hAnsi="Book Antiqua" w:cs="Arial"/>
                <w:i/>
                <w:iCs/>
                <w:lang w:eastAsia="es-CR"/>
              </w:rPr>
              <w:t>–</w:t>
            </w:r>
            <w:r w:rsidR="004953B7">
              <w:rPr>
                <w:rFonts w:ascii="Book Antiqua" w:eastAsia="Times New Roman" w:hAnsi="Book Antiqua" w:cs="Arial"/>
                <w:i/>
                <w:iCs/>
                <w:lang w:eastAsia="es-CR"/>
              </w:rPr>
              <w:t xml:space="preserve"> </w:t>
            </w:r>
            <w:r w:rsidR="004953B7" w:rsidRPr="004953B7">
              <w:rPr>
                <w:rFonts w:ascii="Book Antiqua" w:eastAsia="Times New Roman" w:hAnsi="Book Antiqua" w:cs="Arial"/>
                <w:i/>
                <w:iCs/>
                <w:lang w:eastAsia="es-CR"/>
              </w:rPr>
              <w:t>fecha de pase a firma más antigua del expediente pendiente de firma</w:t>
            </w:r>
            <w:r w:rsidR="00DA42E9" w:rsidRPr="00D07F61">
              <w:rPr>
                <w:rFonts w:ascii="Book Antiqua" w:eastAsia="Times New Roman" w:hAnsi="Book Antiqua" w:cs="Arial"/>
                <w:i/>
                <w:iCs/>
                <w:lang w:eastAsia="es-CR"/>
              </w:rPr>
              <w:t>).</w:t>
            </w:r>
          </w:p>
          <w:p w14:paraId="3D39B1D8" w14:textId="77777777" w:rsidR="00DA42E9" w:rsidRPr="00D07F61" w:rsidRDefault="00DA42E9" w:rsidP="00DA42E9">
            <w:pPr>
              <w:spacing w:after="0" w:line="276" w:lineRule="auto"/>
              <w:jc w:val="both"/>
              <w:rPr>
                <w:rFonts w:ascii="Book Antiqua" w:eastAsia="Times New Roman" w:hAnsi="Book Antiqua" w:cs="Arial"/>
                <w:lang w:eastAsia="es-CR"/>
              </w:rPr>
            </w:pPr>
          </w:p>
          <w:p w14:paraId="5E5A2804" w14:textId="5DF5E63E" w:rsidR="00DA42E9" w:rsidRPr="00D07F61" w:rsidRDefault="00BA5D2D"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w:t>
            </w:r>
            <w:r w:rsidRPr="00BA5D2D">
              <w:rPr>
                <w:rFonts w:ascii="Book Antiqua" w:eastAsia="Times New Roman" w:hAnsi="Book Antiqua" w:cs="Arial"/>
                <w:lang w:eastAsia="es-CR"/>
              </w:rPr>
              <w:t>e establece el parámetro de acuerdo con el plazo de la tarea “Espera Peritaje Trabajo Social-Psicología” que es de 30 días.</w:t>
            </w:r>
          </w:p>
        </w:tc>
      </w:tr>
      <w:tr w:rsidR="00DA42E9" w:rsidRPr="00D07F61" w14:paraId="6F440249" w14:textId="77777777" w:rsidTr="00346AC9">
        <w:trPr>
          <w:cantSplit/>
          <w:trHeight w:val="20"/>
          <w:jc w:val="center"/>
        </w:trPr>
        <w:tc>
          <w:tcPr>
            <w:tcW w:w="843" w:type="pct"/>
            <w:vMerge/>
            <w:shd w:val="clear" w:color="auto" w:fill="EAF1DD"/>
          </w:tcPr>
          <w:p w14:paraId="7DD5F5E9" w14:textId="77777777" w:rsidR="00DA42E9" w:rsidRPr="00D07F61" w:rsidRDefault="00DA42E9" w:rsidP="00DA42E9">
            <w:pPr>
              <w:spacing w:after="0" w:line="276" w:lineRule="auto"/>
              <w:rPr>
                <w:rFonts w:ascii="Book Antiqua" w:eastAsia="Times New Roman" w:hAnsi="Book Antiqua" w:cs="Arial"/>
                <w:b/>
                <w:bCs/>
                <w:color w:val="44546A"/>
                <w:lang w:eastAsia="es-CR"/>
              </w:rPr>
            </w:pPr>
          </w:p>
        </w:tc>
        <w:tc>
          <w:tcPr>
            <w:tcW w:w="239" w:type="pct"/>
            <w:vAlign w:val="center"/>
          </w:tcPr>
          <w:p w14:paraId="1447DBD1" w14:textId="044D79AD" w:rsidR="00DA42E9" w:rsidRPr="00D07F61" w:rsidRDefault="00BA5D2D" w:rsidP="00DA42E9">
            <w:pPr>
              <w:spacing w:after="0" w:line="276" w:lineRule="auto"/>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917" w:type="pct"/>
            <w:vAlign w:val="center"/>
          </w:tcPr>
          <w:p w14:paraId="23C89142" w14:textId="37CB8209"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de espera de</w:t>
            </w:r>
            <w:r w:rsidR="00BA5D2D" w:rsidRPr="00BA5D2D">
              <w:rPr>
                <w:rFonts w:ascii="Book Antiqua" w:eastAsia="Times New Roman" w:hAnsi="Book Antiqua" w:cs="Arial"/>
                <w:b/>
                <w:bCs/>
                <w:color w:val="44546A"/>
                <w:lang w:eastAsia="es-CR"/>
              </w:rPr>
              <w:t xml:space="preserve"> resolución más antigua pendiente de firma  </w:t>
            </w:r>
          </w:p>
        </w:tc>
        <w:tc>
          <w:tcPr>
            <w:tcW w:w="3001" w:type="pct"/>
            <w:shd w:val="clear" w:color="auto" w:fill="auto"/>
            <w:vAlign w:val="center"/>
          </w:tcPr>
          <w:p w14:paraId="60794A85"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(Fecha actual- fecha de pase a firma más antigua del documento pendiente de firma).</w:t>
            </w:r>
          </w:p>
          <w:p w14:paraId="282CBD57" w14:textId="77777777" w:rsidR="00DA42E9" w:rsidRPr="00D07F61" w:rsidRDefault="00DA42E9" w:rsidP="00DA42E9">
            <w:pPr>
              <w:spacing w:after="0" w:line="276" w:lineRule="auto"/>
              <w:jc w:val="both"/>
              <w:rPr>
                <w:rFonts w:ascii="Book Antiqua" w:eastAsia="Times New Roman" w:hAnsi="Book Antiqua" w:cs="Arial"/>
                <w:lang w:eastAsia="es-CR"/>
              </w:rPr>
            </w:pPr>
          </w:p>
          <w:p w14:paraId="5CC7924A" w14:textId="29F3DFF7" w:rsidR="00DA42E9" w:rsidRPr="00D07F61" w:rsidRDefault="001D2B19" w:rsidP="00DA42E9">
            <w:pPr>
              <w:spacing w:after="0" w:line="276" w:lineRule="auto"/>
              <w:jc w:val="both"/>
              <w:rPr>
                <w:rFonts w:ascii="Book Antiqua" w:eastAsia="Times New Roman" w:hAnsi="Book Antiqua" w:cs="Arial"/>
                <w:lang w:eastAsia="es-CR"/>
              </w:rPr>
            </w:pPr>
            <w:r w:rsidRPr="001D2B19">
              <w:rPr>
                <w:rFonts w:ascii="Book Antiqua" w:eastAsia="Times New Roman" w:hAnsi="Book Antiqua" w:cs="Arial"/>
                <w:lang w:eastAsia="es-CR"/>
              </w:rPr>
              <w:t xml:space="preserve">El parámetro corresponde </w:t>
            </w:r>
            <w:r>
              <w:rPr>
                <w:rFonts w:ascii="Book Antiqua" w:eastAsia="Times New Roman" w:hAnsi="Book Antiqua" w:cs="Arial"/>
                <w:lang w:eastAsia="es-CR"/>
              </w:rPr>
              <w:t>de 3 a 7 días.</w:t>
            </w:r>
          </w:p>
        </w:tc>
      </w:tr>
      <w:tr w:rsidR="00DA42E9" w:rsidRPr="00D07F61" w14:paraId="64B9DC3B" w14:textId="77777777" w:rsidTr="00346AC9">
        <w:trPr>
          <w:cantSplit/>
          <w:trHeight w:val="4525"/>
          <w:jc w:val="center"/>
        </w:trPr>
        <w:tc>
          <w:tcPr>
            <w:tcW w:w="843" w:type="pct"/>
            <w:vMerge w:val="restart"/>
            <w:shd w:val="clear" w:color="auto" w:fill="FBD4B4"/>
            <w:textDirection w:val="btLr"/>
          </w:tcPr>
          <w:p w14:paraId="1F18AFD2" w14:textId="77777777" w:rsidR="00DA42E9" w:rsidRPr="00D07F61" w:rsidRDefault="00DA42E9" w:rsidP="00DA42E9">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Operacional</w:t>
            </w:r>
          </w:p>
        </w:tc>
        <w:tc>
          <w:tcPr>
            <w:tcW w:w="239" w:type="pct"/>
            <w:shd w:val="clear" w:color="auto" w:fill="auto"/>
            <w:vAlign w:val="center"/>
            <w:hideMark/>
          </w:tcPr>
          <w:p w14:paraId="111DC42A"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p w14:paraId="3DFB2D90" w14:textId="786D34E8"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F85031">
              <w:rPr>
                <w:rFonts w:ascii="Book Antiqua" w:eastAsia="Times New Roman" w:hAnsi="Book Antiqua" w:cs="Arial"/>
                <w:b/>
                <w:bCs/>
                <w:color w:val="44546A"/>
                <w:lang w:eastAsia="es-CR"/>
              </w:rPr>
              <w:t>1</w:t>
            </w:r>
          </w:p>
        </w:tc>
        <w:tc>
          <w:tcPr>
            <w:tcW w:w="917" w:type="pct"/>
            <w:shd w:val="clear" w:color="auto" w:fill="FFFFFF"/>
            <w:vAlign w:val="center"/>
            <w:hideMark/>
          </w:tcPr>
          <w:p w14:paraId="680FD0E4"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escritos pendientes de resolver</w:t>
            </w:r>
          </w:p>
        </w:tc>
        <w:tc>
          <w:tcPr>
            <w:tcW w:w="3001" w:type="pct"/>
            <w:shd w:val="clear" w:color="auto" w:fill="auto"/>
            <w:vAlign w:val="center"/>
            <w:hideMark/>
          </w:tcPr>
          <w:p w14:paraId="091A7B49" w14:textId="29C6A21C"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Lo conforman el total de Escritos pendientes de resolver: </w:t>
            </w:r>
            <w:r w:rsidRPr="00D07F61">
              <w:rPr>
                <w:rFonts w:ascii="Book Antiqua" w:eastAsia="Times New Roman" w:hAnsi="Book Antiqua" w:cs="Arial"/>
                <w:i/>
                <w:iCs/>
                <w:lang w:eastAsia="es-CR"/>
              </w:rPr>
              <w:t>(consulta Tramitándose + consulta Pendiente de Distribuir + consulta Reservado)</w:t>
            </w:r>
          </w:p>
          <w:p w14:paraId="57F851B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6C63F481" w14:textId="1809FE6A"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w:t>
            </w:r>
            <w:r w:rsidR="008F4E52">
              <w:rPr>
                <w:rFonts w:ascii="Book Antiqua" w:eastAsia="Times New Roman" w:hAnsi="Book Antiqua" w:cs="Arial"/>
                <w:lang w:eastAsia="es-CR"/>
              </w:rPr>
              <w:t>Técnicos</w:t>
            </w:r>
            <w:r w:rsidRPr="00D07F61">
              <w:rPr>
                <w:rFonts w:ascii="Book Antiqua" w:eastAsia="Times New Roman" w:hAnsi="Book Antiqua" w:cs="Arial"/>
                <w:lang w:eastAsia="es-CR"/>
              </w:rPr>
              <w:t>.</w:t>
            </w:r>
          </w:p>
          <w:p w14:paraId="51A7F1F2"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w:t>
            </w:r>
          </w:p>
          <w:p w14:paraId="0D6131A2" w14:textId="400DEC5B" w:rsidR="00DA42E9" w:rsidRPr="00D07F61" w:rsidRDefault="00DA42E9" w:rsidP="00164FC7">
            <w:pPr>
              <w:spacing w:after="0" w:line="276" w:lineRule="auto"/>
              <w:jc w:val="both"/>
              <w:rPr>
                <w:rFonts w:ascii="Book Antiqua" w:eastAsia="Times New Roman" w:hAnsi="Book Antiqua" w:cs="Arial"/>
                <w:lang w:eastAsia="es-CR"/>
              </w:rPr>
            </w:pPr>
          </w:p>
        </w:tc>
      </w:tr>
      <w:tr w:rsidR="00DA42E9" w:rsidRPr="00D07F61" w14:paraId="162D2A8C" w14:textId="77777777" w:rsidTr="00346AC9">
        <w:trPr>
          <w:cantSplit/>
          <w:trHeight w:val="20"/>
          <w:jc w:val="center"/>
        </w:trPr>
        <w:tc>
          <w:tcPr>
            <w:tcW w:w="843" w:type="pct"/>
            <w:vMerge/>
            <w:shd w:val="clear" w:color="auto" w:fill="FBD4B4"/>
          </w:tcPr>
          <w:p w14:paraId="4942AF1B"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1E447953" w14:textId="3084C6F6"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A271B0">
              <w:rPr>
                <w:rFonts w:ascii="Book Antiqua" w:eastAsia="Times New Roman" w:hAnsi="Book Antiqua" w:cs="Arial"/>
                <w:b/>
                <w:bCs/>
                <w:color w:val="44546A"/>
                <w:lang w:eastAsia="es-CR"/>
              </w:rPr>
              <w:t>2</w:t>
            </w:r>
          </w:p>
        </w:tc>
        <w:tc>
          <w:tcPr>
            <w:tcW w:w="917" w:type="pct"/>
            <w:shd w:val="clear" w:color="auto" w:fill="auto"/>
            <w:vAlign w:val="center"/>
            <w:hideMark/>
          </w:tcPr>
          <w:p w14:paraId="43EF28D0"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demandas nuevas pendientes de tramitar</w:t>
            </w:r>
          </w:p>
        </w:tc>
        <w:tc>
          <w:tcPr>
            <w:tcW w:w="3001" w:type="pct"/>
            <w:shd w:val="clear" w:color="auto" w:fill="auto"/>
            <w:vAlign w:val="center"/>
            <w:hideMark/>
          </w:tcPr>
          <w:p w14:paraId="48FD8E3A" w14:textId="487EA29B"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se obtiene del Escritorio Virtual, se deben revisar todas las demandas que se encuentran pendientes de tramitar por cada una de las personas técnicas judiciales</w:t>
            </w:r>
            <w:r w:rsidR="00126146">
              <w:rPr>
                <w:rFonts w:ascii="Book Antiqua" w:eastAsia="Times New Roman" w:hAnsi="Book Antiqua" w:cs="Arial"/>
                <w:lang w:eastAsia="es-CR"/>
              </w:rPr>
              <w:t xml:space="preserve"> y </w:t>
            </w:r>
            <w:r w:rsidR="00126146" w:rsidRPr="00126146">
              <w:rPr>
                <w:rFonts w:ascii="Book Antiqua" w:eastAsia="Times New Roman" w:hAnsi="Book Antiqua" w:cs="Arial"/>
                <w:lang w:eastAsia="es-CR"/>
              </w:rPr>
              <w:t>lo pendiente de distribuir por la persona Coordinadora Judicial.</w:t>
            </w:r>
          </w:p>
          <w:p w14:paraId="424618AB"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al revisar la cantidad de asuntos nuevos que ingresan por día y el plazo para resolver demandas nuevas.</w:t>
            </w:r>
          </w:p>
        </w:tc>
      </w:tr>
      <w:tr w:rsidR="001313EC" w:rsidRPr="00D07F61" w14:paraId="7BD97904" w14:textId="77777777" w:rsidTr="00346AC9">
        <w:trPr>
          <w:cantSplit/>
          <w:trHeight w:val="20"/>
          <w:jc w:val="center"/>
        </w:trPr>
        <w:tc>
          <w:tcPr>
            <w:tcW w:w="843" w:type="pct"/>
            <w:vMerge/>
            <w:shd w:val="clear" w:color="auto" w:fill="FBD4B4"/>
          </w:tcPr>
          <w:p w14:paraId="4B00E2A2" w14:textId="77777777" w:rsidR="001313EC" w:rsidRPr="00D07F61" w:rsidRDefault="001313EC"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C0340AE" w14:textId="2AC9967B" w:rsidR="001313EC" w:rsidRPr="00D07F61" w:rsidRDefault="001313EC"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917" w:type="pct"/>
            <w:shd w:val="clear" w:color="auto" w:fill="auto"/>
            <w:vAlign w:val="center"/>
          </w:tcPr>
          <w:p w14:paraId="23D55FA1" w14:textId="0606BF09" w:rsidR="001313EC" w:rsidRPr="00D07F61" w:rsidRDefault="00215B30" w:rsidP="009B71C9">
            <w:pPr>
              <w:spacing w:after="0" w:line="276" w:lineRule="auto"/>
              <w:jc w:val="both"/>
              <w:rPr>
                <w:rFonts w:ascii="Book Antiqua" w:eastAsia="Times New Roman" w:hAnsi="Book Antiqua" w:cs="Arial"/>
                <w:b/>
                <w:bCs/>
                <w:color w:val="44546A"/>
                <w:lang w:eastAsia="es-CR"/>
              </w:rPr>
            </w:pPr>
            <w:r w:rsidRPr="00215B30">
              <w:rPr>
                <w:rFonts w:ascii="Book Antiqua" w:eastAsia="Times New Roman" w:hAnsi="Book Antiqua" w:cs="Arial"/>
                <w:b/>
                <w:bCs/>
                <w:color w:val="44546A"/>
                <w:lang w:eastAsia="es-CR"/>
              </w:rPr>
              <w:t>Cantidad de peritajes pendientes</w:t>
            </w:r>
          </w:p>
        </w:tc>
        <w:tc>
          <w:tcPr>
            <w:tcW w:w="3001" w:type="pct"/>
            <w:shd w:val="clear" w:color="auto" w:fill="auto"/>
            <w:vAlign w:val="center"/>
          </w:tcPr>
          <w:p w14:paraId="4BC26640" w14:textId="3ECA1185" w:rsidR="001313EC" w:rsidRPr="00D07F61" w:rsidRDefault="00CE2D57"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Indicador nuevo. </w:t>
            </w:r>
            <w:r w:rsidR="00215B30" w:rsidRPr="00215B30">
              <w:rPr>
                <w:rFonts w:ascii="Book Antiqua" w:eastAsia="Times New Roman" w:hAnsi="Book Antiqua" w:cs="Arial"/>
                <w:lang w:eastAsia="es-CR"/>
              </w:rPr>
              <w:t>Se obtiene del Escritorio Virtual, se deben revisar todas las solicitudes de peritaje que se encuentran pendientes de resultado</w:t>
            </w:r>
            <w:r w:rsidR="00215B30">
              <w:rPr>
                <w:rFonts w:ascii="Book Antiqua" w:eastAsia="Times New Roman" w:hAnsi="Book Antiqua" w:cs="Arial"/>
                <w:lang w:eastAsia="es-CR"/>
              </w:rPr>
              <w:t xml:space="preserve"> </w:t>
            </w:r>
            <w:r w:rsidR="007911F4">
              <w:rPr>
                <w:rFonts w:ascii="Book Antiqua" w:eastAsia="Times New Roman" w:hAnsi="Book Antiqua" w:cs="Arial"/>
                <w:lang w:eastAsia="es-CR"/>
              </w:rPr>
              <w:t>de la Oficina de Trabajo Social y Psicología.</w:t>
            </w:r>
          </w:p>
        </w:tc>
      </w:tr>
      <w:tr w:rsidR="00DA42E9" w:rsidRPr="00D07F61" w14:paraId="78005132" w14:textId="77777777" w:rsidTr="00346AC9">
        <w:trPr>
          <w:cantSplit/>
          <w:trHeight w:val="20"/>
          <w:jc w:val="center"/>
        </w:trPr>
        <w:tc>
          <w:tcPr>
            <w:tcW w:w="843" w:type="pct"/>
            <w:vMerge/>
            <w:shd w:val="clear" w:color="auto" w:fill="FBD4B4"/>
          </w:tcPr>
          <w:p w14:paraId="5DC5E8D7"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C8271DA" w14:textId="074ECFDE"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1313EC">
              <w:rPr>
                <w:rFonts w:ascii="Book Antiqua" w:eastAsia="Times New Roman" w:hAnsi="Book Antiqua" w:cs="Arial"/>
                <w:b/>
                <w:bCs/>
                <w:color w:val="44546A"/>
                <w:lang w:eastAsia="es-CR"/>
              </w:rPr>
              <w:t>4</w:t>
            </w:r>
          </w:p>
        </w:tc>
        <w:tc>
          <w:tcPr>
            <w:tcW w:w="917" w:type="pct"/>
            <w:shd w:val="clear" w:color="auto" w:fill="auto"/>
            <w:vAlign w:val="center"/>
            <w:hideMark/>
          </w:tcPr>
          <w:p w14:paraId="03566156"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efectividad de realización audiencias</w:t>
            </w:r>
          </w:p>
        </w:tc>
        <w:tc>
          <w:tcPr>
            <w:tcW w:w="3001" w:type="pct"/>
            <w:shd w:val="clear" w:color="auto" w:fill="auto"/>
            <w:vAlign w:val="center"/>
            <w:hideMark/>
          </w:tcPr>
          <w:p w14:paraId="23E0C901"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(Audiencias realizadas / Audiencias programadas) *100</w:t>
            </w:r>
          </w:p>
          <w:p w14:paraId="018BFE03"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programados.</w:t>
            </w:r>
          </w:p>
          <w:p w14:paraId="729C79FA"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10A021B5" w14:textId="77777777" w:rsidTr="00346AC9">
        <w:trPr>
          <w:cantSplit/>
          <w:trHeight w:val="20"/>
          <w:jc w:val="center"/>
        </w:trPr>
        <w:tc>
          <w:tcPr>
            <w:tcW w:w="843" w:type="pct"/>
            <w:vMerge/>
            <w:shd w:val="clear" w:color="auto" w:fill="FBD4B4"/>
          </w:tcPr>
          <w:p w14:paraId="3F37EDC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5FA942C1" w14:textId="365630DD"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B059E7">
              <w:rPr>
                <w:rFonts w:ascii="Book Antiqua" w:eastAsia="Times New Roman" w:hAnsi="Book Antiqua" w:cs="Arial"/>
                <w:b/>
                <w:bCs/>
                <w:color w:val="44546A"/>
                <w:lang w:eastAsia="es-CR"/>
              </w:rPr>
              <w:t>5</w:t>
            </w:r>
          </w:p>
        </w:tc>
        <w:tc>
          <w:tcPr>
            <w:tcW w:w="917" w:type="pct"/>
            <w:shd w:val="clear" w:color="auto" w:fill="auto"/>
            <w:vAlign w:val="center"/>
            <w:hideMark/>
          </w:tcPr>
          <w:p w14:paraId="7B72DC0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Porcentaje de efectividad de realización audiencias de conciliación </w:t>
            </w:r>
          </w:p>
        </w:tc>
        <w:tc>
          <w:tcPr>
            <w:tcW w:w="3001" w:type="pct"/>
            <w:shd w:val="clear" w:color="auto" w:fill="auto"/>
            <w:vAlign w:val="center"/>
            <w:hideMark/>
          </w:tcPr>
          <w:p w14:paraId="0070B4D2"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Indicador incluido por solicitud del Equipo de personas juzgadoras y Equipo Gestor, se calcula: </w:t>
            </w:r>
            <w:r w:rsidRPr="00D07F61">
              <w:rPr>
                <w:rFonts w:ascii="Book Antiqua" w:eastAsia="Times New Roman" w:hAnsi="Book Antiqua" w:cs="Arial"/>
                <w:i/>
                <w:iCs/>
                <w:lang w:eastAsia="es-CR"/>
              </w:rPr>
              <w:t>(Audiencias de conciliación realizadas / Audiencias de conciliación programadas) *100)</w:t>
            </w:r>
          </w:p>
          <w:p w14:paraId="7ED58486"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conciliadas programados.</w:t>
            </w:r>
          </w:p>
          <w:p w14:paraId="6049F746"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32D21E3A" w14:textId="77777777" w:rsidTr="00346AC9">
        <w:trPr>
          <w:cantSplit/>
          <w:trHeight w:val="20"/>
          <w:jc w:val="center"/>
        </w:trPr>
        <w:tc>
          <w:tcPr>
            <w:tcW w:w="843" w:type="pct"/>
            <w:vMerge/>
            <w:shd w:val="clear" w:color="auto" w:fill="FBD4B4"/>
          </w:tcPr>
          <w:p w14:paraId="6A39D818"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48240B87" w14:textId="473765EB"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2438DD">
              <w:rPr>
                <w:rFonts w:ascii="Book Antiqua" w:eastAsia="Times New Roman" w:hAnsi="Book Antiqua" w:cs="Arial"/>
                <w:b/>
                <w:bCs/>
                <w:color w:val="44546A"/>
                <w:lang w:eastAsia="es-CR"/>
              </w:rPr>
              <w:t>6</w:t>
            </w:r>
          </w:p>
        </w:tc>
        <w:tc>
          <w:tcPr>
            <w:tcW w:w="917" w:type="pct"/>
            <w:shd w:val="clear" w:color="auto" w:fill="auto"/>
            <w:vAlign w:val="center"/>
            <w:hideMark/>
          </w:tcPr>
          <w:p w14:paraId="29DB08B8"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audiencias conciliadas de las audiencias realizadas</w:t>
            </w:r>
          </w:p>
        </w:tc>
        <w:tc>
          <w:tcPr>
            <w:tcW w:w="3001" w:type="pct"/>
            <w:shd w:val="clear" w:color="auto" w:fill="auto"/>
            <w:vAlign w:val="center"/>
            <w:hideMark/>
          </w:tcPr>
          <w:p w14:paraId="52EA4A0B"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Indicador incluido por solicitud del Equipo de personas juzgadoras y Equipo Gestor, se calcula: </w:t>
            </w:r>
            <w:r w:rsidRPr="00D07F61">
              <w:rPr>
                <w:rFonts w:ascii="Book Antiqua" w:eastAsia="Times New Roman" w:hAnsi="Book Antiqua" w:cs="Arial"/>
                <w:i/>
                <w:iCs/>
                <w:lang w:eastAsia="es-CR"/>
              </w:rPr>
              <w:t>(Audiencias conciliadas / Audiencias programadas) *100)</w:t>
            </w:r>
          </w:p>
          <w:p w14:paraId="0127619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conciliados.</w:t>
            </w:r>
          </w:p>
          <w:p w14:paraId="5ED880C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7EF59C5F" w14:textId="77777777" w:rsidTr="00346AC9">
        <w:trPr>
          <w:cantSplit/>
          <w:trHeight w:val="20"/>
          <w:jc w:val="center"/>
        </w:trPr>
        <w:tc>
          <w:tcPr>
            <w:tcW w:w="843" w:type="pct"/>
            <w:vMerge/>
            <w:shd w:val="clear" w:color="auto" w:fill="FBD4B4"/>
          </w:tcPr>
          <w:p w14:paraId="41DE6FA3"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D6D8E85" w14:textId="2DD4DC14"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19262A">
              <w:rPr>
                <w:rFonts w:ascii="Book Antiqua" w:eastAsia="Times New Roman" w:hAnsi="Book Antiqua" w:cs="Arial"/>
                <w:b/>
                <w:bCs/>
                <w:color w:val="44546A"/>
                <w:lang w:eastAsia="es-CR"/>
              </w:rPr>
              <w:t>7</w:t>
            </w:r>
          </w:p>
        </w:tc>
        <w:tc>
          <w:tcPr>
            <w:tcW w:w="917" w:type="pct"/>
            <w:shd w:val="clear" w:color="auto" w:fill="auto"/>
            <w:vAlign w:val="center"/>
            <w:hideMark/>
          </w:tcPr>
          <w:p w14:paraId="3F0130AD"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audiencias pendientes de realización</w:t>
            </w:r>
          </w:p>
        </w:tc>
        <w:tc>
          <w:tcPr>
            <w:tcW w:w="3001" w:type="pct"/>
            <w:shd w:val="clear" w:color="auto" w:fill="auto"/>
            <w:vAlign w:val="center"/>
            <w:hideMark/>
          </w:tcPr>
          <w:p w14:paraId="2BB524B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audiencias pendientes de realización desglosado por cada persona juzgadora.</w:t>
            </w:r>
          </w:p>
          <w:p w14:paraId="5F4DEEA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pendientes de realización.</w:t>
            </w:r>
          </w:p>
          <w:p w14:paraId="4BC9274D" w14:textId="1078B775"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w:t>
            </w:r>
            <w:r w:rsidR="00F54DFB" w:rsidRPr="00F54DFB">
              <w:rPr>
                <w:rFonts w:ascii="Book Antiqua" w:eastAsia="Times New Roman" w:hAnsi="Book Antiqua" w:cs="Arial"/>
                <w:lang w:eastAsia="es-CR"/>
              </w:rPr>
              <w:t xml:space="preserve"> define con el Plazo espera para realización de señalamientos y la </w:t>
            </w:r>
            <w:r w:rsidR="00476F13">
              <w:rPr>
                <w:rFonts w:ascii="Book Antiqua" w:eastAsia="Times New Roman" w:hAnsi="Book Antiqua" w:cs="Arial"/>
                <w:lang w:eastAsia="es-CR"/>
              </w:rPr>
              <w:t>C</w:t>
            </w:r>
            <w:r w:rsidR="00F54DFB" w:rsidRPr="00F54DFB">
              <w:rPr>
                <w:rFonts w:ascii="Book Antiqua" w:eastAsia="Times New Roman" w:hAnsi="Book Antiqua" w:cs="Arial"/>
                <w:lang w:eastAsia="es-CR"/>
              </w:rPr>
              <w:t>antidad de sentencias dictadas en principal</w:t>
            </w:r>
            <w:r w:rsidRPr="00D07F61">
              <w:rPr>
                <w:rFonts w:ascii="Book Antiqua" w:eastAsia="Times New Roman" w:hAnsi="Book Antiqua" w:cs="Arial"/>
                <w:lang w:eastAsia="es-CR"/>
              </w:rPr>
              <w:t>; con la finalidad de que ambos indicadores sean coherentes.</w:t>
            </w:r>
          </w:p>
        </w:tc>
      </w:tr>
      <w:tr w:rsidR="00DA42E9" w:rsidRPr="00D07F61" w14:paraId="0BEBE439" w14:textId="77777777" w:rsidTr="00346AC9">
        <w:trPr>
          <w:cantSplit/>
          <w:trHeight w:val="20"/>
          <w:jc w:val="center"/>
        </w:trPr>
        <w:tc>
          <w:tcPr>
            <w:tcW w:w="843" w:type="pct"/>
            <w:vMerge/>
            <w:shd w:val="clear" w:color="auto" w:fill="FBD4B4"/>
          </w:tcPr>
          <w:p w14:paraId="2F7CDBD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640A1C78" w14:textId="10EBC3C7"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B9540B">
              <w:rPr>
                <w:rFonts w:ascii="Book Antiqua" w:eastAsia="Times New Roman" w:hAnsi="Book Antiqua" w:cs="Arial"/>
                <w:b/>
                <w:bCs/>
                <w:color w:val="44546A"/>
                <w:lang w:eastAsia="es-CR"/>
              </w:rPr>
              <w:t>8</w:t>
            </w:r>
          </w:p>
        </w:tc>
        <w:tc>
          <w:tcPr>
            <w:tcW w:w="917" w:type="pct"/>
            <w:shd w:val="clear" w:color="auto" w:fill="auto"/>
            <w:vAlign w:val="center"/>
            <w:hideMark/>
          </w:tcPr>
          <w:p w14:paraId="72F31A3B"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pendientes de fallo</w:t>
            </w:r>
          </w:p>
        </w:tc>
        <w:tc>
          <w:tcPr>
            <w:tcW w:w="3001" w:type="pct"/>
            <w:shd w:val="clear" w:color="auto" w:fill="auto"/>
            <w:vAlign w:val="center"/>
            <w:hideMark/>
          </w:tcPr>
          <w:p w14:paraId="73424630"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subdividido por solicitud del Equipo de personas juzgadoras y Equipo Gestor</w:t>
            </w:r>
            <w:r w:rsidRPr="00D07F61" w:rsidDel="000F2CA0">
              <w:rPr>
                <w:rFonts w:ascii="Book Antiqua" w:eastAsia="Times New Roman" w:hAnsi="Book Antiqua" w:cs="Arial"/>
                <w:lang w:eastAsia="es-CR"/>
              </w:rPr>
              <w:t xml:space="preserve"> </w:t>
            </w:r>
            <w:r w:rsidRPr="00D07F61">
              <w:rPr>
                <w:rFonts w:ascii="Book Antiqua" w:eastAsia="Times New Roman" w:hAnsi="Book Antiqua" w:cs="Arial"/>
                <w:lang w:eastAsia="es-CR"/>
              </w:rPr>
              <w:t xml:space="preserve">división en materia Familia y Pensiones Alimentarias, para cada persona juzgadora. </w:t>
            </w:r>
          </w:p>
          <w:p w14:paraId="508B89E9"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Módulo de pase a fallo del Escritorio Virtual o Libro de Pase a Fallo.</w:t>
            </w:r>
          </w:p>
          <w:p w14:paraId="14368DD5" w14:textId="329AD4D1"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w:t>
            </w:r>
            <w:r w:rsidR="006240BA" w:rsidRPr="006240BA">
              <w:rPr>
                <w:rFonts w:ascii="Book Antiqua" w:eastAsia="Times New Roman" w:hAnsi="Book Antiqua" w:cs="Arial"/>
                <w:lang w:eastAsia="es-CR"/>
              </w:rPr>
              <w:t xml:space="preserve"> </w:t>
            </w:r>
            <w:r w:rsidR="00FD546B">
              <w:rPr>
                <w:rFonts w:ascii="Book Antiqua" w:eastAsia="Times New Roman" w:hAnsi="Book Antiqua" w:cs="Arial"/>
                <w:lang w:eastAsia="es-CR"/>
              </w:rPr>
              <w:t xml:space="preserve">se define </w:t>
            </w:r>
            <w:r w:rsidR="006240BA" w:rsidRPr="006240BA">
              <w:rPr>
                <w:rFonts w:ascii="Book Antiqua" w:eastAsia="Times New Roman" w:hAnsi="Book Antiqua" w:cs="Arial"/>
                <w:lang w:eastAsia="es-CR"/>
              </w:rPr>
              <w:t xml:space="preserve">en concordancia con el indicador </w:t>
            </w:r>
            <w:r w:rsidR="00FD546B">
              <w:rPr>
                <w:rFonts w:ascii="Book Antiqua" w:eastAsia="Times New Roman" w:hAnsi="Book Antiqua" w:cs="Arial"/>
                <w:lang w:eastAsia="es-CR"/>
              </w:rPr>
              <w:t xml:space="preserve">del </w:t>
            </w:r>
            <w:r w:rsidR="006240BA" w:rsidRPr="006240BA">
              <w:rPr>
                <w:rFonts w:ascii="Book Antiqua" w:eastAsia="Times New Roman" w:hAnsi="Book Antiqua" w:cs="Arial"/>
                <w:lang w:eastAsia="es-CR"/>
              </w:rPr>
              <w:t xml:space="preserve">Plazo espera dictado sentencia, y la </w:t>
            </w:r>
            <w:r w:rsidR="00FD546B">
              <w:rPr>
                <w:rFonts w:ascii="Book Antiqua" w:eastAsia="Times New Roman" w:hAnsi="Book Antiqua" w:cs="Arial"/>
                <w:lang w:eastAsia="es-CR"/>
              </w:rPr>
              <w:t>C</w:t>
            </w:r>
            <w:r w:rsidR="006240BA" w:rsidRPr="006240BA">
              <w:rPr>
                <w:rFonts w:ascii="Book Antiqua" w:eastAsia="Times New Roman" w:hAnsi="Book Antiqua" w:cs="Arial"/>
                <w:lang w:eastAsia="es-CR"/>
              </w:rPr>
              <w:t>antidad de sentencias dictadas</w:t>
            </w:r>
            <w:r w:rsidRPr="00D07F61">
              <w:rPr>
                <w:rFonts w:ascii="Book Antiqua" w:eastAsia="Times New Roman" w:hAnsi="Book Antiqua" w:cs="Arial"/>
                <w:lang w:eastAsia="es-CR"/>
              </w:rPr>
              <w:t>.</w:t>
            </w:r>
          </w:p>
        </w:tc>
      </w:tr>
      <w:tr w:rsidR="00DA42E9" w:rsidRPr="00D07F61" w14:paraId="0AC47A5F" w14:textId="77777777" w:rsidTr="00346AC9">
        <w:trPr>
          <w:cantSplit/>
          <w:trHeight w:val="20"/>
          <w:jc w:val="center"/>
        </w:trPr>
        <w:tc>
          <w:tcPr>
            <w:tcW w:w="843" w:type="pct"/>
            <w:vMerge/>
            <w:shd w:val="clear" w:color="auto" w:fill="FBD4B4"/>
          </w:tcPr>
          <w:p w14:paraId="739F08E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3724F6C9" w14:textId="3A6DB4C3"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FD546B">
              <w:rPr>
                <w:rFonts w:ascii="Book Antiqua" w:eastAsia="Times New Roman" w:hAnsi="Book Antiqua" w:cs="Arial"/>
                <w:b/>
                <w:bCs/>
                <w:color w:val="44546A"/>
                <w:lang w:eastAsia="es-CR"/>
              </w:rPr>
              <w:t>9</w:t>
            </w:r>
          </w:p>
        </w:tc>
        <w:tc>
          <w:tcPr>
            <w:tcW w:w="917" w:type="pct"/>
            <w:shd w:val="clear" w:color="auto" w:fill="auto"/>
            <w:vAlign w:val="center"/>
            <w:hideMark/>
          </w:tcPr>
          <w:p w14:paraId="201C3C7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pasados a firmar por Técnico o Técnica</w:t>
            </w:r>
          </w:p>
        </w:tc>
        <w:tc>
          <w:tcPr>
            <w:tcW w:w="3001" w:type="pct"/>
            <w:shd w:val="clear" w:color="auto" w:fill="auto"/>
            <w:vAlign w:val="center"/>
            <w:hideMark/>
          </w:tcPr>
          <w:p w14:paraId="7649351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Expedientes pasados a firmar por cada persona juzgadora.</w:t>
            </w:r>
          </w:p>
          <w:p w14:paraId="7187921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78FC869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tomando en cuenta la cuota de proveído definida para cada persona técnica judicial.</w:t>
            </w:r>
          </w:p>
        </w:tc>
      </w:tr>
      <w:tr w:rsidR="00DA42E9" w:rsidRPr="00D07F61" w14:paraId="36B5C88C" w14:textId="77777777" w:rsidTr="00346AC9">
        <w:trPr>
          <w:cantSplit/>
          <w:trHeight w:val="20"/>
          <w:jc w:val="center"/>
        </w:trPr>
        <w:tc>
          <w:tcPr>
            <w:tcW w:w="843" w:type="pct"/>
            <w:vMerge/>
            <w:shd w:val="clear" w:color="auto" w:fill="FBD4B4"/>
          </w:tcPr>
          <w:p w14:paraId="2E973972"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7A83A752" w14:textId="300AD703" w:rsidR="00DA42E9" w:rsidRPr="00D07F61" w:rsidRDefault="00A21ACD"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30</w:t>
            </w:r>
          </w:p>
        </w:tc>
        <w:tc>
          <w:tcPr>
            <w:tcW w:w="917" w:type="pct"/>
            <w:shd w:val="clear" w:color="auto" w:fill="FFFFFF"/>
            <w:vAlign w:val="center"/>
          </w:tcPr>
          <w:p w14:paraId="27B6FDF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rendimiento por persona técnica judicial</w:t>
            </w:r>
          </w:p>
        </w:tc>
        <w:tc>
          <w:tcPr>
            <w:tcW w:w="3001" w:type="pct"/>
            <w:shd w:val="clear" w:color="auto" w:fill="auto"/>
            <w:vAlign w:val="center"/>
          </w:tcPr>
          <w:p w14:paraId="323A7681"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pasados a firmar / Cantidad de resoluciones a realizar según cuota de trabajo)</w:t>
            </w:r>
          </w:p>
          <w:p w14:paraId="07E0F10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toma en cuenta los días laborados por cada una de las personas técnicas judiciales en el mes, según la cuota de trabajo diaria.</w:t>
            </w:r>
          </w:p>
          <w:p w14:paraId="5B8C76C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95% a 100%</w:t>
            </w:r>
          </w:p>
        </w:tc>
      </w:tr>
      <w:tr w:rsidR="00DA42E9" w:rsidRPr="00D07F61" w14:paraId="2ABB3BC0" w14:textId="77777777" w:rsidTr="00346AC9">
        <w:trPr>
          <w:cantSplit/>
          <w:trHeight w:val="20"/>
          <w:jc w:val="center"/>
        </w:trPr>
        <w:tc>
          <w:tcPr>
            <w:tcW w:w="843" w:type="pct"/>
            <w:vMerge/>
            <w:shd w:val="clear" w:color="auto" w:fill="FBD4B4"/>
          </w:tcPr>
          <w:p w14:paraId="76DB804B"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5DD5AA7D" w14:textId="451E5032" w:rsidR="00DA42E9" w:rsidRPr="00D07F61" w:rsidRDefault="00A81E16"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31</w:t>
            </w:r>
          </w:p>
        </w:tc>
        <w:tc>
          <w:tcPr>
            <w:tcW w:w="917" w:type="pct"/>
            <w:shd w:val="clear" w:color="auto" w:fill="auto"/>
            <w:vAlign w:val="center"/>
            <w:hideMark/>
          </w:tcPr>
          <w:p w14:paraId="68FA7751"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resoluciones firmadas por persona juzgadora</w:t>
            </w:r>
          </w:p>
        </w:tc>
        <w:tc>
          <w:tcPr>
            <w:tcW w:w="3001" w:type="pct"/>
            <w:shd w:val="clear" w:color="auto" w:fill="auto"/>
            <w:vAlign w:val="center"/>
            <w:hideMark/>
          </w:tcPr>
          <w:p w14:paraId="6BC04C91"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resoluciones firmadas por cada persona juzgadora.</w:t>
            </w:r>
          </w:p>
          <w:p w14:paraId="4B465754"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649106B5" w14:textId="79E5615D"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obtiene de cada despacho tomando en cuenta </w:t>
            </w:r>
            <w:r w:rsidR="00326D72" w:rsidRPr="00326D72">
              <w:rPr>
                <w:rFonts w:ascii="Book Antiqua" w:eastAsia="Times New Roman" w:hAnsi="Book Antiqua" w:cs="Arial"/>
                <w:lang w:eastAsia="es-CR"/>
              </w:rPr>
              <w:t xml:space="preserve">la estructura de cada despacho, ya que se espera que la producción de las personas técnicas </w:t>
            </w:r>
            <w:r w:rsidR="00226DC2" w:rsidRPr="00326D72">
              <w:rPr>
                <w:rFonts w:ascii="Book Antiqua" w:eastAsia="Times New Roman" w:hAnsi="Book Antiqua" w:cs="Arial"/>
                <w:lang w:eastAsia="es-CR"/>
              </w:rPr>
              <w:t>judiciales</w:t>
            </w:r>
            <w:r w:rsidR="00326D72" w:rsidRPr="00326D72">
              <w:rPr>
                <w:rFonts w:ascii="Book Antiqua" w:eastAsia="Times New Roman" w:hAnsi="Book Antiqua" w:cs="Arial"/>
                <w:lang w:eastAsia="es-CR"/>
              </w:rPr>
              <w:t xml:space="preserve"> es lo que firmen las personas juzgadoras, por lo que se debe homologar con el indicador </w:t>
            </w:r>
            <w:r w:rsidR="002025A7">
              <w:rPr>
                <w:rFonts w:ascii="Book Antiqua" w:eastAsia="Times New Roman" w:hAnsi="Book Antiqua" w:cs="Arial"/>
                <w:lang w:eastAsia="es-CR"/>
              </w:rPr>
              <w:t>de la</w:t>
            </w:r>
            <w:r w:rsidR="00326D72" w:rsidRPr="00326D72">
              <w:rPr>
                <w:rFonts w:ascii="Book Antiqua" w:eastAsia="Times New Roman" w:hAnsi="Book Antiqua" w:cs="Arial"/>
                <w:lang w:eastAsia="es-CR"/>
              </w:rPr>
              <w:t xml:space="preserve"> Cantidad de Expedientes pasados a firmar por Técnico o Técnica</w:t>
            </w:r>
            <w:r w:rsidR="005C6786">
              <w:rPr>
                <w:rFonts w:ascii="Book Antiqua" w:eastAsia="Times New Roman" w:hAnsi="Book Antiqua" w:cs="Arial"/>
                <w:lang w:eastAsia="es-CR"/>
              </w:rPr>
              <w:t>.</w:t>
            </w:r>
          </w:p>
        </w:tc>
      </w:tr>
      <w:tr w:rsidR="00DA42E9" w:rsidRPr="00D07F61" w14:paraId="30890822" w14:textId="77777777" w:rsidTr="00346AC9">
        <w:trPr>
          <w:cantSplit/>
          <w:trHeight w:val="20"/>
          <w:jc w:val="center"/>
        </w:trPr>
        <w:tc>
          <w:tcPr>
            <w:tcW w:w="843" w:type="pct"/>
            <w:vMerge/>
            <w:shd w:val="clear" w:color="auto" w:fill="FBD4B4"/>
          </w:tcPr>
          <w:p w14:paraId="6BF00119"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1671FCE" w14:textId="4DE50DFE"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5C6786">
              <w:rPr>
                <w:rFonts w:ascii="Book Antiqua" w:eastAsia="Times New Roman" w:hAnsi="Book Antiqua" w:cs="Arial"/>
                <w:b/>
                <w:bCs/>
                <w:color w:val="44546A"/>
                <w:lang w:eastAsia="es-CR"/>
              </w:rPr>
              <w:t>2</w:t>
            </w:r>
          </w:p>
        </w:tc>
        <w:tc>
          <w:tcPr>
            <w:tcW w:w="917" w:type="pct"/>
            <w:shd w:val="clear" w:color="auto" w:fill="auto"/>
            <w:vAlign w:val="center"/>
            <w:hideMark/>
          </w:tcPr>
          <w:p w14:paraId="1C3C0844" w14:textId="402A350B" w:rsidR="00DA42E9" w:rsidRPr="00D07F61" w:rsidRDefault="00E6476A" w:rsidP="009B71C9">
            <w:pPr>
              <w:spacing w:after="0" w:line="276" w:lineRule="auto"/>
              <w:jc w:val="both"/>
              <w:rPr>
                <w:rFonts w:ascii="Book Antiqua" w:eastAsia="Times New Roman" w:hAnsi="Book Antiqua" w:cs="Arial"/>
                <w:b/>
                <w:bCs/>
                <w:color w:val="44546A"/>
                <w:lang w:eastAsia="es-CR"/>
              </w:rPr>
            </w:pPr>
            <w:r w:rsidRPr="00E6476A">
              <w:rPr>
                <w:rFonts w:ascii="Book Antiqua" w:eastAsia="Times New Roman" w:hAnsi="Book Antiqua" w:cs="Arial"/>
                <w:b/>
                <w:bCs/>
                <w:color w:val="44546A"/>
                <w:lang w:eastAsia="es-CR"/>
              </w:rPr>
              <w:t>Cantidad de expedientes pasados a firmar para cada persona juzgadora</w:t>
            </w:r>
          </w:p>
        </w:tc>
        <w:tc>
          <w:tcPr>
            <w:tcW w:w="3001" w:type="pct"/>
            <w:shd w:val="clear" w:color="auto" w:fill="auto"/>
            <w:vAlign w:val="center"/>
            <w:hideMark/>
          </w:tcPr>
          <w:p w14:paraId="4615D7DE"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expedientes pendientes de firmar por cada persona juzgadora.</w:t>
            </w:r>
          </w:p>
          <w:p w14:paraId="4F073E3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3EA59EF" w14:textId="2748AF71"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182741" w:rsidRPr="00182741">
              <w:rPr>
                <w:rFonts w:ascii="Book Antiqua" w:eastAsia="Times New Roman" w:hAnsi="Book Antiqua" w:cs="Arial"/>
                <w:lang w:eastAsia="es-CR"/>
              </w:rPr>
              <w:t xml:space="preserve">se define con la totalidad de expedientes que se espera pasen las personas técnicas judiciales a las personas juzgadoras, por lo que se debe homologar con el indicador </w:t>
            </w:r>
            <w:r w:rsidR="00182741">
              <w:rPr>
                <w:rFonts w:ascii="Book Antiqua" w:eastAsia="Times New Roman" w:hAnsi="Book Antiqua" w:cs="Arial"/>
                <w:lang w:eastAsia="es-CR"/>
              </w:rPr>
              <w:t xml:space="preserve">de la </w:t>
            </w:r>
            <w:r w:rsidR="00182741" w:rsidRPr="00182741">
              <w:rPr>
                <w:rFonts w:ascii="Book Antiqua" w:eastAsia="Times New Roman" w:hAnsi="Book Antiqua" w:cs="Arial"/>
                <w:lang w:eastAsia="es-CR"/>
              </w:rPr>
              <w:t>Cantidad de expedientes pasados a firmar por Técnico o Técnica</w:t>
            </w:r>
            <w:r w:rsidR="007B4726">
              <w:rPr>
                <w:rFonts w:ascii="Book Antiqua" w:eastAsia="Times New Roman" w:hAnsi="Book Antiqua" w:cs="Arial"/>
                <w:lang w:eastAsia="es-CR"/>
              </w:rPr>
              <w:t>.</w:t>
            </w:r>
          </w:p>
        </w:tc>
      </w:tr>
      <w:tr w:rsidR="00DA42E9" w:rsidRPr="00D07F61" w14:paraId="4CFDF0A9" w14:textId="77777777" w:rsidTr="00346AC9">
        <w:trPr>
          <w:cantSplit/>
          <w:trHeight w:val="20"/>
          <w:jc w:val="center"/>
        </w:trPr>
        <w:tc>
          <w:tcPr>
            <w:tcW w:w="843" w:type="pct"/>
            <w:vMerge/>
            <w:shd w:val="clear" w:color="auto" w:fill="FBD4B4"/>
          </w:tcPr>
          <w:p w14:paraId="1409BFD2"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551088FF" w14:textId="6DEA6591"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7B4726">
              <w:rPr>
                <w:rFonts w:ascii="Book Antiqua" w:eastAsia="Times New Roman" w:hAnsi="Book Antiqua" w:cs="Arial"/>
                <w:b/>
                <w:bCs/>
                <w:color w:val="44546A"/>
                <w:lang w:eastAsia="es-CR"/>
              </w:rPr>
              <w:t>3</w:t>
            </w:r>
          </w:p>
        </w:tc>
        <w:tc>
          <w:tcPr>
            <w:tcW w:w="917" w:type="pct"/>
            <w:shd w:val="clear" w:color="auto" w:fill="auto"/>
            <w:vAlign w:val="center"/>
          </w:tcPr>
          <w:p w14:paraId="766470D4"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efectividad en el firmado por persona juzgadora</w:t>
            </w:r>
          </w:p>
        </w:tc>
        <w:tc>
          <w:tcPr>
            <w:tcW w:w="3001" w:type="pct"/>
            <w:shd w:val="clear" w:color="auto" w:fill="auto"/>
            <w:vAlign w:val="center"/>
          </w:tcPr>
          <w:p w14:paraId="06497F30" w14:textId="6C32F0DA"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pasad</w:t>
            </w:r>
            <w:r w:rsidR="00632247">
              <w:rPr>
                <w:rFonts w:ascii="Book Antiqua" w:eastAsia="Times New Roman" w:hAnsi="Book Antiqua" w:cs="Arial"/>
                <w:i/>
                <w:iCs/>
                <w:lang w:eastAsia="es-CR"/>
              </w:rPr>
              <w:t>o</w:t>
            </w:r>
            <w:r w:rsidRPr="00D07F61">
              <w:rPr>
                <w:rFonts w:ascii="Book Antiqua" w:eastAsia="Times New Roman" w:hAnsi="Book Antiqua" w:cs="Arial"/>
                <w:i/>
                <w:iCs/>
                <w:lang w:eastAsia="es-CR"/>
              </w:rPr>
              <w:t>s a firma</w:t>
            </w:r>
            <w:r w:rsidR="00C52FEE">
              <w:rPr>
                <w:rFonts w:ascii="Book Antiqua" w:eastAsia="Times New Roman" w:hAnsi="Book Antiqua" w:cs="Arial"/>
                <w:i/>
                <w:iCs/>
                <w:lang w:eastAsia="es-CR"/>
              </w:rPr>
              <w:t>r</w:t>
            </w:r>
            <w:r w:rsidRPr="00D07F61">
              <w:rPr>
                <w:rFonts w:ascii="Book Antiqua" w:eastAsia="Times New Roman" w:hAnsi="Book Antiqua" w:cs="Arial"/>
                <w:i/>
                <w:iCs/>
                <w:lang w:eastAsia="es-CR"/>
              </w:rPr>
              <w:t xml:space="preserve"> para cada Jueza o Juez / Cantidad de expedientes firmad</w:t>
            </w:r>
            <w:r w:rsidR="00C52FEE">
              <w:rPr>
                <w:rFonts w:ascii="Book Antiqua" w:eastAsia="Times New Roman" w:hAnsi="Book Antiqua" w:cs="Arial"/>
                <w:i/>
                <w:iCs/>
                <w:lang w:eastAsia="es-CR"/>
              </w:rPr>
              <w:t>o</w:t>
            </w:r>
            <w:r w:rsidRPr="00D07F61">
              <w:rPr>
                <w:rFonts w:ascii="Book Antiqua" w:eastAsia="Times New Roman" w:hAnsi="Book Antiqua" w:cs="Arial"/>
                <w:i/>
                <w:iCs/>
                <w:lang w:eastAsia="es-CR"/>
              </w:rPr>
              <w:t>s * 100</w:t>
            </w:r>
          </w:p>
          <w:p w14:paraId="4CA105D1" w14:textId="77777777" w:rsidR="00DA42E9" w:rsidRPr="00D07F61" w:rsidRDefault="00DA42E9" w:rsidP="00DA42E9">
            <w:pPr>
              <w:spacing w:after="0" w:line="276" w:lineRule="auto"/>
              <w:jc w:val="both"/>
              <w:rPr>
                <w:rFonts w:ascii="Book Antiqua" w:eastAsia="Times New Roman" w:hAnsi="Book Antiqua" w:cs="Arial"/>
                <w:lang w:eastAsia="es-CR"/>
              </w:rPr>
            </w:pPr>
          </w:p>
          <w:p w14:paraId="5868F14D" w14:textId="49DA79D6"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firmad</w:t>
            </w:r>
            <w:r w:rsidR="00C52FEE">
              <w:rPr>
                <w:rFonts w:ascii="Book Antiqua" w:eastAsia="Times New Roman" w:hAnsi="Book Antiqua" w:cs="Arial"/>
                <w:lang w:eastAsia="es-CR"/>
              </w:rPr>
              <w:t>os</w:t>
            </w:r>
            <w:r w:rsidRPr="00D07F61">
              <w:rPr>
                <w:rFonts w:ascii="Book Antiqua" w:eastAsia="Times New Roman" w:hAnsi="Book Antiqua" w:cs="Arial"/>
                <w:lang w:eastAsia="es-CR"/>
              </w:rPr>
              <w:t xml:space="preserve"> por las personas juzgadoras del despacho, se obtiene de la consulta en el Escritorio Virtual, a las Estadísticas </w:t>
            </w:r>
            <w:r w:rsidR="00E85731">
              <w:rPr>
                <w:rFonts w:ascii="Book Antiqua" w:eastAsia="Times New Roman" w:hAnsi="Book Antiqua" w:cs="Arial"/>
                <w:lang w:eastAsia="es-CR"/>
              </w:rPr>
              <w:t>–</w:t>
            </w:r>
            <w:r w:rsidRPr="00D07F61">
              <w:rPr>
                <w:rFonts w:ascii="Book Antiqua" w:eastAsia="Times New Roman" w:hAnsi="Book Antiqua" w:cs="Arial"/>
                <w:lang w:eastAsia="es-CR"/>
              </w:rPr>
              <w:t xml:space="preserve"> Firmado / Proveído. Consulta por detalle del documento y expedientes por cada una de las personas juzgadoras.</w:t>
            </w:r>
          </w:p>
        </w:tc>
      </w:tr>
      <w:tr w:rsidR="00DA42E9" w:rsidRPr="00D07F61" w14:paraId="183C2E84" w14:textId="77777777" w:rsidTr="00346AC9">
        <w:trPr>
          <w:cantSplit/>
          <w:trHeight w:val="20"/>
          <w:jc w:val="center"/>
        </w:trPr>
        <w:tc>
          <w:tcPr>
            <w:tcW w:w="843" w:type="pct"/>
            <w:vMerge/>
            <w:shd w:val="clear" w:color="auto" w:fill="FBD4B4"/>
          </w:tcPr>
          <w:p w14:paraId="45066D7E"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22A35C68" w14:textId="1DE79BBF"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C52FEE">
              <w:rPr>
                <w:rFonts w:ascii="Book Antiqua" w:eastAsia="Times New Roman" w:hAnsi="Book Antiqua" w:cs="Arial"/>
                <w:b/>
                <w:bCs/>
                <w:color w:val="44546A"/>
                <w:lang w:eastAsia="es-CR"/>
              </w:rPr>
              <w:t>4</w:t>
            </w:r>
          </w:p>
        </w:tc>
        <w:tc>
          <w:tcPr>
            <w:tcW w:w="917" w:type="pct"/>
            <w:shd w:val="clear" w:color="auto" w:fill="auto"/>
            <w:vAlign w:val="center"/>
          </w:tcPr>
          <w:p w14:paraId="701CCF41"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pendientes de firma por persona juzgadora</w:t>
            </w:r>
          </w:p>
        </w:tc>
        <w:tc>
          <w:tcPr>
            <w:tcW w:w="3001" w:type="pct"/>
            <w:shd w:val="clear" w:color="auto" w:fill="auto"/>
            <w:vAlign w:val="center"/>
          </w:tcPr>
          <w:p w14:paraId="1C47E9C6"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pendientes de firma por persona juzgadora.</w:t>
            </w:r>
          </w:p>
          <w:p w14:paraId="0DE01FD5" w14:textId="77777777" w:rsidR="00DA42E9" w:rsidRPr="00D07F61" w:rsidRDefault="00DA42E9" w:rsidP="00DA42E9">
            <w:pPr>
              <w:spacing w:after="0" w:line="276" w:lineRule="auto"/>
              <w:jc w:val="both"/>
              <w:rPr>
                <w:rFonts w:ascii="Book Antiqua" w:eastAsia="Times New Roman" w:hAnsi="Book Antiqua" w:cs="Arial"/>
                <w:lang w:eastAsia="es-CR"/>
              </w:rPr>
            </w:pPr>
          </w:p>
          <w:p w14:paraId="6A31EC1E" w14:textId="5D5173D5"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r w:rsidR="00111AE3">
              <w:t xml:space="preserve"> </w:t>
            </w:r>
            <w:r w:rsidR="0038591D">
              <w:br/>
            </w:r>
            <w:r w:rsidR="0084425A" w:rsidRPr="0084425A">
              <w:rPr>
                <w:rFonts w:ascii="Book Antiqua" w:eastAsia="Times New Roman" w:hAnsi="Book Antiqua" w:cs="Arial"/>
                <w:lang w:eastAsia="es-CR"/>
              </w:rPr>
              <w:t xml:space="preserve">Se define el parámetro </w:t>
            </w:r>
            <w:r w:rsidR="00111AE3" w:rsidRPr="00111AE3">
              <w:rPr>
                <w:rFonts w:ascii="Book Antiqua" w:eastAsia="Times New Roman" w:hAnsi="Book Antiqua" w:cs="Arial"/>
                <w:lang w:eastAsia="es-CR"/>
              </w:rPr>
              <w:t>con la totalidad de expedientes que se espera pasen las personas técnicas judiciales a firmar por el plazo de espera de resolución entre la cantidad de personas juzgadoras del Despacho</w:t>
            </w:r>
          </w:p>
        </w:tc>
      </w:tr>
      <w:tr w:rsidR="00DA42E9" w:rsidRPr="00D07F61" w14:paraId="61D49175" w14:textId="77777777" w:rsidTr="00346AC9">
        <w:trPr>
          <w:cantSplit/>
          <w:trHeight w:val="20"/>
          <w:jc w:val="center"/>
        </w:trPr>
        <w:tc>
          <w:tcPr>
            <w:tcW w:w="843" w:type="pct"/>
            <w:vMerge/>
            <w:shd w:val="clear" w:color="auto" w:fill="FBD4B4"/>
          </w:tcPr>
          <w:p w14:paraId="57D13BD8"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10F1A8A9" w14:textId="2C2A1C70"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84425A">
              <w:rPr>
                <w:rFonts w:ascii="Book Antiqua" w:eastAsia="Times New Roman" w:hAnsi="Book Antiqua" w:cs="Arial"/>
                <w:b/>
                <w:bCs/>
                <w:color w:val="44546A"/>
                <w:lang w:eastAsia="es-CR"/>
              </w:rPr>
              <w:t>5</w:t>
            </w:r>
          </w:p>
        </w:tc>
        <w:tc>
          <w:tcPr>
            <w:tcW w:w="917" w:type="pct"/>
            <w:shd w:val="clear" w:color="auto" w:fill="auto"/>
            <w:vAlign w:val="center"/>
            <w:hideMark/>
          </w:tcPr>
          <w:p w14:paraId="21E0110C" w14:textId="7AFB1DD2" w:rsidR="00DA42E9" w:rsidRPr="00D07F61" w:rsidRDefault="009451B0" w:rsidP="009B71C9">
            <w:pPr>
              <w:spacing w:after="0" w:line="276" w:lineRule="auto"/>
              <w:jc w:val="both"/>
              <w:rPr>
                <w:rFonts w:ascii="Book Antiqua" w:eastAsia="Times New Roman" w:hAnsi="Book Antiqua" w:cs="Arial"/>
                <w:b/>
                <w:bCs/>
                <w:color w:val="44546A"/>
                <w:lang w:eastAsia="es-CR"/>
              </w:rPr>
            </w:pPr>
            <w:r w:rsidRPr="009451B0">
              <w:rPr>
                <w:rFonts w:ascii="Book Antiqua" w:eastAsia="Times New Roman" w:hAnsi="Book Antiqua" w:cs="Arial"/>
                <w:b/>
                <w:bCs/>
                <w:color w:val="44546A"/>
                <w:lang w:eastAsia="es-CR"/>
              </w:rPr>
              <w:t>Cantidad de sentencias y autosentencias dictadas por persona juzgadora</w:t>
            </w:r>
          </w:p>
        </w:tc>
        <w:tc>
          <w:tcPr>
            <w:tcW w:w="3001" w:type="pct"/>
            <w:shd w:val="clear" w:color="auto" w:fill="auto"/>
            <w:vAlign w:val="center"/>
            <w:hideMark/>
          </w:tcPr>
          <w:p w14:paraId="2BFAAEEF" w14:textId="60D8457E"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Por acuerdo del Equipo Gestor, es la cantidad global de sentencias dictadas por cada persona juzgadora, según la división del tipo: </w:t>
            </w:r>
            <w:r w:rsidRPr="00D07F61">
              <w:rPr>
                <w:rFonts w:ascii="Book Antiqua" w:eastAsia="Times New Roman" w:hAnsi="Book Antiqua" w:cs="Arial"/>
                <w:i/>
                <w:iCs/>
                <w:lang w:eastAsia="es-CR"/>
              </w:rPr>
              <w:t>Sentencias Principal, Sentencia Dictada, Sentencia Homologatoria, Sentencias II Instancia, Sentencia Incidentes, Sentencia Mutuos y Resoluciones Otros motivos de términos</w:t>
            </w:r>
            <w:r w:rsidR="007B0709">
              <w:rPr>
                <w:rFonts w:ascii="Book Antiqua" w:eastAsia="Times New Roman" w:hAnsi="Book Antiqua" w:cs="Arial"/>
                <w:i/>
                <w:iCs/>
                <w:lang w:eastAsia="es-CR"/>
              </w:rPr>
              <w:t xml:space="preserve"> (</w:t>
            </w:r>
            <w:r w:rsidR="005644B0">
              <w:rPr>
                <w:rFonts w:ascii="Book Antiqua" w:eastAsia="Times New Roman" w:hAnsi="Book Antiqua" w:cs="Arial"/>
                <w:i/>
                <w:iCs/>
                <w:lang w:eastAsia="es-CR"/>
              </w:rPr>
              <w:t xml:space="preserve">se </w:t>
            </w:r>
            <w:r w:rsidR="004D0FE3">
              <w:rPr>
                <w:rFonts w:ascii="Book Antiqua" w:eastAsia="Times New Roman" w:hAnsi="Book Antiqua" w:cs="Arial"/>
                <w:i/>
                <w:iCs/>
                <w:lang w:eastAsia="es-CR"/>
              </w:rPr>
              <w:t xml:space="preserve">modifica la división </w:t>
            </w:r>
            <w:r w:rsidR="005F41C1">
              <w:rPr>
                <w:rFonts w:ascii="Book Antiqua" w:eastAsia="Times New Roman" w:hAnsi="Book Antiqua" w:cs="Arial"/>
                <w:i/>
                <w:iCs/>
                <w:lang w:eastAsia="es-CR"/>
              </w:rPr>
              <w:t xml:space="preserve">en “Otros motivos de término por </w:t>
            </w:r>
            <w:r w:rsidR="002715A2">
              <w:rPr>
                <w:rFonts w:ascii="Book Antiqua" w:eastAsia="Times New Roman" w:hAnsi="Book Antiqua" w:cs="Arial"/>
                <w:i/>
                <w:iCs/>
                <w:lang w:eastAsia="es-CR"/>
              </w:rPr>
              <w:t>Autosentencias)</w:t>
            </w:r>
            <w:r w:rsidRPr="00D07F61">
              <w:rPr>
                <w:rFonts w:ascii="Book Antiqua" w:eastAsia="Times New Roman" w:hAnsi="Book Antiqua" w:cs="Arial"/>
                <w:i/>
                <w:iCs/>
                <w:lang w:eastAsia="es-CR"/>
              </w:rPr>
              <w:t>.</w:t>
            </w:r>
          </w:p>
          <w:p w14:paraId="4B15DBCB"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libro en el que se consigne las fechas de pase a fallo del expediente (Módulo de pase a fallo del Escritorio Virtual o Libro de Pase a Fallo).</w:t>
            </w:r>
          </w:p>
          <w:p w14:paraId="209DD3D7"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luego de la aprobación de la cuota de trabajo para el terminado por cada tipo.</w:t>
            </w:r>
          </w:p>
        </w:tc>
      </w:tr>
      <w:tr w:rsidR="00DA42E9" w:rsidRPr="00D07F61" w14:paraId="3B310CC8" w14:textId="77777777" w:rsidTr="00346AC9">
        <w:trPr>
          <w:cantSplit/>
          <w:trHeight w:val="20"/>
          <w:jc w:val="center"/>
        </w:trPr>
        <w:tc>
          <w:tcPr>
            <w:tcW w:w="843" w:type="pct"/>
            <w:vMerge/>
            <w:shd w:val="clear" w:color="auto" w:fill="FBD4B4"/>
          </w:tcPr>
          <w:p w14:paraId="32DD11BE"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65FE7080" w14:textId="54959FE8"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F7292A">
              <w:rPr>
                <w:rFonts w:ascii="Book Antiqua" w:eastAsia="Times New Roman" w:hAnsi="Book Antiqua" w:cs="Arial"/>
                <w:b/>
                <w:bCs/>
                <w:color w:val="44546A"/>
                <w:lang w:eastAsia="es-CR"/>
              </w:rPr>
              <w:t>6</w:t>
            </w:r>
          </w:p>
        </w:tc>
        <w:tc>
          <w:tcPr>
            <w:tcW w:w="917" w:type="pct"/>
            <w:shd w:val="clear" w:color="auto" w:fill="FFFFFF"/>
            <w:vAlign w:val="center"/>
            <w:hideMark/>
          </w:tcPr>
          <w:p w14:paraId="6D2ECD77"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sentencias dictadas por apoyo de jueces del CACMFJ</w:t>
            </w:r>
          </w:p>
        </w:tc>
        <w:tc>
          <w:tcPr>
            <w:tcW w:w="3001" w:type="pct"/>
            <w:shd w:val="clear" w:color="auto" w:fill="auto"/>
            <w:vAlign w:val="center"/>
            <w:hideMark/>
          </w:tcPr>
          <w:p w14:paraId="378D4EC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Cantidad de sentencias registradas por el Centro de Apoyo, Coordinación y Mejoramiento de la Función Jurisdiccional.</w:t>
            </w:r>
          </w:p>
          <w:p w14:paraId="43152959"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libro en el que se consigne las fechas de pase a fallo del expediente (Módulo de pase a fallo del Escritorio Virtual o Libro de Pase a Fallo).</w:t>
            </w:r>
          </w:p>
          <w:p w14:paraId="13D2303C" w14:textId="77777777" w:rsidR="00DA42E9"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No se define parámetro para este indicador.</w:t>
            </w:r>
            <w:r w:rsidR="0041173F">
              <w:rPr>
                <w:rFonts w:ascii="Book Antiqua" w:eastAsia="Times New Roman" w:hAnsi="Book Antiqua" w:cs="Arial"/>
                <w:lang w:eastAsia="es-CR"/>
              </w:rPr>
              <w:t xml:space="preserve"> </w:t>
            </w:r>
          </w:p>
          <w:p w14:paraId="1DE0267B" w14:textId="74F83ED3" w:rsidR="003957EF" w:rsidRPr="00D07F61" w:rsidRDefault="003957EF"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inhabilita este indicador </w:t>
            </w:r>
            <w:r w:rsidR="005755EA" w:rsidRPr="005755EA">
              <w:rPr>
                <w:rFonts w:ascii="Book Antiqua" w:eastAsia="Times New Roman" w:hAnsi="Book Antiqua" w:cs="Arial"/>
                <w:lang w:eastAsia="es-CR"/>
              </w:rPr>
              <w:t>debido a que se incorporó un apartado nuevo para recopilar la información de este personal</w:t>
            </w:r>
            <w:r w:rsidR="00411EA2">
              <w:rPr>
                <w:rFonts w:ascii="Book Antiqua" w:eastAsia="Times New Roman" w:hAnsi="Book Antiqua" w:cs="Arial"/>
                <w:lang w:eastAsia="es-CR"/>
              </w:rPr>
              <w:t>.</w:t>
            </w:r>
          </w:p>
        </w:tc>
      </w:tr>
      <w:tr w:rsidR="00DA42E9" w:rsidRPr="00D07F61" w14:paraId="7C92F08A" w14:textId="77777777" w:rsidTr="003269A2">
        <w:trPr>
          <w:cantSplit/>
          <w:trHeight w:val="20"/>
          <w:jc w:val="center"/>
        </w:trPr>
        <w:tc>
          <w:tcPr>
            <w:tcW w:w="843" w:type="pct"/>
            <w:vMerge/>
            <w:tcBorders>
              <w:bottom w:val="nil"/>
            </w:tcBorders>
            <w:shd w:val="clear" w:color="auto" w:fill="FBD4B4"/>
          </w:tcPr>
          <w:p w14:paraId="63C43529"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938644C" w14:textId="5FECFAF2"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DF59FC">
              <w:rPr>
                <w:rFonts w:ascii="Book Antiqua" w:eastAsia="Times New Roman" w:hAnsi="Book Antiqua" w:cs="Arial"/>
                <w:b/>
                <w:bCs/>
                <w:color w:val="44546A"/>
                <w:lang w:eastAsia="es-CR"/>
              </w:rPr>
              <w:t>7</w:t>
            </w:r>
          </w:p>
        </w:tc>
        <w:tc>
          <w:tcPr>
            <w:tcW w:w="917" w:type="pct"/>
            <w:shd w:val="clear" w:color="auto" w:fill="auto"/>
            <w:vAlign w:val="center"/>
            <w:hideMark/>
          </w:tcPr>
          <w:p w14:paraId="036CA1DD" w14:textId="162DA72B"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rendimiento por persona juzgadora</w:t>
            </w:r>
            <w:r w:rsidR="0041599A">
              <w:rPr>
                <w:rFonts w:ascii="Book Antiqua" w:eastAsia="Times New Roman" w:hAnsi="Book Antiqua" w:cs="Arial"/>
                <w:b/>
                <w:bCs/>
                <w:color w:val="44546A"/>
                <w:lang w:eastAsia="es-CR"/>
              </w:rPr>
              <w:t xml:space="preserve"> </w:t>
            </w:r>
            <w:r w:rsidR="0041599A" w:rsidRPr="0041599A">
              <w:rPr>
                <w:rFonts w:ascii="Book Antiqua" w:eastAsia="Times New Roman" w:hAnsi="Book Antiqua" w:cs="Arial"/>
                <w:b/>
                <w:bCs/>
                <w:color w:val="44546A"/>
                <w:lang w:eastAsia="es-CR"/>
              </w:rPr>
              <w:t>en el cumplimiento de la cuota</w:t>
            </w:r>
          </w:p>
        </w:tc>
        <w:tc>
          <w:tcPr>
            <w:tcW w:w="3001" w:type="pct"/>
            <w:shd w:val="clear" w:color="auto" w:fill="auto"/>
            <w:vAlign w:val="center"/>
            <w:hideMark/>
          </w:tcPr>
          <w:p w14:paraId="798A3E46" w14:textId="426015C4"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calcula para cada persona juzgadora: </w:t>
            </w:r>
            <w:r w:rsidRPr="00D07F61">
              <w:rPr>
                <w:rFonts w:ascii="Book Antiqua" w:eastAsia="Times New Roman" w:hAnsi="Book Antiqua" w:cs="Arial"/>
                <w:i/>
                <w:iCs/>
                <w:lang w:eastAsia="es-CR"/>
              </w:rPr>
              <w:t xml:space="preserve">(Cantidad de Sentencias y </w:t>
            </w:r>
            <w:r w:rsidR="0041599A">
              <w:rPr>
                <w:rFonts w:ascii="Book Antiqua" w:eastAsia="Times New Roman" w:hAnsi="Book Antiqua" w:cs="Arial"/>
                <w:i/>
                <w:iCs/>
                <w:lang w:eastAsia="es-CR"/>
              </w:rPr>
              <w:t>Autosentencias</w:t>
            </w:r>
            <w:r w:rsidRPr="00D07F61">
              <w:rPr>
                <w:rFonts w:ascii="Book Antiqua" w:eastAsia="Times New Roman" w:hAnsi="Book Antiqua" w:cs="Arial"/>
                <w:i/>
                <w:iCs/>
                <w:lang w:eastAsia="es-CR"/>
              </w:rPr>
              <w:t xml:space="preserve"> / Cantidad de Sentencias y Resoluciones a realizar según cuota de trabajo)</w:t>
            </w:r>
            <w:r w:rsidRPr="00D07F61">
              <w:rPr>
                <w:rFonts w:ascii="Book Antiqua" w:eastAsia="Times New Roman" w:hAnsi="Book Antiqua" w:cs="Arial"/>
                <w:lang w:eastAsia="es-CR"/>
              </w:rPr>
              <w:t>.</w:t>
            </w:r>
          </w:p>
          <w:p w14:paraId="4783FCF7"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toma en cuenta los días laborados por cada una de las personas juzgadora en el mes, según la cuota de trabajo diaria de sentencias definida.</w:t>
            </w:r>
          </w:p>
          <w:p w14:paraId="2D8C5B2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95% a 100%</w:t>
            </w:r>
          </w:p>
        </w:tc>
      </w:tr>
      <w:tr w:rsidR="00411EA2" w:rsidRPr="00D07F61" w14:paraId="48CB840E" w14:textId="77777777" w:rsidTr="003269A2">
        <w:trPr>
          <w:cantSplit/>
          <w:trHeight w:val="1134"/>
          <w:jc w:val="center"/>
        </w:trPr>
        <w:tc>
          <w:tcPr>
            <w:tcW w:w="843" w:type="pct"/>
            <w:tcBorders>
              <w:top w:val="nil"/>
              <w:left w:val="single" w:sz="4" w:space="0" w:color="auto"/>
              <w:bottom w:val="nil"/>
              <w:right w:val="single" w:sz="4" w:space="0" w:color="auto"/>
            </w:tcBorders>
            <w:shd w:val="clear" w:color="auto" w:fill="FBD4B4"/>
            <w:textDirection w:val="btLr"/>
          </w:tcPr>
          <w:p w14:paraId="212A9F63" w14:textId="731DE486" w:rsidR="00411EA2" w:rsidRPr="00D07F61" w:rsidRDefault="00AD745E" w:rsidP="004978B6">
            <w:pPr>
              <w:spacing w:after="0" w:line="276" w:lineRule="auto"/>
              <w:ind w:left="113" w:right="113"/>
              <w:jc w:val="center"/>
              <w:rPr>
                <w:rFonts w:ascii="Book Antiqua" w:eastAsia="Times New Roman" w:hAnsi="Book Antiqua" w:cs="Arial"/>
                <w:b/>
                <w:bCs/>
                <w:color w:val="44546A"/>
                <w:lang w:eastAsia="es-CR"/>
              </w:rPr>
            </w:pPr>
            <w:r w:rsidRPr="001121E4">
              <w:rPr>
                <w:lang w:val="es-MX"/>
              </w:rPr>
              <w:t>Personal de Apoyo (Adm./CACMFJ</w:t>
            </w:r>
          </w:p>
        </w:tc>
        <w:tc>
          <w:tcPr>
            <w:tcW w:w="239" w:type="pct"/>
            <w:tcBorders>
              <w:left w:val="single" w:sz="4" w:space="0" w:color="auto"/>
            </w:tcBorders>
            <w:shd w:val="clear" w:color="auto" w:fill="auto"/>
            <w:vAlign w:val="center"/>
          </w:tcPr>
          <w:p w14:paraId="7B316504" w14:textId="0D94CF15" w:rsidR="00411EA2" w:rsidRPr="00D07F61" w:rsidRDefault="00411EA2"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38</w:t>
            </w:r>
          </w:p>
        </w:tc>
        <w:tc>
          <w:tcPr>
            <w:tcW w:w="917" w:type="pct"/>
            <w:shd w:val="clear" w:color="auto" w:fill="auto"/>
            <w:vAlign w:val="center"/>
          </w:tcPr>
          <w:p w14:paraId="30FD324E" w14:textId="68744AA7" w:rsidR="00411EA2" w:rsidRPr="00D07F61" w:rsidRDefault="00671CF5" w:rsidP="009B71C9">
            <w:pPr>
              <w:spacing w:after="0" w:line="276" w:lineRule="auto"/>
              <w:jc w:val="both"/>
              <w:rPr>
                <w:rFonts w:ascii="Book Antiqua" w:eastAsia="Times New Roman" w:hAnsi="Book Antiqua" w:cs="Arial"/>
                <w:b/>
                <w:bCs/>
                <w:color w:val="44546A"/>
                <w:lang w:eastAsia="es-CR"/>
              </w:rPr>
            </w:pPr>
            <w:r w:rsidRPr="00671CF5">
              <w:rPr>
                <w:rFonts w:ascii="Book Antiqua" w:eastAsia="Times New Roman" w:hAnsi="Book Antiqua" w:cs="Arial"/>
                <w:b/>
                <w:bCs/>
                <w:color w:val="44546A"/>
                <w:lang w:eastAsia="es-CR"/>
              </w:rPr>
              <w:t>Cantidad de resoluciones pasad</w:t>
            </w:r>
            <w:r w:rsidR="00393A9A">
              <w:rPr>
                <w:rFonts w:ascii="Book Antiqua" w:eastAsia="Times New Roman" w:hAnsi="Book Antiqua" w:cs="Arial"/>
                <w:b/>
                <w:bCs/>
                <w:color w:val="44546A"/>
                <w:lang w:eastAsia="es-CR"/>
              </w:rPr>
              <w:t>a</w:t>
            </w:r>
            <w:r w:rsidRPr="00671CF5">
              <w:rPr>
                <w:rFonts w:ascii="Book Antiqua" w:eastAsia="Times New Roman" w:hAnsi="Book Antiqua" w:cs="Arial"/>
                <w:b/>
                <w:bCs/>
                <w:color w:val="44546A"/>
                <w:lang w:eastAsia="es-CR"/>
              </w:rPr>
              <w:t>s a firmar por Técnico o Técnica de Apoyo</w:t>
            </w:r>
          </w:p>
        </w:tc>
        <w:tc>
          <w:tcPr>
            <w:tcW w:w="3001" w:type="pct"/>
            <w:shd w:val="clear" w:color="auto" w:fill="auto"/>
            <w:vAlign w:val="center"/>
          </w:tcPr>
          <w:p w14:paraId="7C7FAAE1" w14:textId="05EB874D" w:rsidR="00411EA2" w:rsidRPr="00D07F61" w:rsidRDefault="00CB7BDB"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Corresponde a la</w:t>
            </w:r>
            <w:r w:rsidRPr="0033314F">
              <w:rPr>
                <w:rFonts w:ascii="Book Antiqua" w:eastAsia="Times New Roman" w:hAnsi="Book Antiqua" w:cs="Arial"/>
                <w:lang w:eastAsia="es-CR"/>
              </w:rPr>
              <w:t xml:space="preserve"> cantidad </w:t>
            </w:r>
            <w:r w:rsidR="00760C18">
              <w:rPr>
                <w:rFonts w:ascii="Book Antiqua" w:eastAsia="Times New Roman" w:hAnsi="Book Antiqua" w:cs="Arial"/>
                <w:lang w:eastAsia="es-CR"/>
              </w:rPr>
              <w:t xml:space="preserve">de </w:t>
            </w:r>
            <w:r>
              <w:rPr>
                <w:rFonts w:ascii="Book Antiqua" w:eastAsia="Times New Roman" w:hAnsi="Book Antiqua" w:cs="Arial"/>
                <w:lang w:eastAsia="es-CR"/>
              </w:rPr>
              <w:t xml:space="preserve">resoluciones </w:t>
            </w:r>
            <w:r w:rsidR="00760C18" w:rsidRPr="0033314F">
              <w:rPr>
                <w:rFonts w:ascii="Book Antiqua" w:eastAsia="Times New Roman" w:hAnsi="Book Antiqua" w:cs="Arial"/>
                <w:lang w:eastAsia="es-CR"/>
              </w:rPr>
              <w:t>realizada</w:t>
            </w:r>
            <w:r w:rsidR="00760C18">
              <w:rPr>
                <w:rFonts w:ascii="Book Antiqua" w:eastAsia="Times New Roman" w:hAnsi="Book Antiqua" w:cs="Arial"/>
                <w:lang w:eastAsia="es-CR"/>
              </w:rPr>
              <w:t>s</w:t>
            </w:r>
            <w:r w:rsidR="00760C18" w:rsidRPr="0033314F">
              <w:rPr>
                <w:rFonts w:ascii="Book Antiqua" w:eastAsia="Times New Roman" w:hAnsi="Book Antiqua" w:cs="Arial"/>
                <w:lang w:eastAsia="es-CR"/>
              </w:rPr>
              <w:t xml:space="preserve"> </w:t>
            </w:r>
            <w:r w:rsidR="0033314F" w:rsidRPr="0033314F">
              <w:rPr>
                <w:rFonts w:ascii="Book Antiqua" w:eastAsia="Times New Roman" w:hAnsi="Book Antiqua" w:cs="Arial"/>
                <w:lang w:eastAsia="es-CR"/>
              </w:rPr>
              <w:t>en el mes</w:t>
            </w:r>
            <w:r w:rsidR="00AB392A">
              <w:rPr>
                <w:rFonts w:ascii="Book Antiqua" w:eastAsia="Times New Roman" w:hAnsi="Book Antiqua" w:cs="Arial"/>
                <w:lang w:eastAsia="es-CR"/>
              </w:rPr>
              <w:t xml:space="preserve"> </w:t>
            </w:r>
            <w:r w:rsidR="00E14861" w:rsidRPr="0033314F">
              <w:rPr>
                <w:rFonts w:ascii="Book Antiqua" w:eastAsia="Times New Roman" w:hAnsi="Book Antiqua" w:cs="Arial"/>
                <w:lang w:eastAsia="es-CR"/>
              </w:rPr>
              <w:t>de este personal</w:t>
            </w:r>
            <w:r w:rsidR="00E14861">
              <w:rPr>
                <w:rFonts w:ascii="Book Antiqua" w:eastAsia="Times New Roman" w:hAnsi="Book Antiqua" w:cs="Arial"/>
                <w:lang w:eastAsia="es-CR"/>
              </w:rPr>
              <w:t xml:space="preserve">, </w:t>
            </w:r>
            <w:r w:rsidR="0033314F" w:rsidRPr="0033314F">
              <w:rPr>
                <w:rFonts w:ascii="Book Antiqua" w:eastAsia="Times New Roman" w:hAnsi="Book Antiqua" w:cs="Arial"/>
                <w:lang w:eastAsia="es-CR"/>
              </w:rPr>
              <w:t>con base en la meta (cuota) establecida por el CACMFJ o la Administración Regional</w:t>
            </w:r>
            <w:r w:rsidR="00E14861">
              <w:rPr>
                <w:rFonts w:ascii="Book Antiqua" w:eastAsia="Times New Roman" w:hAnsi="Book Antiqua" w:cs="Arial"/>
                <w:lang w:eastAsia="es-CR"/>
              </w:rPr>
              <w:t>.</w:t>
            </w:r>
          </w:p>
        </w:tc>
      </w:tr>
      <w:tr w:rsidR="00AD745E" w:rsidRPr="00D07F61" w14:paraId="23E0FF18" w14:textId="77777777" w:rsidTr="003269A2">
        <w:trPr>
          <w:cantSplit/>
          <w:trHeight w:val="1134"/>
          <w:jc w:val="center"/>
        </w:trPr>
        <w:tc>
          <w:tcPr>
            <w:tcW w:w="843" w:type="pct"/>
            <w:tcBorders>
              <w:top w:val="nil"/>
              <w:left w:val="single" w:sz="4" w:space="0" w:color="auto"/>
              <w:bottom w:val="nil"/>
              <w:right w:val="single" w:sz="4" w:space="0" w:color="auto"/>
            </w:tcBorders>
            <w:shd w:val="clear" w:color="auto" w:fill="FBD4B4"/>
            <w:textDirection w:val="btLr"/>
          </w:tcPr>
          <w:p w14:paraId="3418EDB2" w14:textId="77777777" w:rsidR="00AD745E" w:rsidRPr="001121E4" w:rsidRDefault="00AD745E" w:rsidP="004978B6">
            <w:pPr>
              <w:spacing w:after="0" w:line="276" w:lineRule="auto"/>
              <w:ind w:left="113" w:right="113"/>
              <w:jc w:val="center"/>
              <w:rPr>
                <w:lang w:val="es-MX"/>
              </w:rPr>
            </w:pPr>
          </w:p>
        </w:tc>
        <w:tc>
          <w:tcPr>
            <w:tcW w:w="239" w:type="pct"/>
            <w:tcBorders>
              <w:left w:val="single" w:sz="4" w:space="0" w:color="auto"/>
            </w:tcBorders>
            <w:shd w:val="clear" w:color="auto" w:fill="auto"/>
            <w:vAlign w:val="center"/>
          </w:tcPr>
          <w:p w14:paraId="3B638714" w14:textId="687491D2"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39</w:t>
            </w:r>
          </w:p>
        </w:tc>
        <w:tc>
          <w:tcPr>
            <w:tcW w:w="917" w:type="pct"/>
            <w:shd w:val="clear" w:color="auto" w:fill="auto"/>
            <w:vAlign w:val="center"/>
          </w:tcPr>
          <w:p w14:paraId="7441D3B1" w14:textId="71727674" w:rsidR="00AD745E" w:rsidRPr="00D07F61" w:rsidRDefault="00B56EA2" w:rsidP="009B71C9">
            <w:pPr>
              <w:spacing w:after="0" w:line="276" w:lineRule="auto"/>
              <w:jc w:val="both"/>
              <w:rPr>
                <w:rFonts w:ascii="Book Antiqua" w:eastAsia="Times New Roman" w:hAnsi="Book Antiqua" w:cs="Arial"/>
                <w:b/>
                <w:bCs/>
                <w:color w:val="44546A"/>
                <w:lang w:eastAsia="es-CR"/>
              </w:rPr>
            </w:pPr>
            <w:r w:rsidRPr="00B56EA2">
              <w:rPr>
                <w:rFonts w:ascii="Book Antiqua" w:eastAsia="Times New Roman" w:hAnsi="Book Antiqua" w:cs="Arial"/>
                <w:b/>
                <w:bCs/>
                <w:color w:val="44546A"/>
                <w:lang w:eastAsia="es-CR"/>
              </w:rPr>
              <w:t>Porcentaje de rendimiento por Técnico o Técnica de apoyo</w:t>
            </w:r>
          </w:p>
        </w:tc>
        <w:tc>
          <w:tcPr>
            <w:tcW w:w="3001" w:type="pct"/>
            <w:shd w:val="clear" w:color="auto" w:fill="auto"/>
            <w:vAlign w:val="center"/>
          </w:tcPr>
          <w:p w14:paraId="1C632DCE" w14:textId="19A38377" w:rsidR="00AD745E" w:rsidRPr="00D07F61" w:rsidRDefault="00AC2091"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Es </w:t>
            </w:r>
            <w:r w:rsidRPr="00AC2091">
              <w:rPr>
                <w:rFonts w:ascii="Book Antiqua" w:eastAsia="Times New Roman" w:hAnsi="Book Antiqua" w:cs="Arial"/>
                <w:lang w:eastAsia="es-CR"/>
              </w:rPr>
              <w:t>el porcentaje de cumplimiento con base en la meta (cuota) establecida por el CACMFJ o la Administración Regional</w:t>
            </w:r>
            <w:r w:rsidR="00423D3D">
              <w:rPr>
                <w:rFonts w:ascii="Book Antiqua" w:eastAsia="Times New Roman" w:hAnsi="Book Antiqua" w:cs="Arial"/>
                <w:lang w:eastAsia="es-CR"/>
              </w:rPr>
              <w:t>.</w:t>
            </w:r>
          </w:p>
        </w:tc>
      </w:tr>
      <w:tr w:rsidR="00AD745E" w:rsidRPr="00D07F61" w14:paraId="13DCA1AD" w14:textId="77777777" w:rsidTr="003269A2">
        <w:trPr>
          <w:cantSplit/>
          <w:trHeight w:val="1134"/>
          <w:jc w:val="center"/>
        </w:trPr>
        <w:tc>
          <w:tcPr>
            <w:tcW w:w="843" w:type="pct"/>
            <w:tcBorders>
              <w:top w:val="nil"/>
            </w:tcBorders>
            <w:shd w:val="clear" w:color="auto" w:fill="FBD4B4"/>
            <w:textDirection w:val="btLr"/>
          </w:tcPr>
          <w:p w14:paraId="142B7EAC" w14:textId="77777777" w:rsidR="00AD745E" w:rsidRPr="001121E4" w:rsidRDefault="00AD745E" w:rsidP="004978B6">
            <w:pPr>
              <w:spacing w:after="0" w:line="276" w:lineRule="auto"/>
              <w:ind w:left="113" w:right="113"/>
              <w:jc w:val="center"/>
              <w:rPr>
                <w:lang w:val="es-MX"/>
              </w:rPr>
            </w:pPr>
          </w:p>
        </w:tc>
        <w:tc>
          <w:tcPr>
            <w:tcW w:w="239" w:type="pct"/>
            <w:shd w:val="clear" w:color="auto" w:fill="auto"/>
            <w:vAlign w:val="center"/>
          </w:tcPr>
          <w:p w14:paraId="63A73C5D" w14:textId="4E32483D"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40</w:t>
            </w:r>
          </w:p>
        </w:tc>
        <w:tc>
          <w:tcPr>
            <w:tcW w:w="917" w:type="pct"/>
            <w:shd w:val="clear" w:color="auto" w:fill="auto"/>
            <w:vAlign w:val="center"/>
          </w:tcPr>
          <w:p w14:paraId="21C39840" w14:textId="41EC037D" w:rsidR="00AD745E" w:rsidRPr="00D07F61" w:rsidRDefault="00B56EA2" w:rsidP="009B71C9">
            <w:pPr>
              <w:spacing w:after="0" w:line="276" w:lineRule="auto"/>
              <w:jc w:val="both"/>
              <w:rPr>
                <w:rFonts w:ascii="Book Antiqua" w:eastAsia="Times New Roman" w:hAnsi="Book Antiqua" w:cs="Arial"/>
                <w:b/>
                <w:bCs/>
                <w:color w:val="44546A"/>
                <w:lang w:eastAsia="es-CR"/>
              </w:rPr>
            </w:pPr>
            <w:r w:rsidRPr="00B56EA2">
              <w:rPr>
                <w:rFonts w:ascii="Book Antiqua" w:eastAsia="Times New Roman" w:hAnsi="Book Antiqua" w:cs="Arial"/>
                <w:b/>
                <w:bCs/>
                <w:color w:val="44546A"/>
                <w:lang w:eastAsia="es-CR"/>
              </w:rPr>
              <w:t>Cantidad de sentencias dictadas por persona juzgadora de apoyo</w:t>
            </w:r>
          </w:p>
        </w:tc>
        <w:tc>
          <w:tcPr>
            <w:tcW w:w="3001" w:type="pct"/>
            <w:shd w:val="clear" w:color="auto" w:fill="auto"/>
            <w:vAlign w:val="center"/>
          </w:tcPr>
          <w:p w14:paraId="67B48845" w14:textId="146F5D90" w:rsidR="00AD745E" w:rsidRPr="00D07F61" w:rsidRDefault="00546E44"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Corresponde a la</w:t>
            </w:r>
            <w:r w:rsidRPr="0033314F">
              <w:rPr>
                <w:rFonts w:ascii="Book Antiqua" w:eastAsia="Times New Roman" w:hAnsi="Book Antiqua" w:cs="Arial"/>
                <w:lang w:eastAsia="es-CR"/>
              </w:rPr>
              <w:t xml:space="preserve"> cantidad </w:t>
            </w:r>
            <w:r>
              <w:rPr>
                <w:rFonts w:ascii="Book Antiqua" w:eastAsia="Times New Roman" w:hAnsi="Book Antiqua" w:cs="Arial"/>
                <w:lang w:eastAsia="es-CR"/>
              </w:rPr>
              <w:t xml:space="preserve">de sentencias dictadas </w:t>
            </w:r>
            <w:r w:rsidRPr="0033314F">
              <w:rPr>
                <w:rFonts w:ascii="Book Antiqua" w:eastAsia="Times New Roman" w:hAnsi="Book Antiqua" w:cs="Arial"/>
                <w:lang w:eastAsia="es-CR"/>
              </w:rPr>
              <w:t>en el mes</w:t>
            </w:r>
            <w:r>
              <w:rPr>
                <w:rFonts w:ascii="Book Antiqua" w:eastAsia="Times New Roman" w:hAnsi="Book Antiqua" w:cs="Arial"/>
                <w:lang w:eastAsia="es-CR"/>
              </w:rPr>
              <w:t xml:space="preserve"> </w:t>
            </w:r>
            <w:r w:rsidRPr="0033314F">
              <w:rPr>
                <w:rFonts w:ascii="Book Antiqua" w:eastAsia="Times New Roman" w:hAnsi="Book Antiqua" w:cs="Arial"/>
                <w:lang w:eastAsia="es-CR"/>
              </w:rPr>
              <w:t>de este personal</w:t>
            </w:r>
            <w:r>
              <w:rPr>
                <w:rFonts w:ascii="Book Antiqua" w:eastAsia="Times New Roman" w:hAnsi="Book Antiqua" w:cs="Arial"/>
                <w:lang w:eastAsia="es-CR"/>
              </w:rPr>
              <w:t xml:space="preserve">, </w:t>
            </w:r>
            <w:r w:rsidRPr="0033314F">
              <w:rPr>
                <w:rFonts w:ascii="Book Antiqua" w:eastAsia="Times New Roman" w:hAnsi="Book Antiqua" w:cs="Arial"/>
                <w:lang w:eastAsia="es-CR"/>
              </w:rPr>
              <w:t>con base en la meta (cuota) establecida por el CACMFJ o la Administración Regional</w:t>
            </w:r>
            <w:r>
              <w:rPr>
                <w:rFonts w:ascii="Book Antiqua" w:eastAsia="Times New Roman" w:hAnsi="Book Antiqua" w:cs="Arial"/>
                <w:lang w:eastAsia="es-CR"/>
              </w:rPr>
              <w:t>.</w:t>
            </w:r>
          </w:p>
        </w:tc>
      </w:tr>
      <w:tr w:rsidR="00AD745E" w:rsidRPr="00D07F61" w14:paraId="5D67BBCC" w14:textId="77777777" w:rsidTr="00423D3D">
        <w:trPr>
          <w:cantSplit/>
          <w:trHeight w:val="1080"/>
          <w:jc w:val="center"/>
        </w:trPr>
        <w:tc>
          <w:tcPr>
            <w:tcW w:w="843" w:type="pct"/>
            <w:shd w:val="clear" w:color="auto" w:fill="FBD4B4"/>
            <w:textDirection w:val="btLr"/>
          </w:tcPr>
          <w:p w14:paraId="7865384F" w14:textId="77777777" w:rsidR="00AD745E" w:rsidRPr="001121E4" w:rsidRDefault="00AD745E" w:rsidP="004978B6">
            <w:pPr>
              <w:spacing w:after="0" w:line="276" w:lineRule="auto"/>
              <w:ind w:left="113" w:right="113"/>
              <w:jc w:val="center"/>
              <w:rPr>
                <w:lang w:val="es-MX"/>
              </w:rPr>
            </w:pPr>
          </w:p>
        </w:tc>
        <w:tc>
          <w:tcPr>
            <w:tcW w:w="239" w:type="pct"/>
            <w:shd w:val="clear" w:color="auto" w:fill="auto"/>
            <w:vAlign w:val="center"/>
          </w:tcPr>
          <w:p w14:paraId="5E2E1E91" w14:textId="601FC27E"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41</w:t>
            </w:r>
          </w:p>
        </w:tc>
        <w:tc>
          <w:tcPr>
            <w:tcW w:w="917" w:type="pct"/>
            <w:shd w:val="clear" w:color="auto" w:fill="auto"/>
            <w:vAlign w:val="center"/>
          </w:tcPr>
          <w:p w14:paraId="2A5781DC" w14:textId="5EFCB05D" w:rsidR="00AD745E" w:rsidRPr="00D07F61" w:rsidRDefault="00346AC9" w:rsidP="009B71C9">
            <w:pPr>
              <w:spacing w:after="0" w:line="276" w:lineRule="auto"/>
              <w:jc w:val="both"/>
              <w:rPr>
                <w:rFonts w:ascii="Book Antiqua" w:eastAsia="Times New Roman" w:hAnsi="Book Antiqua" w:cs="Arial"/>
                <w:b/>
                <w:bCs/>
                <w:color w:val="44546A"/>
                <w:lang w:eastAsia="es-CR"/>
              </w:rPr>
            </w:pPr>
            <w:r w:rsidRPr="00346AC9">
              <w:rPr>
                <w:rFonts w:ascii="Book Antiqua" w:eastAsia="Times New Roman" w:hAnsi="Book Antiqua" w:cs="Arial"/>
                <w:b/>
                <w:bCs/>
                <w:color w:val="44546A"/>
                <w:lang w:eastAsia="es-CR"/>
              </w:rPr>
              <w:t>Porcentaje de rendimiento por persona juzgadora de apoyo</w:t>
            </w:r>
          </w:p>
        </w:tc>
        <w:tc>
          <w:tcPr>
            <w:tcW w:w="3001" w:type="pct"/>
            <w:shd w:val="clear" w:color="auto" w:fill="auto"/>
            <w:vAlign w:val="center"/>
          </w:tcPr>
          <w:p w14:paraId="7A1D9EF3" w14:textId="0C40C99C" w:rsidR="00AD745E" w:rsidRPr="00D07F61" w:rsidRDefault="00423D3D"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Es </w:t>
            </w:r>
            <w:r w:rsidRPr="00AC2091">
              <w:rPr>
                <w:rFonts w:ascii="Book Antiqua" w:eastAsia="Times New Roman" w:hAnsi="Book Antiqua" w:cs="Arial"/>
                <w:lang w:eastAsia="es-CR"/>
              </w:rPr>
              <w:t>el porcentaje de cumplimiento con base en la meta (cuota) establecida por el CACMFJ o la Administración Regional</w:t>
            </w:r>
            <w:r>
              <w:rPr>
                <w:rFonts w:ascii="Book Antiqua" w:eastAsia="Times New Roman" w:hAnsi="Book Antiqua" w:cs="Arial"/>
                <w:lang w:eastAsia="es-CR"/>
              </w:rPr>
              <w:t>.</w:t>
            </w:r>
          </w:p>
        </w:tc>
      </w:tr>
    </w:tbl>
    <w:p w14:paraId="73B6FDB6" w14:textId="06084124" w:rsidR="001F19D3" w:rsidRDefault="0018511D" w:rsidP="009C01E1">
      <w:pPr>
        <w:spacing w:line="276" w:lineRule="auto"/>
        <w:jc w:val="both"/>
        <w:rPr>
          <w:rFonts w:ascii="Book Antiqua" w:hAnsi="Book Antiqua"/>
          <w:i/>
          <w:iCs/>
          <w:sz w:val="20"/>
          <w:szCs w:val="20"/>
        </w:rPr>
      </w:pPr>
      <w:r w:rsidRPr="00F134FF">
        <w:rPr>
          <w:rFonts w:ascii="Book Antiqua" w:hAnsi="Book Antiqua"/>
          <w:b/>
          <w:bCs/>
          <w:i/>
          <w:iCs/>
          <w:sz w:val="20"/>
          <w:szCs w:val="20"/>
        </w:rPr>
        <w:t>Fuente:</w:t>
      </w:r>
      <w:r w:rsidRPr="0018511D">
        <w:rPr>
          <w:rFonts w:ascii="Book Antiqua" w:hAnsi="Book Antiqua"/>
          <w:i/>
          <w:iCs/>
          <w:sz w:val="20"/>
          <w:szCs w:val="20"/>
        </w:rPr>
        <w:t xml:space="preserve"> Subproceso de Modernización Institucional</w:t>
      </w:r>
      <w:r w:rsidR="004E0B02">
        <w:rPr>
          <w:rFonts w:ascii="Book Antiqua" w:hAnsi="Book Antiqua"/>
          <w:i/>
          <w:iCs/>
          <w:sz w:val="20"/>
          <w:szCs w:val="20"/>
        </w:rPr>
        <w:t>.</w:t>
      </w:r>
    </w:p>
    <w:p w14:paraId="003A42F9" w14:textId="77777777" w:rsidR="00545C67" w:rsidRDefault="00545C67" w:rsidP="009C01E1">
      <w:pPr>
        <w:spacing w:line="276" w:lineRule="auto"/>
        <w:jc w:val="both"/>
        <w:rPr>
          <w:rFonts w:ascii="Book Antiqua" w:hAnsi="Book Antiqua"/>
          <w:i/>
          <w:iCs/>
          <w:sz w:val="20"/>
          <w:szCs w:val="20"/>
        </w:rPr>
      </w:pPr>
    </w:p>
    <w:p w14:paraId="4ECD99E9" w14:textId="77777777" w:rsidR="00703F36" w:rsidRPr="00625442" w:rsidRDefault="00703F36" w:rsidP="00625442">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625442">
        <w:rPr>
          <w:rFonts w:ascii="Book Antiqua" w:eastAsiaTheme="majorEastAsia" w:hAnsi="Book Antiqua" w:cstheme="majorBidi"/>
          <w:b/>
          <w:color w:val="1F3864" w:themeColor="accent1" w:themeShade="80"/>
          <w:sz w:val="24"/>
          <w:lang w:val="es-ES"/>
        </w:rPr>
        <w:t>Carga de trabajo en materia de Familia-cuota</w:t>
      </w:r>
    </w:p>
    <w:p w14:paraId="6814BFC9" w14:textId="77777777" w:rsidR="00625442" w:rsidRDefault="00625442" w:rsidP="00063BE5">
      <w:pPr>
        <w:spacing w:after="0" w:line="276" w:lineRule="auto"/>
        <w:jc w:val="both"/>
        <w:rPr>
          <w:rFonts w:ascii="Book Antiqua" w:eastAsia="Calibri" w:hAnsi="Book Antiqua" w:cs="Arial"/>
          <w:sz w:val="24"/>
          <w:szCs w:val="24"/>
        </w:rPr>
      </w:pPr>
    </w:p>
    <w:p w14:paraId="4D5B5DF5" w14:textId="4C0C4936" w:rsidR="00063BE5" w:rsidRPr="00063BE5" w:rsidRDefault="00063BE5" w:rsidP="00063BE5">
      <w:pPr>
        <w:spacing w:after="0" w:line="276" w:lineRule="auto"/>
        <w:jc w:val="both"/>
        <w:rPr>
          <w:rFonts w:ascii="Book Antiqua" w:eastAsia="Calibri" w:hAnsi="Book Antiqua" w:cs="Arial"/>
          <w:sz w:val="24"/>
          <w:szCs w:val="24"/>
        </w:rPr>
      </w:pPr>
      <w:r w:rsidRPr="00063BE5">
        <w:rPr>
          <w:rFonts w:ascii="Book Antiqua" w:eastAsia="Calibri" w:hAnsi="Book Antiqua" w:cs="Arial"/>
          <w:sz w:val="24"/>
          <w:szCs w:val="24"/>
        </w:rPr>
        <w:t>De conformidad con l</w:t>
      </w:r>
      <w:r w:rsidR="0098342C">
        <w:rPr>
          <w:rFonts w:ascii="Book Antiqua" w:eastAsia="Calibri" w:hAnsi="Book Antiqua" w:cs="Arial"/>
          <w:sz w:val="24"/>
          <w:szCs w:val="24"/>
        </w:rPr>
        <w:t>os</w:t>
      </w:r>
      <w:r w:rsidRPr="00063BE5">
        <w:rPr>
          <w:rFonts w:ascii="Book Antiqua" w:eastAsia="Calibri" w:hAnsi="Book Antiqua" w:cs="Arial"/>
          <w:sz w:val="24"/>
          <w:szCs w:val="24"/>
        </w:rPr>
        <w:t xml:space="preserve"> oficio</w:t>
      </w:r>
      <w:r w:rsidR="0098342C">
        <w:rPr>
          <w:rFonts w:ascii="Book Antiqua" w:eastAsia="Calibri" w:hAnsi="Book Antiqua" w:cs="Arial"/>
          <w:sz w:val="24"/>
          <w:szCs w:val="24"/>
        </w:rPr>
        <w:t>s</w:t>
      </w:r>
      <w:r w:rsidRPr="00063BE5">
        <w:rPr>
          <w:rFonts w:ascii="Book Antiqua" w:eastAsia="Calibri" w:hAnsi="Book Antiqua" w:cs="Arial"/>
          <w:sz w:val="24"/>
          <w:szCs w:val="24"/>
        </w:rPr>
        <w:t xml:space="preserve"> 656-PLA-RH-MI-2020</w:t>
      </w:r>
      <w:r w:rsidR="005A08AA">
        <w:rPr>
          <w:rFonts w:ascii="Book Antiqua" w:eastAsia="Calibri" w:hAnsi="Book Antiqua" w:cs="Arial"/>
          <w:sz w:val="24"/>
          <w:szCs w:val="24"/>
        </w:rPr>
        <w:t xml:space="preserve"> y 389-PLA-</w:t>
      </w:r>
      <w:r w:rsidR="007A2C6E">
        <w:rPr>
          <w:rFonts w:ascii="Book Antiqua" w:eastAsia="Calibri" w:hAnsi="Book Antiqua" w:cs="Arial"/>
          <w:sz w:val="24"/>
          <w:szCs w:val="24"/>
        </w:rPr>
        <w:t>R</w:t>
      </w:r>
      <w:r w:rsidR="00A958BE">
        <w:rPr>
          <w:rFonts w:ascii="Book Antiqua" w:eastAsia="Calibri" w:hAnsi="Book Antiqua" w:cs="Arial"/>
          <w:sz w:val="24"/>
          <w:szCs w:val="24"/>
        </w:rPr>
        <w:t>H</w:t>
      </w:r>
      <w:r w:rsidR="005A08AA">
        <w:rPr>
          <w:rFonts w:ascii="Book Antiqua" w:eastAsia="Calibri" w:hAnsi="Book Antiqua" w:cs="Arial"/>
          <w:sz w:val="24"/>
          <w:szCs w:val="24"/>
        </w:rPr>
        <w:t>-MI-2020</w:t>
      </w:r>
      <w:r w:rsidRPr="00063BE5">
        <w:rPr>
          <w:rFonts w:ascii="Book Antiqua" w:eastAsia="Calibri" w:hAnsi="Book Antiqua" w:cs="Arial"/>
          <w:sz w:val="24"/>
          <w:szCs w:val="24"/>
        </w:rPr>
        <w:t>, l</w:t>
      </w:r>
      <w:r w:rsidRPr="00063BE5">
        <w:rPr>
          <w:rFonts w:ascii="Book Antiqua" w:eastAsia="Calibri" w:hAnsi="Book Antiqua" w:cs="Arial"/>
          <w:sz w:val="24"/>
          <w:szCs w:val="24"/>
          <w:lang w:eastAsia="es-CR"/>
        </w:rPr>
        <w:t xml:space="preserve">a carga de trabajo de asuntos entrados (nuevos, reentrados, incidentes y segunda instancia) en los Juzgados Especializados en materia de Familia es de 74 casos al mes por persona juzgadora y de 47 por persona técnica judicial </w:t>
      </w:r>
      <w:r w:rsidRPr="001375EC">
        <w:rPr>
          <w:rFonts w:ascii="Book Antiqua" w:eastAsia="Calibri" w:hAnsi="Book Antiqua" w:cs="Arial"/>
          <w:sz w:val="24"/>
          <w:szCs w:val="24"/>
          <w:lang w:eastAsia="es-CR"/>
        </w:rPr>
        <w:t>de trámite,</w:t>
      </w:r>
      <w:r w:rsidRPr="00063BE5">
        <w:rPr>
          <w:rFonts w:ascii="Book Antiqua" w:eastAsia="Calibri" w:hAnsi="Book Antiqua" w:cs="Arial"/>
          <w:sz w:val="24"/>
          <w:szCs w:val="24"/>
          <w:lang w:eastAsia="es-CR"/>
        </w:rPr>
        <w:t xml:space="preserve"> esto según la información de la cantidad promedio mensual de asuntos entrados de 2015 a 2019, resultado que </w:t>
      </w:r>
      <w:r w:rsidRPr="004D6013">
        <w:rPr>
          <w:rFonts w:ascii="Book Antiqua" w:eastAsia="Calibri" w:hAnsi="Book Antiqua" w:cs="Arial"/>
          <w:bCs/>
          <w:sz w:val="24"/>
          <w:szCs w:val="24"/>
          <w:lang w:eastAsia="es-CR"/>
        </w:rPr>
        <w:t>se</w:t>
      </w:r>
      <w:r w:rsidRPr="00063BE5">
        <w:rPr>
          <w:rFonts w:ascii="Book Antiqua" w:eastAsia="Calibri" w:hAnsi="Book Antiqua" w:cs="Arial"/>
          <w:b/>
          <w:sz w:val="24"/>
          <w:szCs w:val="24"/>
          <w:lang w:eastAsia="es-CR"/>
        </w:rPr>
        <w:t xml:space="preserve"> </w:t>
      </w:r>
      <w:r w:rsidRPr="00063BE5">
        <w:rPr>
          <w:rFonts w:ascii="Book Antiqua" w:eastAsia="Calibri" w:hAnsi="Book Antiqua" w:cs="Arial"/>
          <w:bCs/>
          <w:sz w:val="24"/>
          <w:szCs w:val="24"/>
          <w:lang w:eastAsia="es-CR"/>
        </w:rPr>
        <w:t>utiliza</w:t>
      </w:r>
      <w:r w:rsidRPr="00063BE5">
        <w:rPr>
          <w:rFonts w:ascii="Book Antiqua" w:eastAsia="Calibri" w:hAnsi="Book Antiqua" w:cs="Arial"/>
          <w:sz w:val="24"/>
          <w:szCs w:val="24"/>
          <w:lang w:eastAsia="es-CR"/>
        </w:rPr>
        <w:t xml:space="preserve"> como cuota de trabajo para estos juzgados</w:t>
      </w:r>
      <w:r w:rsidR="002C1407">
        <w:rPr>
          <w:rFonts w:ascii="Book Antiqua" w:eastAsia="Calibri" w:hAnsi="Book Antiqua" w:cs="Arial"/>
          <w:sz w:val="24"/>
          <w:szCs w:val="24"/>
          <w:lang w:eastAsia="es-CR"/>
        </w:rPr>
        <w:t>, idealmente la tasa de terminados debe ser igual a la entrada para que no crezca el circulante</w:t>
      </w:r>
      <w:r w:rsidR="004E0B02">
        <w:rPr>
          <w:rFonts w:ascii="Book Antiqua" w:eastAsia="Calibri" w:hAnsi="Book Antiqua" w:cs="Arial"/>
          <w:sz w:val="24"/>
          <w:szCs w:val="24"/>
          <w:lang w:eastAsia="es-CR"/>
        </w:rPr>
        <w:t>; e</w:t>
      </w:r>
      <w:r w:rsidRPr="00063BE5">
        <w:rPr>
          <w:rFonts w:ascii="Book Antiqua" w:eastAsia="Calibri" w:hAnsi="Book Antiqua" w:cs="Arial"/>
          <w:sz w:val="24"/>
          <w:szCs w:val="24"/>
          <w:lang w:eastAsia="es-CR"/>
        </w:rPr>
        <w:t xml:space="preserve">sta información también se respalda con los parámetros </w:t>
      </w:r>
      <w:r w:rsidRPr="00063BE5">
        <w:rPr>
          <w:rFonts w:ascii="Book Antiqua" w:eastAsia="Calibri" w:hAnsi="Book Antiqua" w:cs="Arial"/>
          <w:sz w:val="24"/>
          <w:szCs w:val="24"/>
        </w:rPr>
        <w:t xml:space="preserve">de la matriz de indicadores de gestión basados en los resultados del Rediseño </w:t>
      </w:r>
      <w:r w:rsidR="005A08AA">
        <w:rPr>
          <w:rFonts w:ascii="Book Antiqua" w:eastAsia="Calibri" w:hAnsi="Book Antiqua" w:cs="Arial"/>
          <w:sz w:val="24"/>
          <w:szCs w:val="24"/>
        </w:rPr>
        <w:t xml:space="preserve">de </w:t>
      </w:r>
      <w:r w:rsidRPr="00063BE5">
        <w:rPr>
          <w:rFonts w:ascii="Book Antiqua" w:eastAsia="Calibri" w:hAnsi="Book Antiqua" w:cs="Arial"/>
          <w:sz w:val="24"/>
          <w:szCs w:val="24"/>
        </w:rPr>
        <w:t>Cartago y San Carlos y según los principales tipos de procesos terminados de la siguiente forma:</w:t>
      </w:r>
    </w:p>
    <w:p w14:paraId="65009662" w14:textId="7591665C" w:rsidR="00681EDC" w:rsidRPr="00681EDC" w:rsidRDefault="00681EDC" w:rsidP="00681EDC">
      <w:pPr>
        <w:rPr>
          <w:rFonts w:ascii="Book Antiqua" w:eastAsia="Calibri" w:hAnsi="Book Antiqua" w:cs="Arial"/>
          <w:sz w:val="24"/>
          <w:szCs w:val="24"/>
        </w:rPr>
      </w:pPr>
      <w:r>
        <w:rPr>
          <w:rFonts w:ascii="Book Antiqua" w:eastAsia="Calibri" w:hAnsi="Book Antiqua" w:cs="Arial"/>
          <w:sz w:val="24"/>
          <w:szCs w:val="24"/>
        </w:rPr>
        <w:br w:type="page"/>
      </w:r>
    </w:p>
    <w:p w14:paraId="3CF2F4BB" w14:textId="1A164FD0" w:rsidR="00063BE5" w:rsidRPr="00063BE5" w:rsidRDefault="00063BE5"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63BE5">
        <w:rPr>
          <w:rFonts w:ascii="Book Antiqua" w:eastAsia="Calibri" w:hAnsi="Book Antiqua" w:cs="Arial"/>
          <w:b/>
          <w:bCs/>
          <w:color w:val="1F497D"/>
          <w:szCs w:val="24"/>
          <w:lang w:val="es-ES" w:eastAsia="es-ES"/>
        </w:rPr>
        <w:t xml:space="preserve">Cuadro </w:t>
      </w:r>
      <w:r w:rsidRPr="00063BE5">
        <w:rPr>
          <w:rFonts w:ascii="Book Antiqua" w:eastAsia="Calibri" w:hAnsi="Book Antiqua" w:cs="Arial"/>
          <w:b/>
          <w:bCs/>
          <w:color w:val="1F497D"/>
          <w:szCs w:val="24"/>
          <w:lang w:val="es-ES" w:eastAsia="es-ES"/>
        </w:rPr>
        <w:fldChar w:fldCharType="begin"/>
      </w:r>
      <w:r w:rsidRPr="00063BE5">
        <w:rPr>
          <w:rFonts w:ascii="Book Antiqua" w:eastAsia="Calibri" w:hAnsi="Book Antiqua" w:cs="Arial"/>
          <w:b/>
          <w:bCs/>
          <w:color w:val="1F497D"/>
          <w:szCs w:val="24"/>
          <w:lang w:val="es-ES" w:eastAsia="es-ES"/>
        </w:rPr>
        <w:instrText xml:space="preserve"> SEQ Cuadro \* ARABIC </w:instrText>
      </w:r>
      <w:r w:rsidRPr="00063BE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19</w:t>
      </w:r>
      <w:r w:rsidRPr="00063BE5">
        <w:rPr>
          <w:rFonts w:ascii="Book Antiqua" w:eastAsia="Calibri" w:hAnsi="Book Antiqua" w:cs="Arial"/>
          <w:b/>
          <w:bCs/>
          <w:color w:val="1F497D"/>
          <w:szCs w:val="24"/>
          <w:lang w:val="es-ES" w:eastAsia="es-ES"/>
        </w:rPr>
        <w:fldChar w:fldCharType="end"/>
      </w:r>
    </w:p>
    <w:p w14:paraId="4FA377EF" w14:textId="46FEA20D" w:rsidR="00063BE5" w:rsidRPr="00063BE5" w:rsidRDefault="00063BE5" w:rsidP="00063BE5">
      <w:pPr>
        <w:spacing w:after="0" w:line="240" w:lineRule="auto"/>
        <w:jc w:val="center"/>
        <w:rPr>
          <w:rFonts w:ascii="Book Antiqua" w:eastAsia="Calibri" w:hAnsi="Book Antiqua" w:cs="Arial"/>
          <w:b/>
          <w:bCs/>
          <w:color w:val="1F497D"/>
          <w:szCs w:val="24"/>
          <w:lang w:val="es-ES" w:eastAsia="es-ES"/>
        </w:rPr>
      </w:pPr>
      <w:r w:rsidRPr="00063BE5">
        <w:rPr>
          <w:rFonts w:ascii="Book Antiqua" w:eastAsia="Calibri" w:hAnsi="Book Antiqua" w:cs="Arial"/>
          <w:b/>
          <w:bCs/>
          <w:color w:val="1F497D"/>
          <w:szCs w:val="24"/>
          <w:lang w:val="es-ES" w:eastAsia="es-ES"/>
        </w:rPr>
        <w:t>Distribución por tipo de terminado de la cuota de trabajo mensual por plaza de persona juzgadora de Familia, 201</w:t>
      </w:r>
      <w:r w:rsidR="00A30E67">
        <w:rPr>
          <w:rFonts w:ascii="Book Antiqua" w:eastAsia="Calibri" w:hAnsi="Book Antiqua" w:cs="Arial"/>
          <w:b/>
          <w:bCs/>
          <w:color w:val="1F497D"/>
          <w:szCs w:val="24"/>
          <w:lang w:val="es-ES" w:eastAsia="es-ES"/>
        </w:rPr>
        <w:t>9</w:t>
      </w:r>
    </w:p>
    <w:tbl>
      <w:tblPr>
        <w:tblW w:w="4988" w:type="pct"/>
        <w:tblLook w:val="04A0" w:firstRow="1" w:lastRow="0" w:firstColumn="1" w:lastColumn="0" w:noHBand="0" w:noVBand="1"/>
      </w:tblPr>
      <w:tblGrid>
        <w:gridCol w:w="1225"/>
        <w:gridCol w:w="1455"/>
        <w:gridCol w:w="1138"/>
        <w:gridCol w:w="1663"/>
        <w:gridCol w:w="1138"/>
        <w:gridCol w:w="1203"/>
        <w:gridCol w:w="985"/>
      </w:tblGrid>
      <w:tr w:rsidR="00FB0B9B" w:rsidRPr="00AA24B8" w14:paraId="060BD7CF" w14:textId="77777777" w:rsidTr="000717AA">
        <w:trPr>
          <w:trHeight w:val="69"/>
        </w:trPr>
        <w:tc>
          <w:tcPr>
            <w:tcW w:w="69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ED6B6CF"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Divorcio o separación por mutuo</w:t>
            </w:r>
          </w:p>
        </w:tc>
        <w:tc>
          <w:tcPr>
            <w:tcW w:w="826" w:type="pct"/>
            <w:tcBorders>
              <w:top w:val="single" w:sz="4" w:space="0" w:color="auto"/>
              <w:left w:val="nil"/>
              <w:bottom w:val="single" w:sz="4" w:space="0" w:color="auto"/>
              <w:right w:val="single" w:sz="4" w:space="0" w:color="auto"/>
            </w:tcBorders>
            <w:shd w:val="clear" w:color="000000" w:fill="002060"/>
            <w:vAlign w:val="center"/>
            <w:hideMark/>
          </w:tcPr>
          <w:p w14:paraId="5E2FCD62"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Resoluciones por otros motivos de término</w:t>
            </w:r>
          </w:p>
        </w:tc>
        <w:tc>
          <w:tcPr>
            <w:tcW w:w="646" w:type="pct"/>
            <w:tcBorders>
              <w:top w:val="single" w:sz="4" w:space="0" w:color="auto"/>
              <w:left w:val="nil"/>
              <w:bottom w:val="single" w:sz="4" w:space="0" w:color="auto"/>
              <w:right w:val="single" w:sz="4" w:space="0" w:color="auto"/>
            </w:tcBorders>
            <w:shd w:val="clear" w:color="000000" w:fill="002060"/>
            <w:vAlign w:val="center"/>
            <w:hideMark/>
          </w:tcPr>
          <w:p w14:paraId="6AE70C8E"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dictada</w:t>
            </w:r>
          </w:p>
        </w:tc>
        <w:tc>
          <w:tcPr>
            <w:tcW w:w="944" w:type="pct"/>
            <w:tcBorders>
              <w:top w:val="single" w:sz="4" w:space="0" w:color="auto"/>
              <w:left w:val="nil"/>
              <w:bottom w:val="single" w:sz="4" w:space="0" w:color="auto"/>
              <w:right w:val="single" w:sz="4" w:space="0" w:color="auto"/>
            </w:tcBorders>
            <w:shd w:val="clear" w:color="000000" w:fill="002060"/>
            <w:vAlign w:val="center"/>
            <w:hideMark/>
          </w:tcPr>
          <w:p w14:paraId="3CD98944"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Sentencias homologatorias</w:t>
            </w:r>
          </w:p>
        </w:tc>
        <w:tc>
          <w:tcPr>
            <w:tcW w:w="646" w:type="pct"/>
            <w:tcBorders>
              <w:top w:val="single" w:sz="4" w:space="0" w:color="auto"/>
              <w:left w:val="nil"/>
              <w:bottom w:val="single" w:sz="4" w:space="0" w:color="auto"/>
              <w:right w:val="single" w:sz="4" w:space="0" w:color="auto"/>
            </w:tcBorders>
            <w:shd w:val="clear" w:color="000000" w:fill="002060"/>
            <w:vAlign w:val="center"/>
            <w:hideMark/>
          </w:tcPr>
          <w:p w14:paraId="0073BBEA"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de segunda instancia</w:t>
            </w:r>
          </w:p>
        </w:tc>
        <w:tc>
          <w:tcPr>
            <w:tcW w:w="683" w:type="pct"/>
            <w:tcBorders>
              <w:top w:val="single" w:sz="4" w:space="0" w:color="auto"/>
              <w:left w:val="nil"/>
              <w:bottom w:val="single" w:sz="4" w:space="0" w:color="auto"/>
              <w:right w:val="single" w:sz="4" w:space="0" w:color="auto"/>
            </w:tcBorders>
            <w:shd w:val="clear" w:color="000000" w:fill="002060"/>
            <w:vAlign w:val="center"/>
            <w:hideMark/>
          </w:tcPr>
          <w:p w14:paraId="72FCBB0C"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en Incidentes</w:t>
            </w:r>
          </w:p>
        </w:tc>
        <w:tc>
          <w:tcPr>
            <w:tcW w:w="559" w:type="pct"/>
            <w:tcBorders>
              <w:top w:val="single" w:sz="4" w:space="0" w:color="auto"/>
              <w:left w:val="nil"/>
              <w:bottom w:val="single" w:sz="4" w:space="0" w:color="auto"/>
              <w:right w:val="single" w:sz="4" w:space="0" w:color="auto"/>
            </w:tcBorders>
            <w:shd w:val="clear" w:color="000000" w:fill="002060"/>
            <w:vAlign w:val="center"/>
            <w:hideMark/>
          </w:tcPr>
          <w:p w14:paraId="64A0C0A8" w14:textId="77777777" w:rsidR="00AA24B8" w:rsidRPr="00AA24B8" w:rsidRDefault="00AA24B8" w:rsidP="00AA24B8">
            <w:pPr>
              <w:spacing w:after="0" w:line="240" w:lineRule="auto"/>
              <w:jc w:val="center"/>
              <w:rPr>
                <w:rFonts w:ascii="Book Antiqua" w:eastAsia="Times New Roman" w:hAnsi="Book Antiqua" w:cs="Times New Roman"/>
                <w:b/>
                <w:bCs/>
                <w:color w:val="FFFFFF"/>
                <w:sz w:val="20"/>
                <w:szCs w:val="20"/>
              </w:rPr>
            </w:pPr>
            <w:r w:rsidRPr="00AA24B8">
              <w:rPr>
                <w:rFonts w:ascii="Book Antiqua" w:eastAsia="Times New Roman" w:hAnsi="Book Antiqua" w:cs="Times New Roman"/>
                <w:b/>
                <w:bCs/>
                <w:color w:val="FFFFFF"/>
                <w:sz w:val="20"/>
                <w:szCs w:val="20"/>
              </w:rPr>
              <w:t>Total</w:t>
            </w:r>
          </w:p>
        </w:tc>
      </w:tr>
      <w:tr w:rsidR="00FB0B9B" w:rsidRPr="00AA24B8" w14:paraId="55152D2F" w14:textId="77777777" w:rsidTr="000717AA">
        <w:trPr>
          <w:trHeight w:val="312"/>
        </w:trPr>
        <w:tc>
          <w:tcPr>
            <w:tcW w:w="695" w:type="pct"/>
            <w:tcBorders>
              <w:top w:val="nil"/>
              <w:left w:val="single" w:sz="4" w:space="0" w:color="auto"/>
              <w:bottom w:val="single" w:sz="4" w:space="0" w:color="auto"/>
              <w:right w:val="single" w:sz="4" w:space="0" w:color="auto"/>
            </w:tcBorders>
            <w:shd w:val="clear" w:color="auto" w:fill="auto"/>
            <w:noWrap/>
            <w:vAlign w:val="center"/>
            <w:hideMark/>
          </w:tcPr>
          <w:p w14:paraId="0F62CD7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23</w:t>
            </w:r>
          </w:p>
        </w:tc>
        <w:tc>
          <w:tcPr>
            <w:tcW w:w="826" w:type="pct"/>
            <w:tcBorders>
              <w:top w:val="nil"/>
              <w:left w:val="nil"/>
              <w:bottom w:val="single" w:sz="4" w:space="0" w:color="auto"/>
              <w:right w:val="single" w:sz="4" w:space="0" w:color="auto"/>
            </w:tcBorders>
            <w:shd w:val="clear" w:color="auto" w:fill="auto"/>
            <w:noWrap/>
            <w:vAlign w:val="center"/>
            <w:hideMark/>
          </w:tcPr>
          <w:p w14:paraId="5C70D041"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19</w:t>
            </w:r>
          </w:p>
        </w:tc>
        <w:tc>
          <w:tcPr>
            <w:tcW w:w="646" w:type="pct"/>
            <w:tcBorders>
              <w:top w:val="nil"/>
              <w:left w:val="nil"/>
              <w:bottom w:val="single" w:sz="4" w:space="0" w:color="auto"/>
              <w:right w:val="single" w:sz="4" w:space="0" w:color="auto"/>
            </w:tcBorders>
            <w:shd w:val="clear" w:color="auto" w:fill="auto"/>
            <w:noWrap/>
            <w:vAlign w:val="center"/>
            <w:hideMark/>
          </w:tcPr>
          <w:p w14:paraId="6EF223C7"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16</w:t>
            </w:r>
          </w:p>
        </w:tc>
        <w:tc>
          <w:tcPr>
            <w:tcW w:w="944" w:type="pct"/>
            <w:tcBorders>
              <w:top w:val="nil"/>
              <w:left w:val="nil"/>
              <w:bottom w:val="single" w:sz="4" w:space="0" w:color="auto"/>
              <w:right w:val="single" w:sz="4" w:space="0" w:color="auto"/>
            </w:tcBorders>
            <w:shd w:val="clear" w:color="auto" w:fill="auto"/>
            <w:noWrap/>
            <w:vAlign w:val="center"/>
            <w:hideMark/>
          </w:tcPr>
          <w:p w14:paraId="5A53852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5</w:t>
            </w:r>
          </w:p>
        </w:tc>
        <w:tc>
          <w:tcPr>
            <w:tcW w:w="646" w:type="pct"/>
            <w:tcBorders>
              <w:top w:val="nil"/>
              <w:left w:val="nil"/>
              <w:bottom w:val="single" w:sz="4" w:space="0" w:color="auto"/>
              <w:right w:val="single" w:sz="4" w:space="0" w:color="auto"/>
            </w:tcBorders>
            <w:shd w:val="clear" w:color="auto" w:fill="auto"/>
            <w:noWrap/>
            <w:vAlign w:val="center"/>
            <w:hideMark/>
          </w:tcPr>
          <w:p w14:paraId="5127E662"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13</w:t>
            </w:r>
          </w:p>
        </w:tc>
        <w:tc>
          <w:tcPr>
            <w:tcW w:w="683" w:type="pct"/>
            <w:tcBorders>
              <w:top w:val="nil"/>
              <w:left w:val="nil"/>
              <w:bottom w:val="single" w:sz="4" w:space="0" w:color="auto"/>
              <w:right w:val="single" w:sz="4" w:space="0" w:color="auto"/>
            </w:tcBorders>
            <w:shd w:val="clear" w:color="auto" w:fill="auto"/>
            <w:noWrap/>
            <w:vAlign w:val="center"/>
            <w:hideMark/>
          </w:tcPr>
          <w:p w14:paraId="02BE26CE"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w:t>
            </w:r>
          </w:p>
        </w:tc>
        <w:tc>
          <w:tcPr>
            <w:tcW w:w="559" w:type="pct"/>
            <w:tcBorders>
              <w:top w:val="nil"/>
              <w:left w:val="nil"/>
              <w:bottom w:val="single" w:sz="4" w:space="0" w:color="auto"/>
              <w:right w:val="single" w:sz="4" w:space="0" w:color="auto"/>
            </w:tcBorders>
            <w:shd w:val="clear" w:color="auto" w:fill="auto"/>
            <w:noWrap/>
            <w:vAlign w:val="center"/>
            <w:hideMark/>
          </w:tcPr>
          <w:p w14:paraId="53E3613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77</w:t>
            </w:r>
          </w:p>
        </w:tc>
      </w:tr>
    </w:tbl>
    <w:p w14:paraId="5D02EB38" w14:textId="0E547477" w:rsidR="000717AA" w:rsidRPr="000717AA" w:rsidRDefault="000717AA" w:rsidP="000717AA">
      <w:pPr>
        <w:spacing w:after="0" w:line="276" w:lineRule="auto"/>
        <w:jc w:val="both"/>
        <w:rPr>
          <w:rFonts w:ascii="Book Antiqua" w:eastAsia="Calibri" w:hAnsi="Book Antiqua" w:cs="Arial"/>
          <w:i/>
          <w:iCs/>
          <w:sz w:val="20"/>
          <w:szCs w:val="20"/>
        </w:rPr>
      </w:pPr>
      <w:r w:rsidRPr="00F134FF">
        <w:rPr>
          <w:rFonts w:ascii="Book Antiqua" w:eastAsia="Calibri" w:hAnsi="Book Antiqua" w:cs="Arial"/>
          <w:b/>
          <w:bCs/>
          <w:i/>
          <w:iCs/>
          <w:sz w:val="20"/>
          <w:szCs w:val="20"/>
        </w:rPr>
        <w:t>Fuente:</w:t>
      </w:r>
      <w:r w:rsidRPr="000717AA">
        <w:rPr>
          <w:rFonts w:ascii="Book Antiqua" w:eastAsia="Calibri" w:hAnsi="Book Antiqua" w:cs="Arial"/>
          <w:i/>
          <w:iCs/>
          <w:sz w:val="20"/>
          <w:szCs w:val="20"/>
        </w:rPr>
        <w:t xml:space="preserve"> Informe 656-PLA-RH-MI-2020</w:t>
      </w:r>
      <w:r w:rsidR="005A08AA">
        <w:rPr>
          <w:rFonts w:ascii="Book Antiqua" w:eastAsia="Calibri" w:hAnsi="Book Antiqua" w:cs="Arial"/>
          <w:i/>
          <w:iCs/>
          <w:sz w:val="20"/>
          <w:szCs w:val="20"/>
        </w:rPr>
        <w:t xml:space="preserve"> y 389-PLA-R</w:t>
      </w:r>
      <w:r w:rsidR="00A958BE">
        <w:rPr>
          <w:rFonts w:ascii="Book Antiqua" w:eastAsia="Calibri" w:hAnsi="Book Antiqua" w:cs="Arial"/>
          <w:i/>
          <w:iCs/>
          <w:sz w:val="20"/>
          <w:szCs w:val="20"/>
        </w:rPr>
        <w:t>H</w:t>
      </w:r>
      <w:r w:rsidR="005A08AA">
        <w:rPr>
          <w:rFonts w:ascii="Book Antiqua" w:eastAsia="Calibri" w:hAnsi="Book Antiqua" w:cs="Arial"/>
          <w:i/>
          <w:iCs/>
          <w:sz w:val="20"/>
          <w:szCs w:val="20"/>
        </w:rPr>
        <w:t>-MI-2021</w:t>
      </w:r>
      <w:r w:rsidRPr="000717AA">
        <w:rPr>
          <w:rFonts w:ascii="Book Antiqua" w:eastAsia="Calibri" w:hAnsi="Book Antiqua" w:cs="Arial"/>
          <w:i/>
          <w:iCs/>
          <w:sz w:val="20"/>
          <w:szCs w:val="20"/>
        </w:rPr>
        <w:t>.</w:t>
      </w:r>
    </w:p>
    <w:p w14:paraId="5406B575" w14:textId="77777777" w:rsidR="000717AA" w:rsidRPr="000717AA" w:rsidRDefault="000717AA" w:rsidP="000717AA">
      <w:pPr>
        <w:tabs>
          <w:tab w:val="left" w:pos="8364"/>
        </w:tabs>
        <w:spacing w:after="0" w:line="276" w:lineRule="auto"/>
        <w:ind w:left="1701" w:right="1700"/>
        <w:jc w:val="both"/>
        <w:rPr>
          <w:rFonts w:ascii="Book Antiqua" w:eastAsia="Calibri" w:hAnsi="Book Antiqua" w:cs="Arial"/>
          <w:bCs/>
          <w:i/>
          <w:sz w:val="20"/>
          <w:szCs w:val="20"/>
        </w:rPr>
      </w:pPr>
    </w:p>
    <w:p w14:paraId="23B5530C" w14:textId="733BA393" w:rsidR="00D136AC" w:rsidRPr="001D0C10" w:rsidRDefault="00D136AC" w:rsidP="00D136AC">
      <w:pPr>
        <w:spacing w:line="276" w:lineRule="auto"/>
        <w:jc w:val="both"/>
        <w:rPr>
          <w:rFonts w:ascii="Book Antiqua" w:hAnsi="Book Antiqua"/>
          <w:sz w:val="24"/>
          <w:szCs w:val="24"/>
        </w:rPr>
      </w:pPr>
      <w:r w:rsidRPr="001D0C10">
        <w:rPr>
          <w:rFonts w:ascii="Book Antiqua" w:hAnsi="Book Antiqua"/>
          <w:sz w:val="24"/>
          <w:szCs w:val="24"/>
        </w:rPr>
        <w:t xml:space="preserve">Según la minuta 42-PLA-MI-MNTA-2021, en reunión de seguimiento del equipo interdisciplinario del proyecto de Implementación del Código de Familia, se requiere de una mejora en el sistema, de manera que se </w:t>
      </w:r>
      <w:bookmarkStart w:id="32" w:name="_Hlk127952830"/>
      <w:r w:rsidRPr="001D0C10">
        <w:rPr>
          <w:rFonts w:ascii="Book Antiqua" w:hAnsi="Book Antiqua"/>
          <w:sz w:val="24"/>
          <w:szCs w:val="24"/>
        </w:rPr>
        <w:t xml:space="preserve">pueda cruzar la información entre la clase de asunto y el resultado de las resoluciones, a fin de lograr obtener directamente del SIGMA la cantidad de resoluciones de aprobación o improbación de divorcios por mutuo consentimiento </w:t>
      </w:r>
      <w:r w:rsidRPr="00576B9C">
        <w:rPr>
          <w:rFonts w:ascii="Book Antiqua" w:hAnsi="Book Antiqua"/>
          <w:sz w:val="24"/>
          <w:szCs w:val="24"/>
        </w:rPr>
        <w:t>y poder incluirlo</w:t>
      </w:r>
      <w:r w:rsidRPr="00576B9C">
        <w:rPr>
          <w:rFonts w:ascii="Book Antiqua" w:hAnsi="Book Antiqua"/>
          <w:i/>
          <w:iCs/>
          <w:sz w:val="20"/>
          <w:szCs w:val="20"/>
        </w:rPr>
        <w:t xml:space="preserve"> </w:t>
      </w:r>
      <w:r w:rsidRPr="001D0C10">
        <w:rPr>
          <w:rFonts w:ascii="Book Antiqua" w:hAnsi="Book Antiqua"/>
          <w:sz w:val="24"/>
          <w:szCs w:val="24"/>
        </w:rPr>
        <w:t xml:space="preserve">así en la matriz.  De manera temporal y hasta tanto </w:t>
      </w:r>
      <w:r w:rsidR="004266F2" w:rsidRPr="001D0C10">
        <w:rPr>
          <w:rFonts w:ascii="Book Antiqua" w:hAnsi="Book Antiqua"/>
          <w:sz w:val="24"/>
          <w:szCs w:val="24"/>
        </w:rPr>
        <w:t>esta lista</w:t>
      </w:r>
      <w:r w:rsidRPr="001D0C10">
        <w:rPr>
          <w:rFonts w:ascii="Book Antiqua" w:hAnsi="Book Antiqua"/>
          <w:sz w:val="24"/>
          <w:szCs w:val="24"/>
        </w:rPr>
        <w:t xml:space="preserve">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 </w:t>
      </w:r>
    </w:p>
    <w:bookmarkEnd w:id="32"/>
    <w:p w14:paraId="2AAE9E9E" w14:textId="03D46D39" w:rsidR="00243342" w:rsidRDefault="00D136AC" w:rsidP="00D136AC">
      <w:pPr>
        <w:spacing w:line="276" w:lineRule="auto"/>
        <w:jc w:val="both"/>
        <w:rPr>
          <w:rFonts w:ascii="Book Antiqua" w:hAnsi="Book Antiqua"/>
          <w:sz w:val="24"/>
          <w:szCs w:val="24"/>
        </w:rPr>
      </w:pPr>
      <w:r w:rsidRPr="001D0C10">
        <w:rPr>
          <w:rFonts w:ascii="Book Antiqua" w:hAnsi="Book Antiqua"/>
          <w:sz w:val="24"/>
          <w:szCs w:val="24"/>
        </w:rPr>
        <w:t xml:space="preserve"> También se solicitó al Juez Gestor y la Comisión de Familia, Niñez y Adolescencia una directriz o circular en donde por cada clase de asunto se identifique los posibles tipos de resolución y resultados que puedan utilizarse, a fin de estandarizar el uso de los formatos jurídicos conforme al diseño de la fórmula estadística</w:t>
      </w:r>
      <w:r w:rsidR="00545C67">
        <w:rPr>
          <w:rFonts w:ascii="Book Antiqua" w:hAnsi="Book Antiqua"/>
          <w:sz w:val="24"/>
          <w:szCs w:val="24"/>
        </w:rPr>
        <w:t xml:space="preserve">. </w:t>
      </w:r>
      <w:r w:rsidR="00545C67" w:rsidRPr="00545C67">
        <w:rPr>
          <w:rFonts w:ascii="Book Antiqua" w:hAnsi="Book Antiqua"/>
          <w:b/>
          <w:bCs/>
          <w:sz w:val="24"/>
          <w:szCs w:val="24"/>
          <w:u w:val="single"/>
        </w:rPr>
        <w:t>Esta circular ya existe y es la 260-20 actualizada mediante circular 244-21.</w:t>
      </w:r>
      <w:r w:rsidR="00545C67">
        <w:rPr>
          <w:rFonts w:ascii="Book Antiqua" w:hAnsi="Book Antiqua"/>
          <w:sz w:val="24"/>
          <w:szCs w:val="24"/>
        </w:rPr>
        <w:t xml:space="preserve"> </w:t>
      </w:r>
      <w:r w:rsidRPr="001D0C10">
        <w:rPr>
          <w:rFonts w:ascii="Book Antiqua" w:hAnsi="Book Antiqua"/>
          <w:sz w:val="24"/>
          <w:szCs w:val="24"/>
        </w:rPr>
        <w:t xml:space="preserve">    </w:t>
      </w:r>
    </w:p>
    <w:p w14:paraId="077CA447" w14:textId="6140AF93" w:rsidR="00B20487" w:rsidRDefault="00D136AC" w:rsidP="00D136AC">
      <w:pPr>
        <w:spacing w:line="276" w:lineRule="auto"/>
        <w:jc w:val="both"/>
        <w:rPr>
          <w:rFonts w:ascii="Book Antiqua" w:eastAsia="Calibri" w:hAnsi="Book Antiqua" w:cs="Arial"/>
          <w:sz w:val="24"/>
          <w:szCs w:val="24"/>
        </w:rPr>
      </w:pPr>
      <w:r w:rsidRPr="001D0C10">
        <w:rPr>
          <w:rFonts w:ascii="Book Antiqua" w:hAnsi="Book Antiqua"/>
          <w:sz w:val="24"/>
          <w:szCs w:val="24"/>
        </w:rPr>
        <w:t>De esta manera, se lograría filtra</w:t>
      </w:r>
      <w:r w:rsidR="00CB1B9B">
        <w:rPr>
          <w:rFonts w:ascii="Book Antiqua" w:hAnsi="Book Antiqua"/>
          <w:sz w:val="24"/>
          <w:szCs w:val="24"/>
        </w:rPr>
        <w:t>r</w:t>
      </w:r>
      <w:r w:rsidRPr="001D0C10">
        <w:rPr>
          <w:rFonts w:ascii="Book Antiqua" w:hAnsi="Book Antiqua"/>
          <w:sz w:val="24"/>
          <w:szCs w:val="24"/>
        </w:rPr>
        <w:t xml:space="preserve"> entre los distintos resultados aquellos que correspondan a procesos por “</w:t>
      </w:r>
      <w:r w:rsidRPr="00545C67">
        <w:rPr>
          <w:rFonts w:ascii="Book Antiqua" w:hAnsi="Book Antiqua"/>
          <w:i/>
          <w:iCs/>
          <w:sz w:val="24"/>
          <w:szCs w:val="24"/>
        </w:rPr>
        <w:t>sentencia en mutuos</w:t>
      </w:r>
      <w:r w:rsidRPr="001D0C10">
        <w:rPr>
          <w:rFonts w:ascii="Book Antiqua" w:hAnsi="Book Antiqua"/>
          <w:sz w:val="24"/>
          <w:szCs w:val="24"/>
        </w:rPr>
        <w:t>.”</w:t>
      </w:r>
      <w:r w:rsidR="00243342">
        <w:rPr>
          <w:rFonts w:ascii="Book Antiqua" w:hAnsi="Book Antiqua"/>
          <w:sz w:val="24"/>
          <w:szCs w:val="24"/>
        </w:rPr>
        <w:t xml:space="preserve"> </w:t>
      </w:r>
      <w:r w:rsidR="001A31B9">
        <w:rPr>
          <w:rFonts w:ascii="Book Antiqua" w:eastAsia="Calibri" w:hAnsi="Book Antiqua" w:cs="Arial"/>
          <w:sz w:val="24"/>
          <w:szCs w:val="24"/>
        </w:rPr>
        <w:t>Al respecto, e</w:t>
      </w:r>
      <w:r w:rsidR="000464DA">
        <w:rPr>
          <w:rFonts w:ascii="Book Antiqua" w:eastAsia="Calibri" w:hAnsi="Book Antiqua" w:cs="Arial"/>
          <w:sz w:val="24"/>
          <w:szCs w:val="24"/>
        </w:rPr>
        <w:t xml:space="preserve">n sesión del Consejo Superior </w:t>
      </w:r>
      <w:r w:rsidR="000464DA" w:rsidRPr="000464DA">
        <w:rPr>
          <w:rFonts w:ascii="Book Antiqua" w:eastAsia="Calibri" w:hAnsi="Book Antiqua" w:cs="Arial"/>
          <w:sz w:val="24"/>
          <w:szCs w:val="24"/>
        </w:rPr>
        <w:t>103-2020 celebrada el 27 de octubre de 2020, artículo XLV</w:t>
      </w:r>
      <w:r w:rsidR="001B1A62">
        <w:rPr>
          <w:rFonts w:ascii="Book Antiqua" w:eastAsia="Calibri" w:hAnsi="Book Antiqua" w:cs="Arial"/>
          <w:sz w:val="24"/>
          <w:szCs w:val="24"/>
        </w:rPr>
        <w:t>, a solicitud</w:t>
      </w:r>
      <w:r w:rsidR="000464DA" w:rsidRPr="000464DA">
        <w:rPr>
          <w:rFonts w:ascii="Book Antiqua" w:eastAsia="Calibri" w:hAnsi="Book Antiqua" w:cs="Arial"/>
          <w:sz w:val="24"/>
          <w:szCs w:val="24"/>
        </w:rPr>
        <w:t xml:space="preserve"> de la Comisión de Familia, Niñez y Adolescencia</w:t>
      </w:r>
      <w:r w:rsidR="008A7F71">
        <w:rPr>
          <w:rFonts w:ascii="Book Antiqua" w:eastAsia="Calibri" w:hAnsi="Book Antiqua" w:cs="Arial"/>
          <w:sz w:val="24"/>
          <w:szCs w:val="24"/>
        </w:rPr>
        <w:t>,</w:t>
      </w:r>
      <w:r w:rsidR="000464DA">
        <w:rPr>
          <w:rFonts w:ascii="Book Antiqua" w:eastAsia="Calibri" w:hAnsi="Book Antiqua" w:cs="Arial"/>
          <w:sz w:val="24"/>
          <w:szCs w:val="24"/>
        </w:rPr>
        <w:t xml:space="preserve"> </w:t>
      </w:r>
      <w:r w:rsidR="0099208D">
        <w:rPr>
          <w:rFonts w:ascii="Book Antiqua" w:eastAsia="Calibri" w:hAnsi="Book Antiqua" w:cs="Arial"/>
          <w:sz w:val="24"/>
          <w:szCs w:val="24"/>
        </w:rPr>
        <w:t>aprob</w:t>
      </w:r>
      <w:r w:rsidR="00B23D29" w:rsidRPr="00B23D29">
        <w:rPr>
          <w:rFonts w:ascii="Book Antiqua" w:eastAsia="Calibri" w:hAnsi="Book Antiqua" w:cs="Arial"/>
          <w:sz w:val="24"/>
          <w:szCs w:val="24"/>
        </w:rPr>
        <w:t>ó</w:t>
      </w:r>
      <w:r w:rsidR="008A7F71">
        <w:rPr>
          <w:rFonts w:ascii="Book Antiqua" w:eastAsia="Calibri" w:hAnsi="Book Antiqua" w:cs="Arial"/>
          <w:sz w:val="24"/>
          <w:szCs w:val="24"/>
        </w:rPr>
        <w:t xml:space="preserve"> la </w:t>
      </w:r>
      <w:r w:rsidR="00C337D0">
        <w:rPr>
          <w:rFonts w:ascii="Book Antiqua" w:eastAsia="Calibri" w:hAnsi="Book Antiqua" w:cs="Arial"/>
          <w:sz w:val="24"/>
          <w:szCs w:val="24"/>
        </w:rPr>
        <w:t>c</w:t>
      </w:r>
      <w:r w:rsidR="00836090">
        <w:rPr>
          <w:rFonts w:ascii="Book Antiqua" w:eastAsia="Calibri" w:hAnsi="Book Antiqua" w:cs="Arial"/>
          <w:sz w:val="24"/>
          <w:szCs w:val="24"/>
        </w:rPr>
        <w:t>ircular 260-2020</w:t>
      </w:r>
      <w:r w:rsidR="00C337D0">
        <w:rPr>
          <w:rFonts w:ascii="Book Antiqua" w:eastAsia="Calibri" w:hAnsi="Book Antiqua" w:cs="Arial"/>
          <w:sz w:val="24"/>
          <w:szCs w:val="24"/>
        </w:rPr>
        <w:t>,</w:t>
      </w:r>
      <w:r w:rsidR="00836090">
        <w:rPr>
          <w:rFonts w:ascii="Book Antiqua" w:eastAsia="Calibri" w:hAnsi="Book Antiqua" w:cs="Arial"/>
          <w:sz w:val="24"/>
          <w:szCs w:val="24"/>
        </w:rPr>
        <w:t xml:space="preserve"> </w:t>
      </w:r>
      <w:r w:rsidR="00C337D0">
        <w:rPr>
          <w:rFonts w:ascii="Book Antiqua" w:eastAsia="Calibri" w:hAnsi="Book Antiqua" w:cs="Arial"/>
          <w:sz w:val="24"/>
          <w:szCs w:val="24"/>
        </w:rPr>
        <w:t>“</w:t>
      </w:r>
      <w:r w:rsidR="005718B0" w:rsidRPr="005E6770">
        <w:rPr>
          <w:rFonts w:ascii="Book Antiqua" w:eastAsia="Calibri" w:hAnsi="Book Antiqua" w:cs="Arial"/>
          <w:i/>
          <w:iCs/>
          <w:sz w:val="24"/>
          <w:szCs w:val="24"/>
        </w:rPr>
        <w:t>Resoluciones dictadas en los juzgados que atienden materia familiar, que llevan número de resolución</w:t>
      </w:r>
      <w:r w:rsidR="00C20BE8">
        <w:rPr>
          <w:rFonts w:ascii="Book Antiqua" w:eastAsia="Calibri" w:hAnsi="Book Antiqua" w:cs="Arial"/>
          <w:sz w:val="24"/>
          <w:szCs w:val="24"/>
        </w:rPr>
        <w:t>”</w:t>
      </w:r>
      <w:r w:rsidR="00B23D29" w:rsidRPr="00B23D29">
        <w:rPr>
          <w:rFonts w:ascii="Book Antiqua" w:eastAsia="Calibri" w:hAnsi="Book Antiqua" w:cs="Arial"/>
          <w:sz w:val="24"/>
          <w:szCs w:val="24"/>
        </w:rPr>
        <w:t>:</w:t>
      </w:r>
    </w:p>
    <w:p w14:paraId="50E0FF1C" w14:textId="77777777"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dictadas en cualquier tipo de proceso familiar.</w:t>
      </w:r>
    </w:p>
    <w:p w14:paraId="583C3D61" w14:textId="05FE9D4E"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de homologación de acuerdos conciliatorios judiciales o extrajudiciales.</w:t>
      </w:r>
    </w:p>
    <w:p w14:paraId="4876E806" w14:textId="7C870CB4"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Aprobación de convenios de divorcio por mutuo consentimiento.</w:t>
      </w:r>
    </w:p>
    <w:p w14:paraId="22F05091" w14:textId="77777777" w:rsidR="00043F1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en procesos incidentales. Se recomienda que en las incidencias de nulidad las mismas sean tramitadas de manera interlocutoria dentro del proceso principal.</w:t>
      </w:r>
    </w:p>
    <w:p w14:paraId="66B32023" w14:textId="77777777" w:rsidR="00C35913" w:rsidRPr="00FC3225" w:rsidRDefault="002E29DD"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Sentencias</w:t>
      </w:r>
      <w:r w:rsidR="00073E67" w:rsidRPr="00FC3225">
        <w:rPr>
          <w:rFonts w:ascii="Book Antiqua" w:eastAsia="Calibri" w:hAnsi="Book Antiqua" w:cs="Arial"/>
          <w:i/>
          <w:iCs/>
          <w:lang w:eastAsia="en-US"/>
        </w:rPr>
        <w:t xml:space="preserve"> en procesos de modificación de fallo.</w:t>
      </w:r>
    </w:p>
    <w:p w14:paraId="4A3FB931" w14:textId="34A9872A" w:rsidR="00073E67" w:rsidRPr="00FC3225" w:rsidRDefault="00043F1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R</w:t>
      </w:r>
      <w:r w:rsidR="00073E67" w:rsidRPr="00FC3225">
        <w:rPr>
          <w:rFonts w:ascii="Book Antiqua" w:eastAsia="Calibri" w:hAnsi="Book Antiqua" w:cs="Arial"/>
          <w:i/>
          <w:iCs/>
          <w:lang w:eastAsia="en-US"/>
        </w:rPr>
        <w:t>esoluciones donde se declaran o se acogen deserciones del proceso. </w:t>
      </w:r>
    </w:p>
    <w:p w14:paraId="09B05E8D" w14:textId="00E4BC4E"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Resoluciones que acojan excepciones previas que pongan fin al proceso.</w:t>
      </w:r>
    </w:p>
    <w:p w14:paraId="6FC38B72" w14:textId="0AAF0F0D" w:rsidR="00073E67" w:rsidRPr="00FC3225" w:rsidRDefault="00073E6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Resoluciones que acojan excepciones de falta de competencia internacional.</w:t>
      </w:r>
    </w:p>
    <w:p w14:paraId="3D493ABD" w14:textId="0A99687C" w:rsidR="00073E67" w:rsidRPr="00FC3225" w:rsidRDefault="00073E6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Además, cualquier otra resolución que ponga fin al proceso.</w:t>
      </w:r>
    </w:p>
    <w:p w14:paraId="2416119D" w14:textId="4F9CA979" w:rsidR="00B334DD" w:rsidRDefault="00BA509F" w:rsidP="00537B3F">
      <w:pPr>
        <w:spacing w:line="276" w:lineRule="auto"/>
        <w:jc w:val="both"/>
        <w:rPr>
          <w:rFonts w:ascii="Book Antiqua" w:eastAsia="Calibri" w:hAnsi="Book Antiqua" w:cs="Arial"/>
          <w:sz w:val="24"/>
          <w:szCs w:val="24"/>
        </w:rPr>
      </w:pPr>
      <w:r w:rsidRPr="00537B3F">
        <w:rPr>
          <w:rFonts w:ascii="Book Antiqua" w:eastAsia="Calibri" w:hAnsi="Book Antiqua" w:cs="Arial"/>
          <w:sz w:val="24"/>
          <w:szCs w:val="24"/>
        </w:rPr>
        <w:t>Po</w:t>
      </w:r>
      <w:r w:rsidR="00FC6422" w:rsidRPr="00537B3F">
        <w:rPr>
          <w:rFonts w:ascii="Book Antiqua" w:eastAsia="Calibri" w:hAnsi="Book Antiqua" w:cs="Arial"/>
          <w:sz w:val="24"/>
          <w:szCs w:val="24"/>
        </w:rPr>
        <w:t>r</w:t>
      </w:r>
      <w:r w:rsidRPr="00537B3F">
        <w:rPr>
          <w:rFonts w:ascii="Book Antiqua" w:eastAsia="Calibri" w:hAnsi="Book Antiqua" w:cs="Arial"/>
          <w:sz w:val="24"/>
          <w:szCs w:val="24"/>
        </w:rPr>
        <w:t xml:space="preserve"> otra </w:t>
      </w:r>
      <w:r w:rsidR="00A5046B" w:rsidRPr="00537B3F">
        <w:rPr>
          <w:rFonts w:ascii="Book Antiqua" w:eastAsia="Calibri" w:hAnsi="Book Antiqua" w:cs="Arial"/>
          <w:sz w:val="24"/>
          <w:szCs w:val="24"/>
        </w:rPr>
        <w:t xml:space="preserve">parte, </w:t>
      </w:r>
      <w:r w:rsidR="00C47EB6">
        <w:rPr>
          <w:rFonts w:ascii="Book Antiqua" w:eastAsia="Calibri" w:hAnsi="Book Antiqua" w:cs="Arial"/>
          <w:sz w:val="24"/>
          <w:szCs w:val="24"/>
        </w:rPr>
        <w:t xml:space="preserve">de las sesiones de trabajo de </w:t>
      </w:r>
      <w:r w:rsidR="00214115" w:rsidRPr="00537B3F">
        <w:rPr>
          <w:rFonts w:ascii="Book Antiqua" w:eastAsia="Calibri" w:hAnsi="Book Antiqua" w:cs="Arial"/>
          <w:sz w:val="24"/>
          <w:szCs w:val="24"/>
        </w:rPr>
        <w:t>la Dirección de Planificación</w:t>
      </w:r>
      <w:r w:rsidR="00330E7E">
        <w:rPr>
          <w:rFonts w:ascii="Book Antiqua" w:eastAsia="Calibri" w:hAnsi="Book Antiqua" w:cs="Arial"/>
          <w:sz w:val="24"/>
          <w:szCs w:val="24"/>
        </w:rPr>
        <w:t xml:space="preserve"> con </w:t>
      </w:r>
      <w:r w:rsidR="00A17068" w:rsidRPr="00A17068">
        <w:rPr>
          <w:rFonts w:ascii="Book Antiqua" w:eastAsia="Calibri" w:hAnsi="Book Antiqua" w:cs="Arial"/>
          <w:sz w:val="24"/>
          <w:szCs w:val="24"/>
        </w:rPr>
        <w:t>el Centro de Apoyo, Coordinación y Mejoramiento de la Función Jurisdiccional y personas juzgadoras de la materia de Familia</w:t>
      </w:r>
      <w:r w:rsidR="00330E7E">
        <w:rPr>
          <w:rFonts w:ascii="Book Antiqua" w:eastAsia="Calibri" w:hAnsi="Book Antiqua" w:cs="Arial"/>
          <w:sz w:val="24"/>
          <w:szCs w:val="24"/>
        </w:rPr>
        <w:t>,</w:t>
      </w:r>
      <w:r w:rsidR="00A17068" w:rsidRPr="00A17068">
        <w:rPr>
          <w:rFonts w:ascii="Book Antiqua" w:eastAsia="Calibri" w:hAnsi="Book Antiqua" w:cs="Arial"/>
          <w:sz w:val="24"/>
          <w:szCs w:val="24"/>
        </w:rPr>
        <w:t xml:space="preserve"> </w:t>
      </w:r>
      <w:r w:rsidR="00330E7E">
        <w:rPr>
          <w:rFonts w:ascii="Book Antiqua" w:eastAsia="Calibri" w:hAnsi="Book Antiqua" w:cs="Arial"/>
          <w:sz w:val="24"/>
          <w:szCs w:val="24"/>
        </w:rPr>
        <w:t xml:space="preserve">se </w:t>
      </w:r>
      <w:r w:rsidR="00A17068" w:rsidRPr="00A17068">
        <w:rPr>
          <w:rFonts w:ascii="Book Antiqua" w:eastAsia="Calibri" w:hAnsi="Book Antiqua" w:cs="Arial"/>
          <w:sz w:val="24"/>
          <w:szCs w:val="24"/>
        </w:rPr>
        <w:t>propuso una adición y aclaración de la circular 260-20</w:t>
      </w:r>
      <w:r w:rsidR="00330E7E">
        <w:rPr>
          <w:rFonts w:ascii="Book Antiqua" w:eastAsia="Calibri" w:hAnsi="Book Antiqua" w:cs="Arial"/>
          <w:sz w:val="24"/>
          <w:szCs w:val="24"/>
        </w:rPr>
        <w:t>20</w:t>
      </w:r>
      <w:r w:rsidR="00A17068" w:rsidRPr="00A17068">
        <w:rPr>
          <w:rFonts w:ascii="Book Antiqua" w:eastAsia="Calibri" w:hAnsi="Book Antiqua" w:cs="Arial"/>
          <w:sz w:val="24"/>
          <w:szCs w:val="24"/>
        </w:rPr>
        <w:t xml:space="preserve"> y construir una propuesta de ampliación de esta (oficio 1090-PLA-MI-2021</w:t>
      </w:r>
      <w:r w:rsidR="00545C67">
        <w:rPr>
          <w:rFonts w:ascii="Book Antiqua" w:eastAsia="Calibri" w:hAnsi="Book Antiqua" w:cs="Arial"/>
          <w:sz w:val="24"/>
          <w:szCs w:val="24"/>
        </w:rPr>
        <w:t>-</w:t>
      </w:r>
      <w:r w:rsidR="00545C67" w:rsidRPr="00CB1B9B">
        <w:rPr>
          <w:rFonts w:ascii="Book Antiqua" w:eastAsia="Calibri" w:hAnsi="Book Antiqua" w:cs="Arial"/>
          <w:b/>
          <w:bCs/>
          <w:sz w:val="24"/>
          <w:szCs w:val="24"/>
        </w:rPr>
        <w:t>circular 244-21</w:t>
      </w:r>
      <w:r w:rsidR="00C302EE">
        <w:rPr>
          <w:rFonts w:ascii="Book Antiqua" w:eastAsia="Calibri" w:hAnsi="Book Antiqua" w:cs="Arial"/>
          <w:sz w:val="24"/>
          <w:szCs w:val="24"/>
        </w:rPr>
        <w:t>)</w:t>
      </w:r>
      <w:r w:rsidR="00B334DD">
        <w:rPr>
          <w:rFonts w:ascii="Book Antiqua" w:eastAsia="Calibri" w:hAnsi="Book Antiqua" w:cs="Arial"/>
          <w:sz w:val="24"/>
          <w:szCs w:val="24"/>
        </w:rPr>
        <w:t xml:space="preserve">; la propuesta fue aprobada </w:t>
      </w:r>
      <w:r w:rsidR="0073220A" w:rsidRPr="0073220A">
        <w:rPr>
          <w:rFonts w:ascii="Book Antiqua" w:eastAsia="Calibri" w:hAnsi="Book Antiqua" w:cs="Arial"/>
          <w:sz w:val="24"/>
          <w:szCs w:val="24"/>
        </w:rPr>
        <w:t>por el Consejo Superior en sesión 96-2021 celebrada el 09 de noviembre del 2021, artículo XLI donde dispuso:</w:t>
      </w:r>
    </w:p>
    <w:p w14:paraId="1DDBCF9E"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r w:rsidRPr="00830FE1">
        <w:rPr>
          <w:rFonts w:ascii="Book Antiqua" w:eastAsia="Times New Roman" w:hAnsi="Book Antiqua" w:cs="Calibri"/>
          <w:i/>
          <w:iCs/>
          <w:lang w:val="es-ES" w:eastAsia="es-ES"/>
        </w:rPr>
        <w:t>“</w:t>
      </w:r>
      <w:r w:rsidRPr="00830FE1">
        <w:rPr>
          <w:rFonts w:ascii="Book Antiqua" w:eastAsia="Times New Roman" w:hAnsi="Book Antiqua" w:cs="Calibri"/>
          <w:b/>
          <w:bCs/>
          <w:i/>
          <w:iCs/>
          <w:lang w:val="es-ES" w:eastAsia="es-ES"/>
        </w:rPr>
        <w:t>Se acordó: 1.)</w:t>
      </w:r>
      <w:r w:rsidRPr="00830FE1">
        <w:rPr>
          <w:rFonts w:ascii="Book Antiqua" w:eastAsia="Times New Roman" w:hAnsi="Book Antiqua" w:cs="Calibri"/>
          <w:i/>
          <w:iCs/>
          <w:lang w:val="es-ES" w:eastAsia="es-ES"/>
        </w:rPr>
        <w:t xml:space="preserve"> Tener por recibido el acuerdo tomado por la Comisión de la Jurisdicción de Familia, Niñez y Adolescencia en sesión virtual N° 16-2021 celebrada el 19 de octubre de 2021, artículo II, remitido por la Magistrada Julia Varela Araya, en su condición de Coordinadora de la citada Comisión. </w:t>
      </w:r>
      <w:r w:rsidRPr="00830FE1">
        <w:rPr>
          <w:rFonts w:ascii="Book Antiqua" w:eastAsia="Times New Roman" w:hAnsi="Book Antiqua" w:cs="Calibri"/>
          <w:b/>
          <w:bCs/>
          <w:i/>
          <w:iCs/>
          <w:lang w:val="es-ES" w:eastAsia="es-ES"/>
        </w:rPr>
        <w:t>2.)</w:t>
      </w:r>
      <w:r w:rsidRPr="00830FE1">
        <w:rPr>
          <w:rFonts w:ascii="Book Antiqua" w:eastAsia="Times New Roman" w:hAnsi="Book Antiqua" w:cs="Calibri"/>
          <w:i/>
          <w:iCs/>
          <w:lang w:val="es-ES" w:eastAsia="es-ES"/>
        </w:rPr>
        <w:t xml:space="preserve"> Aprobar el proyecto de circular propuesto por la Dirección de Planificación para adición y aclaración de la circular 260-2020, en materia de Familia, como parte de las labores asociadas al proyecto 1374-CF-P01“Implementación del Código Procesal de Familia”.</w:t>
      </w:r>
    </w:p>
    <w:p w14:paraId="14B89800"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p>
    <w:p w14:paraId="08ABE2F0"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r w:rsidRPr="00830FE1">
        <w:rPr>
          <w:rFonts w:ascii="Book Antiqua" w:eastAsia="Times New Roman" w:hAnsi="Book Antiqua" w:cs="Calibri"/>
          <w:i/>
          <w:iCs/>
          <w:lang w:val="es-ES" w:eastAsia="es-ES"/>
        </w:rPr>
        <w:t>La Secretaría General de la Corte tomará nota para el trámite de publicación correspondiente. Se declara acuerdo firme.”</w:t>
      </w:r>
    </w:p>
    <w:p w14:paraId="4B791A1F" w14:textId="77777777" w:rsidR="001A31B9" w:rsidRDefault="001A31B9" w:rsidP="0030369F">
      <w:pPr>
        <w:spacing w:line="276" w:lineRule="auto"/>
        <w:jc w:val="both"/>
        <w:rPr>
          <w:rFonts w:ascii="Book Antiqua" w:eastAsia="Calibri" w:hAnsi="Book Antiqua" w:cs="Arial"/>
          <w:sz w:val="24"/>
          <w:szCs w:val="24"/>
        </w:rPr>
      </w:pPr>
    </w:p>
    <w:p w14:paraId="3D5F30F0" w14:textId="4073FD37" w:rsidR="00073E67" w:rsidRPr="00537B3F" w:rsidRDefault="001A31B9" w:rsidP="0014428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Dado lo anterior, la Secretaría General de la Corte, </w:t>
      </w:r>
      <w:r w:rsidR="003F652E">
        <w:rPr>
          <w:rFonts w:ascii="Book Antiqua" w:eastAsia="Calibri" w:hAnsi="Book Antiqua" w:cs="Arial"/>
          <w:sz w:val="24"/>
          <w:szCs w:val="24"/>
        </w:rPr>
        <w:t xml:space="preserve">emitió la circular </w:t>
      </w:r>
      <w:r w:rsidR="00E7082D" w:rsidRPr="00537B3F">
        <w:rPr>
          <w:rFonts w:ascii="Book Antiqua" w:eastAsia="Calibri" w:hAnsi="Book Antiqua" w:cs="Arial"/>
          <w:sz w:val="24"/>
          <w:szCs w:val="24"/>
        </w:rPr>
        <w:t>244-2021</w:t>
      </w:r>
      <w:r w:rsidR="004C77BB">
        <w:rPr>
          <w:rFonts w:ascii="Book Antiqua" w:eastAsia="Calibri" w:hAnsi="Book Antiqua" w:cs="Arial"/>
          <w:sz w:val="24"/>
          <w:szCs w:val="24"/>
        </w:rPr>
        <w:t>,</w:t>
      </w:r>
      <w:r w:rsidR="00E7082D" w:rsidRPr="00537B3F">
        <w:rPr>
          <w:rFonts w:ascii="Book Antiqua" w:eastAsia="Calibri" w:hAnsi="Book Antiqua" w:cs="Arial"/>
          <w:sz w:val="24"/>
          <w:szCs w:val="24"/>
        </w:rPr>
        <w:t xml:space="preserve"> </w:t>
      </w:r>
      <w:r w:rsidR="00C337D0">
        <w:rPr>
          <w:rFonts w:ascii="Book Antiqua" w:eastAsia="Calibri" w:hAnsi="Book Antiqua" w:cs="Arial"/>
          <w:sz w:val="24"/>
          <w:szCs w:val="24"/>
        </w:rPr>
        <w:t>“</w:t>
      </w:r>
      <w:r w:rsidR="00E7082D" w:rsidRPr="005E6770">
        <w:rPr>
          <w:rFonts w:ascii="Book Antiqua" w:eastAsia="Calibri" w:hAnsi="Book Antiqua" w:cs="Arial"/>
          <w:i/>
          <w:iCs/>
          <w:sz w:val="24"/>
          <w:szCs w:val="24"/>
        </w:rPr>
        <w:t>Adición y aclaración de la circular N° 260-2020</w:t>
      </w:r>
      <w:r w:rsidR="004C77BB">
        <w:rPr>
          <w:rFonts w:ascii="Book Antiqua" w:eastAsia="Calibri" w:hAnsi="Book Antiqua" w:cs="Arial"/>
          <w:sz w:val="24"/>
          <w:szCs w:val="24"/>
        </w:rPr>
        <w:t>”</w:t>
      </w:r>
      <w:r w:rsidR="002706C2">
        <w:rPr>
          <w:rFonts w:ascii="Book Antiqua" w:eastAsia="Calibri" w:hAnsi="Book Antiqua" w:cs="Arial"/>
          <w:sz w:val="24"/>
          <w:szCs w:val="24"/>
        </w:rPr>
        <w:t xml:space="preserve"> </w:t>
      </w:r>
      <w:r w:rsidR="00144288" w:rsidRPr="00F60C0B">
        <w:rPr>
          <w:rFonts w:ascii="Book Antiqua" w:eastAsia="Calibri" w:hAnsi="Book Antiqua" w:cs="Arial"/>
          <w:bCs/>
          <w:sz w:val="24"/>
          <w:szCs w:val="24"/>
        </w:rPr>
        <w:t>(</w:t>
      </w:r>
      <w:r w:rsidR="00144288" w:rsidRPr="00F60C0B">
        <w:rPr>
          <w:rFonts w:ascii="Book Antiqua" w:eastAsia="Calibri" w:hAnsi="Book Antiqua" w:cs="Arial"/>
          <w:b/>
          <w:i/>
          <w:iCs/>
          <w:sz w:val="24"/>
          <w:szCs w:val="24"/>
        </w:rPr>
        <w:t>anexo 1</w:t>
      </w:r>
      <w:r w:rsidR="00A120C6">
        <w:rPr>
          <w:rFonts w:ascii="Book Antiqua" w:eastAsia="Calibri" w:hAnsi="Book Antiqua" w:cs="Arial"/>
          <w:b/>
          <w:i/>
          <w:iCs/>
          <w:sz w:val="24"/>
          <w:szCs w:val="24"/>
        </w:rPr>
        <w:t>5</w:t>
      </w:r>
      <w:r w:rsidR="00144288" w:rsidRPr="00F60C0B">
        <w:rPr>
          <w:rFonts w:ascii="Book Antiqua" w:eastAsia="Calibri" w:hAnsi="Book Antiqua" w:cs="Arial"/>
          <w:bCs/>
          <w:sz w:val="24"/>
          <w:szCs w:val="24"/>
        </w:rPr>
        <w:t>)</w:t>
      </w:r>
      <w:r w:rsidR="00144288">
        <w:rPr>
          <w:rFonts w:ascii="Book Antiqua" w:eastAsia="Calibri" w:hAnsi="Book Antiqua" w:cs="Arial"/>
          <w:bCs/>
          <w:sz w:val="24"/>
          <w:szCs w:val="24"/>
        </w:rPr>
        <w:t xml:space="preserve">, </w:t>
      </w:r>
      <w:r w:rsidR="002706C2">
        <w:rPr>
          <w:rFonts w:ascii="Book Antiqua" w:eastAsia="Calibri" w:hAnsi="Book Antiqua" w:cs="Arial"/>
          <w:sz w:val="24"/>
          <w:szCs w:val="24"/>
        </w:rPr>
        <w:t xml:space="preserve">en la que se </w:t>
      </w:r>
      <w:r w:rsidR="002706C2" w:rsidRPr="002706C2">
        <w:rPr>
          <w:rFonts w:ascii="Book Antiqua" w:eastAsia="Calibri" w:hAnsi="Book Antiqua" w:cs="Arial"/>
          <w:sz w:val="24"/>
          <w:szCs w:val="24"/>
        </w:rPr>
        <w:t xml:space="preserve">informa </w:t>
      </w:r>
      <w:r w:rsidR="00D23759" w:rsidRPr="002706C2">
        <w:rPr>
          <w:rFonts w:ascii="Book Antiqua" w:eastAsia="Calibri" w:hAnsi="Book Antiqua" w:cs="Arial"/>
          <w:sz w:val="24"/>
          <w:szCs w:val="24"/>
        </w:rPr>
        <w:t>cuáles</w:t>
      </w:r>
      <w:r w:rsidR="002706C2" w:rsidRPr="002706C2">
        <w:rPr>
          <w:rFonts w:ascii="Book Antiqua" w:eastAsia="Calibri" w:hAnsi="Book Antiqua" w:cs="Arial"/>
          <w:sz w:val="24"/>
          <w:szCs w:val="24"/>
        </w:rPr>
        <w:t xml:space="preserve"> son las únicas resoluciones que se consideran sentencia, por </w:t>
      </w:r>
      <w:r w:rsidR="00FC2636" w:rsidRPr="002706C2">
        <w:rPr>
          <w:rFonts w:ascii="Book Antiqua" w:eastAsia="Calibri" w:hAnsi="Book Antiqua" w:cs="Arial"/>
          <w:sz w:val="24"/>
          <w:szCs w:val="24"/>
        </w:rPr>
        <w:t>ende,</w:t>
      </w:r>
      <w:r w:rsidR="002706C2" w:rsidRPr="002706C2">
        <w:rPr>
          <w:rFonts w:ascii="Book Antiqua" w:eastAsia="Calibri" w:hAnsi="Book Antiqua" w:cs="Arial"/>
          <w:sz w:val="24"/>
          <w:szCs w:val="24"/>
        </w:rPr>
        <w:t xml:space="preserve"> llevan número de voto, registro de resolución y se anotan en el módulo de pase a fallo, siendo las siguiente</w:t>
      </w:r>
      <w:r w:rsidR="00137076">
        <w:rPr>
          <w:rFonts w:ascii="Book Antiqua" w:eastAsia="Calibri" w:hAnsi="Book Antiqua" w:cs="Arial"/>
          <w:sz w:val="24"/>
          <w:szCs w:val="24"/>
        </w:rPr>
        <w:t>s</w:t>
      </w:r>
      <w:r w:rsidR="00344167">
        <w:rPr>
          <w:rFonts w:ascii="Book Antiqua" w:eastAsia="Calibri" w:hAnsi="Book Antiqua" w:cs="Arial"/>
          <w:sz w:val="24"/>
          <w:szCs w:val="24"/>
        </w:rPr>
        <w:t>:</w:t>
      </w:r>
      <w:r w:rsidR="00121D12" w:rsidRPr="00537B3F">
        <w:rPr>
          <w:rFonts w:ascii="Book Antiqua" w:eastAsia="Calibri" w:hAnsi="Book Antiqua" w:cs="Arial"/>
          <w:sz w:val="24"/>
          <w:szCs w:val="24"/>
        </w:rPr>
        <w:t xml:space="preserve"> </w:t>
      </w:r>
      <w:r w:rsidR="00073E67" w:rsidRPr="00537B3F">
        <w:rPr>
          <w:rFonts w:ascii="Book Antiqua" w:eastAsia="Calibri" w:hAnsi="Book Antiqua" w:cs="Arial"/>
          <w:sz w:val="24"/>
          <w:szCs w:val="24"/>
        </w:rPr>
        <w:t> </w:t>
      </w:r>
    </w:p>
    <w:p w14:paraId="6346B089" w14:textId="77777777" w:rsidR="00597E97" w:rsidRDefault="00894BFC" w:rsidP="0090609F">
      <w:pPr>
        <w:pStyle w:val="xmsonormal"/>
        <w:numPr>
          <w:ilvl w:val="0"/>
          <w:numId w:val="19"/>
        </w:numPr>
        <w:tabs>
          <w:tab w:val="left" w:pos="993"/>
        </w:tabs>
        <w:ind w:right="851"/>
        <w:jc w:val="both"/>
        <w:rPr>
          <w:rFonts w:ascii="Book Antiqua" w:eastAsia="Calibri" w:hAnsi="Book Antiqua" w:cs="Arial"/>
          <w:lang w:eastAsia="en-US"/>
        </w:rPr>
      </w:pPr>
      <w:r w:rsidRPr="0060399C">
        <w:rPr>
          <w:rFonts w:ascii="Book Antiqua" w:eastAsia="Calibri" w:hAnsi="Book Antiqua" w:cs="Arial"/>
          <w:lang w:eastAsia="en-US"/>
        </w:rPr>
        <w:t>Sentencias dictadas en cualquier tipo de proceso familiar.</w:t>
      </w:r>
    </w:p>
    <w:p w14:paraId="017EF79A" w14:textId="3AA83D5B" w:rsidR="00894BFC" w:rsidRPr="0060399C" w:rsidRDefault="00894BFC" w:rsidP="0090609F">
      <w:pPr>
        <w:pStyle w:val="xmsonormal"/>
        <w:numPr>
          <w:ilvl w:val="0"/>
          <w:numId w:val="19"/>
        </w:numPr>
        <w:tabs>
          <w:tab w:val="left" w:pos="993"/>
        </w:tabs>
        <w:ind w:right="851"/>
        <w:jc w:val="both"/>
        <w:rPr>
          <w:rFonts w:ascii="Book Antiqua" w:eastAsia="Calibri" w:hAnsi="Book Antiqua" w:cs="Arial"/>
          <w:lang w:eastAsia="en-US"/>
        </w:rPr>
      </w:pPr>
      <w:r w:rsidRPr="0060399C">
        <w:rPr>
          <w:rFonts w:ascii="Book Antiqua" w:eastAsia="Calibri" w:hAnsi="Book Antiqua" w:cs="Arial"/>
          <w:lang w:eastAsia="en-US"/>
        </w:rPr>
        <w:t>Sentencias de homologación de acuerdos conciliatorios judiciales o extrajudiciales.</w:t>
      </w:r>
    </w:p>
    <w:p w14:paraId="7EED78C0" w14:textId="5ABE247F" w:rsidR="00894BFC" w:rsidRPr="00894BFC" w:rsidRDefault="00894BFC" w:rsidP="0090609F">
      <w:pPr>
        <w:pStyle w:val="xmsonormal"/>
        <w:numPr>
          <w:ilvl w:val="0"/>
          <w:numId w:val="19"/>
        </w:numPr>
        <w:ind w:right="851"/>
        <w:jc w:val="both"/>
        <w:rPr>
          <w:rFonts w:ascii="Book Antiqua" w:eastAsia="Calibri" w:hAnsi="Book Antiqua" w:cs="Arial"/>
        </w:rPr>
      </w:pPr>
      <w:r w:rsidRPr="00894BFC">
        <w:rPr>
          <w:rFonts w:ascii="Book Antiqua" w:eastAsia="Calibri" w:hAnsi="Book Antiqua" w:cs="Arial"/>
          <w:lang w:eastAsia="en-US"/>
        </w:rPr>
        <w:t>Aprobación de convenios de divorcio por mutuo consentimiento</w:t>
      </w:r>
      <w:r w:rsidRPr="00894BFC">
        <w:rPr>
          <w:rFonts w:ascii="Book Antiqua" w:eastAsia="Calibri" w:hAnsi="Book Antiqua" w:cs="Arial"/>
        </w:rPr>
        <w:t>.</w:t>
      </w:r>
    </w:p>
    <w:p w14:paraId="773E6B96" w14:textId="7BE07AA6" w:rsidR="00894BFC" w:rsidRPr="00590258"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590258">
        <w:rPr>
          <w:rFonts w:ascii="Book Antiqua" w:eastAsia="Calibri" w:hAnsi="Book Antiqua" w:cs="Arial"/>
          <w:sz w:val="24"/>
          <w:szCs w:val="24"/>
        </w:rPr>
        <w:t>Sentencias en procesos incidentales. Se recomienda que en las incidencias de nulidad las mismas sean tramitadas de manera interlocutoria dentro del proceso principal.</w:t>
      </w:r>
    </w:p>
    <w:p w14:paraId="30B25F64" w14:textId="1BDEA6AE"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Sentencias en procesos de modificación de fallo.</w:t>
      </w:r>
    </w:p>
    <w:p w14:paraId="46024995" w14:textId="59A88B73"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donde se declaran o se acogen deserciones del proceso</w:t>
      </w:r>
    </w:p>
    <w:p w14:paraId="60CDB331" w14:textId="74F64523"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que acojan excepciones previas que pongan fin al proceso.</w:t>
      </w:r>
    </w:p>
    <w:p w14:paraId="61D4A0C1" w14:textId="77777777" w:rsidR="00FF0668"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que acojan excepciones de falta de competencia internacional.</w:t>
      </w:r>
    </w:p>
    <w:p w14:paraId="549784B6" w14:textId="7493B6B1" w:rsidR="000464DA"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Sentencias por procesos de revisión de salvaguardas.</w:t>
      </w:r>
    </w:p>
    <w:p w14:paraId="34FA393E" w14:textId="481E6897" w:rsidR="008C148C" w:rsidRDefault="00FC3225" w:rsidP="0030369F">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Posteriormente, </w:t>
      </w:r>
      <w:r w:rsidR="001A31B9">
        <w:rPr>
          <w:rFonts w:ascii="Book Antiqua" w:eastAsia="Calibri" w:hAnsi="Book Antiqua" w:cs="Arial"/>
          <w:sz w:val="24"/>
          <w:szCs w:val="24"/>
        </w:rPr>
        <w:t>e</w:t>
      </w:r>
      <w:r w:rsidR="00276841">
        <w:rPr>
          <w:rFonts w:ascii="Book Antiqua" w:eastAsia="Calibri" w:hAnsi="Book Antiqua" w:cs="Arial"/>
          <w:sz w:val="24"/>
          <w:szCs w:val="24"/>
        </w:rPr>
        <w:t>n e</w:t>
      </w:r>
      <w:r w:rsidR="001A31B9">
        <w:rPr>
          <w:rFonts w:ascii="Book Antiqua" w:eastAsia="Calibri" w:hAnsi="Book Antiqua" w:cs="Arial"/>
          <w:sz w:val="24"/>
          <w:szCs w:val="24"/>
        </w:rPr>
        <w:t>l</w:t>
      </w:r>
      <w:r w:rsidR="008C0984">
        <w:rPr>
          <w:rFonts w:ascii="Book Antiqua" w:eastAsia="Calibri" w:hAnsi="Book Antiqua" w:cs="Arial"/>
          <w:sz w:val="24"/>
          <w:szCs w:val="24"/>
        </w:rPr>
        <w:t xml:space="preserve"> informe </w:t>
      </w:r>
      <w:r w:rsidR="00EB526A">
        <w:rPr>
          <w:rFonts w:ascii="Book Antiqua" w:eastAsia="Calibri" w:hAnsi="Book Antiqua" w:cs="Arial"/>
          <w:sz w:val="24"/>
          <w:szCs w:val="24"/>
        </w:rPr>
        <w:t>1298-PLA-MI-2021</w:t>
      </w:r>
      <w:r w:rsidR="00A5020A">
        <w:rPr>
          <w:rFonts w:ascii="Book Antiqua" w:eastAsia="Calibri" w:hAnsi="Book Antiqua" w:cs="Arial"/>
          <w:sz w:val="24"/>
          <w:szCs w:val="24"/>
        </w:rPr>
        <w:t xml:space="preserve"> de la Dirección de Planificación</w:t>
      </w:r>
      <w:r w:rsidR="00545C67">
        <w:rPr>
          <w:rStyle w:val="Refdenotaalpie"/>
          <w:rFonts w:ascii="Book Antiqua" w:eastAsia="Calibri" w:hAnsi="Book Antiqua" w:cs="Arial"/>
          <w:sz w:val="24"/>
          <w:szCs w:val="24"/>
        </w:rPr>
        <w:footnoteReference w:id="12"/>
      </w:r>
      <w:r w:rsidR="00A5020A">
        <w:rPr>
          <w:rFonts w:ascii="Book Antiqua" w:eastAsia="Calibri" w:hAnsi="Book Antiqua" w:cs="Arial"/>
          <w:sz w:val="24"/>
          <w:szCs w:val="24"/>
        </w:rPr>
        <w:t xml:space="preserve">, relacionado con </w:t>
      </w:r>
      <w:r w:rsidR="00F41F2B" w:rsidRPr="00F41F2B">
        <w:rPr>
          <w:rFonts w:ascii="Book Antiqua" w:eastAsia="Calibri" w:hAnsi="Book Antiqua" w:cs="Arial"/>
          <w:sz w:val="24"/>
          <w:szCs w:val="24"/>
        </w:rPr>
        <w:t xml:space="preserve">la </w:t>
      </w:r>
      <w:r w:rsidR="007B3EAC">
        <w:rPr>
          <w:rFonts w:ascii="Book Antiqua" w:eastAsia="Calibri" w:hAnsi="Book Antiqua" w:cs="Arial"/>
          <w:sz w:val="24"/>
          <w:szCs w:val="24"/>
        </w:rPr>
        <w:t>“</w:t>
      </w:r>
      <w:r w:rsidR="007B3EAC" w:rsidRPr="001D0C10">
        <w:rPr>
          <w:rFonts w:ascii="Book Antiqua" w:eastAsia="Calibri" w:hAnsi="Book Antiqua" w:cs="Arial"/>
          <w:i/>
          <w:iCs/>
          <w:sz w:val="24"/>
          <w:szCs w:val="24"/>
        </w:rPr>
        <w:t>R</w:t>
      </w:r>
      <w:r w:rsidR="00F41F2B" w:rsidRPr="001D0C10">
        <w:rPr>
          <w:rFonts w:ascii="Book Antiqua" w:eastAsia="Calibri" w:hAnsi="Book Antiqua" w:cs="Arial"/>
          <w:i/>
          <w:iCs/>
          <w:sz w:val="24"/>
          <w:szCs w:val="24"/>
        </w:rPr>
        <w:t xml:space="preserve">evisión de la cuota de trabajo de las personas juzgadoras en materia de Familia, registro en la matriz de indicadores y propuesta de </w:t>
      </w:r>
      <w:r w:rsidR="007B3EAC" w:rsidRPr="001D0C10">
        <w:rPr>
          <w:rFonts w:ascii="Book Antiqua" w:eastAsia="Calibri" w:hAnsi="Book Antiqua" w:cs="Arial"/>
          <w:i/>
          <w:iCs/>
          <w:sz w:val="24"/>
          <w:szCs w:val="24"/>
        </w:rPr>
        <w:t>inclusión de dos</w:t>
      </w:r>
      <w:r w:rsidR="00F41F2B" w:rsidRPr="001D0C10">
        <w:rPr>
          <w:rFonts w:ascii="Book Antiqua" w:eastAsia="Calibri" w:hAnsi="Book Antiqua" w:cs="Arial"/>
          <w:i/>
          <w:iCs/>
          <w:sz w:val="24"/>
          <w:szCs w:val="24"/>
        </w:rPr>
        <w:t xml:space="preserve"> indicador</w:t>
      </w:r>
      <w:r w:rsidR="007B3EAC" w:rsidRPr="001D0C10">
        <w:rPr>
          <w:rFonts w:ascii="Book Antiqua" w:eastAsia="Calibri" w:hAnsi="Book Antiqua" w:cs="Arial"/>
          <w:i/>
          <w:iCs/>
          <w:sz w:val="24"/>
          <w:szCs w:val="24"/>
        </w:rPr>
        <w:t>es:</w:t>
      </w:r>
      <w:r w:rsidR="00F41F2B" w:rsidRPr="001D0C10">
        <w:rPr>
          <w:rFonts w:ascii="Book Antiqua" w:eastAsia="Calibri" w:hAnsi="Book Antiqua" w:cs="Arial"/>
          <w:i/>
          <w:iCs/>
          <w:sz w:val="24"/>
          <w:szCs w:val="24"/>
        </w:rPr>
        <w:t xml:space="preserve"> terminados y sentencias</w:t>
      </w:r>
      <w:r w:rsidR="00142F13" w:rsidRPr="001D0C10">
        <w:rPr>
          <w:rFonts w:ascii="Book Antiqua" w:eastAsia="Calibri" w:hAnsi="Book Antiqua" w:cs="Arial"/>
          <w:i/>
          <w:iCs/>
          <w:sz w:val="24"/>
          <w:szCs w:val="24"/>
        </w:rPr>
        <w:t>-au</w:t>
      </w:r>
      <w:r w:rsidR="00F41F2B" w:rsidRPr="001D0C10">
        <w:rPr>
          <w:rFonts w:ascii="Book Antiqua" w:eastAsia="Calibri" w:hAnsi="Book Antiqua" w:cs="Arial"/>
          <w:i/>
          <w:iCs/>
          <w:sz w:val="24"/>
          <w:szCs w:val="24"/>
        </w:rPr>
        <w:t>tosentencias</w:t>
      </w:r>
      <w:r w:rsidR="00142F13" w:rsidRPr="001D0C10">
        <w:rPr>
          <w:rFonts w:ascii="Book Antiqua" w:eastAsia="Calibri" w:hAnsi="Book Antiqua" w:cs="Arial"/>
          <w:i/>
          <w:iCs/>
          <w:sz w:val="24"/>
          <w:szCs w:val="24"/>
        </w:rPr>
        <w:t xml:space="preserve"> por Jueza o Juez</w:t>
      </w:r>
      <w:r w:rsidR="00142F13">
        <w:rPr>
          <w:rFonts w:ascii="Book Antiqua" w:eastAsia="Calibri" w:hAnsi="Book Antiqua" w:cs="Arial"/>
          <w:sz w:val="24"/>
          <w:szCs w:val="24"/>
        </w:rPr>
        <w:t>”</w:t>
      </w:r>
      <w:r w:rsidR="0030369F">
        <w:rPr>
          <w:rFonts w:ascii="Book Antiqua" w:eastAsia="Calibri" w:hAnsi="Book Antiqua" w:cs="Arial"/>
          <w:sz w:val="24"/>
          <w:szCs w:val="24"/>
        </w:rPr>
        <w:t xml:space="preserve">, </w:t>
      </w:r>
      <w:r w:rsidR="001C4EC0">
        <w:rPr>
          <w:rFonts w:ascii="Book Antiqua" w:eastAsia="Calibri" w:hAnsi="Book Antiqua" w:cs="Arial"/>
          <w:sz w:val="24"/>
          <w:szCs w:val="24"/>
        </w:rPr>
        <w:t xml:space="preserve">se </w:t>
      </w:r>
      <w:r w:rsidR="00276841">
        <w:rPr>
          <w:rFonts w:ascii="Book Antiqua" w:eastAsia="Calibri" w:hAnsi="Book Antiqua" w:cs="Arial"/>
          <w:sz w:val="24"/>
          <w:szCs w:val="24"/>
        </w:rPr>
        <w:t xml:space="preserve">establecen </w:t>
      </w:r>
      <w:r w:rsidR="001C4EC0" w:rsidRPr="001C4EC0">
        <w:rPr>
          <w:rFonts w:ascii="Book Antiqua" w:eastAsia="Calibri" w:hAnsi="Book Antiqua" w:cs="Arial"/>
          <w:sz w:val="24"/>
          <w:szCs w:val="24"/>
        </w:rPr>
        <w:t xml:space="preserve">dos indicadores de la cuota de trabajo </w:t>
      </w:r>
      <w:r w:rsidR="00D634AD">
        <w:rPr>
          <w:rFonts w:ascii="Book Antiqua" w:eastAsia="Calibri" w:hAnsi="Book Antiqua" w:cs="Arial"/>
          <w:sz w:val="24"/>
          <w:szCs w:val="24"/>
        </w:rPr>
        <w:t xml:space="preserve">para las personas juzgadoras, </w:t>
      </w:r>
      <w:r w:rsidR="001C4EC0" w:rsidRPr="001C4EC0">
        <w:rPr>
          <w:rFonts w:ascii="Book Antiqua" w:eastAsia="Calibri" w:hAnsi="Book Antiqua" w:cs="Arial"/>
          <w:sz w:val="24"/>
          <w:szCs w:val="24"/>
        </w:rPr>
        <w:t>uno de terminados por plaza</w:t>
      </w:r>
      <w:r w:rsidR="00D23759">
        <w:rPr>
          <w:rFonts w:ascii="Book Antiqua" w:eastAsia="Calibri" w:hAnsi="Book Antiqua" w:cs="Arial"/>
          <w:sz w:val="24"/>
          <w:szCs w:val="24"/>
        </w:rPr>
        <w:t xml:space="preserve"> donde se mantiene la misma cuota utilizada desde el 2020</w:t>
      </w:r>
      <w:r w:rsidR="001C4EC0" w:rsidRPr="001C4EC0">
        <w:rPr>
          <w:rFonts w:ascii="Book Antiqua" w:eastAsia="Calibri" w:hAnsi="Book Antiqua" w:cs="Arial"/>
          <w:sz w:val="24"/>
          <w:szCs w:val="24"/>
        </w:rPr>
        <w:t xml:space="preserve"> y otro de sentencias-autosentencias </w:t>
      </w:r>
      <w:r w:rsidR="008B343F">
        <w:rPr>
          <w:rFonts w:ascii="Book Antiqua" w:eastAsia="Calibri" w:hAnsi="Book Antiqua" w:cs="Arial"/>
          <w:sz w:val="24"/>
          <w:szCs w:val="24"/>
        </w:rPr>
        <w:t>que c</w:t>
      </w:r>
      <w:r w:rsidR="001C4EC0" w:rsidRPr="001C4EC0">
        <w:rPr>
          <w:rFonts w:ascii="Book Antiqua" w:eastAsia="Calibri" w:hAnsi="Book Antiqua" w:cs="Arial"/>
          <w:sz w:val="24"/>
          <w:szCs w:val="24"/>
        </w:rPr>
        <w:t>ontempl</w:t>
      </w:r>
      <w:r w:rsidR="008B343F">
        <w:rPr>
          <w:rFonts w:ascii="Book Antiqua" w:eastAsia="Calibri" w:hAnsi="Book Antiqua" w:cs="Arial"/>
          <w:sz w:val="24"/>
          <w:szCs w:val="24"/>
        </w:rPr>
        <w:t>a</w:t>
      </w:r>
      <w:r w:rsidR="001C4EC0" w:rsidRPr="001C4EC0">
        <w:rPr>
          <w:rFonts w:ascii="Book Antiqua" w:eastAsia="Calibri" w:hAnsi="Book Antiqua" w:cs="Arial"/>
          <w:sz w:val="24"/>
          <w:szCs w:val="24"/>
        </w:rPr>
        <w:t xml:space="preserve"> </w:t>
      </w:r>
      <w:r w:rsidR="001271E4" w:rsidRPr="001271E4">
        <w:rPr>
          <w:rFonts w:ascii="Book Antiqua" w:eastAsia="Calibri" w:hAnsi="Book Antiqua" w:cs="Arial"/>
          <w:sz w:val="24"/>
          <w:szCs w:val="24"/>
        </w:rPr>
        <w:t xml:space="preserve"> </w:t>
      </w:r>
      <w:r w:rsidR="001271E4" w:rsidRPr="00612E7C">
        <w:rPr>
          <w:rFonts w:ascii="Book Antiqua" w:eastAsia="Calibri" w:hAnsi="Book Antiqua" w:cs="Arial"/>
          <w:b/>
          <w:sz w:val="24"/>
          <w:szCs w:val="24"/>
          <w:u w:val="single"/>
        </w:rPr>
        <w:t>60 terminados</w:t>
      </w:r>
      <w:r w:rsidR="00DD20A7">
        <w:rPr>
          <w:rFonts w:ascii="Book Antiqua" w:eastAsia="Calibri" w:hAnsi="Book Antiqua" w:cs="Arial"/>
          <w:sz w:val="24"/>
          <w:szCs w:val="24"/>
        </w:rPr>
        <w:t>; l</w:t>
      </w:r>
      <w:r w:rsidR="00DD20A7" w:rsidRPr="00DD20A7">
        <w:rPr>
          <w:rFonts w:ascii="Book Antiqua" w:eastAsia="Calibri" w:hAnsi="Book Antiqua" w:cs="Arial"/>
          <w:sz w:val="24"/>
          <w:szCs w:val="24"/>
        </w:rPr>
        <w:t xml:space="preserve">o que se considera sentencia </w:t>
      </w:r>
      <w:r w:rsidR="005B3625">
        <w:rPr>
          <w:rFonts w:ascii="Book Antiqua" w:eastAsia="Calibri" w:hAnsi="Book Antiqua" w:cs="Arial"/>
          <w:sz w:val="24"/>
          <w:szCs w:val="24"/>
        </w:rPr>
        <w:t>está establecido en</w:t>
      </w:r>
      <w:r w:rsidR="00142F13">
        <w:rPr>
          <w:rFonts w:ascii="Book Antiqua" w:eastAsia="Calibri" w:hAnsi="Book Antiqua" w:cs="Arial"/>
          <w:sz w:val="24"/>
          <w:szCs w:val="24"/>
        </w:rPr>
        <w:t xml:space="preserve"> </w:t>
      </w:r>
      <w:r w:rsidR="00DD20A7" w:rsidRPr="00DD20A7">
        <w:rPr>
          <w:rFonts w:ascii="Book Antiqua" w:eastAsia="Calibri" w:hAnsi="Book Antiqua" w:cs="Arial"/>
          <w:sz w:val="24"/>
          <w:szCs w:val="24"/>
        </w:rPr>
        <w:t>la</w:t>
      </w:r>
      <w:r w:rsidR="00DD20A7">
        <w:rPr>
          <w:rFonts w:ascii="Book Antiqua" w:eastAsia="Calibri" w:hAnsi="Book Antiqua" w:cs="Arial"/>
          <w:sz w:val="24"/>
          <w:szCs w:val="24"/>
        </w:rPr>
        <w:t>s</w:t>
      </w:r>
      <w:r w:rsidR="00DD20A7" w:rsidRPr="00DD20A7">
        <w:rPr>
          <w:rFonts w:ascii="Book Antiqua" w:eastAsia="Calibri" w:hAnsi="Book Antiqua" w:cs="Arial"/>
          <w:sz w:val="24"/>
          <w:szCs w:val="24"/>
        </w:rPr>
        <w:t xml:space="preserve"> circular</w:t>
      </w:r>
      <w:r w:rsidR="00DD20A7">
        <w:rPr>
          <w:rFonts w:ascii="Book Antiqua" w:eastAsia="Calibri" w:hAnsi="Book Antiqua" w:cs="Arial"/>
          <w:sz w:val="24"/>
          <w:szCs w:val="24"/>
        </w:rPr>
        <w:t>es</w:t>
      </w:r>
      <w:r w:rsidR="00DD20A7" w:rsidRPr="00DD20A7">
        <w:rPr>
          <w:rFonts w:ascii="Book Antiqua" w:eastAsia="Calibri" w:hAnsi="Book Antiqua" w:cs="Arial"/>
          <w:sz w:val="24"/>
          <w:szCs w:val="24"/>
        </w:rPr>
        <w:t xml:space="preserve"> 260-2020</w:t>
      </w:r>
      <w:r w:rsidR="00DD20A7">
        <w:rPr>
          <w:rFonts w:ascii="Book Antiqua" w:eastAsia="Calibri" w:hAnsi="Book Antiqua" w:cs="Arial"/>
          <w:sz w:val="24"/>
          <w:szCs w:val="24"/>
        </w:rPr>
        <w:t xml:space="preserve"> y 244-202</w:t>
      </w:r>
      <w:r w:rsidR="00E12541">
        <w:rPr>
          <w:rFonts w:ascii="Book Antiqua" w:eastAsia="Calibri" w:hAnsi="Book Antiqua" w:cs="Arial"/>
          <w:sz w:val="24"/>
          <w:szCs w:val="24"/>
        </w:rPr>
        <w:t>1</w:t>
      </w:r>
      <w:r w:rsidR="00142F13">
        <w:rPr>
          <w:rFonts w:ascii="Book Antiqua" w:eastAsia="Calibri" w:hAnsi="Book Antiqua" w:cs="Arial"/>
          <w:sz w:val="24"/>
          <w:szCs w:val="24"/>
        </w:rPr>
        <w:t xml:space="preserve"> de la Secretaría General de la Corte</w:t>
      </w:r>
      <w:r w:rsidR="00E12541">
        <w:rPr>
          <w:rFonts w:ascii="Book Antiqua" w:eastAsia="Calibri" w:hAnsi="Book Antiqua" w:cs="Arial"/>
          <w:sz w:val="24"/>
          <w:szCs w:val="24"/>
        </w:rPr>
        <w:t>.</w:t>
      </w:r>
    </w:p>
    <w:p w14:paraId="17A12669" w14:textId="754B4AC8" w:rsidR="00E12541" w:rsidRDefault="00E12541" w:rsidP="0030369F">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detalla </w:t>
      </w:r>
      <w:r w:rsidR="00407D7F">
        <w:rPr>
          <w:rFonts w:ascii="Book Antiqua" w:eastAsia="Calibri" w:hAnsi="Book Antiqua" w:cs="Arial"/>
          <w:sz w:val="24"/>
          <w:szCs w:val="24"/>
        </w:rPr>
        <w:t xml:space="preserve">la composición de la </w:t>
      </w:r>
      <w:r w:rsidR="00407D7F" w:rsidRPr="00612E7C">
        <w:rPr>
          <w:rFonts w:ascii="Book Antiqua" w:eastAsia="Calibri" w:hAnsi="Book Antiqua" w:cs="Arial"/>
          <w:b/>
          <w:sz w:val="24"/>
          <w:szCs w:val="24"/>
          <w:u w:val="single"/>
        </w:rPr>
        <w:t xml:space="preserve">cuota de 60 </w:t>
      </w:r>
      <w:r w:rsidR="00EA60DB" w:rsidRPr="00612E7C">
        <w:rPr>
          <w:rFonts w:ascii="Book Antiqua" w:eastAsia="Calibri" w:hAnsi="Book Antiqua" w:cs="Arial"/>
          <w:b/>
          <w:sz w:val="24"/>
          <w:szCs w:val="24"/>
          <w:u w:val="single"/>
        </w:rPr>
        <w:t>terminados por sentencia-autosentencia</w:t>
      </w:r>
      <w:r w:rsidR="00EA60DB">
        <w:rPr>
          <w:rFonts w:ascii="Book Antiqua" w:eastAsia="Calibri" w:hAnsi="Book Antiqua" w:cs="Arial"/>
          <w:sz w:val="24"/>
          <w:szCs w:val="24"/>
        </w:rPr>
        <w:t>:</w:t>
      </w:r>
    </w:p>
    <w:p w14:paraId="7A08C9E9" w14:textId="77777777" w:rsidR="00035DA0" w:rsidRPr="00035DA0" w:rsidRDefault="007175F0" w:rsidP="0090609F">
      <w:pPr>
        <w:pStyle w:val="Prrafodelista"/>
        <w:numPr>
          <w:ilvl w:val="0"/>
          <w:numId w:val="20"/>
        </w:numPr>
        <w:rPr>
          <w:rFonts w:ascii="Book Antiqua" w:eastAsia="Calibri" w:hAnsi="Book Antiqua" w:cs="Arial"/>
          <w:sz w:val="24"/>
          <w:szCs w:val="24"/>
        </w:rPr>
      </w:pPr>
      <w:r w:rsidRPr="00035DA0">
        <w:rPr>
          <w:rFonts w:ascii="Book Antiqua" w:eastAsia="Calibri" w:hAnsi="Book Antiqua" w:cs="Arial"/>
          <w:sz w:val="24"/>
          <w:szCs w:val="24"/>
        </w:rPr>
        <w:t xml:space="preserve">23 </w:t>
      </w:r>
      <w:r w:rsidR="00EB3413" w:rsidRPr="00035DA0">
        <w:rPr>
          <w:rFonts w:ascii="Book Antiqua" w:eastAsia="Calibri" w:hAnsi="Book Antiqua" w:cs="Arial"/>
          <w:sz w:val="24"/>
          <w:szCs w:val="24"/>
        </w:rPr>
        <w:t>asuntos terminados</w:t>
      </w:r>
      <w:r w:rsidR="00035DA0" w:rsidRPr="00035DA0">
        <w:rPr>
          <w:rFonts w:ascii="Book Antiqua" w:eastAsia="Calibri" w:hAnsi="Book Antiqua" w:cs="Arial"/>
          <w:sz w:val="24"/>
          <w:szCs w:val="24"/>
        </w:rPr>
        <w:t xml:space="preserve"> por divorcio o separación por mutuo consentimiento</w:t>
      </w:r>
    </w:p>
    <w:p w14:paraId="506FC345" w14:textId="2B456F23" w:rsidR="00EB3413" w:rsidRDefault="0010096E"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16 por</w:t>
      </w:r>
      <w:r w:rsidR="00035DA0">
        <w:rPr>
          <w:rFonts w:ascii="Book Antiqua" w:eastAsia="Calibri" w:hAnsi="Book Antiqua" w:cs="Arial"/>
          <w:sz w:val="24"/>
          <w:szCs w:val="24"/>
        </w:rPr>
        <w:t xml:space="preserve"> </w:t>
      </w:r>
      <w:r w:rsidR="00242181" w:rsidRPr="00242181">
        <w:rPr>
          <w:rFonts w:ascii="Book Antiqua" w:eastAsia="Calibri" w:hAnsi="Book Antiqua" w:cs="Arial"/>
          <w:sz w:val="24"/>
          <w:szCs w:val="24"/>
        </w:rPr>
        <w:t>sentencia dictada</w:t>
      </w:r>
    </w:p>
    <w:p w14:paraId="312B6FE8" w14:textId="21B9878C" w:rsidR="0010096E" w:rsidRDefault="007A7FF6"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5 sentencias</w:t>
      </w:r>
      <w:r w:rsidR="00242181">
        <w:rPr>
          <w:rFonts w:ascii="Book Antiqua" w:eastAsia="Calibri" w:hAnsi="Book Antiqua" w:cs="Arial"/>
          <w:sz w:val="24"/>
          <w:szCs w:val="24"/>
        </w:rPr>
        <w:t xml:space="preserve"> </w:t>
      </w:r>
      <w:r w:rsidR="007C77AA" w:rsidRPr="007C77AA">
        <w:rPr>
          <w:rFonts w:ascii="Book Antiqua" w:eastAsia="Calibri" w:hAnsi="Book Antiqua" w:cs="Arial"/>
          <w:sz w:val="24"/>
          <w:szCs w:val="24"/>
        </w:rPr>
        <w:t>homologatorias</w:t>
      </w:r>
    </w:p>
    <w:p w14:paraId="05C956F8" w14:textId="75E220E8" w:rsidR="007A7FF6" w:rsidRDefault="00970EB4"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13 sentencias</w:t>
      </w:r>
      <w:r w:rsidR="007C77AA">
        <w:rPr>
          <w:rFonts w:ascii="Book Antiqua" w:eastAsia="Calibri" w:hAnsi="Book Antiqua" w:cs="Arial"/>
          <w:sz w:val="24"/>
          <w:szCs w:val="24"/>
        </w:rPr>
        <w:t xml:space="preserve"> </w:t>
      </w:r>
      <w:r w:rsidR="002F24B6" w:rsidRPr="002F24B6">
        <w:rPr>
          <w:rFonts w:ascii="Book Antiqua" w:eastAsia="Calibri" w:hAnsi="Book Antiqua" w:cs="Arial"/>
          <w:sz w:val="24"/>
          <w:szCs w:val="24"/>
        </w:rPr>
        <w:t>de segunda instancia</w:t>
      </w:r>
    </w:p>
    <w:p w14:paraId="71DB4A4B" w14:textId="528CE009" w:rsidR="00970EB4" w:rsidRDefault="00137CE8"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 sentencia</w:t>
      </w:r>
      <w:r w:rsidR="002F24B6">
        <w:rPr>
          <w:rFonts w:ascii="Book Antiqua" w:eastAsia="Calibri" w:hAnsi="Book Antiqua" w:cs="Arial"/>
          <w:sz w:val="24"/>
          <w:szCs w:val="24"/>
        </w:rPr>
        <w:t xml:space="preserve"> </w:t>
      </w:r>
      <w:r w:rsidR="00503A24" w:rsidRPr="00503A24">
        <w:rPr>
          <w:rFonts w:ascii="Book Antiqua" w:eastAsia="Calibri" w:hAnsi="Book Antiqua" w:cs="Arial"/>
          <w:sz w:val="24"/>
          <w:szCs w:val="24"/>
        </w:rPr>
        <w:t>en incidentes</w:t>
      </w:r>
    </w:p>
    <w:p w14:paraId="6906111D" w14:textId="199B7F5D" w:rsidR="00137CE8" w:rsidRDefault="002548CE"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2 autosen</w:t>
      </w:r>
      <w:r w:rsidR="00B758E0">
        <w:rPr>
          <w:rFonts w:ascii="Book Antiqua" w:eastAsia="Calibri" w:hAnsi="Book Antiqua" w:cs="Arial"/>
          <w:sz w:val="24"/>
          <w:szCs w:val="24"/>
        </w:rPr>
        <w:t xml:space="preserve">tencias </w:t>
      </w:r>
      <w:r w:rsidR="00935344">
        <w:rPr>
          <w:rFonts w:ascii="Book Antiqua" w:eastAsia="Calibri" w:hAnsi="Book Antiqua" w:cs="Arial"/>
          <w:sz w:val="24"/>
          <w:szCs w:val="24"/>
        </w:rPr>
        <w:t>(</w:t>
      </w:r>
      <w:r w:rsidR="00A60936" w:rsidRPr="00A60936">
        <w:rPr>
          <w:rFonts w:ascii="Book Antiqua" w:eastAsia="Calibri" w:hAnsi="Book Antiqua" w:cs="Arial"/>
          <w:sz w:val="24"/>
          <w:szCs w:val="24"/>
        </w:rPr>
        <w:t>los terminados únicamente por deserción, excepción previa, incompetencia internacional cuando se acoge).</w:t>
      </w:r>
    </w:p>
    <w:p w14:paraId="0C34F096" w14:textId="6610C903" w:rsidR="00144288" w:rsidRDefault="00276841" w:rsidP="00276841">
      <w:pPr>
        <w:spacing w:line="276" w:lineRule="auto"/>
        <w:jc w:val="both"/>
        <w:rPr>
          <w:rFonts w:ascii="Book Antiqua" w:hAnsi="Book Antiqua" w:cs="Calibri"/>
          <w:color w:val="000000"/>
          <w:sz w:val="24"/>
          <w:szCs w:val="24"/>
        </w:rPr>
      </w:pPr>
      <w:r>
        <w:rPr>
          <w:rFonts w:ascii="Book Antiqua" w:hAnsi="Book Antiqua" w:cs="Calibri"/>
          <w:color w:val="000000"/>
          <w:sz w:val="24"/>
          <w:szCs w:val="24"/>
        </w:rPr>
        <w:t xml:space="preserve">En resumen </w:t>
      </w:r>
      <w:r w:rsidRPr="00276841">
        <w:rPr>
          <w:rFonts w:ascii="Book Antiqua" w:hAnsi="Book Antiqua" w:cs="Calibri"/>
          <w:color w:val="000000"/>
          <w:sz w:val="24"/>
          <w:szCs w:val="24"/>
        </w:rPr>
        <w:t>e</w:t>
      </w:r>
      <w:r>
        <w:rPr>
          <w:rFonts w:ascii="Book Antiqua" w:hAnsi="Book Antiqua" w:cs="Calibri"/>
          <w:color w:val="000000"/>
          <w:sz w:val="24"/>
          <w:szCs w:val="24"/>
        </w:rPr>
        <w:t>l</w:t>
      </w:r>
      <w:r w:rsidRPr="00276841">
        <w:rPr>
          <w:rFonts w:ascii="Book Antiqua" w:hAnsi="Book Antiqua" w:cs="Calibri"/>
          <w:color w:val="000000"/>
          <w:sz w:val="24"/>
          <w:szCs w:val="24"/>
        </w:rPr>
        <w:t xml:space="preserve"> indicador de terminados por plaza de Jueza o Juez </w:t>
      </w:r>
      <w:r w:rsidR="00D23759">
        <w:rPr>
          <w:rFonts w:ascii="Book Antiqua" w:hAnsi="Book Antiqua" w:cs="Calibri"/>
          <w:color w:val="000000"/>
          <w:sz w:val="24"/>
          <w:szCs w:val="24"/>
        </w:rPr>
        <w:t xml:space="preserve">se mantiene en </w:t>
      </w:r>
      <w:r w:rsidRPr="00276841">
        <w:rPr>
          <w:rFonts w:ascii="Book Antiqua" w:hAnsi="Book Antiqua" w:cs="Calibri"/>
          <w:color w:val="000000"/>
          <w:sz w:val="24"/>
          <w:szCs w:val="24"/>
        </w:rPr>
        <w:t>77</w:t>
      </w:r>
      <w:r w:rsidR="00D23759">
        <w:rPr>
          <w:rFonts w:ascii="Book Antiqua" w:hAnsi="Book Antiqua" w:cs="Calibri"/>
          <w:color w:val="000000"/>
          <w:sz w:val="24"/>
          <w:szCs w:val="24"/>
        </w:rPr>
        <w:t xml:space="preserve"> por mes </w:t>
      </w:r>
      <w:r w:rsidR="003E74E4">
        <w:rPr>
          <w:rFonts w:ascii="Book Antiqua" w:hAnsi="Book Antiqua" w:cs="Calibri"/>
          <w:color w:val="000000"/>
          <w:sz w:val="24"/>
          <w:szCs w:val="24"/>
        </w:rPr>
        <w:t>y</w:t>
      </w:r>
      <w:r>
        <w:rPr>
          <w:rFonts w:ascii="Book Antiqua" w:hAnsi="Book Antiqua" w:cs="Calibri"/>
          <w:color w:val="000000"/>
          <w:sz w:val="24"/>
          <w:szCs w:val="24"/>
        </w:rPr>
        <w:t xml:space="preserve"> la cuota de terminados por sentencia-autosentencia</w:t>
      </w:r>
      <w:r w:rsidR="00D23759">
        <w:rPr>
          <w:rFonts w:ascii="Book Antiqua" w:hAnsi="Book Antiqua" w:cs="Calibri"/>
          <w:color w:val="000000"/>
          <w:sz w:val="24"/>
          <w:szCs w:val="24"/>
        </w:rPr>
        <w:t xml:space="preserve"> es de 60</w:t>
      </w:r>
      <w:r w:rsidR="005C0591">
        <w:rPr>
          <w:rFonts w:ascii="Book Antiqua" w:hAnsi="Book Antiqua" w:cs="Calibri"/>
          <w:color w:val="000000"/>
          <w:sz w:val="24"/>
          <w:szCs w:val="24"/>
        </w:rPr>
        <w:t xml:space="preserve"> por mes por plaza</w:t>
      </w:r>
      <w:r w:rsidR="00545C67">
        <w:rPr>
          <w:rFonts w:ascii="Book Antiqua" w:hAnsi="Book Antiqua" w:cs="Calibri"/>
          <w:color w:val="000000"/>
          <w:sz w:val="24"/>
          <w:szCs w:val="24"/>
        </w:rPr>
        <w:t xml:space="preserve"> </w:t>
      </w:r>
      <w:r w:rsidR="005C0591">
        <w:rPr>
          <w:rFonts w:ascii="Book Antiqua" w:hAnsi="Book Antiqua" w:cs="Calibri"/>
          <w:color w:val="000000"/>
          <w:sz w:val="24"/>
          <w:szCs w:val="24"/>
        </w:rPr>
        <w:t>en despachos especializados</w:t>
      </w:r>
      <w:r w:rsidR="00545C67">
        <w:rPr>
          <w:rFonts w:ascii="Book Antiqua" w:hAnsi="Book Antiqua" w:cs="Calibri"/>
          <w:color w:val="000000"/>
          <w:sz w:val="24"/>
          <w:szCs w:val="24"/>
        </w:rPr>
        <w:t xml:space="preserve"> únicamente para efectos de cálculo de rendimiento por persona</w:t>
      </w:r>
      <w:r w:rsidR="005C0591">
        <w:rPr>
          <w:rFonts w:ascii="Book Antiqua" w:hAnsi="Book Antiqua" w:cs="Calibri"/>
          <w:color w:val="000000"/>
          <w:sz w:val="24"/>
          <w:szCs w:val="24"/>
        </w:rPr>
        <w:t xml:space="preserve">. En despachos mixtos se ajusta la cuota según proporción de la entrada en materia de Familia. </w:t>
      </w:r>
    </w:p>
    <w:p w14:paraId="3CCC9029" w14:textId="15725FED" w:rsidR="00B20487" w:rsidRPr="00144288" w:rsidRDefault="00B20487" w:rsidP="00144288">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144288">
        <w:rPr>
          <w:rFonts w:ascii="Book Antiqua" w:eastAsiaTheme="majorEastAsia" w:hAnsi="Book Antiqua" w:cstheme="majorBidi"/>
          <w:b/>
          <w:color w:val="1F3864" w:themeColor="accent1" w:themeShade="80"/>
          <w:sz w:val="24"/>
          <w:lang w:val="es-ES"/>
        </w:rPr>
        <w:t xml:space="preserve">Impacto del Código Procesal de Familia a partir del </w:t>
      </w:r>
      <w:r w:rsidR="00545C67">
        <w:rPr>
          <w:rFonts w:ascii="Book Antiqua" w:eastAsiaTheme="majorEastAsia" w:hAnsi="Book Antiqua" w:cstheme="majorBidi"/>
          <w:b/>
          <w:color w:val="1F3864" w:themeColor="accent1" w:themeShade="80"/>
          <w:sz w:val="24"/>
          <w:lang w:val="es-ES"/>
        </w:rPr>
        <w:t>1</w:t>
      </w:r>
      <w:r w:rsidRPr="00144288">
        <w:rPr>
          <w:rFonts w:ascii="Book Antiqua" w:eastAsiaTheme="majorEastAsia" w:hAnsi="Book Antiqua" w:cstheme="majorBidi"/>
          <w:b/>
          <w:color w:val="1F3864" w:themeColor="accent1" w:themeShade="80"/>
          <w:sz w:val="24"/>
          <w:lang w:val="es-ES"/>
        </w:rPr>
        <w:t xml:space="preserve"> de octubre de 202</w:t>
      </w:r>
      <w:r w:rsidR="00CB1B9B">
        <w:rPr>
          <w:rFonts w:ascii="Book Antiqua" w:eastAsiaTheme="majorEastAsia" w:hAnsi="Book Antiqua" w:cstheme="majorBidi"/>
          <w:b/>
          <w:color w:val="1F3864" w:themeColor="accent1" w:themeShade="80"/>
          <w:sz w:val="24"/>
          <w:lang w:val="es-ES"/>
        </w:rPr>
        <w:t>4</w:t>
      </w:r>
      <w:r w:rsidRPr="00144288">
        <w:rPr>
          <w:rFonts w:ascii="Book Antiqua" w:eastAsiaTheme="majorEastAsia" w:hAnsi="Book Antiqua" w:cstheme="majorBidi"/>
          <w:b/>
          <w:color w:val="1F3864" w:themeColor="accent1" w:themeShade="80"/>
          <w:sz w:val="24"/>
          <w:lang w:val="es-ES"/>
        </w:rPr>
        <w:t xml:space="preserve"> en materia de Familia</w:t>
      </w:r>
      <w:r w:rsidR="00545C67">
        <w:rPr>
          <w:rFonts w:ascii="Book Antiqua" w:eastAsiaTheme="majorEastAsia" w:hAnsi="Book Antiqua" w:cstheme="majorBidi"/>
          <w:b/>
          <w:color w:val="1F3864" w:themeColor="accent1" w:themeShade="80"/>
          <w:sz w:val="24"/>
          <w:lang w:val="es-ES"/>
        </w:rPr>
        <w:t>-Primera Instancia</w:t>
      </w:r>
    </w:p>
    <w:p w14:paraId="3AA22ECE" w14:textId="77777777" w:rsidR="00144288" w:rsidRDefault="00144288" w:rsidP="006848CF">
      <w:pPr>
        <w:spacing w:after="0" w:line="276" w:lineRule="auto"/>
        <w:jc w:val="both"/>
        <w:rPr>
          <w:rFonts w:ascii="Book Antiqua" w:eastAsia="Calibri" w:hAnsi="Book Antiqua" w:cs="Arial"/>
          <w:sz w:val="24"/>
          <w:szCs w:val="24"/>
        </w:rPr>
      </w:pPr>
    </w:p>
    <w:p w14:paraId="73A59E87" w14:textId="10A8E692"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Entre los cambios previstos por el Código Procesal de Familia para los juzgados de Familia del país, se prevé una disminución en la entrada de primera instancia por la desjudicialización de procesos como: 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p>
    <w:p w14:paraId="33BF9FBF" w14:textId="77777777" w:rsidR="006848CF" w:rsidRPr="006848CF" w:rsidRDefault="006848CF" w:rsidP="006848CF">
      <w:pPr>
        <w:spacing w:after="0" w:line="276" w:lineRule="auto"/>
        <w:jc w:val="both"/>
        <w:rPr>
          <w:rFonts w:ascii="Book Antiqua" w:eastAsia="Calibri" w:hAnsi="Book Antiqua" w:cs="Arial"/>
          <w:sz w:val="24"/>
          <w:szCs w:val="24"/>
        </w:rPr>
      </w:pPr>
    </w:p>
    <w:p w14:paraId="59604238" w14:textId="28CACD44" w:rsidR="006848CF" w:rsidRPr="006848CF" w:rsidRDefault="006848CF" w:rsidP="006848CF">
      <w:pPr>
        <w:spacing w:after="0" w:line="276" w:lineRule="auto"/>
        <w:jc w:val="both"/>
        <w:rPr>
          <w:rFonts w:ascii="Book Antiqua" w:eastAsia="Calibri" w:hAnsi="Book Antiqua" w:cs="Arial"/>
          <w:sz w:val="24"/>
          <w:szCs w:val="24"/>
        </w:rPr>
      </w:pPr>
      <w:r w:rsidRPr="00BE6683">
        <w:rPr>
          <w:rFonts w:ascii="Book Antiqua" w:eastAsia="Calibri" w:hAnsi="Book Antiqua" w:cs="Arial"/>
          <w:sz w:val="24"/>
          <w:szCs w:val="24"/>
        </w:rPr>
        <w:t>Además, s</w:t>
      </w:r>
      <w:r w:rsidRPr="006848CF">
        <w:rPr>
          <w:rFonts w:ascii="Book Antiqua" w:eastAsia="Calibri" w:hAnsi="Book Antiqua" w:cs="Arial"/>
          <w:sz w:val="24"/>
          <w:szCs w:val="24"/>
        </w:rPr>
        <w:t>e prevé que con la entrada del Código Procesal de Familia se reduzca la intervención en el trámite de los expedientes que actualmente tiene el personal técnico judicial, debido a que se da preferencia al sistema procesal de oralidad liderado por las personas juzgadoras, efecto que de momento no puede ser estimado para ser tomado en cuenta en este estudio.</w:t>
      </w:r>
    </w:p>
    <w:p w14:paraId="5CD94465" w14:textId="77777777" w:rsidR="006848CF" w:rsidRPr="006848CF" w:rsidRDefault="006848CF" w:rsidP="006848CF">
      <w:pPr>
        <w:spacing w:after="0" w:line="276" w:lineRule="auto"/>
        <w:jc w:val="both"/>
        <w:rPr>
          <w:rFonts w:ascii="Book Antiqua" w:eastAsia="Calibri" w:hAnsi="Book Antiqua" w:cs="Arial"/>
          <w:sz w:val="24"/>
          <w:szCs w:val="24"/>
        </w:rPr>
      </w:pPr>
    </w:p>
    <w:p w14:paraId="1621BFAB" w14:textId="77777777"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El impacto directo esperado sería sobre los despachos judiciales competentes en la materia de Familia que experimentarían una disminución en los asuntos entrados.</w:t>
      </w:r>
    </w:p>
    <w:p w14:paraId="6B16C9B4" w14:textId="732AD6ED" w:rsidR="00F74248" w:rsidRDefault="00F74248" w:rsidP="009C01E1">
      <w:pPr>
        <w:spacing w:line="276" w:lineRule="auto"/>
        <w:jc w:val="both"/>
        <w:rPr>
          <w:rFonts w:ascii="Book Antiqua" w:hAnsi="Book Antiqua"/>
          <w:i/>
          <w:iCs/>
          <w:sz w:val="20"/>
          <w:szCs w:val="20"/>
        </w:rPr>
      </w:pPr>
    </w:p>
    <w:p w14:paraId="106A1FFB"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En el caso de los divorcios o separaciones judiciales por mutuo consentimiento, el efecto aplicaría solamente para una proporción de esos tipos de proceso, específicamente para aquellos casos donde no existan hijos o hijas menores de edad y no existiera referencia a bienes, los cuales actualmente el Subproceso de Estadística de la Dirección de Planificación no dispone de datos específicos sobre su comportamiento, pero según estimaciones del Lic. Jiménez Mata corresponderían en alrededor de un 20% de la entrada total de esos asuntos.</w:t>
      </w:r>
    </w:p>
    <w:p w14:paraId="5259A32B"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 </w:t>
      </w:r>
    </w:p>
    <w:p w14:paraId="53D5914C"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En el caso de las adopciones registradas con los datos estadísticos actuales no se cuenta con la especificación del tipo de persona involucrada (mayor o menor de edad), lo que limita la posibilidad de utilizar datos específicos de ese segmento de población. </w:t>
      </w:r>
    </w:p>
    <w:p w14:paraId="4333E0EF" w14:textId="77777777" w:rsidR="00A651EB" w:rsidRPr="00A651EB" w:rsidRDefault="00A651EB" w:rsidP="00A651EB">
      <w:pPr>
        <w:spacing w:after="0" w:line="276" w:lineRule="auto"/>
        <w:jc w:val="both"/>
        <w:rPr>
          <w:rFonts w:ascii="Book Antiqua" w:eastAsia="Calibri" w:hAnsi="Book Antiqua" w:cs="Arial"/>
          <w:sz w:val="24"/>
          <w:szCs w:val="24"/>
        </w:rPr>
      </w:pPr>
    </w:p>
    <w:p w14:paraId="3848FFE0" w14:textId="05791869" w:rsidR="00A651EB" w:rsidRPr="00A651EB" w:rsidRDefault="00A20308" w:rsidP="00A651E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A651EB" w:rsidRPr="00A651EB">
        <w:rPr>
          <w:rFonts w:ascii="Book Antiqua" w:eastAsia="Calibri" w:hAnsi="Book Antiqua" w:cs="Arial"/>
          <w:sz w:val="24"/>
          <w:szCs w:val="24"/>
        </w:rPr>
        <w:t xml:space="preserve">e </w:t>
      </w:r>
      <w:r w:rsidR="00C60997" w:rsidRPr="00A651EB">
        <w:rPr>
          <w:rFonts w:ascii="Book Antiqua" w:eastAsia="Calibri" w:hAnsi="Book Antiqua" w:cs="Arial"/>
          <w:sz w:val="24"/>
          <w:szCs w:val="24"/>
        </w:rPr>
        <w:t>prev</w:t>
      </w:r>
      <w:r w:rsidR="00C60997">
        <w:rPr>
          <w:rFonts w:ascii="Book Antiqua" w:eastAsia="Calibri" w:hAnsi="Book Antiqua" w:cs="Arial"/>
          <w:sz w:val="24"/>
          <w:szCs w:val="24"/>
        </w:rPr>
        <w:t>é</w:t>
      </w:r>
      <w:r w:rsidR="00A651EB" w:rsidRPr="00A651EB">
        <w:rPr>
          <w:rFonts w:ascii="Book Antiqua" w:eastAsia="Calibri" w:hAnsi="Book Antiqua" w:cs="Arial"/>
          <w:sz w:val="24"/>
          <w:szCs w:val="24"/>
        </w:rPr>
        <w:t xml:space="preserve"> </w:t>
      </w:r>
      <w:r w:rsidR="00C60997">
        <w:rPr>
          <w:rFonts w:ascii="Book Antiqua" w:eastAsia="Calibri" w:hAnsi="Book Antiqua" w:cs="Arial"/>
          <w:sz w:val="24"/>
          <w:szCs w:val="24"/>
        </w:rPr>
        <w:t>u</w:t>
      </w:r>
      <w:r w:rsidR="00A651EB" w:rsidRPr="00A651EB">
        <w:rPr>
          <w:rFonts w:ascii="Book Antiqua" w:eastAsia="Calibri" w:hAnsi="Book Antiqua" w:cs="Arial"/>
          <w:sz w:val="24"/>
          <w:szCs w:val="24"/>
        </w:rPr>
        <w:t>n aumento a partir del 28 de mayo de 2020 de los matrimonios civiles registrados por personas del mismo sexo, situación que de momento no se podría estimar ya que no se cuenta con la división de estos en las estadísticas.  Además, conforme a lo indicado por el Juez Gestor en Familia la cantidad de matrimonios en sede judicial es mínima y a partir de la entrada en vigencia de la Ley 9747 no se llevarían a cabo en instancia judicial.</w:t>
      </w:r>
    </w:p>
    <w:p w14:paraId="638D000D"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 </w:t>
      </w:r>
    </w:p>
    <w:p w14:paraId="672023B8" w14:textId="150BA0F9"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Según los datos registrados de años anteriores, este tipo de procesos representan el </w:t>
      </w:r>
      <w:r w:rsidR="00C54406" w:rsidRPr="00314220">
        <w:rPr>
          <w:rFonts w:ascii="Book Antiqua" w:eastAsia="Calibri" w:hAnsi="Book Antiqua" w:cs="Arial"/>
          <w:sz w:val="24"/>
          <w:szCs w:val="24"/>
        </w:rPr>
        <w:t>3</w:t>
      </w:r>
      <w:r w:rsidRPr="00A651EB">
        <w:rPr>
          <w:rFonts w:ascii="Book Antiqua" w:eastAsia="Calibri" w:hAnsi="Book Antiqua" w:cs="Arial"/>
          <w:sz w:val="24"/>
          <w:szCs w:val="24"/>
        </w:rPr>
        <w:t>,</w:t>
      </w:r>
      <w:r w:rsidR="00BB77CA">
        <w:rPr>
          <w:rFonts w:ascii="Book Antiqua" w:eastAsia="Calibri" w:hAnsi="Book Antiqua" w:cs="Arial"/>
          <w:sz w:val="24"/>
          <w:szCs w:val="24"/>
        </w:rPr>
        <w:t>60</w:t>
      </w:r>
      <w:r w:rsidRPr="00A651EB">
        <w:rPr>
          <w:rFonts w:ascii="Book Antiqua" w:eastAsia="Calibri" w:hAnsi="Book Antiqua" w:cs="Arial"/>
          <w:sz w:val="24"/>
          <w:szCs w:val="24"/>
        </w:rPr>
        <w:t>% en promedio de 201</w:t>
      </w:r>
      <w:r w:rsidR="00884C52">
        <w:rPr>
          <w:rFonts w:ascii="Book Antiqua" w:eastAsia="Calibri" w:hAnsi="Book Antiqua" w:cs="Arial"/>
          <w:sz w:val="24"/>
          <w:szCs w:val="24"/>
        </w:rPr>
        <w:t>7</w:t>
      </w:r>
      <w:r w:rsidRPr="00A651EB">
        <w:rPr>
          <w:rFonts w:ascii="Book Antiqua" w:eastAsia="Calibri" w:hAnsi="Book Antiqua" w:cs="Arial"/>
          <w:sz w:val="24"/>
          <w:szCs w:val="24"/>
        </w:rPr>
        <w:t xml:space="preserve"> a 20</w:t>
      </w:r>
      <w:r w:rsidR="00884C52">
        <w:rPr>
          <w:rFonts w:ascii="Book Antiqua" w:eastAsia="Calibri" w:hAnsi="Book Antiqua" w:cs="Arial"/>
          <w:sz w:val="24"/>
          <w:szCs w:val="24"/>
        </w:rPr>
        <w:t>2</w:t>
      </w:r>
      <w:r w:rsidR="00BB77CA">
        <w:rPr>
          <w:rFonts w:ascii="Book Antiqua" w:eastAsia="Calibri" w:hAnsi="Book Antiqua" w:cs="Arial"/>
          <w:sz w:val="24"/>
          <w:szCs w:val="24"/>
        </w:rPr>
        <w:t>2</w:t>
      </w:r>
      <w:r w:rsidRPr="00A651EB">
        <w:rPr>
          <w:rFonts w:ascii="Book Antiqua" w:eastAsia="Calibri" w:hAnsi="Book Antiqua" w:cs="Arial"/>
          <w:sz w:val="24"/>
          <w:szCs w:val="24"/>
        </w:rPr>
        <w:t>, pero que con el CPF podrían ser celebrados ante las autoridades de jefatura de las oficinas centrales o regionales del Registro Civil o ante los notarios públicos, por lo que estos se estima que se reducirán con la entrada del Código Procesal de Familia, minimizándose el impacto de este cambio.  No obstante, el acontecimiento mencionado si pudiera dar paso a un incremento en la cantidad de divorcios contenciosos o por mutuo en donde haya hijos que se tramitan por la vía ordinaria, siendo que este tipo de procesos sigue siendo competencia exclusiva de los tribunales de justicia.</w:t>
      </w:r>
    </w:p>
    <w:p w14:paraId="5707445A" w14:textId="3F821ACF"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De la revisión hecha a los datos estadísticos para los períodos 201</w:t>
      </w:r>
      <w:r w:rsidR="00595C2E">
        <w:rPr>
          <w:rFonts w:ascii="Book Antiqua" w:eastAsia="Calibri" w:hAnsi="Book Antiqua" w:cs="Arial"/>
          <w:sz w:val="24"/>
          <w:szCs w:val="24"/>
        </w:rPr>
        <w:t>7</w:t>
      </w:r>
      <w:r w:rsidRPr="00A651EB">
        <w:rPr>
          <w:rFonts w:ascii="Book Antiqua" w:eastAsia="Calibri" w:hAnsi="Book Antiqua" w:cs="Arial"/>
          <w:sz w:val="24"/>
          <w:szCs w:val="24"/>
        </w:rPr>
        <w:t>-20</w:t>
      </w:r>
      <w:r w:rsidR="00595C2E">
        <w:rPr>
          <w:rFonts w:ascii="Book Antiqua" w:eastAsia="Calibri" w:hAnsi="Book Antiqua" w:cs="Arial"/>
          <w:sz w:val="24"/>
          <w:szCs w:val="24"/>
        </w:rPr>
        <w:t>2</w:t>
      </w:r>
      <w:r w:rsidR="00BB77CA">
        <w:rPr>
          <w:rFonts w:ascii="Book Antiqua" w:eastAsia="Calibri" w:hAnsi="Book Antiqua" w:cs="Arial"/>
          <w:sz w:val="24"/>
          <w:szCs w:val="24"/>
        </w:rPr>
        <w:t>2</w:t>
      </w:r>
      <w:r w:rsidRPr="00A651EB">
        <w:rPr>
          <w:rFonts w:ascii="Book Antiqua" w:eastAsia="Calibri" w:hAnsi="Book Antiqua" w:cs="Arial"/>
          <w:sz w:val="24"/>
          <w:szCs w:val="24"/>
        </w:rPr>
        <w:t xml:space="preserve">, se estima que los procesos que se desjudicializan alcanzan como mínimo el </w:t>
      </w:r>
      <w:r w:rsidRPr="0073349B">
        <w:rPr>
          <w:rFonts w:ascii="Book Antiqua" w:eastAsia="Calibri" w:hAnsi="Book Antiqua" w:cs="Arial"/>
          <w:sz w:val="24"/>
          <w:szCs w:val="24"/>
        </w:rPr>
        <w:t>1</w:t>
      </w:r>
      <w:r w:rsidR="00E268E9">
        <w:rPr>
          <w:rFonts w:ascii="Book Antiqua" w:eastAsia="Calibri" w:hAnsi="Book Antiqua" w:cs="Arial"/>
          <w:sz w:val="24"/>
          <w:szCs w:val="24"/>
        </w:rPr>
        <w:t>2</w:t>
      </w:r>
      <w:r w:rsidRPr="0073349B">
        <w:rPr>
          <w:rFonts w:ascii="Book Antiqua" w:eastAsia="Calibri" w:hAnsi="Book Antiqua" w:cs="Arial"/>
          <w:sz w:val="24"/>
          <w:szCs w:val="24"/>
        </w:rPr>
        <w:t>,</w:t>
      </w:r>
      <w:r w:rsidR="00E268E9">
        <w:rPr>
          <w:rFonts w:ascii="Book Antiqua" w:eastAsia="Calibri" w:hAnsi="Book Antiqua" w:cs="Arial"/>
          <w:sz w:val="24"/>
          <w:szCs w:val="24"/>
        </w:rPr>
        <w:t>58</w:t>
      </w:r>
      <w:r w:rsidRPr="0073349B">
        <w:rPr>
          <w:rFonts w:ascii="Book Antiqua" w:eastAsia="Calibri" w:hAnsi="Book Antiqua" w:cs="Arial"/>
          <w:sz w:val="24"/>
          <w:szCs w:val="24"/>
        </w:rPr>
        <w:t>%</w:t>
      </w:r>
      <w:r w:rsidRPr="00A651EB">
        <w:rPr>
          <w:rFonts w:ascii="Book Antiqua" w:eastAsia="Calibri" w:hAnsi="Book Antiqua" w:cs="Arial"/>
          <w:sz w:val="24"/>
          <w:szCs w:val="24"/>
        </w:rPr>
        <w:t xml:space="preserve"> en promedio, a la fecha, ya que como se indicó se desconoce parte del contenido que se incluiría con esta variación. El estimado</w:t>
      </w:r>
      <w:r w:rsidRPr="00A651EB" w:rsidDel="00DB5291">
        <w:rPr>
          <w:rFonts w:ascii="Book Antiqua" w:eastAsia="Calibri" w:hAnsi="Book Antiqua" w:cs="Arial"/>
          <w:sz w:val="24"/>
          <w:szCs w:val="24"/>
        </w:rPr>
        <w:t xml:space="preserve"> </w:t>
      </w:r>
      <w:r w:rsidRPr="00A651EB">
        <w:rPr>
          <w:rFonts w:ascii="Book Antiqua" w:eastAsia="Calibri" w:hAnsi="Book Antiqua" w:cs="Arial"/>
          <w:sz w:val="24"/>
          <w:szCs w:val="24"/>
        </w:rPr>
        <w:t xml:space="preserve">por desjudicialización se muestra en el cuadro siguiente, lo que significa una posible baja en igual proporción sobre la carga laboral de la materia Familia a nivel nacional una vez entrada en vigencia el CPF. En el </w:t>
      </w:r>
      <w:r w:rsidRPr="00167ED1">
        <w:rPr>
          <w:rFonts w:ascii="Book Antiqua" w:eastAsia="Calibri" w:hAnsi="Book Antiqua" w:cs="Arial"/>
          <w:b/>
          <w:i/>
          <w:sz w:val="24"/>
          <w:szCs w:val="24"/>
        </w:rPr>
        <w:t>anexo 1</w:t>
      </w:r>
      <w:r w:rsidR="00A120C6" w:rsidRPr="00167ED1">
        <w:rPr>
          <w:rFonts w:ascii="Book Antiqua" w:eastAsia="Calibri" w:hAnsi="Book Antiqua" w:cs="Arial"/>
          <w:b/>
          <w:i/>
          <w:sz w:val="24"/>
          <w:szCs w:val="24"/>
        </w:rPr>
        <w:t>6</w:t>
      </w:r>
      <w:r w:rsidRPr="00A651EB">
        <w:rPr>
          <w:rFonts w:ascii="Book Antiqua" w:eastAsia="Calibri" w:hAnsi="Book Antiqua" w:cs="Arial"/>
          <w:sz w:val="24"/>
          <w:szCs w:val="24"/>
        </w:rPr>
        <w:t xml:space="preserve"> se presentan los cálculos realizados para ambos tipos de asuntos.</w:t>
      </w:r>
    </w:p>
    <w:p w14:paraId="4CD609DC" w14:textId="0BFFC6A9" w:rsidR="00A651EB" w:rsidRDefault="00A651EB" w:rsidP="00A651EB">
      <w:pPr>
        <w:spacing w:after="0" w:line="276" w:lineRule="auto"/>
        <w:jc w:val="both"/>
        <w:rPr>
          <w:rFonts w:ascii="Book Antiqua" w:eastAsia="Calibri" w:hAnsi="Book Antiqua" w:cs="Arial"/>
          <w:sz w:val="24"/>
          <w:szCs w:val="24"/>
        </w:rPr>
      </w:pPr>
    </w:p>
    <w:p w14:paraId="6E5F57F2" w14:textId="3B43CFA6" w:rsidR="00D76FEF" w:rsidRPr="00D76FEF" w:rsidRDefault="00D76FEF" w:rsidP="0033442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 xml:space="preserve">Cuadro </w:t>
      </w:r>
      <w:r w:rsidRPr="00D76FEF">
        <w:rPr>
          <w:rFonts w:ascii="Book Antiqua" w:eastAsia="Calibri" w:hAnsi="Book Antiqua" w:cs="Arial"/>
          <w:b/>
          <w:bCs/>
          <w:color w:val="1F497D"/>
          <w:szCs w:val="24"/>
          <w:lang w:val="es-ES" w:eastAsia="es-ES"/>
        </w:rPr>
        <w:fldChar w:fldCharType="begin"/>
      </w:r>
      <w:r w:rsidRPr="00D76FEF">
        <w:rPr>
          <w:rFonts w:ascii="Book Antiqua" w:eastAsia="Calibri" w:hAnsi="Book Antiqua" w:cs="Arial"/>
          <w:b/>
          <w:bCs/>
          <w:color w:val="1F497D"/>
          <w:szCs w:val="24"/>
          <w:lang w:val="es-ES" w:eastAsia="es-ES"/>
        </w:rPr>
        <w:instrText xml:space="preserve"> SEQ Cuadro \* ARABIC </w:instrText>
      </w:r>
      <w:r w:rsidRPr="00D76FEF">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20</w:t>
      </w:r>
      <w:r w:rsidRPr="00D76FEF">
        <w:rPr>
          <w:rFonts w:ascii="Book Antiqua" w:eastAsia="Calibri" w:hAnsi="Book Antiqua" w:cs="Arial"/>
          <w:b/>
          <w:bCs/>
          <w:color w:val="1F497D"/>
          <w:szCs w:val="24"/>
          <w:lang w:val="es-ES" w:eastAsia="es-ES"/>
        </w:rPr>
        <w:fldChar w:fldCharType="end"/>
      </w:r>
      <w:r w:rsidRPr="00D76FEF">
        <w:rPr>
          <w:rFonts w:ascii="Book Antiqua" w:eastAsia="Calibri" w:hAnsi="Book Antiqua" w:cs="Arial"/>
          <w:b/>
          <w:bCs/>
          <w:color w:val="1F497D"/>
          <w:szCs w:val="24"/>
          <w:lang w:val="es-ES" w:eastAsia="es-ES"/>
        </w:rPr>
        <w:t xml:space="preserve"> </w:t>
      </w:r>
    </w:p>
    <w:p w14:paraId="5ABDDCB8" w14:textId="060A7025" w:rsidR="00D76FEF" w:rsidRPr="00D76FEF" w:rsidRDefault="00D76FEF" w:rsidP="0033442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Porcentaje estimado de procesos que se desjudicializan con</w:t>
      </w:r>
    </w:p>
    <w:p w14:paraId="4D8431BE" w14:textId="3E4C09D0" w:rsidR="00CF3C0D" w:rsidRDefault="00D76FEF" w:rsidP="00334424">
      <w:p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la entrada en vigencia del Código Procesal de Familia</w:t>
      </w:r>
    </w:p>
    <w:tbl>
      <w:tblPr>
        <w:tblW w:w="8340" w:type="dxa"/>
        <w:tblCellMar>
          <w:left w:w="70" w:type="dxa"/>
          <w:right w:w="70" w:type="dxa"/>
        </w:tblCellMar>
        <w:tblLook w:val="04A0" w:firstRow="1" w:lastRow="0" w:firstColumn="1" w:lastColumn="0" w:noHBand="0" w:noVBand="1"/>
      </w:tblPr>
      <w:tblGrid>
        <w:gridCol w:w="4276"/>
        <w:gridCol w:w="1166"/>
        <w:gridCol w:w="1851"/>
        <w:gridCol w:w="1157"/>
      </w:tblGrid>
      <w:tr w:rsidR="00E268E9" w:rsidRPr="00E268E9" w14:paraId="5B7AC2C4" w14:textId="77777777" w:rsidTr="00E268E9">
        <w:trPr>
          <w:trHeight w:val="290"/>
        </w:trPr>
        <w:tc>
          <w:tcPr>
            <w:tcW w:w="427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87DAFC3" w14:textId="77777777" w:rsidR="00E268E9" w:rsidRPr="00E268E9" w:rsidRDefault="00E268E9" w:rsidP="00E268E9">
            <w:pPr>
              <w:spacing w:after="0" w:line="240" w:lineRule="auto"/>
              <w:jc w:val="center"/>
              <w:rPr>
                <w:rFonts w:ascii="Book Antiqua" w:eastAsia="Times New Roman" w:hAnsi="Book Antiqua" w:cs="Calibri"/>
                <w:b/>
                <w:bCs/>
                <w:color w:val="FFFFFF"/>
                <w:sz w:val="20"/>
                <w:szCs w:val="20"/>
                <w:lang w:eastAsia="es-CR"/>
              </w:rPr>
            </w:pPr>
            <w:r w:rsidRPr="00E268E9">
              <w:rPr>
                <w:rFonts w:ascii="Book Antiqua" w:eastAsia="Times New Roman" w:hAnsi="Book Antiqua" w:cs="Calibri"/>
                <w:b/>
                <w:bCs/>
                <w:color w:val="FFFFFF"/>
                <w:sz w:val="20"/>
                <w:szCs w:val="20"/>
                <w:lang w:eastAsia="es-CR"/>
              </w:rPr>
              <w:t>Despacho</w:t>
            </w:r>
          </w:p>
        </w:tc>
        <w:tc>
          <w:tcPr>
            <w:tcW w:w="1166" w:type="dxa"/>
            <w:vMerge w:val="restart"/>
            <w:tcBorders>
              <w:top w:val="single" w:sz="8" w:space="0" w:color="auto"/>
              <w:left w:val="single" w:sz="8" w:space="0" w:color="auto"/>
              <w:bottom w:val="nil"/>
              <w:right w:val="single" w:sz="8" w:space="0" w:color="auto"/>
            </w:tcBorders>
            <w:shd w:val="clear" w:color="000000" w:fill="002060"/>
            <w:vAlign w:val="center"/>
            <w:hideMark/>
          </w:tcPr>
          <w:p w14:paraId="08CCD424" w14:textId="77777777" w:rsidR="00E268E9" w:rsidRPr="00E268E9" w:rsidRDefault="00E268E9" w:rsidP="00E268E9">
            <w:pPr>
              <w:spacing w:after="0" w:line="240" w:lineRule="auto"/>
              <w:jc w:val="center"/>
              <w:rPr>
                <w:rFonts w:ascii="Book Antiqua" w:eastAsia="Times New Roman" w:hAnsi="Book Antiqua" w:cs="Calibri"/>
                <w:b/>
                <w:bCs/>
                <w:color w:val="FFFFFF"/>
                <w:sz w:val="20"/>
                <w:szCs w:val="20"/>
                <w:lang w:eastAsia="es-CR"/>
              </w:rPr>
            </w:pPr>
            <w:r w:rsidRPr="00E268E9">
              <w:rPr>
                <w:rFonts w:ascii="Book Antiqua" w:eastAsia="Times New Roman" w:hAnsi="Book Antiqua" w:cs="Calibri"/>
                <w:b/>
                <w:bCs/>
                <w:color w:val="FFFFFF"/>
                <w:sz w:val="20"/>
                <w:szCs w:val="20"/>
                <w:lang w:eastAsia="es-CR"/>
              </w:rPr>
              <w:t>Promedio Entrado</w:t>
            </w:r>
          </w:p>
        </w:tc>
        <w:tc>
          <w:tcPr>
            <w:tcW w:w="1741" w:type="dxa"/>
            <w:vMerge w:val="restart"/>
            <w:tcBorders>
              <w:top w:val="single" w:sz="8" w:space="0" w:color="auto"/>
              <w:left w:val="single" w:sz="8" w:space="0" w:color="auto"/>
              <w:bottom w:val="nil"/>
              <w:right w:val="single" w:sz="8" w:space="0" w:color="auto"/>
            </w:tcBorders>
            <w:shd w:val="clear" w:color="000000" w:fill="002060"/>
            <w:vAlign w:val="center"/>
            <w:hideMark/>
          </w:tcPr>
          <w:p w14:paraId="34F31151" w14:textId="77777777" w:rsidR="00E268E9" w:rsidRPr="00E268E9" w:rsidRDefault="00E268E9" w:rsidP="00E268E9">
            <w:pPr>
              <w:spacing w:after="0" w:line="240" w:lineRule="auto"/>
              <w:jc w:val="center"/>
              <w:rPr>
                <w:rFonts w:ascii="Book Antiqua" w:eastAsia="Times New Roman" w:hAnsi="Book Antiqua" w:cs="Calibri"/>
                <w:b/>
                <w:bCs/>
                <w:color w:val="FFFFFF"/>
                <w:sz w:val="20"/>
                <w:szCs w:val="20"/>
                <w:lang w:eastAsia="es-CR"/>
              </w:rPr>
            </w:pPr>
            <w:r w:rsidRPr="00E268E9">
              <w:rPr>
                <w:rFonts w:ascii="Book Antiqua" w:eastAsia="Times New Roman" w:hAnsi="Book Antiqua" w:cs="Calibri"/>
                <w:b/>
                <w:bCs/>
                <w:color w:val="FFFFFF"/>
                <w:sz w:val="20"/>
                <w:szCs w:val="20"/>
                <w:lang w:eastAsia="es-CR"/>
              </w:rPr>
              <w:t>Promedio mensual Desjudicialización</w:t>
            </w:r>
          </w:p>
        </w:tc>
        <w:tc>
          <w:tcPr>
            <w:tcW w:w="1157" w:type="dxa"/>
            <w:tcBorders>
              <w:top w:val="single" w:sz="8" w:space="0" w:color="auto"/>
              <w:left w:val="nil"/>
              <w:bottom w:val="nil"/>
              <w:right w:val="single" w:sz="8" w:space="0" w:color="auto"/>
            </w:tcBorders>
            <w:shd w:val="clear" w:color="000000" w:fill="002060"/>
            <w:vAlign w:val="center"/>
            <w:hideMark/>
          </w:tcPr>
          <w:p w14:paraId="6BEC18A8" w14:textId="77777777" w:rsidR="00E268E9" w:rsidRPr="00E268E9" w:rsidRDefault="00E268E9" w:rsidP="00E268E9">
            <w:pPr>
              <w:spacing w:after="0" w:line="240" w:lineRule="auto"/>
              <w:jc w:val="center"/>
              <w:rPr>
                <w:rFonts w:ascii="Book Antiqua" w:eastAsia="Times New Roman" w:hAnsi="Book Antiqua" w:cs="Calibri"/>
                <w:b/>
                <w:bCs/>
                <w:color w:val="FFFFFF"/>
                <w:sz w:val="20"/>
                <w:szCs w:val="20"/>
                <w:lang w:eastAsia="es-CR"/>
              </w:rPr>
            </w:pPr>
            <w:r w:rsidRPr="00E268E9">
              <w:rPr>
                <w:rFonts w:ascii="Book Antiqua" w:eastAsia="Times New Roman" w:hAnsi="Book Antiqua" w:cs="Calibri"/>
                <w:b/>
                <w:bCs/>
                <w:color w:val="FFFFFF"/>
                <w:sz w:val="20"/>
                <w:szCs w:val="20"/>
                <w:lang w:eastAsia="es-CR"/>
              </w:rPr>
              <w:t>% de</w:t>
            </w:r>
          </w:p>
        </w:tc>
      </w:tr>
      <w:tr w:rsidR="00E268E9" w:rsidRPr="00E268E9" w14:paraId="4825BBD4" w14:textId="77777777" w:rsidTr="00E268E9">
        <w:trPr>
          <w:trHeight w:val="290"/>
        </w:trPr>
        <w:tc>
          <w:tcPr>
            <w:tcW w:w="4276" w:type="dxa"/>
            <w:vMerge/>
            <w:tcBorders>
              <w:top w:val="single" w:sz="8" w:space="0" w:color="auto"/>
              <w:left w:val="single" w:sz="8" w:space="0" w:color="auto"/>
              <w:bottom w:val="single" w:sz="8" w:space="0" w:color="000000"/>
              <w:right w:val="single" w:sz="8" w:space="0" w:color="auto"/>
            </w:tcBorders>
            <w:vAlign w:val="center"/>
            <w:hideMark/>
          </w:tcPr>
          <w:p w14:paraId="0F8EBC09" w14:textId="77777777" w:rsidR="00E268E9" w:rsidRPr="00E268E9" w:rsidRDefault="00E268E9" w:rsidP="00E268E9">
            <w:pPr>
              <w:spacing w:after="0" w:line="240" w:lineRule="auto"/>
              <w:rPr>
                <w:rFonts w:ascii="Book Antiqua" w:eastAsia="Times New Roman" w:hAnsi="Book Antiqua" w:cs="Calibri"/>
                <w:b/>
                <w:bCs/>
                <w:color w:val="FFFFFF"/>
                <w:sz w:val="20"/>
                <w:szCs w:val="20"/>
                <w:lang w:eastAsia="es-CR"/>
              </w:rPr>
            </w:pPr>
          </w:p>
        </w:tc>
        <w:tc>
          <w:tcPr>
            <w:tcW w:w="1166" w:type="dxa"/>
            <w:vMerge/>
            <w:tcBorders>
              <w:top w:val="single" w:sz="8" w:space="0" w:color="auto"/>
              <w:left w:val="single" w:sz="8" w:space="0" w:color="auto"/>
              <w:bottom w:val="nil"/>
              <w:right w:val="single" w:sz="8" w:space="0" w:color="auto"/>
            </w:tcBorders>
            <w:vAlign w:val="center"/>
            <w:hideMark/>
          </w:tcPr>
          <w:p w14:paraId="71D06F25" w14:textId="77777777" w:rsidR="00E268E9" w:rsidRPr="00E268E9" w:rsidRDefault="00E268E9" w:rsidP="00E268E9">
            <w:pPr>
              <w:spacing w:after="0" w:line="240" w:lineRule="auto"/>
              <w:rPr>
                <w:rFonts w:ascii="Book Antiqua" w:eastAsia="Times New Roman" w:hAnsi="Book Antiqua" w:cs="Calibri"/>
                <w:b/>
                <w:bCs/>
                <w:color w:val="FFFFFF"/>
                <w:sz w:val="20"/>
                <w:szCs w:val="20"/>
                <w:lang w:eastAsia="es-CR"/>
              </w:rPr>
            </w:pPr>
          </w:p>
        </w:tc>
        <w:tc>
          <w:tcPr>
            <w:tcW w:w="1741" w:type="dxa"/>
            <w:vMerge/>
            <w:tcBorders>
              <w:top w:val="single" w:sz="8" w:space="0" w:color="auto"/>
              <w:left w:val="single" w:sz="8" w:space="0" w:color="auto"/>
              <w:bottom w:val="nil"/>
              <w:right w:val="single" w:sz="8" w:space="0" w:color="auto"/>
            </w:tcBorders>
            <w:vAlign w:val="center"/>
            <w:hideMark/>
          </w:tcPr>
          <w:p w14:paraId="6444E263" w14:textId="77777777" w:rsidR="00E268E9" w:rsidRPr="00E268E9" w:rsidRDefault="00E268E9" w:rsidP="00E268E9">
            <w:pPr>
              <w:spacing w:after="0" w:line="240" w:lineRule="auto"/>
              <w:rPr>
                <w:rFonts w:ascii="Book Antiqua" w:eastAsia="Times New Roman" w:hAnsi="Book Antiqua" w:cs="Calibri"/>
                <w:b/>
                <w:bCs/>
                <w:color w:val="FFFFFF"/>
                <w:sz w:val="20"/>
                <w:szCs w:val="20"/>
                <w:lang w:eastAsia="es-CR"/>
              </w:rPr>
            </w:pPr>
          </w:p>
        </w:tc>
        <w:tc>
          <w:tcPr>
            <w:tcW w:w="1157" w:type="dxa"/>
            <w:tcBorders>
              <w:top w:val="nil"/>
              <w:left w:val="nil"/>
              <w:bottom w:val="nil"/>
              <w:right w:val="single" w:sz="8" w:space="0" w:color="auto"/>
            </w:tcBorders>
            <w:shd w:val="clear" w:color="000000" w:fill="002060"/>
            <w:vAlign w:val="center"/>
            <w:hideMark/>
          </w:tcPr>
          <w:p w14:paraId="41ADEB39" w14:textId="77777777" w:rsidR="00E268E9" w:rsidRPr="00E268E9" w:rsidRDefault="00E268E9" w:rsidP="00E268E9">
            <w:pPr>
              <w:spacing w:after="0" w:line="240" w:lineRule="auto"/>
              <w:jc w:val="center"/>
              <w:rPr>
                <w:rFonts w:ascii="Book Antiqua" w:eastAsia="Times New Roman" w:hAnsi="Book Antiqua" w:cs="Calibri"/>
                <w:b/>
                <w:bCs/>
                <w:color w:val="FFFFFF"/>
                <w:sz w:val="20"/>
                <w:szCs w:val="20"/>
                <w:lang w:eastAsia="es-CR"/>
              </w:rPr>
            </w:pPr>
            <w:r w:rsidRPr="00E268E9">
              <w:rPr>
                <w:rFonts w:ascii="Book Antiqua" w:eastAsia="Times New Roman" w:hAnsi="Book Antiqua" w:cs="Calibri"/>
                <w:b/>
                <w:bCs/>
                <w:color w:val="FFFFFF"/>
                <w:sz w:val="20"/>
                <w:szCs w:val="20"/>
                <w:lang w:eastAsia="es-CR"/>
              </w:rPr>
              <w:t>represen-</w:t>
            </w:r>
          </w:p>
        </w:tc>
      </w:tr>
      <w:tr w:rsidR="00E268E9" w:rsidRPr="00E268E9" w14:paraId="37EFE240" w14:textId="77777777" w:rsidTr="00E268E9">
        <w:trPr>
          <w:trHeight w:val="430"/>
        </w:trPr>
        <w:tc>
          <w:tcPr>
            <w:tcW w:w="4276" w:type="dxa"/>
            <w:vMerge/>
            <w:tcBorders>
              <w:top w:val="single" w:sz="8" w:space="0" w:color="auto"/>
              <w:left w:val="single" w:sz="8" w:space="0" w:color="auto"/>
              <w:bottom w:val="single" w:sz="8" w:space="0" w:color="000000"/>
              <w:right w:val="single" w:sz="8" w:space="0" w:color="auto"/>
            </w:tcBorders>
            <w:vAlign w:val="center"/>
            <w:hideMark/>
          </w:tcPr>
          <w:p w14:paraId="6AA390D9" w14:textId="77777777" w:rsidR="00E268E9" w:rsidRPr="00E268E9" w:rsidRDefault="00E268E9" w:rsidP="00E268E9">
            <w:pPr>
              <w:spacing w:after="0" w:line="240" w:lineRule="auto"/>
              <w:rPr>
                <w:rFonts w:ascii="Book Antiqua" w:eastAsia="Times New Roman" w:hAnsi="Book Antiqua" w:cs="Calibri"/>
                <w:b/>
                <w:bCs/>
                <w:color w:val="FFFFFF"/>
                <w:sz w:val="20"/>
                <w:szCs w:val="20"/>
                <w:lang w:eastAsia="es-CR"/>
              </w:rPr>
            </w:pPr>
          </w:p>
        </w:tc>
        <w:tc>
          <w:tcPr>
            <w:tcW w:w="1166" w:type="dxa"/>
            <w:vMerge/>
            <w:tcBorders>
              <w:top w:val="single" w:sz="8" w:space="0" w:color="auto"/>
              <w:left w:val="single" w:sz="8" w:space="0" w:color="auto"/>
              <w:bottom w:val="nil"/>
              <w:right w:val="single" w:sz="8" w:space="0" w:color="auto"/>
            </w:tcBorders>
            <w:vAlign w:val="center"/>
            <w:hideMark/>
          </w:tcPr>
          <w:p w14:paraId="1FF8D70F" w14:textId="77777777" w:rsidR="00E268E9" w:rsidRPr="00E268E9" w:rsidRDefault="00E268E9" w:rsidP="00E268E9">
            <w:pPr>
              <w:spacing w:after="0" w:line="240" w:lineRule="auto"/>
              <w:rPr>
                <w:rFonts w:ascii="Book Antiqua" w:eastAsia="Times New Roman" w:hAnsi="Book Antiqua" w:cs="Calibri"/>
                <w:b/>
                <w:bCs/>
                <w:color w:val="FFFFFF"/>
                <w:sz w:val="20"/>
                <w:szCs w:val="20"/>
                <w:lang w:eastAsia="es-CR"/>
              </w:rPr>
            </w:pPr>
          </w:p>
        </w:tc>
        <w:tc>
          <w:tcPr>
            <w:tcW w:w="1741" w:type="dxa"/>
            <w:vMerge/>
            <w:tcBorders>
              <w:top w:val="single" w:sz="8" w:space="0" w:color="auto"/>
              <w:left w:val="single" w:sz="8" w:space="0" w:color="auto"/>
              <w:bottom w:val="nil"/>
              <w:right w:val="single" w:sz="8" w:space="0" w:color="auto"/>
            </w:tcBorders>
            <w:vAlign w:val="center"/>
            <w:hideMark/>
          </w:tcPr>
          <w:p w14:paraId="285F2874" w14:textId="77777777" w:rsidR="00E268E9" w:rsidRPr="00E268E9" w:rsidRDefault="00E268E9" w:rsidP="00E268E9">
            <w:pPr>
              <w:spacing w:after="0" w:line="240" w:lineRule="auto"/>
              <w:rPr>
                <w:rFonts w:ascii="Book Antiqua" w:eastAsia="Times New Roman" w:hAnsi="Book Antiqua" w:cs="Calibri"/>
                <w:b/>
                <w:bCs/>
                <w:color w:val="FFFFFF"/>
                <w:sz w:val="20"/>
                <w:szCs w:val="20"/>
                <w:lang w:eastAsia="es-CR"/>
              </w:rPr>
            </w:pPr>
          </w:p>
        </w:tc>
        <w:tc>
          <w:tcPr>
            <w:tcW w:w="1157" w:type="dxa"/>
            <w:tcBorders>
              <w:top w:val="nil"/>
              <w:left w:val="nil"/>
              <w:bottom w:val="single" w:sz="8" w:space="0" w:color="auto"/>
              <w:right w:val="single" w:sz="8" w:space="0" w:color="auto"/>
            </w:tcBorders>
            <w:shd w:val="clear" w:color="000000" w:fill="002060"/>
            <w:vAlign w:val="center"/>
            <w:hideMark/>
          </w:tcPr>
          <w:p w14:paraId="659FA0FC" w14:textId="77777777" w:rsidR="00E268E9" w:rsidRPr="00E268E9" w:rsidRDefault="00E268E9" w:rsidP="00E268E9">
            <w:pPr>
              <w:spacing w:after="0" w:line="240" w:lineRule="auto"/>
              <w:jc w:val="center"/>
              <w:rPr>
                <w:rFonts w:ascii="Book Antiqua" w:eastAsia="Times New Roman" w:hAnsi="Book Antiqua" w:cs="Calibri"/>
                <w:b/>
                <w:bCs/>
                <w:color w:val="FFFFFF"/>
                <w:sz w:val="20"/>
                <w:szCs w:val="20"/>
                <w:lang w:eastAsia="es-CR"/>
              </w:rPr>
            </w:pPr>
            <w:r w:rsidRPr="00E268E9">
              <w:rPr>
                <w:rFonts w:ascii="Book Antiqua" w:eastAsia="Times New Roman" w:hAnsi="Book Antiqua" w:cs="Calibri"/>
                <w:b/>
                <w:bCs/>
                <w:color w:val="FFFFFF"/>
                <w:sz w:val="20"/>
                <w:szCs w:val="20"/>
                <w:lang w:eastAsia="es-CR"/>
              </w:rPr>
              <w:t>tación</w:t>
            </w:r>
          </w:p>
        </w:tc>
      </w:tr>
      <w:tr w:rsidR="00E268E9" w:rsidRPr="00E268E9" w14:paraId="363593A0"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08C79103"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Cartago</w:t>
            </w:r>
          </w:p>
        </w:tc>
        <w:tc>
          <w:tcPr>
            <w:tcW w:w="116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B12D8CF"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3323</w:t>
            </w:r>
          </w:p>
        </w:tc>
        <w:tc>
          <w:tcPr>
            <w:tcW w:w="1741" w:type="dxa"/>
            <w:tcBorders>
              <w:top w:val="single" w:sz="8" w:space="0" w:color="auto"/>
              <w:left w:val="nil"/>
              <w:bottom w:val="single" w:sz="8" w:space="0" w:color="auto"/>
              <w:right w:val="single" w:sz="8" w:space="0" w:color="auto"/>
            </w:tcBorders>
            <w:shd w:val="clear" w:color="auto" w:fill="auto"/>
            <w:noWrap/>
            <w:vAlign w:val="center"/>
            <w:hideMark/>
          </w:tcPr>
          <w:p w14:paraId="4D146A4B"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481</w:t>
            </w:r>
          </w:p>
        </w:tc>
        <w:tc>
          <w:tcPr>
            <w:tcW w:w="1157" w:type="dxa"/>
            <w:tcBorders>
              <w:top w:val="nil"/>
              <w:left w:val="nil"/>
              <w:bottom w:val="single" w:sz="8" w:space="0" w:color="auto"/>
              <w:right w:val="single" w:sz="8" w:space="0" w:color="auto"/>
            </w:tcBorders>
            <w:shd w:val="clear" w:color="auto" w:fill="auto"/>
            <w:noWrap/>
            <w:vAlign w:val="center"/>
            <w:hideMark/>
          </w:tcPr>
          <w:p w14:paraId="233EAB12"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14,5%</w:t>
            </w:r>
          </w:p>
        </w:tc>
      </w:tr>
      <w:tr w:rsidR="00E268E9" w:rsidRPr="00E268E9" w14:paraId="6D340076"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406D42E8"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Heredia</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3AAC99B2"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2766</w:t>
            </w:r>
          </w:p>
        </w:tc>
        <w:tc>
          <w:tcPr>
            <w:tcW w:w="1741" w:type="dxa"/>
            <w:tcBorders>
              <w:top w:val="nil"/>
              <w:left w:val="nil"/>
              <w:bottom w:val="single" w:sz="8" w:space="0" w:color="auto"/>
              <w:right w:val="single" w:sz="8" w:space="0" w:color="auto"/>
            </w:tcBorders>
            <w:shd w:val="clear" w:color="auto" w:fill="auto"/>
            <w:noWrap/>
            <w:vAlign w:val="center"/>
            <w:hideMark/>
          </w:tcPr>
          <w:p w14:paraId="0A910C39"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316</w:t>
            </w:r>
          </w:p>
        </w:tc>
        <w:tc>
          <w:tcPr>
            <w:tcW w:w="1157" w:type="dxa"/>
            <w:tcBorders>
              <w:top w:val="nil"/>
              <w:left w:val="nil"/>
              <w:bottom w:val="single" w:sz="8" w:space="0" w:color="auto"/>
              <w:right w:val="single" w:sz="8" w:space="0" w:color="auto"/>
            </w:tcBorders>
            <w:shd w:val="clear" w:color="auto" w:fill="auto"/>
            <w:noWrap/>
            <w:vAlign w:val="center"/>
            <w:hideMark/>
          </w:tcPr>
          <w:p w14:paraId="798E8FEA"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11,4%</w:t>
            </w:r>
          </w:p>
        </w:tc>
      </w:tr>
      <w:tr w:rsidR="00E268E9" w:rsidRPr="00E268E9" w14:paraId="108A0324"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7F02A3D4"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I Circ. Jud. Alajuela</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2353EAB0"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2356</w:t>
            </w:r>
          </w:p>
        </w:tc>
        <w:tc>
          <w:tcPr>
            <w:tcW w:w="1741" w:type="dxa"/>
            <w:tcBorders>
              <w:top w:val="nil"/>
              <w:left w:val="nil"/>
              <w:bottom w:val="single" w:sz="8" w:space="0" w:color="auto"/>
              <w:right w:val="single" w:sz="8" w:space="0" w:color="auto"/>
            </w:tcBorders>
            <w:shd w:val="clear" w:color="auto" w:fill="auto"/>
            <w:noWrap/>
            <w:vAlign w:val="center"/>
            <w:hideMark/>
          </w:tcPr>
          <w:p w14:paraId="655F205A"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271</w:t>
            </w:r>
          </w:p>
        </w:tc>
        <w:tc>
          <w:tcPr>
            <w:tcW w:w="1157" w:type="dxa"/>
            <w:tcBorders>
              <w:top w:val="nil"/>
              <w:left w:val="nil"/>
              <w:bottom w:val="single" w:sz="8" w:space="0" w:color="auto"/>
              <w:right w:val="single" w:sz="8" w:space="0" w:color="auto"/>
            </w:tcBorders>
            <w:shd w:val="clear" w:color="auto" w:fill="auto"/>
            <w:noWrap/>
            <w:vAlign w:val="center"/>
            <w:hideMark/>
          </w:tcPr>
          <w:p w14:paraId="0D69024D"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11,5%</w:t>
            </w:r>
          </w:p>
        </w:tc>
      </w:tr>
      <w:tr w:rsidR="00E268E9" w:rsidRPr="00E268E9" w14:paraId="004943E1"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19A73447"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I Circ. Jud. Zona Atlántica</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3E8D441C"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870</w:t>
            </w:r>
          </w:p>
        </w:tc>
        <w:tc>
          <w:tcPr>
            <w:tcW w:w="1741" w:type="dxa"/>
            <w:tcBorders>
              <w:top w:val="nil"/>
              <w:left w:val="nil"/>
              <w:bottom w:val="single" w:sz="8" w:space="0" w:color="auto"/>
              <w:right w:val="single" w:sz="8" w:space="0" w:color="auto"/>
            </w:tcBorders>
            <w:shd w:val="clear" w:color="auto" w:fill="auto"/>
            <w:noWrap/>
            <w:vAlign w:val="center"/>
            <w:hideMark/>
          </w:tcPr>
          <w:p w14:paraId="4C7AC87A"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129</w:t>
            </w:r>
          </w:p>
        </w:tc>
        <w:tc>
          <w:tcPr>
            <w:tcW w:w="1157" w:type="dxa"/>
            <w:tcBorders>
              <w:top w:val="nil"/>
              <w:left w:val="nil"/>
              <w:bottom w:val="single" w:sz="8" w:space="0" w:color="auto"/>
              <w:right w:val="single" w:sz="8" w:space="0" w:color="auto"/>
            </w:tcBorders>
            <w:shd w:val="clear" w:color="auto" w:fill="auto"/>
            <w:noWrap/>
            <w:vAlign w:val="center"/>
            <w:hideMark/>
          </w:tcPr>
          <w:p w14:paraId="1D69D626"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14,8%</w:t>
            </w:r>
          </w:p>
        </w:tc>
      </w:tr>
      <w:tr w:rsidR="00E268E9" w:rsidRPr="00E268E9" w14:paraId="38ECB777"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15BDBA93"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I Circ. Jud. Zona Sur</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2AAB56D9"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971</w:t>
            </w:r>
          </w:p>
        </w:tc>
        <w:tc>
          <w:tcPr>
            <w:tcW w:w="1741" w:type="dxa"/>
            <w:tcBorders>
              <w:top w:val="nil"/>
              <w:left w:val="nil"/>
              <w:bottom w:val="single" w:sz="8" w:space="0" w:color="auto"/>
              <w:right w:val="single" w:sz="8" w:space="0" w:color="auto"/>
            </w:tcBorders>
            <w:shd w:val="clear" w:color="auto" w:fill="auto"/>
            <w:noWrap/>
            <w:vAlign w:val="center"/>
            <w:hideMark/>
          </w:tcPr>
          <w:p w14:paraId="0A2F8295"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160</w:t>
            </w:r>
          </w:p>
        </w:tc>
        <w:tc>
          <w:tcPr>
            <w:tcW w:w="1157" w:type="dxa"/>
            <w:tcBorders>
              <w:top w:val="nil"/>
              <w:left w:val="nil"/>
              <w:bottom w:val="single" w:sz="8" w:space="0" w:color="auto"/>
              <w:right w:val="single" w:sz="8" w:space="0" w:color="auto"/>
            </w:tcBorders>
            <w:shd w:val="clear" w:color="auto" w:fill="auto"/>
            <w:noWrap/>
            <w:vAlign w:val="center"/>
            <w:hideMark/>
          </w:tcPr>
          <w:p w14:paraId="5BB13936"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16,5%</w:t>
            </w:r>
          </w:p>
        </w:tc>
      </w:tr>
      <w:tr w:rsidR="00E268E9" w:rsidRPr="00E268E9" w14:paraId="65E35A9F"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6C472AD1"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II Circ. Jud. Alajuela</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014284EC"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1282</w:t>
            </w:r>
          </w:p>
        </w:tc>
        <w:tc>
          <w:tcPr>
            <w:tcW w:w="1741" w:type="dxa"/>
            <w:tcBorders>
              <w:top w:val="nil"/>
              <w:left w:val="nil"/>
              <w:bottom w:val="single" w:sz="8" w:space="0" w:color="auto"/>
              <w:right w:val="single" w:sz="8" w:space="0" w:color="auto"/>
            </w:tcBorders>
            <w:shd w:val="clear" w:color="auto" w:fill="auto"/>
            <w:noWrap/>
            <w:vAlign w:val="center"/>
            <w:hideMark/>
          </w:tcPr>
          <w:p w14:paraId="6FF201E9"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131</w:t>
            </w:r>
          </w:p>
        </w:tc>
        <w:tc>
          <w:tcPr>
            <w:tcW w:w="1157" w:type="dxa"/>
            <w:tcBorders>
              <w:top w:val="nil"/>
              <w:left w:val="nil"/>
              <w:bottom w:val="single" w:sz="8" w:space="0" w:color="auto"/>
              <w:right w:val="single" w:sz="8" w:space="0" w:color="auto"/>
            </w:tcBorders>
            <w:shd w:val="clear" w:color="auto" w:fill="auto"/>
            <w:noWrap/>
            <w:vAlign w:val="center"/>
            <w:hideMark/>
          </w:tcPr>
          <w:p w14:paraId="32403FFB"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10,2%</w:t>
            </w:r>
          </w:p>
        </w:tc>
      </w:tr>
      <w:tr w:rsidR="00E268E9" w:rsidRPr="00E268E9" w14:paraId="2038CBD0"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5E1868D1"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II Circ. Jud. San José</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6979F8B5"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2627</w:t>
            </w:r>
          </w:p>
        </w:tc>
        <w:tc>
          <w:tcPr>
            <w:tcW w:w="1741" w:type="dxa"/>
            <w:tcBorders>
              <w:top w:val="nil"/>
              <w:left w:val="nil"/>
              <w:bottom w:val="single" w:sz="8" w:space="0" w:color="auto"/>
              <w:right w:val="single" w:sz="8" w:space="0" w:color="auto"/>
            </w:tcBorders>
            <w:shd w:val="clear" w:color="auto" w:fill="auto"/>
            <w:noWrap/>
            <w:vAlign w:val="center"/>
            <w:hideMark/>
          </w:tcPr>
          <w:p w14:paraId="07472F58"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262</w:t>
            </w:r>
          </w:p>
        </w:tc>
        <w:tc>
          <w:tcPr>
            <w:tcW w:w="1157" w:type="dxa"/>
            <w:tcBorders>
              <w:top w:val="nil"/>
              <w:left w:val="nil"/>
              <w:bottom w:val="single" w:sz="8" w:space="0" w:color="auto"/>
              <w:right w:val="single" w:sz="8" w:space="0" w:color="auto"/>
            </w:tcBorders>
            <w:shd w:val="clear" w:color="auto" w:fill="auto"/>
            <w:noWrap/>
            <w:vAlign w:val="center"/>
            <w:hideMark/>
          </w:tcPr>
          <w:p w14:paraId="50EFF28C"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10,0%</w:t>
            </w:r>
          </w:p>
        </w:tc>
      </w:tr>
      <w:tr w:rsidR="00E268E9" w:rsidRPr="00E268E9" w14:paraId="6C81B158"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3DEFB411"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II Circ. Jud. Zona Atlántica</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2FDBD149"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1482</w:t>
            </w:r>
          </w:p>
        </w:tc>
        <w:tc>
          <w:tcPr>
            <w:tcW w:w="1741" w:type="dxa"/>
            <w:tcBorders>
              <w:top w:val="nil"/>
              <w:left w:val="nil"/>
              <w:bottom w:val="single" w:sz="8" w:space="0" w:color="auto"/>
              <w:right w:val="single" w:sz="8" w:space="0" w:color="auto"/>
            </w:tcBorders>
            <w:shd w:val="clear" w:color="auto" w:fill="auto"/>
            <w:noWrap/>
            <w:vAlign w:val="center"/>
            <w:hideMark/>
          </w:tcPr>
          <w:p w14:paraId="1EF8A095"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172</w:t>
            </w:r>
          </w:p>
        </w:tc>
        <w:tc>
          <w:tcPr>
            <w:tcW w:w="1157" w:type="dxa"/>
            <w:tcBorders>
              <w:top w:val="nil"/>
              <w:left w:val="nil"/>
              <w:bottom w:val="single" w:sz="8" w:space="0" w:color="auto"/>
              <w:right w:val="single" w:sz="8" w:space="0" w:color="auto"/>
            </w:tcBorders>
            <w:shd w:val="clear" w:color="auto" w:fill="auto"/>
            <w:noWrap/>
            <w:vAlign w:val="center"/>
            <w:hideMark/>
          </w:tcPr>
          <w:p w14:paraId="43353D69"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11,6%</w:t>
            </w:r>
          </w:p>
        </w:tc>
      </w:tr>
      <w:tr w:rsidR="00E268E9" w:rsidRPr="00E268E9" w14:paraId="6C4F4354"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467D72C2"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 xml:space="preserve">Juzgado Familia III Circ. Jud. San José </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55A844A2"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1909</w:t>
            </w:r>
          </w:p>
        </w:tc>
        <w:tc>
          <w:tcPr>
            <w:tcW w:w="1741" w:type="dxa"/>
            <w:tcBorders>
              <w:top w:val="nil"/>
              <w:left w:val="nil"/>
              <w:bottom w:val="single" w:sz="8" w:space="0" w:color="auto"/>
              <w:right w:val="single" w:sz="8" w:space="0" w:color="auto"/>
            </w:tcBorders>
            <w:shd w:val="clear" w:color="auto" w:fill="auto"/>
            <w:noWrap/>
            <w:vAlign w:val="center"/>
            <w:hideMark/>
          </w:tcPr>
          <w:p w14:paraId="335DD19F"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285</w:t>
            </w:r>
          </w:p>
        </w:tc>
        <w:tc>
          <w:tcPr>
            <w:tcW w:w="1157" w:type="dxa"/>
            <w:tcBorders>
              <w:top w:val="nil"/>
              <w:left w:val="nil"/>
              <w:bottom w:val="single" w:sz="8" w:space="0" w:color="auto"/>
              <w:right w:val="single" w:sz="8" w:space="0" w:color="auto"/>
            </w:tcBorders>
            <w:shd w:val="clear" w:color="auto" w:fill="auto"/>
            <w:noWrap/>
            <w:vAlign w:val="center"/>
            <w:hideMark/>
          </w:tcPr>
          <w:p w14:paraId="313F8147"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14,9%</w:t>
            </w:r>
          </w:p>
        </w:tc>
      </w:tr>
      <w:tr w:rsidR="00E268E9" w:rsidRPr="00E268E9" w14:paraId="348EDD48"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37D6D2BF"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Familia Puntarenas</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475FAC26"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1370</w:t>
            </w:r>
          </w:p>
        </w:tc>
        <w:tc>
          <w:tcPr>
            <w:tcW w:w="1741" w:type="dxa"/>
            <w:tcBorders>
              <w:top w:val="nil"/>
              <w:left w:val="nil"/>
              <w:bottom w:val="single" w:sz="8" w:space="0" w:color="auto"/>
              <w:right w:val="single" w:sz="8" w:space="0" w:color="auto"/>
            </w:tcBorders>
            <w:shd w:val="clear" w:color="auto" w:fill="auto"/>
            <w:noWrap/>
            <w:vAlign w:val="center"/>
            <w:hideMark/>
          </w:tcPr>
          <w:p w14:paraId="3C5C0193"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165</w:t>
            </w:r>
          </w:p>
        </w:tc>
        <w:tc>
          <w:tcPr>
            <w:tcW w:w="1157" w:type="dxa"/>
            <w:tcBorders>
              <w:top w:val="nil"/>
              <w:left w:val="nil"/>
              <w:bottom w:val="single" w:sz="8" w:space="0" w:color="auto"/>
              <w:right w:val="single" w:sz="8" w:space="0" w:color="auto"/>
            </w:tcBorders>
            <w:shd w:val="clear" w:color="auto" w:fill="auto"/>
            <w:noWrap/>
            <w:vAlign w:val="center"/>
            <w:hideMark/>
          </w:tcPr>
          <w:p w14:paraId="30B54117"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12,0%</w:t>
            </w:r>
          </w:p>
        </w:tc>
      </w:tr>
      <w:tr w:rsidR="00E268E9" w:rsidRPr="00E268E9" w14:paraId="3363022C"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67CBE966"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Primero Familia San José</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14C5CA85"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1267</w:t>
            </w:r>
          </w:p>
        </w:tc>
        <w:tc>
          <w:tcPr>
            <w:tcW w:w="1741" w:type="dxa"/>
            <w:tcBorders>
              <w:top w:val="nil"/>
              <w:left w:val="nil"/>
              <w:bottom w:val="single" w:sz="8" w:space="0" w:color="auto"/>
              <w:right w:val="single" w:sz="8" w:space="0" w:color="auto"/>
            </w:tcBorders>
            <w:shd w:val="clear" w:color="auto" w:fill="auto"/>
            <w:noWrap/>
            <w:vAlign w:val="center"/>
            <w:hideMark/>
          </w:tcPr>
          <w:p w14:paraId="02F70957"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149</w:t>
            </w:r>
          </w:p>
        </w:tc>
        <w:tc>
          <w:tcPr>
            <w:tcW w:w="1157" w:type="dxa"/>
            <w:tcBorders>
              <w:top w:val="nil"/>
              <w:left w:val="nil"/>
              <w:bottom w:val="single" w:sz="8" w:space="0" w:color="auto"/>
              <w:right w:val="single" w:sz="8" w:space="0" w:color="auto"/>
            </w:tcBorders>
            <w:shd w:val="clear" w:color="auto" w:fill="auto"/>
            <w:noWrap/>
            <w:vAlign w:val="center"/>
            <w:hideMark/>
          </w:tcPr>
          <w:p w14:paraId="5A2E0AD9"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11,8%</w:t>
            </w:r>
          </w:p>
        </w:tc>
      </w:tr>
      <w:tr w:rsidR="00E268E9" w:rsidRPr="00E268E9" w14:paraId="604964A6" w14:textId="77777777" w:rsidTr="00E268E9">
        <w:trPr>
          <w:trHeight w:val="300"/>
        </w:trPr>
        <w:tc>
          <w:tcPr>
            <w:tcW w:w="4276" w:type="dxa"/>
            <w:tcBorders>
              <w:top w:val="nil"/>
              <w:left w:val="single" w:sz="8" w:space="0" w:color="auto"/>
              <w:bottom w:val="single" w:sz="8" w:space="0" w:color="auto"/>
              <w:right w:val="nil"/>
            </w:tcBorders>
            <w:shd w:val="clear" w:color="auto" w:fill="auto"/>
            <w:noWrap/>
            <w:vAlign w:val="center"/>
            <w:hideMark/>
          </w:tcPr>
          <w:p w14:paraId="78572C92" w14:textId="77777777" w:rsidR="00E268E9" w:rsidRPr="00E268E9" w:rsidRDefault="00E268E9" w:rsidP="00E268E9">
            <w:pPr>
              <w:spacing w:after="0" w:line="240" w:lineRule="auto"/>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Juzgado Segundo Familia San José</w:t>
            </w:r>
          </w:p>
        </w:tc>
        <w:tc>
          <w:tcPr>
            <w:tcW w:w="1166" w:type="dxa"/>
            <w:tcBorders>
              <w:top w:val="nil"/>
              <w:left w:val="single" w:sz="8" w:space="0" w:color="auto"/>
              <w:bottom w:val="single" w:sz="8" w:space="0" w:color="auto"/>
              <w:right w:val="single" w:sz="8" w:space="0" w:color="auto"/>
            </w:tcBorders>
            <w:shd w:val="clear" w:color="auto" w:fill="auto"/>
            <w:noWrap/>
            <w:vAlign w:val="bottom"/>
            <w:hideMark/>
          </w:tcPr>
          <w:p w14:paraId="4355CE08"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1226</w:t>
            </w:r>
          </w:p>
        </w:tc>
        <w:tc>
          <w:tcPr>
            <w:tcW w:w="1741" w:type="dxa"/>
            <w:tcBorders>
              <w:top w:val="nil"/>
              <w:left w:val="nil"/>
              <w:bottom w:val="single" w:sz="8" w:space="0" w:color="auto"/>
              <w:right w:val="single" w:sz="8" w:space="0" w:color="auto"/>
            </w:tcBorders>
            <w:shd w:val="clear" w:color="auto" w:fill="auto"/>
            <w:noWrap/>
            <w:vAlign w:val="center"/>
            <w:hideMark/>
          </w:tcPr>
          <w:p w14:paraId="4DCDDF73"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145</w:t>
            </w:r>
          </w:p>
        </w:tc>
        <w:tc>
          <w:tcPr>
            <w:tcW w:w="1157" w:type="dxa"/>
            <w:tcBorders>
              <w:top w:val="nil"/>
              <w:left w:val="nil"/>
              <w:bottom w:val="single" w:sz="8" w:space="0" w:color="auto"/>
              <w:right w:val="single" w:sz="8" w:space="0" w:color="auto"/>
            </w:tcBorders>
            <w:shd w:val="clear" w:color="auto" w:fill="auto"/>
            <w:noWrap/>
            <w:vAlign w:val="center"/>
            <w:hideMark/>
          </w:tcPr>
          <w:p w14:paraId="6E0210BF" w14:textId="77777777" w:rsidR="00E268E9" w:rsidRPr="00E268E9" w:rsidRDefault="00E268E9" w:rsidP="00E268E9">
            <w:pPr>
              <w:spacing w:after="0" w:line="240" w:lineRule="auto"/>
              <w:jc w:val="center"/>
              <w:rPr>
                <w:rFonts w:ascii="Book Antiqua" w:eastAsia="Times New Roman" w:hAnsi="Book Antiqua" w:cs="Calibri"/>
                <w:color w:val="000000"/>
                <w:sz w:val="20"/>
                <w:szCs w:val="20"/>
                <w:lang w:eastAsia="es-CR"/>
              </w:rPr>
            </w:pPr>
            <w:r w:rsidRPr="00E268E9">
              <w:rPr>
                <w:rFonts w:ascii="Book Antiqua" w:eastAsia="Times New Roman" w:hAnsi="Book Antiqua" w:cs="Calibri"/>
                <w:color w:val="000000"/>
                <w:sz w:val="20"/>
                <w:szCs w:val="20"/>
                <w:lang w:eastAsia="es-CR"/>
              </w:rPr>
              <w:t>11,8%</w:t>
            </w:r>
          </w:p>
        </w:tc>
      </w:tr>
      <w:tr w:rsidR="00E268E9" w:rsidRPr="00E268E9" w14:paraId="5B3EB6B2" w14:textId="77777777" w:rsidTr="00E268E9">
        <w:trPr>
          <w:trHeight w:val="300"/>
        </w:trPr>
        <w:tc>
          <w:tcPr>
            <w:tcW w:w="4276" w:type="dxa"/>
            <w:tcBorders>
              <w:top w:val="nil"/>
              <w:left w:val="single" w:sz="8" w:space="0" w:color="auto"/>
              <w:bottom w:val="single" w:sz="8" w:space="0" w:color="auto"/>
              <w:right w:val="single" w:sz="8" w:space="0" w:color="auto"/>
            </w:tcBorders>
            <w:shd w:val="clear" w:color="000000" w:fill="BFBFBF"/>
            <w:noWrap/>
            <w:vAlign w:val="center"/>
            <w:hideMark/>
          </w:tcPr>
          <w:p w14:paraId="7AA7187B" w14:textId="77777777" w:rsidR="00E268E9" w:rsidRPr="00E268E9" w:rsidRDefault="00E268E9" w:rsidP="00E268E9">
            <w:pPr>
              <w:spacing w:after="0" w:line="240" w:lineRule="auto"/>
              <w:jc w:val="right"/>
              <w:rPr>
                <w:rFonts w:ascii="Book Antiqua" w:eastAsia="Times New Roman" w:hAnsi="Book Antiqua" w:cs="Calibri"/>
                <w:b/>
                <w:bCs/>
                <w:color w:val="000000"/>
                <w:sz w:val="20"/>
                <w:szCs w:val="20"/>
                <w:lang w:eastAsia="es-CR"/>
              </w:rPr>
            </w:pPr>
            <w:r w:rsidRPr="00E268E9">
              <w:rPr>
                <w:rFonts w:ascii="Book Antiqua" w:eastAsia="Times New Roman" w:hAnsi="Book Antiqua" w:cs="Calibri"/>
                <w:b/>
                <w:bCs/>
                <w:color w:val="000000"/>
                <w:sz w:val="20"/>
                <w:szCs w:val="20"/>
                <w:lang w:eastAsia="es-CR"/>
              </w:rPr>
              <w:t>Total general</w:t>
            </w:r>
          </w:p>
        </w:tc>
        <w:tc>
          <w:tcPr>
            <w:tcW w:w="1166" w:type="dxa"/>
            <w:tcBorders>
              <w:top w:val="nil"/>
              <w:left w:val="nil"/>
              <w:bottom w:val="single" w:sz="8" w:space="0" w:color="auto"/>
              <w:right w:val="single" w:sz="8" w:space="0" w:color="auto"/>
            </w:tcBorders>
            <w:shd w:val="clear" w:color="000000" w:fill="BFBFBF"/>
            <w:noWrap/>
            <w:vAlign w:val="center"/>
            <w:hideMark/>
          </w:tcPr>
          <w:p w14:paraId="77632143" w14:textId="77777777" w:rsidR="00E268E9" w:rsidRPr="00E268E9" w:rsidRDefault="00E268E9" w:rsidP="00E268E9">
            <w:pPr>
              <w:spacing w:after="0" w:line="240" w:lineRule="auto"/>
              <w:jc w:val="center"/>
              <w:rPr>
                <w:rFonts w:ascii="Book Antiqua" w:eastAsia="Times New Roman" w:hAnsi="Book Antiqua" w:cs="Calibri"/>
                <w:b/>
                <w:bCs/>
                <w:color w:val="000000"/>
                <w:sz w:val="20"/>
                <w:szCs w:val="20"/>
                <w:lang w:eastAsia="es-CR"/>
              </w:rPr>
            </w:pPr>
            <w:r w:rsidRPr="00E268E9">
              <w:rPr>
                <w:rFonts w:ascii="Book Antiqua" w:eastAsia="Times New Roman" w:hAnsi="Book Antiqua" w:cs="Calibri"/>
                <w:b/>
                <w:bCs/>
                <w:color w:val="000000"/>
                <w:sz w:val="20"/>
                <w:szCs w:val="20"/>
                <w:lang w:eastAsia="es-CR"/>
              </w:rPr>
              <w:t>21449</w:t>
            </w:r>
          </w:p>
        </w:tc>
        <w:tc>
          <w:tcPr>
            <w:tcW w:w="1741" w:type="dxa"/>
            <w:tcBorders>
              <w:top w:val="nil"/>
              <w:left w:val="nil"/>
              <w:bottom w:val="single" w:sz="8" w:space="0" w:color="auto"/>
              <w:right w:val="single" w:sz="8" w:space="0" w:color="auto"/>
            </w:tcBorders>
            <w:shd w:val="clear" w:color="000000" w:fill="BFBFBF"/>
            <w:noWrap/>
            <w:vAlign w:val="center"/>
            <w:hideMark/>
          </w:tcPr>
          <w:p w14:paraId="31000DD6" w14:textId="77777777" w:rsidR="00E268E9" w:rsidRPr="00E268E9" w:rsidRDefault="00E268E9" w:rsidP="00E268E9">
            <w:pPr>
              <w:spacing w:after="0" w:line="240" w:lineRule="auto"/>
              <w:jc w:val="center"/>
              <w:rPr>
                <w:rFonts w:ascii="Book Antiqua" w:eastAsia="Times New Roman" w:hAnsi="Book Antiqua" w:cs="Calibri"/>
                <w:b/>
                <w:bCs/>
                <w:color w:val="000000"/>
                <w:sz w:val="20"/>
                <w:szCs w:val="20"/>
                <w:lang w:eastAsia="es-CR"/>
              </w:rPr>
            </w:pPr>
            <w:r w:rsidRPr="00E268E9">
              <w:rPr>
                <w:rFonts w:ascii="Book Antiqua" w:eastAsia="Times New Roman" w:hAnsi="Book Antiqua" w:cs="Calibri"/>
                <w:b/>
                <w:bCs/>
                <w:color w:val="000000"/>
                <w:sz w:val="20"/>
                <w:szCs w:val="20"/>
                <w:lang w:eastAsia="es-CR"/>
              </w:rPr>
              <w:t>2664</w:t>
            </w:r>
          </w:p>
        </w:tc>
        <w:tc>
          <w:tcPr>
            <w:tcW w:w="1157" w:type="dxa"/>
            <w:tcBorders>
              <w:top w:val="nil"/>
              <w:left w:val="nil"/>
              <w:bottom w:val="single" w:sz="8" w:space="0" w:color="auto"/>
              <w:right w:val="single" w:sz="8" w:space="0" w:color="auto"/>
            </w:tcBorders>
            <w:shd w:val="clear" w:color="000000" w:fill="BFBFBF"/>
            <w:noWrap/>
            <w:vAlign w:val="center"/>
            <w:hideMark/>
          </w:tcPr>
          <w:p w14:paraId="6A1FA661" w14:textId="77777777" w:rsidR="00E268E9" w:rsidRPr="00E268E9" w:rsidRDefault="00E268E9" w:rsidP="00E268E9">
            <w:pPr>
              <w:spacing w:after="0" w:line="240" w:lineRule="auto"/>
              <w:jc w:val="center"/>
              <w:rPr>
                <w:rFonts w:ascii="Book Antiqua" w:eastAsia="Times New Roman" w:hAnsi="Book Antiqua" w:cs="Calibri"/>
                <w:b/>
                <w:bCs/>
                <w:color w:val="000000"/>
                <w:sz w:val="20"/>
                <w:szCs w:val="20"/>
                <w:lang w:eastAsia="es-CR"/>
              </w:rPr>
            </w:pPr>
            <w:r w:rsidRPr="00E268E9">
              <w:rPr>
                <w:rFonts w:ascii="Book Antiqua" w:eastAsia="Times New Roman" w:hAnsi="Book Antiqua" w:cs="Calibri"/>
                <w:b/>
                <w:bCs/>
                <w:color w:val="000000"/>
                <w:sz w:val="20"/>
                <w:szCs w:val="20"/>
                <w:lang w:eastAsia="es-CR"/>
              </w:rPr>
              <w:t>12,58%</w:t>
            </w:r>
          </w:p>
        </w:tc>
      </w:tr>
    </w:tbl>
    <w:p w14:paraId="4CCD8824" w14:textId="600AD0BB" w:rsidR="00176A6D" w:rsidRDefault="00A66284" w:rsidP="009C01E1">
      <w:pPr>
        <w:spacing w:line="276" w:lineRule="auto"/>
        <w:jc w:val="both"/>
        <w:rPr>
          <w:rFonts w:ascii="Book Antiqua" w:hAnsi="Book Antiqua"/>
          <w:i/>
          <w:iCs/>
          <w:sz w:val="20"/>
          <w:szCs w:val="20"/>
        </w:rPr>
      </w:pPr>
      <w:bookmarkStart w:id="33" w:name="_Hlk127971812"/>
      <w:r w:rsidRPr="00F134FF">
        <w:rPr>
          <w:rFonts w:ascii="Book Antiqua" w:hAnsi="Book Antiqua"/>
          <w:b/>
          <w:bCs/>
          <w:i/>
          <w:iCs/>
          <w:sz w:val="20"/>
          <w:szCs w:val="20"/>
        </w:rPr>
        <w:t>Fuente:</w:t>
      </w:r>
      <w:r w:rsidRPr="00A66284">
        <w:rPr>
          <w:rFonts w:ascii="Book Antiqua" w:hAnsi="Book Antiqua"/>
          <w:i/>
          <w:iCs/>
          <w:sz w:val="20"/>
          <w:szCs w:val="20"/>
        </w:rPr>
        <w:t xml:space="preserve"> </w:t>
      </w:r>
      <w:r w:rsidR="00BB77CA">
        <w:rPr>
          <w:rFonts w:ascii="Book Antiqua" w:hAnsi="Book Antiqua"/>
          <w:i/>
          <w:iCs/>
          <w:sz w:val="20"/>
          <w:szCs w:val="20"/>
        </w:rPr>
        <w:t xml:space="preserve">Subproceso de </w:t>
      </w:r>
      <w:r w:rsidRPr="00A66284">
        <w:rPr>
          <w:rFonts w:ascii="Book Antiqua" w:hAnsi="Book Antiqua"/>
          <w:i/>
          <w:iCs/>
          <w:sz w:val="20"/>
          <w:szCs w:val="20"/>
        </w:rPr>
        <w:t xml:space="preserve">Modernización Institucional con datos del </w:t>
      </w:r>
      <w:r w:rsidR="00793DFA" w:rsidRPr="00A66284">
        <w:rPr>
          <w:rFonts w:ascii="Book Antiqua" w:hAnsi="Book Antiqua"/>
          <w:i/>
          <w:iCs/>
          <w:sz w:val="20"/>
          <w:szCs w:val="20"/>
        </w:rPr>
        <w:t>Subproceso</w:t>
      </w:r>
      <w:r w:rsidRPr="00A66284">
        <w:rPr>
          <w:rFonts w:ascii="Book Antiqua" w:hAnsi="Book Antiqua"/>
          <w:i/>
          <w:iCs/>
          <w:sz w:val="20"/>
          <w:szCs w:val="20"/>
        </w:rPr>
        <w:t xml:space="preserve"> de Estadística de</w:t>
      </w:r>
      <w:r w:rsidR="00BB77CA">
        <w:rPr>
          <w:rFonts w:ascii="Book Antiqua" w:hAnsi="Book Antiqua"/>
          <w:i/>
          <w:iCs/>
          <w:sz w:val="20"/>
          <w:szCs w:val="20"/>
        </w:rPr>
        <w:t>l</w:t>
      </w:r>
      <w:r w:rsidRPr="00A66284">
        <w:rPr>
          <w:rFonts w:ascii="Book Antiqua" w:hAnsi="Book Antiqua"/>
          <w:i/>
          <w:iCs/>
          <w:sz w:val="20"/>
          <w:szCs w:val="20"/>
        </w:rPr>
        <w:t xml:space="preserve"> 201</w:t>
      </w:r>
      <w:r w:rsidR="00793DFA">
        <w:rPr>
          <w:rFonts w:ascii="Book Antiqua" w:hAnsi="Book Antiqua"/>
          <w:i/>
          <w:iCs/>
          <w:sz w:val="20"/>
          <w:szCs w:val="20"/>
        </w:rPr>
        <w:t>7</w:t>
      </w:r>
      <w:r w:rsidRPr="00A66284">
        <w:rPr>
          <w:rFonts w:ascii="Book Antiqua" w:hAnsi="Book Antiqua"/>
          <w:i/>
          <w:iCs/>
          <w:sz w:val="20"/>
          <w:szCs w:val="20"/>
        </w:rPr>
        <w:t xml:space="preserve"> a</w:t>
      </w:r>
      <w:r w:rsidR="00BB77CA">
        <w:rPr>
          <w:rFonts w:ascii="Book Antiqua" w:hAnsi="Book Antiqua"/>
          <w:i/>
          <w:iCs/>
          <w:sz w:val="20"/>
          <w:szCs w:val="20"/>
        </w:rPr>
        <w:t>l</w:t>
      </w:r>
      <w:r w:rsidRPr="00A66284">
        <w:rPr>
          <w:rFonts w:ascii="Book Antiqua" w:hAnsi="Book Antiqua"/>
          <w:i/>
          <w:iCs/>
          <w:sz w:val="20"/>
          <w:szCs w:val="20"/>
        </w:rPr>
        <w:t xml:space="preserve"> 20</w:t>
      </w:r>
      <w:r w:rsidR="00793DFA">
        <w:rPr>
          <w:rFonts w:ascii="Book Antiqua" w:hAnsi="Book Antiqua"/>
          <w:i/>
          <w:iCs/>
          <w:sz w:val="20"/>
          <w:szCs w:val="20"/>
        </w:rPr>
        <w:t>2</w:t>
      </w:r>
      <w:r w:rsidR="00BB77CA">
        <w:rPr>
          <w:rFonts w:ascii="Book Antiqua" w:hAnsi="Book Antiqua"/>
          <w:i/>
          <w:iCs/>
          <w:sz w:val="20"/>
          <w:szCs w:val="20"/>
        </w:rPr>
        <w:t xml:space="preserve">2 y consulta del Balance General Interactivo del </w:t>
      </w:r>
      <w:r w:rsidR="0073349B" w:rsidRPr="0073349B">
        <w:rPr>
          <w:rFonts w:ascii="Book Antiqua" w:hAnsi="Book Antiqua"/>
          <w:i/>
          <w:iCs/>
          <w:sz w:val="20"/>
          <w:szCs w:val="20"/>
        </w:rPr>
        <w:t>23</w:t>
      </w:r>
      <w:r w:rsidR="00BB77CA" w:rsidRPr="0073349B">
        <w:rPr>
          <w:rFonts w:ascii="Book Antiqua" w:hAnsi="Book Antiqua"/>
          <w:i/>
          <w:iCs/>
          <w:sz w:val="20"/>
          <w:szCs w:val="20"/>
        </w:rPr>
        <w:t>/2/2023</w:t>
      </w:r>
      <w:r w:rsidRPr="0073349B">
        <w:rPr>
          <w:rFonts w:ascii="Book Antiqua" w:hAnsi="Book Antiqua"/>
          <w:i/>
          <w:iCs/>
          <w:sz w:val="20"/>
          <w:szCs w:val="20"/>
        </w:rPr>
        <w:t>.</w:t>
      </w:r>
    </w:p>
    <w:bookmarkEnd w:id="33"/>
    <w:p w14:paraId="2C278586" w14:textId="77777777" w:rsidR="00C71ECD" w:rsidRPr="00C71ECD" w:rsidRDefault="00C71ECD" w:rsidP="00C71ECD">
      <w:pPr>
        <w:spacing w:after="0" w:line="276" w:lineRule="auto"/>
        <w:jc w:val="both"/>
        <w:rPr>
          <w:rFonts w:ascii="Book Antiqua" w:eastAsia="Calibri" w:hAnsi="Book Antiqua" w:cs="Arial"/>
          <w:color w:val="000000"/>
          <w:sz w:val="24"/>
          <w:szCs w:val="24"/>
          <w:lang w:eastAsia="es-CR"/>
        </w:rPr>
      </w:pPr>
      <w:r w:rsidRPr="00C71ECD">
        <w:rPr>
          <w:rFonts w:ascii="Book Antiqua" w:eastAsia="Calibri" w:hAnsi="Book Antiqua" w:cs="Arial"/>
          <w:color w:val="000000"/>
          <w:sz w:val="24"/>
          <w:szCs w:val="24"/>
          <w:lang w:eastAsia="es-CR"/>
        </w:rPr>
        <w:t>Cabe mencionar que dentro de los despachos analizados y que conocían la materia Familia durante los estudios realizados para la Reforma al Código de Trabajo y Reforma Procesal Civil se incluyó:</w:t>
      </w:r>
    </w:p>
    <w:p w14:paraId="28E07624" w14:textId="510C488E" w:rsidR="00176A6D" w:rsidRDefault="00176A6D" w:rsidP="009C01E1">
      <w:pPr>
        <w:spacing w:line="276" w:lineRule="auto"/>
        <w:jc w:val="both"/>
        <w:rPr>
          <w:rFonts w:ascii="Book Antiqua" w:hAnsi="Book Antiqua"/>
          <w:i/>
          <w:iCs/>
          <w:sz w:val="20"/>
          <w:szCs w:val="20"/>
        </w:rPr>
      </w:pPr>
    </w:p>
    <w:p w14:paraId="5F484C92" w14:textId="5EC89CEB" w:rsidR="00406E72" w:rsidRDefault="0082155E"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sidRPr="00D83B6B">
        <w:rPr>
          <w:rFonts w:ascii="Book Antiqua" w:eastAsia="Calibri" w:hAnsi="Book Antiqua" w:cs="Arial"/>
          <w:color w:val="000000"/>
          <w:sz w:val="24"/>
          <w:szCs w:val="24"/>
          <w:lang w:eastAsia="es-CR"/>
        </w:rPr>
        <w:t>Juzgado</w:t>
      </w:r>
      <w:r w:rsidR="00D83B6B" w:rsidRPr="00D83B6B">
        <w:rPr>
          <w:rFonts w:ascii="Book Antiqua" w:eastAsia="Calibri" w:hAnsi="Book Antiqua" w:cs="Arial"/>
          <w:color w:val="000000"/>
          <w:sz w:val="24"/>
          <w:szCs w:val="24"/>
          <w:lang w:eastAsia="es-CR"/>
        </w:rPr>
        <w:t xml:space="preserve"> Civil, Trabajo y Familia del Segundo Circuito Judicial de Alajuela, sede Upala, lo cual consta en el informe 437-PLA-2017, aprobado por el Consejo Superior en la sesión 19-17 del 02 de marzo de 2017, artículo LV.</w:t>
      </w:r>
    </w:p>
    <w:p w14:paraId="5138CB5F" w14:textId="6B30282B" w:rsidR="00D83B6B" w:rsidRDefault="00FB104C"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16287" w:rsidRPr="00916287">
        <w:rPr>
          <w:rFonts w:ascii="Book Antiqua" w:eastAsia="Calibri" w:hAnsi="Book Antiqua" w:cs="Arial"/>
          <w:color w:val="000000"/>
          <w:sz w:val="24"/>
          <w:szCs w:val="24"/>
          <w:lang w:eastAsia="es-CR"/>
        </w:rPr>
        <w:t>Civil, Trabajo, Familia, Agrario, Penal Juvenil y Violencia Doméstica de Buenos Aires, lo cual consta en el informe 1203-PLA-2017, aprobado por el Consejo Superior, en la sesión 87-17 celebrada el 26 de setiembre del 2017, artículo LXXXI</w:t>
      </w:r>
      <w:r w:rsidR="00916287">
        <w:rPr>
          <w:rFonts w:ascii="Book Antiqua" w:eastAsia="Calibri" w:hAnsi="Book Antiqua" w:cs="Arial"/>
          <w:color w:val="000000"/>
          <w:sz w:val="24"/>
          <w:szCs w:val="24"/>
          <w:lang w:eastAsia="es-CR"/>
        </w:rPr>
        <w:t>.</w:t>
      </w:r>
    </w:p>
    <w:p w14:paraId="3181F0D5" w14:textId="4EC0F046" w:rsidR="00916287" w:rsidRDefault="00916287"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540C7F" w:rsidRPr="00540C7F">
        <w:rPr>
          <w:rFonts w:ascii="Book Antiqua" w:eastAsia="Calibri" w:hAnsi="Book Antiqua" w:cs="Arial"/>
          <w:color w:val="000000"/>
          <w:sz w:val="24"/>
          <w:szCs w:val="24"/>
          <w:lang w:eastAsia="es-CR"/>
        </w:rPr>
        <w:t>Civil, Trabajo y Familia de Osa, lo cual consta en el informe 835-PLA-2017, aprobado por el Consejo Superior, en la sesión 35-17 celebrada el 18 de abril del 2017, artículo LIII.</w:t>
      </w:r>
    </w:p>
    <w:p w14:paraId="5ACE9B59" w14:textId="13837A99" w:rsidR="00540C7F" w:rsidRDefault="001F2E3C"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E02C23" w:rsidRPr="00E02C23">
        <w:rPr>
          <w:rFonts w:ascii="Book Antiqua" w:eastAsia="Calibri" w:hAnsi="Book Antiqua" w:cs="Arial"/>
          <w:color w:val="000000"/>
          <w:sz w:val="24"/>
          <w:szCs w:val="24"/>
          <w:lang w:eastAsia="es-CR"/>
        </w:rPr>
        <w:t>Civil, Trabajo y Familia de Aguirre y Parrita, lo cual consta en el informe 65-PLA-2017, aprobado por el Consejo Superior, en la sesión 5-17 del 24 de enero del 2027, Art XLIII. Actualmente corresponde a los Juzgados Civil y Trabajo, y Juzgado Familia, Violencia Doméstica y Penal Juvenil de Quepos, debido a la separación efectuada el 8 de octubre del 2018 a raíz de la entrada en vigencia del Nuevo Código Procesal Civil</w:t>
      </w:r>
      <w:r w:rsidR="00E02C23">
        <w:rPr>
          <w:rFonts w:ascii="Book Antiqua" w:eastAsia="Calibri" w:hAnsi="Book Antiqua" w:cs="Arial"/>
          <w:color w:val="000000"/>
          <w:sz w:val="24"/>
          <w:szCs w:val="24"/>
          <w:lang w:eastAsia="es-CR"/>
        </w:rPr>
        <w:t>.</w:t>
      </w:r>
    </w:p>
    <w:p w14:paraId="3602F469" w14:textId="0C4A264C" w:rsidR="00E02C23" w:rsidRDefault="00472EFA"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D0938" w:rsidRPr="009D0938">
        <w:rPr>
          <w:rFonts w:ascii="Book Antiqua" w:eastAsia="Calibri" w:hAnsi="Book Antiqua" w:cs="Arial"/>
          <w:color w:val="000000"/>
          <w:sz w:val="24"/>
          <w:szCs w:val="24"/>
          <w:lang w:eastAsia="es-CR"/>
        </w:rPr>
        <w:t>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entrada en vigencia del Nuevo Código Procesal Civil</w:t>
      </w:r>
      <w:r w:rsidR="009D0938">
        <w:rPr>
          <w:rFonts w:ascii="Book Antiqua" w:eastAsia="Calibri" w:hAnsi="Book Antiqua" w:cs="Arial"/>
          <w:color w:val="000000"/>
          <w:sz w:val="24"/>
          <w:szCs w:val="24"/>
          <w:lang w:eastAsia="es-CR"/>
        </w:rPr>
        <w:t>.</w:t>
      </w:r>
    </w:p>
    <w:p w14:paraId="13ABF007" w14:textId="66F5C125" w:rsidR="009D0938" w:rsidRDefault="009D0938"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94CDD" w:rsidRPr="00994CDD">
        <w:rPr>
          <w:rFonts w:ascii="Book Antiqua" w:eastAsia="Calibri" w:hAnsi="Book Antiqua" w:cs="Arial"/>
          <w:color w:val="000000"/>
          <w:sz w:val="24"/>
          <w:szCs w:val="24"/>
          <w:lang w:eastAsia="es-CR"/>
        </w:rPr>
        <w:t>Civil, Trabajo, Familia, Penal Juvenil y Violencia Doméstica de Sarapiquí, lo cual consta en el informe 1093-PLA-2017, aprobado en la sesión 69-17 del 26 de julio de 2017, artículo LXI</w:t>
      </w:r>
      <w:r w:rsidR="00994CDD">
        <w:rPr>
          <w:rFonts w:ascii="Book Antiqua" w:eastAsia="Calibri" w:hAnsi="Book Antiqua" w:cs="Arial"/>
          <w:color w:val="000000"/>
          <w:sz w:val="24"/>
          <w:szCs w:val="24"/>
          <w:lang w:eastAsia="es-CR"/>
        </w:rPr>
        <w:t>.</w:t>
      </w:r>
    </w:p>
    <w:p w14:paraId="7CFF9B4E" w14:textId="1116E613" w:rsidR="00F91AAB" w:rsidRDefault="00F91AAB"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Pr="00F91AAB">
        <w:rPr>
          <w:rFonts w:ascii="Book Antiqua" w:eastAsia="Calibri" w:hAnsi="Book Antiqua" w:cs="Arial"/>
          <w:color w:val="000000"/>
          <w:sz w:val="24"/>
          <w:szCs w:val="24"/>
          <w:lang w:eastAsia="es-CR"/>
        </w:rPr>
        <w:t>Civil, Trabajo y Familia Puriscal, lo cual consta en el informe 1471-PLA-2017, aprobado por el Consejo Superior, en la sesión 94-17 celebrada el 12 de octubre del 2017, artículo LIV</w:t>
      </w:r>
      <w:r>
        <w:rPr>
          <w:rFonts w:ascii="Book Antiqua" w:eastAsia="Calibri" w:hAnsi="Book Antiqua" w:cs="Arial"/>
          <w:color w:val="000000"/>
          <w:sz w:val="24"/>
          <w:szCs w:val="24"/>
          <w:lang w:eastAsia="es-CR"/>
        </w:rPr>
        <w:t>.</w:t>
      </w:r>
    </w:p>
    <w:p w14:paraId="36852E9C" w14:textId="77777777" w:rsidR="00207003" w:rsidRDefault="00207003" w:rsidP="00207003">
      <w:pPr>
        <w:pStyle w:val="Prrafodelista"/>
        <w:spacing w:line="276" w:lineRule="auto"/>
        <w:jc w:val="both"/>
        <w:rPr>
          <w:rFonts w:ascii="Book Antiqua" w:eastAsia="Calibri" w:hAnsi="Book Antiqua" w:cs="Arial"/>
          <w:color w:val="000000"/>
          <w:sz w:val="24"/>
          <w:szCs w:val="24"/>
          <w:lang w:eastAsia="es-CR"/>
        </w:rPr>
      </w:pPr>
    </w:p>
    <w:p w14:paraId="445272BF" w14:textId="5DE2386E" w:rsidR="00F91AAB" w:rsidRPr="004A3198" w:rsidRDefault="006F62E7"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Análisis de cargas de trabajo actual y proyectada</w:t>
      </w:r>
    </w:p>
    <w:p w14:paraId="5CD7F470" w14:textId="77777777" w:rsidR="004A3198" w:rsidRDefault="004A3198" w:rsidP="00207003">
      <w:pPr>
        <w:spacing w:after="0" w:line="276" w:lineRule="auto"/>
        <w:jc w:val="both"/>
        <w:rPr>
          <w:rFonts w:ascii="Book Antiqua" w:eastAsia="Calibri" w:hAnsi="Book Antiqua" w:cs="Arial"/>
          <w:sz w:val="24"/>
          <w:szCs w:val="24"/>
        </w:rPr>
      </w:pPr>
    </w:p>
    <w:p w14:paraId="3B6BAD41" w14:textId="47171D9D" w:rsidR="00207003" w:rsidRPr="00207003" w:rsidRDefault="00207003" w:rsidP="00207003">
      <w:pPr>
        <w:spacing w:after="0" w:line="276" w:lineRule="auto"/>
        <w:jc w:val="both"/>
        <w:rPr>
          <w:rFonts w:ascii="Book Antiqua" w:eastAsia="Calibri" w:hAnsi="Book Antiqua" w:cs="Arial"/>
          <w:sz w:val="24"/>
          <w:szCs w:val="24"/>
        </w:rPr>
      </w:pPr>
      <w:r w:rsidRPr="00207003">
        <w:rPr>
          <w:rFonts w:ascii="Book Antiqua" w:eastAsia="Calibri" w:hAnsi="Book Antiqua" w:cs="Arial"/>
          <w:sz w:val="24"/>
          <w:szCs w:val="24"/>
        </w:rPr>
        <w:t>Se analizan los efectos estimados del CPF (Código Procesal de Familia) para los juzgados de familia del país, producto de la desjudicialización de casos sobre la entrada; para ello se agruparon los despachos en bloques según su competencia material.</w:t>
      </w:r>
    </w:p>
    <w:p w14:paraId="2CE26224" w14:textId="77777777" w:rsidR="00207003" w:rsidRPr="00207003" w:rsidRDefault="00207003" w:rsidP="00207003">
      <w:pPr>
        <w:spacing w:after="0" w:line="276" w:lineRule="auto"/>
        <w:jc w:val="both"/>
        <w:rPr>
          <w:rFonts w:ascii="Book Antiqua" w:eastAsia="Calibri" w:hAnsi="Book Antiqua" w:cs="Arial"/>
          <w:sz w:val="24"/>
          <w:szCs w:val="24"/>
        </w:rPr>
      </w:pPr>
    </w:p>
    <w:p w14:paraId="7AB7670F" w14:textId="1A496C22" w:rsidR="009D59D7" w:rsidRDefault="00207003" w:rsidP="001D0C10">
      <w:pPr>
        <w:spacing w:line="276" w:lineRule="auto"/>
        <w:jc w:val="both"/>
        <w:rPr>
          <w:rFonts w:ascii="Book Antiqua" w:eastAsia="Calibri" w:hAnsi="Book Antiqua" w:cs="Arial"/>
          <w:sz w:val="24"/>
          <w:szCs w:val="24"/>
        </w:rPr>
      </w:pPr>
      <w:r w:rsidRPr="00BF035D">
        <w:rPr>
          <w:rFonts w:ascii="Book Antiqua" w:eastAsia="Calibri" w:hAnsi="Book Antiqua" w:cs="Arial"/>
          <w:sz w:val="24"/>
          <w:szCs w:val="24"/>
        </w:rPr>
        <w:t xml:space="preserve">Se encuentra </w:t>
      </w:r>
      <w:r w:rsidR="00BF035D">
        <w:rPr>
          <w:rFonts w:ascii="Book Antiqua" w:eastAsia="Calibri" w:hAnsi="Book Antiqua" w:cs="Arial"/>
          <w:sz w:val="24"/>
          <w:szCs w:val="24"/>
        </w:rPr>
        <w:t xml:space="preserve">en revisión por parte de la </w:t>
      </w:r>
      <w:r w:rsidR="002B5851">
        <w:rPr>
          <w:rFonts w:ascii="Book Antiqua" w:eastAsia="Calibri" w:hAnsi="Book Antiqua" w:cs="Arial"/>
          <w:sz w:val="24"/>
          <w:szCs w:val="24"/>
        </w:rPr>
        <w:t>j</w:t>
      </w:r>
      <w:r w:rsidR="00BF035D">
        <w:rPr>
          <w:rFonts w:ascii="Book Antiqua" w:eastAsia="Calibri" w:hAnsi="Book Antiqua" w:cs="Arial"/>
          <w:sz w:val="24"/>
          <w:szCs w:val="24"/>
        </w:rPr>
        <w:t xml:space="preserve">efatura, </w:t>
      </w:r>
      <w:r w:rsidRPr="00BF035D">
        <w:rPr>
          <w:rFonts w:ascii="Book Antiqua" w:eastAsia="Calibri" w:hAnsi="Book Antiqua" w:cs="Arial"/>
          <w:sz w:val="24"/>
          <w:szCs w:val="24"/>
        </w:rPr>
        <w:t xml:space="preserve">el </w:t>
      </w:r>
      <w:r w:rsidR="00BF035D">
        <w:rPr>
          <w:rFonts w:ascii="Book Antiqua" w:eastAsia="Calibri" w:hAnsi="Book Antiqua" w:cs="Arial"/>
          <w:sz w:val="24"/>
          <w:szCs w:val="24"/>
        </w:rPr>
        <w:t>informe relacionado con</w:t>
      </w:r>
      <w:r w:rsidRPr="00BF035D">
        <w:rPr>
          <w:rFonts w:ascii="Book Antiqua" w:eastAsia="Calibri" w:hAnsi="Book Antiqua" w:cs="Arial"/>
          <w:sz w:val="24"/>
          <w:szCs w:val="24"/>
        </w:rPr>
        <w:t xml:space="preserve"> la creación de Juzgados de Familia por Ministerio de Ley de conformidad con el artículo 119 bis de la Ley 9747</w:t>
      </w:r>
      <w:r w:rsidR="00BF035D">
        <w:rPr>
          <w:rFonts w:ascii="Book Antiqua" w:eastAsia="Calibri" w:hAnsi="Book Antiqua" w:cs="Arial"/>
          <w:sz w:val="24"/>
          <w:szCs w:val="24"/>
        </w:rPr>
        <w:t>, en cuanto</w:t>
      </w:r>
      <w:r w:rsidR="005C0591" w:rsidRPr="00BF035D">
        <w:rPr>
          <w:rFonts w:ascii="Book Antiqua" w:eastAsia="Calibri" w:hAnsi="Book Antiqua" w:cs="Arial"/>
          <w:sz w:val="24"/>
          <w:szCs w:val="24"/>
        </w:rPr>
        <w:t xml:space="preserve"> </w:t>
      </w:r>
      <w:r w:rsidR="00BF035D">
        <w:rPr>
          <w:rFonts w:ascii="Book Antiqua" w:eastAsia="Calibri" w:hAnsi="Book Antiqua" w:cs="Arial"/>
          <w:sz w:val="24"/>
          <w:szCs w:val="24"/>
        </w:rPr>
        <w:t xml:space="preserve">a </w:t>
      </w:r>
      <w:r w:rsidR="005C0591" w:rsidRPr="00BF035D">
        <w:rPr>
          <w:rFonts w:ascii="Book Antiqua" w:eastAsia="Calibri" w:hAnsi="Book Antiqua" w:cs="Arial"/>
          <w:sz w:val="24"/>
          <w:szCs w:val="24"/>
        </w:rPr>
        <w:t xml:space="preserve">los cambios en la entrada de segunda instancia a partir de la eliminación de la figura de </w:t>
      </w:r>
      <w:r w:rsidR="005C0591" w:rsidRPr="00BF035D">
        <w:rPr>
          <w:rFonts w:ascii="Book Antiqua" w:eastAsia="Calibri" w:hAnsi="Book Antiqua" w:cs="Arial"/>
          <w:i/>
          <w:iCs/>
          <w:sz w:val="24"/>
          <w:szCs w:val="24"/>
        </w:rPr>
        <w:t>“pensión provisional y definitiva”</w:t>
      </w:r>
      <w:r w:rsidR="00BF035D">
        <w:rPr>
          <w:rFonts w:ascii="Book Antiqua" w:eastAsia="Calibri" w:hAnsi="Book Antiqua" w:cs="Arial"/>
          <w:i/>
          <w:iCs/>
          <w:sz w:val="24"/>
          <w:szCs w:val="24"/>
        </w:rPr>
        <w:t xml:space="preserve">, </w:t>
      </w:r>
      <w:r w:rsidR="00BF035D" w:rsidRPr="00BF035D">
        <w:rPr>
          <w:rFonts w:ascii="Book Antiqua" w:eastAsia="Calibri" w:hAnsi="Book Antiqua" w:cs="Arial"/>
          <w:sz w:val="24"/>
          <w:szCs w:val="24"/>
        </w:rPr>
        <w:t>se confeccionó el</w:t>
      </w:r>
      <w:r w:rsidR="00BF035D">
        <w:rPr>
          <w:rFonts w:ascii="Book Antiqua" w:eastAsia="Calibri" w:hAnsi="Book Antiqua" w:cs="Arial"/>
          <w:i/>
          <w:iCs/>
          <w:sz w:val="24"/>
          <w:szCs w:val="24"/>
        </w:rPr>
        <w:t xml:space="preserve"> </w:t>
      </w:r>
      <w:r w:rsidR="00BF035D" w:rsidRPr="00BF035D">
        <w:rPr>
          <w:rFonts w:ascii="Book Antiqua" w:eastAsia="Calibri" w:hAnsi="Book Antiqua" w:cs="Arial"/>
          <w:sz w:val="24"/>
          <w:szCs w:val="24"/>
        </w:rPr>
        <w:t xml:space="preserve">informe </w:t>
      </w:r>
      <w:r w:rsidR="00BF035D">
        <w:rPr>
          <w:rFonts w:ascii="Book Antiqua" w:eastAsia="Calibri" w:hAnsi="Book Antiqua" w:cs="Arial"/>
          <w:sz w:val="24"/>
          <w:szCs w:val="24"/>
        </w:rPr>
        <w:t xml:space="preserve">preliminar </w:t>
      </w:r>
      <w:r w:rsidR="00BF035D" w:rsidRPr="00BF035D">
        <w:rPr>
          <w:rFonts w:ascii="Book Antiqua" w:eastAsia="Calibri" w:hAnsi="Book Antiqua" w:cs="Arial"/>
          <w:sz w:val="24"/>
          <w:szCs w:val="24"/>
        </w:rPr>
        <w:t>1122-PLA-MI(NPL)-2022</w:t>
      </w:r>
      <w:r w:rsidR="00BF035D">
        <w:rPr>
          <w:rFonts w:ascii="Book Antiqua" w:eastAsia="Calibri" w:hAnsi="Book Antiqua" w:cs="Arial"/>
          <w:sz w:val="24"/>
          <w:szCs w:val="24"/>
        </w:rPr>
        <w:t>, el cual fue puesto en consulta</w:t>
      </w:r>
      <w:r w:rsidR="002B5851">
        <w:rPr>
          <w:rFonts w:ascii="Book Antiqua" w:eastAsia="Calibri" w:hAnsi="Book Antiqua" w:cs="Arial"/>
          <w:sz w:val="24"/>
          <w:szCs w:val="24"/>
        </w:rPr>
        <w:t xml:space="preserve"> a la Comisión de la Jurisdicción de Familia, Niñez y Adolescencia, entre otras oficinas y los juzgados competentes en materia de Familia y Pensiones Alimentarias a nivel nacional</w:t>
      </w:r>
      <w:r w:rsidR="00BF035D">
        <w:rPr>
          <w:rFonts w:ascii="Book Antiqua" w:eastAsia="Calibri" w:hAnsi="Book Antiqua" w:cs="Arial"/>
          <w:sz w:val="24"/>
          <w:szCs w:val="24"/>
        </w:rPr>
        <w:t xml:space="preserve">; </w:t>
      </w:r>
      <w:r w:rsidR="002B5851">
        <w:rPr>
          <w:rFonts w:ascii="Book Antiqua" w:eastAsia="Calibri" w:hAnsi="Book Antiqua" w:cs="Arial"/>
          <w:sz w:val="24"/>
          <w:szCs w:val="24"/>
        </w:rPr>
        <w:t xml:space="preserve">se atendieron las observaciones y </w:t>
      </w:r>
      <w:r w:rsidR="00BF035D">
        <w:rPr>
          <w:rFonts w:ascii="Book Antiqua" w:eastAsia="Calibri" w:hAnsi="Book Antiqua" w:cs="Arial"/>
          <w:sz w:val="24"/>
          <w:szCs w:val="24"/>
        </w:rPr>
        <w:t>se realizó</w:t>
      </w:r>
      <w:r w:rsidR="00BF035D" w:rsidRPr="00BF035D">
        <w:t xml:space="preserve"> </w:t>
      </w:r>
      <w:r w:rsidR="00BF035D" w:rsidRPr="00BF035D">
        <w:rPr>
          <w:rFonts w:ascii="Book Antiqua" w:eastAsia="Calibri" w:hAnsi="Book Antiqua" w:cs="Arial"/>
          <w:sz w:val="24"/>
          <w:szCs w:val="24"/>
        </w:rPr>
        <w:t xml:space="preserve">un nuevo informe </w:t>
      </w:r>
      <w:r w:rsidR="00BF035D">
        <w:rPr>
          <w:rFonts w:ascii="Book Antiqua" w:eastAsia="Calibri" w:hAnsi="Book Antiqua" w:cs="Arial"/>
          <w:sz w:val="24"/>
          <w:szCs w:val="24"/>
        </w:rPr>
        <w:t xml:space="preserve">preliminar relacionado con </w:t>
      </w:r>
      <w:r w:rsidR="00BF035D" w:rsidRPr="00BF035D">
        <w:rPr>
          <w:rFonts w:ascii="Book Antiqua" w:eastAsia="Calibri" w:hAnsi="Book Antiqua" w:cs="Arial"/>
          <w:sz w:val="24"/>
          <w:szCs w:val="24"/>
        </w:rPr>
        <w:t xml:space="preserve">el análisis de modificación de la competencia actual del Juzgado Primero de Familia para limitarlo al conocimiento de una clase de proceso (segunda instancia en Pensiones Alimentarias) a nivel nacional. </w:t>
      </w:r>
      <w:r w:rsidR="009D59D7" w:rsidRPr="00BF035D">
        <w:rPr>
          <w:rFonts w:ascii="Book Antiqua" w:eastAsia="Calibri" w:hAnsi="Book Antiqua" w:cs="Arial"/>
          <w:sz w:val="24"/>
          <w:szCs w:val="24"/>
        </w:rPr>
        <w:t xml:space="preserve">Ambos </w:t>
      </w:r>
      <w:r w:rsidR="002B5851">
        <w:rPr>
          <w:rFonts w:ascii="Book Antiqua" w:eastAsia="Calibri" w:hAnsi="Book Antiqua" w:cs="Arial"/>
          <w:sz w:val="24"/>
          <w:szCs w:val="24"/>
        </w:rPr>
        <w:t xml:space="preserve">informes incluyen el </w:t>
      </w:r>
      <w:r w:rsidR="009D59D7" w:rsidRPr="00BF035D">
        <w:rPr>
          <w:rFonts w:ascii="Book Antiqua" w:eastAsia="Calibri" w:hAnsi="Book Antiqua" w:cs="Arial"/>
          <w:sz w:val="24"/>
          <w:szCs w:val="24"/>
        </w:rPr>
        <w:t xml:space="preserve">análisis </w:t>
      </w:r>
      <w:r w:rsidR="002B5851">
        <w:rPr>
          <w:rFonts w:ascii="Book Antiqua" w:eastAsia="Calibri" w:hAnsi="Book Antiqua" w:cs="Arial"/>
          <w:sz w:val="24"/>
          <w:szCs w:val="24"/>
        </w:rPr>
        <w:t>d</w:t>
      </w:r>
      <w:r w:rsidR="009D59D7" w:rsidRPr="00BF035D">
        <w:rPr>
          <w:rFonts w:ascii="Book Antiqua" w:eastAsia="Calibri" w:hAnsi="Book Antiqua" w:cs="Arial"/>
          <w:sz w:val="24"/>
          <w:szCs w:val="24"/>
        </w:rPr>
        <w:t>el impacto por la disminución en la entrada</w:t>
      </w:r>
      <w:r w:rsidR="002B5851">
        <w:rPr>
          <w:rFonts w:ascii="Book Antiqua" w:eastAsia="Calibri" w:hAnsi="Book Antiqua" w:cs="Arial"/>
          <w:sz w:val="24"/>
          <w:szCs w:val="24"/>
        </w:rPr>
        <w:t>,</w:t>
      </w:r>
      <w:r w:rsidR="009D59D7" w:rsidRPr="00BF035D">
        <w:rPr>
          <w:rFonts w:ascii="Book Antiqua" w:eastAsia="Calibri" w:hAnsi="Book Antiqua" w:cs="Arial"/>
          <w:sz w:val="24"/>
          <w:szCs w:val="24"/>
        </w:rPr>
        <w:t xml:space="preserve"> sea por dejar de conocer apelaciones de pensión provisional, así como por la pérdida de competencia en caso de crearse el Juzgado de</w:t>
      </w:r>
      <w:r w:rsidR="009D59D7" w:rsidRPr="001D0C10">
        <w:rPr>
          <w:rFonts w:ascii="Book Antiqua" w:eastAsia="Calibri" w:hAnsi="Book Antiqua" w:cs="Arial"/>
          <w:sz w:val="24"/>
          <w:szCs w:val="24"/>
        </w:rPr>
        <w:t xml:space="preserve"> </w:t>
      </w:r>
      <w:r w:rsidR="002B5851">
        <w:rPr>
          <w:rFonts w:ascii="Book Antiqua" w:eastAsia="Calibri" w:hAnsi="Book Antiqua" w:cs="Arial"/>
          <w:sz w:val="24"/>
          <w:szCs w:val="24"/>
        </w:rPr>
        <w:t xml:space="preserve">Apelaciones </w:t>
      </w:r>
      <w:r w:rsidR="009D59D7" w:rsidRPr="001D0C10">
        <w:rPr>
          <w:rFonts w:ascii="Book Antiqua" w:eastAsia="Calibri" w:hAnsi="Book Antiqua" w:cs="Arial"/>
          <w:sz w:val="24"/>
          <w:szCs w:val="24"/>
        </w:rPr>
        <w:t>con competencia limitada en el conocimiento de asuntos de Pensiones Alimentarias en segunda instancia.</w:t>
      </w:r>
      <w:r w:rsidR="009D59D7" w:rsidRPr="009D59D7">
        <w:rPr>
          <w:rFonts w:ascii="Book Antiqua" w:eastAsia="Calibri" w:hAnsi="Book Antiqua" w:cs="Arial"/>
          <w:sz w:val="24"/>
          <w:szCs w:val="24"/>
        </w:rPr>
        <w:t xml:space="preserve"> </w:t>
      </w:r>
    </w:p>
    <w:p w14:paraId="17FBB8D4" w14:textId="77777777" w:rsidR="00681EDC" w:rsidRDefault="00681EDC" w:rsidP="00681EDC">
      <w:pPr>
        <w:rPr>
          <w:rFonts w:ascii="Book Antiqua" w:eastAsia="Calibri" w:hAnsi="Book Antiqua" w:cs="Arial"/>
          <w:sz w:val="24"/>
          <w:szCs w:val="24"/>
        </w:rPr>
      </w:pPr>
    </w:p>
    <w:p w14:paraId="0AB4BF5E" w14:textId="77777777" w:rsidR="00681EDC" w:rsidRDefault="00681EDC" w:rsidP="00681EDC">
      <w:pPr>
        <w:rPr>
          <w:rFonts w:ascii="Book Antiqua" w:eastAsia="Calibri" w:hAnsi="Book Antiqua" w:cs="Arial"/>
          <w:sz w:val="24"/>
          <w:szCs w:val="24"/>
        </w:rPr>
      </w:pPr>
    </w:p>
    <w:p w14:paraId="2EDD6ADA" w14:textId="531E2D4C" w:rsidR="00432A11" w:rsidRPr="00681EDC" w:rsidRDefault="00122B18" w:rsidP="00681EDC">
      <w:pPr>
        <w:rPr>
          <w:rFonts w:ascii="Book Antiqua" w:eastAsia="Calibri" w:hAnsi="Book Antiqua" w:cs="Arial"/>
          <w:sz w:val="24"/>
          <w:szCs w:val="24"/>
        </w:rPr>
      </w:pPr>
      <w:r w:rsidRPr="00EE3FFC">
        <w:rPr>
          <w:rFonts w:ascii="Book Antiqua" w:eastAsia="Calibri" w:hAnsi="Book Antiqua" w:cs="Arial"/>
          <w:b/>
          <w:bCs/>
          <w:sz w:val="24"/>
          <w:szCs w:val="24"/>
        </w:rPr>
        <w:t>Juzgados de Familia (especializados)</w:t>
      </w:r>
      <w:r w:rsidRPr="004A3198">
        <w:rPr>
          <w:rFonts w:ascii="Book Antiqua" w:eastAsia="Calibri" w:hAnsi="Book Antiqua" w:cs="Arial"/>
          <w:b/>
          <w:bCs/>
          <w:sz w:val="24"/>
          <w:szCs w:val="24"/>
        </w:rPr>
        <w:t xml:space="preserve"> </w:t>
      </w:r>
    </w:p>
    <w:p w14:paraId="6F68F718" w14:textId="39AAD494" w:rsid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En este bloque de despachos se ubicaron 12 juzgados de Familia: de Cartago, de Heredia, I Circuito Judicial de Alajuela, I Circuito Judicial Zona Atlántica, I Circuito Judicial Zona Sur, II Circuito Judicial de Alajuela, II Circuito Judicial San José, II Circuito Judicial Zona Atlántica, III Circuito Judicial de San José, de Puntarenas, Primero de Familia de San José, y Segundo de Familia de San José, además del Juzgado de Niñez y Adolescencia, que por sus características se analiza individualmente.</w:t>
      </w:r>
    </w:p>
    <w:p w14:paraId="54B9980A" w14:textId="77777777" w:rsidR="006D7F88" w:rsidRPr="006D7F88" w:rsidRDefault="006D7F88" w:rsidP="006D7F88">
      <w:pPr>
        <w:spacing w:after="0" w:line="276" w:lineRule="auto"/>
        <w:jc w:val="both"/>
        <w:rPr>
          <w:rFonts w:ascii="Book Antiqua" w:eastAsia="Calibri" w:hAnsi="Book Antiqua" w:cs="Arial"/>
          <w:sz w:val="24"/>
          <w:szCs w:val="24"/>
        </w:rPr>
      </w:pPr>
    </w:p>
    <w:p w14:paraId="28DC57E5" w14:textId="6171C7A3" w:rsidR="006D7F88" w:rsidRP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La información de la cantidad de casos entrados de 201</w:t>
      </w:r>
      <w:r w:rsidR="000735EA">
        <w:rPr>
          <w:rFonts w:ascii="Book Antiqua" w:eastAsia="Calibri" w:hAnsi="Book Antiqua" w:cs="Arial"/>
          <w:sz w:val="24"/>
          <w:szCs w:val="24"/>
        </w:rPr>
        <w:t>7</w:t>
      </w:r>
      <w:r w:rsidRPr="006D7F88">
        <w:rPr>
          <w:rFonts w:ascii="Book Antiqua" w:eastAsia="Calibri" w:hAnsi="Book Antiqua" w:cs="Arial"/>
          <w:sz w:val="24"/>
          <w:szCs w:val="24"/>
        </w:rPr>
        <w:t xml:space="preserve"> a 20</w:t>
      </w:r>
      <w:r w:rsidR="000735EA">
        <w:rPr>
          <w:rFonts w:ascii="Book Antiqua" w:eastAsia="Calibri" w:hAnsi="Book Antiqua" w:cs="Arial"/>
          <w:sz w:val="24"/>
          <w:szCs w:val="24"/>
        </w:rPr>
        <w:t>2</w:t>
      </w:r>
      <w:r w:rsidR="008A1074">
        <w:rPr>
          <w:rFonts w:ascii="Book Antiqua" w:eastAsia="Calibri" w:hAnsi="Book Antiqua" w:cs="Arial"/>
          <w:sz w:val="24"/>
          <w:szCs w:val="24"/>
        </w:rPr>
        <w:t>2</w:t>
      </w:r>
      <w:r w:rsidRPr="006D7F88">
        <w:rPr>
          <w:rFonts w:ascii="Book Antiqua" w:eastAsia="Calibri" w:hAnsi="Book Antiqua" w:cs="Arial"/>
          <w:sz w:val="24"/>
          <w:szCs w:val="24"/>
        </w:rPr>
        <w:t xml:space="preserve"> incluye: Principales, Reentrados, Incidentes y Segunda Instancia, y se completa con la cantidad de juezas o jueces y de técnicas o técnicos judiciales por cada despacho, a fin de calcular los valores promedio mensual de asuntos entrados (actual y esperado).</w:t>
      </w:r>
    </w:p>
    <w:p w14:paraId="2824AF8E" w14:textId="77777777" w:rsidR="006D7F88" w:rsidRPr="006D7F88" w:rsidRDefault="006D7F88" w:rsidP="006D7F88">
      <w:pPr>
        <w:spacing w:after="0" w:line="276" w:lineRule="auto"/>
        <w:jc w:val="both"/>
        <w:rPr>
          <w:rFonts w:ascii="Book Antiqua" w:eastAsia="Calibri" w:hAnsi="Book Antiqua" w:cs="Arial"/>
          <w:sz w:val="24"/>
          <w:szCs w:val="24"/>
        </w:rPr>
      </w:pPr>
    </w:p>
    <w:p w14:paraId="226F9961" w14:textId="77777777" w:rsidR="006D7F88" w:rsidRP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2E5BD9F5" w14:textId="77777777" w:rsidR="006D7F88" w:rsidRPr="006D7F88" w:rsidRDefault="006D7F88" w:rsidP="006D7F88">
      <w:pPr>
        <w:spacing w:after="0" w:line="276" w:lineRule="auto"/>
        <w:jc w:val="both"/>
        <w:rPr>
          <w:rFonts w:ascii="Book Antiqua" w:eastAsia="Calibri" w:hAnsi="Book Antiqua" w:cs="Arial"/>
          <w:sz w:val="24"/>
          <w:szCs w:val="24"/>
        </w:rPr>
      </w:pPr>
    </w:p>
    <w:p w14:paraId="516785D0" w14:textId="77777777" w:rsidR="004E78FB" w:rsidRPr="004E78FB" w:rsidRDefault="006D7F88" w:rsidP="004E78FB">
      <w:pPr>
        <w:spacing w:line="276" w:lineRule="auto"/>
        <w:jc w:val="both"/>
        <w:rPr>
          <w:rFonts w:ascii="Book Antiqua" w:eastAsia="Calibri" w:hAnsi="Book Antiqua" w:cs="Arial"/>
          <w:color w:val="000000"/>
          <w:sz w:val="24"/>
        </w:rPr>
      </w:pPr>
      <w:r w:rsidRPr="006D7F88">
        <w:rPr>
          <w:rFonts w:ascii="Book Antiqua" w:eastAsia="Calibri" w:hAnsi="Book Antiqua" w:cs="Arial"/>
          <w:color w:val="000000"/>
          <w:sz w:val="24"/>
        </w:rPr>
        <w:t>El Juzgado de Familia de Cartago fue rediseñado al momento de la realización del Proyecto del Circuito Electrónico de Cartago. El trabajo realizado se plasmó en el informe 1259-PLA-2016; aprobado por el Consejo Superior, en la sesión</w:t>
      </w:r>
      <w:r w:rsidR="004E78FB">
        <w:rPr>
          <w:rFonts w:ascii="Book Antiqua" w:eastAsia="Calibri" w:hAnsi="Book Antiqua" w:cs="Arial"/>
          <w:color w:val="000000"/>
          <w:sz w:val="24"/>
        </w:rPr>
        <w:t xml:space="preserve"> </w:t>
      </w:r>
      <w:r w:rsidR="004E78FB" w:rsidRPr="004E78FB">
        <w:rPr>
          <w:rFonts w:ascii="Book Antiqua" w:eastAsia="Calibri" w:hAnsi="Book Antiqua" w:cs="Arial"/>
          <w:color w:val="000000"/>
          <w:sz w:val="24"/>
        </w:rPr>
        <w:t xml:space="preserve">80-16 del 24 de agosto del 2016, artículo XXXIV. Hoy en día, mensualmente este despacho genera indicadores de gestión. </w:t>
      </w:r>
    </w:p>
    <w:p w14:paraId="5B0E8F7D" w14:textId="30DC9ADC" w:rsidR="008D7CC3" w:rsidRDefault="004E78FB" w:rsidP="004E78FB">
      <w:pPr>
        <w:spacing w:line="276" w:lineRule="auto"/>
        <w:jc w:val="both"/>
        <w:rPr>
          <w:rFonts w:ascii="Book Antiqua" w:eastAsia="Calibri" w:hAnsi="Book Antiqua" w:cs="Arial"/>
          <w:color w:val="000000"/>
          <w:sz w:val="24"/>
        </w:rPr>
      </w:pPr>
      <w:r w:rsidRPr="004E78FB">
        <w:rPr>
          <w:rFonts w:ascii="Book Antiqua" w:eastAsia="Calibri" w:hAnsi="Book Antiqua" w:cs="Arial"/>
          <w:color w:val="000000"/>
          <w:sz w:val="24"/>
        </w:rPr>
        <w:t xml:space="preserve">El Juzgado de Familia del II Circuito Judicial de Alajuela, San Carlos, </w:t>
      </w:r>
      <w:r w:rsidR="00432A11">
        <w:rPr>
          <w:rFonts w:ascii="Book Antiqua" w:eastAsia="Calibri" w:hAnsi="Book Antiqua" w:cs="Arial"/>
          <w:color w:val="000000"/>
          <w:sz w:val="24"/>
        </w:rPr>
        <w:t xml:space="preserve">el </w:t>
      </w:r>
      <w:r w:rsidRPr="004E78FB">
        <w:rPr>
          <w:rFonts w:ascii="Book Antiqua" w:eastAsia="Calibri" w:hAnsi="Book Antiqua" w:cs="Arial"/>
          <w:color w:val="000000"/>
          <w:sz w:val="24"/>
        </w:rPr>
        <w:t>informe emitido fue el 1554-PLA-2014, aprobado por Corte Plena, en la sesión 56-14 del 01 de diciembre del 2014, artículo XXXII.</w:t>
      </w:r>
    </w:p>
    <w:p w14:paraId="1A2DAC76" w14:textId="77777777" w:rsidR="009F3EC1" w:rsidRDefault="009F3EC1" w:rsidP="004E78FB">
      <w:pPr>
        <w:spacing w:line="276" w:lineRule="auto"/>
        <w:jc w:val="both"/>
        <w:rPr>
          <w:rFonts w:ascii="Book Antiqua" w:eastAsia="Calibri" w:hAnsi="Book Antiqua" w:cs="Arial"/>
          <w:color w:val="000000"/>
          <w:sz w:val="24"/>
        </w:rPr>
      </w:pPr>
    </w:p>
    <w:p w14:paraId="50E22543" w14:textId="77777777" w:rsidR="00681EDC" w:rsidRDefault="00681EDC" w:rsidP="00681EDC">
      <w:pPr>
        <w:rPr>
          <w:rFonts w:ascii="Book Antiqua" w:eastAsia="Calibri" w:hAnsi="Book Antiqua" w:cs="Arial"/>
          <w:color w:val="000000"/>
          <w:sz w:val="24"/>
        </w:rPr>
      </w:pPr>
      <w:bookmarkStart w:id="34" w:name="_Hlk127777006"/>
    </w:p>
    <w:p w14:paraId="508022DC" w14:textId="425E3E74" w:rsidR="00681EDC" w:rsidRDefault="00681EDC" w:rsidP="00681EDC">
      <w:pPr>
        <w:rPr>
          <w:rFonts w:ascii="Book Antiqua" w:eastAsia="Calibri" w:hAnsi="Book Antiqua" w:cs="Arial"/>
          <w:color w:val="000000"/>
          <w:sz w:val="24"/>
        </w:rPr>
      </w:pPr>
    </w:p>
    <w:p w14:paraId="75A8F111" w14:textId="77777777" w:rsidR="00681EDC" w:rsidRDefault="00681EDC" w:rsidP="00681EDC">
      <w:pPr>
        <w:rPr>
          <w:rFonts w:ascii="Book Antiqua" w:eastAsia="Calibri" w:hAnsi="Book Antiqua" w:cs="Arial"/>
          <w:color w:val="000000"/>
          <w:sz w:val="24"/>
        </w:rPr>
      </w:pPr>
    </w:p>
    <w:p w14:paraId="274CA4E2" w14:textId="77777777" w:rsidR="00681EDC" w:rsidRDefault="00681EDC" w:rsidP="00681EDC">
      <w:pPr>
        <w:rPr>
          <w:rFonts w:ascii="Book Antiqua" w:eastAsia="Calibri" w:hAnsi="Book Antiqua" w:cs="Arial"/>
          <w:color w:val="000000"/>
          <w:sz w:val="24"/>
        </w:rPr>
      </w:pPr>
    </w:p>
    <w:p w14:paraId="00CD93F0" w14:textId="348EC581" w:rsidR="00105F4A" w:rsidRPr="00681EDC" w:rsidRDefault="00105F4A" w:rsidP="00681EDC">
      <w:pPr>
        <w:jc w:val="center"/>
        <w:rPr>
          <w:rFonts w:ascii="Book Antiqua" w:eastAsia="Calibri" w:hAnsi="Book Antiqua" w:cs="Arial"/>
          <w:color w:val="000000"/>
          <w:sz w:val="24"/>
        </w:rPr>
      </w:pPr>
      <w:r w:rsidRPr="00105F4A">
        <w:rPr>
          <w:rFonts w:ascii="Book Antiqua" w:eastAsia="Calibri" w:hAnsi="Book Antiqua" w:cs="Arial"/>
          <w:b/>
          <w:bCs/>
          <w:color w:val="1F497D"/>
          <w:szCs w:val="24"/>
          <w:lang w:val="es-ES" w:eastAsia="es-ES"/>
        </w:rPr>
        <w:t xml:space="preserve">Cuadro </w:t>
      </w:r>
      <w:r w:rsidRPr="00105F4A">
        <w:rPr>
          <w:rFonts w:ascii="Book Antiqua" w:eastAsia="Calibri" w:hAnsi="Book Antiqua" w:cs="Arial"/>
          <w:b/>
          <w:bCs/>
          <w:color w:val="1F497D"/>
          <w:szCs w:val="24"/>
          <w:lang w:val="es-ES" w:eastAsia="es-ES"/>
        </w:rPr>
        <w:fldChar w:fldCharType="begin"/>
      </w:r>
      <w:r w:rsidRPr="00105F4A">
        <w:rPr>
          <w:rFonts w:ascii="Book Antiqua" w:eastAsia="Calibri" w:hAnsi="Book Antiqua" w:cs="Arial"/>
          <w:b/>
          <w:bCs/>
          <w:color w:val="1F497D"/>
          <w:szCs w:val="24"/>
          <w:lang w:val="es-ES" w:eastAsia="es-ES"/>
        </w:rPr>
        <w:instrText xml:space="preserve"> SEQ Cuadro \* ARABIC </w:instrText>
      </w:r>
      <w:r w:rsidRPr="00105F4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21</w:t>
      </w:r>
      <w:r w:rsidRPr="00105F4A">
        <w:rPr>
          <w:rFonts w:ascii="Book Antiqua" w:eastAsia="Calibri" w:hAnsi="Book Antiqua" w:cs="Arial"/>
          <w:b/>
          <w:bCs/>
          <w:color w:val="1F497D"/>
          <w:szCs w:val="24"/>
          <w:lang w:val="es-ES" w:eastAsia="es-ES"/>
        </w:rPr>
        <w:fldChar w:fldCharType="end"/>
      </w:r>
    </w:p>
    <w:p w14:paraId="69B102D3" w14:textId="77777777" w:rsidR="00105F4A" w:rsidRPr="00DB77E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B77EA">
        <w:rPr>
          <w:rFonts w:ascii="Book Antiqua" w:eastAsia="Calibri" w:hAnsi="Book Antiqua" w:cs="Arial"/>
          <w:b/>
          <w:bCs/>
          <w:color w:val="1F497D"/>
          <w:szCs w:val="24"/>
          <w:lang w:val="es-ES" w:eastAsia="es-ES"/>
        </w:rPr>
        <w:t xml:space="preserve">Carga de trabajo anual para los Juzgados especializados </w:t>
      </w:r>
    </w:p>
    <w:p w14:paraId="46C6520A" w14:textId="208FFB00" w:rsid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B77EA">
        <w:rPr>
          <w:rFonts w:ascii="Book Antiqua" w:eastAsia="Calibri" w:hAnsi="Book Antiqua" w:cs="Arial"/>
          <w:b/>
          <w:bCs/>
          <w:color w:val="1F497D"/>
          <w:szCs w:val="24"/>
          <w:lang w:val="es-ES" w:eastAsia="es-ES"/>
        </w:rPr>
        <w:t>que atienden</w:t>
      </w:r>
      <w:r w:rsidRPr="00105F4A">
        <w:rPr>
          <w:rFonts w:ascii="Book Antiqua" w:eastAsia="Calibri" w:hAnsi="Book Antiqua" w:cs="Arial"/>
          <w:b/>
          <w:bCs/>
          <w:color w:val="1F497D"/>
          <w:szCs w:val="24"/>
          <w:lang w:val="es-ES" w:eastAsia="es-ES"/>
        </w:rPr>
        <w:t xml:space="preserve"> la materia de Familia a nivel nacional</w:t>
      </w:r>
    </w:p>
    <w:tbl>
      <w:tblPr>
        <w:tblW w:w="10420" w:type="dxa"/>
        <w:jc w:val="center"/>
        <w:tblCellMar>
          <w:left w:w="70" w:type="dxa"/>
          <w:right w:w="70" w:type="dxa"/>
        </w:tblCellMar>
        <w:tblLook w:val="04A0" w:firstRow="1" w:lastRow="0" w:firstColumn="1" w:lastColumn="0" w:noHBand="0" w:noVBand="1"/>
      </w:tblPr>
      <w:tblGrid>
        <w:gridCol w:w="4160"/>
        <w:gridCol w:w="1200"/>
        <w:gridCol w:w="1129"/>
        <w:gridCol w:w="760"/>
        <w:gridCol w:w="1211"/>
        <w:gridCol w:w="760"/>
        <w:gridCol w:w="1200"/>
      </w:tblGrid>
      <w:tr w:rsidR="009F3EC1" w:rsidRPr="009F3EC1" w14:paraId="5EF6290D" w14:textId="77777777" w:rsidTr="009F3EC1">
        <w:trPr>
          <w:trHeight w:val="300"/>
          <w:jc w:val="center"/>
        </w:trPr>
        <w:tc>
          <w:tcPr>
            <w:tcW w:w="416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53AEA8F"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Despacho</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0455A58"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Promedio mensual Entrada 2017-2022</w:t>
            </w:r>
          </w:p>
        </w:tc>
        <w:tc>
          <w:tcPr>
            <w:tcW w:w="10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FA7DF7A"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Circulante al 31 diciembre-2022</w:t>
            </w:r>
          </w:p>
        </w:tc>
        <w:tc>
          <w:tcPr>
            <w:tcW w:w="2020" w:type="dxa"/>
            <w:gridSpan w:val="2"/>
            <w:tcBorders>
              <w:top w:val="nil"/>
              <w:left w:val="nil"/>
              <w:bottom w:val="single" w:sz="8" w:space="0" w:color="auto"/>
              <w:right w:val="single" w:sz="8" w:space="0" w:color="000000"/>
            </w:tcBorders>
            <w:shd w:val="clear" w:color="000000" w:fill="002060"/>
            <w:vAlign w:val="center"/>
            <w:hideMark/>
          </w:tcPr>
          <w:p w14:paraId="56350863"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Recurso Humano</w:t>
            </w:r>
          </w:p>
        </w:tc>
        <w:tc>
          <w:tcPr>
            <w:tcW w:w="1960" w:type="dxa"/>
            <w:gridSpan w:val="2"/>
            <w:tcBorders>
              <w:top w:val="single" w:sz="8" w:space="0" w:color="auto"/>
              <w:left w:val="nil"/>
              <w:bottom w:val="single" w:sz="8" w:space="0" w:color="auto"/>
              <w:right w:val="single" w:sz="8" w:space="0" w:color="000000"/>
            </w:tcBorders>
            <w:shd w:val="clear" w:color="000000" w:fill="002060"/>
            <w:vAlign w:val="center"/>
            <w:hideMark/>
          </w:tcPr>
          <w:p w14:paraId="4B8F993A"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 xml:space="preserve">Carga de trabajo </w:t>
            </w:r>
          </w:p>
        </w:tc>
      </w:tr>
      <w:tr w:rsidR="009F3EC1" w:rsidRPr="009F3EC1" w14:paraId="3D07F14C" w14:textId="77777777" w:rsidTr="009F3EC1">
        <w:trPr>
          <w:trHeight w:val="1050"/>
          <w:jc w:val="center"/>
        </w:trPr>
        <w:tc>
          <w:tcPr>
            <w:tcW w:w="4160" w:type="dxa"/>
            <w:vMerge/>
            <w:tcBorders>
              <w:top w:val="single" w:sz="8" w:space="0" w:color="auto"/>
              <w:left w:val="single" w:sz="8" w:space="0" w:color="auto"/>
              <w:bottom w:val="single" w:sz="8" w:space="0" w:color="000000"/>
              <w:right w:val="single" w:sz="8" w:space="0" w:color="auto"/>
            </w:tcBorders>
            <w:vAlign w:val="center"/>
            <w:hideMark/>
          </w:tcPr>
          <w:p w14:paraId="2491AF8A" w14:textId="77777777" w:rsidR="009F3EC1" w:rsidRPr="009F3EC1" w:rsidRDefault="009F3EC1" w:rsidP="009F3EC1">
            <w:pPr>
              <w:spacing w:after="0" w:line="240" w:lineRule="auto"/>
              <w:rPr>
                <w:rFonts w:ascii="Book Antiqua" w:eastAsia="Times New Roman" w:hAnsi="Book Antiqua" w:cs="Calibri"/>
                <w:b/>
                <w:bCs/>
                <w:color w:val="FFFFFF"/>
                <w:sz w:val="20"/>
                <w:szCs w:val="20"/>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0408167B" w14:textId="77777777" w:rsidR="009F3EC1" w:rsidRPr="009F3EC1" w:rsidRDefault="009F3EC1" w:rsidP="009F3EC1">
            <w:pPr>
              <w:spacing w:after="0" w:line="240" w:lineRule="auto"/>
              <w:rPr>
                <w:rFonts w:ascii="Book Antiqua" w:eastAsia="Times New Roman" w:hAnsi="Book Antiqua" w:cs="Calibri"/>
                <w:b/>
                <w:bCs/>
                <w:color w:val="FFFFFF"/>
                <w:sz w:val="20"/>
                <w:szCs w:val="20"/>
                <w:lang w:eastAsia="es-CR"/>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45531BE3" w14:textId="77777777" w:rsidR="009F3EC1" w:rsidRPr="009F3EC1" w:rsidRDefault="009F3EC1" w:rsidP="009F3EC1">
            <w:pPr>
              <w:spacing w:after="0" w:line="240" w:lineRule="auto"/>
              <w:rPr>
                <w:rFonts w:ascii="Book Antiqua" w:eastAsia="Times New Roman" w:hAnsi="Book Antiqua" w:cs="Calibri"/>
                <w:b/>
                <w:bCs/>
                <w:color w:val="FFFFFF"/>
                <w:sz w:val="20"/>
                <w:szCs w:val="20"/>
                <w:lang w:eastAsia="es-CR"/>
              </w:rPr>
            </w:pPr>
          </w:p>
        </w:tc>
        <w:tc>
          <w:tcPr>
            <w:tcW w:w="760" w:type="dxa"/>
            <w:tcBorders>
              <w:top w:val="nil"/>
              <w:left w:val="nil"/>
              <w:bottom w:val="single" w:sz="8" w:space="0" w:color="auto"/>
              <w:right w:val="single" w:sz="8" w:space="0" w:color="auto"/>
            </w:tcBorders>
            <w:shd w:val="clear" w:color="000000" w:fill="002060"/>
            <w:vAlign w:val="center"/>
            <w:hideMark/>
          </w:tcPr>
          <w:p w14:paraId="2061BDF1"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Jueza o Juez</w:t>
            </w:r>
          </w:p>
        </w:tc>
        <w:tc>
          <w:tcPr>
            <w:tcW w:w="1260" w:type="dxa"/>
            <w:tcBorders>
              <w:top w:val="single" w:sz="8" w:space="0" w:color="auto"/>
              <w:left w:val="nil"/>
              <w:bottom w:val="single" w:sz="8" w:space="0" w:color="auto"/>
              <w:right w:val="single" w:sz="8" w:space="0" w:color="000000"/>
            </w:tcBorders>
            <w:shd w:val="clear" w:color="000000" w:fill="002060"/>
            <w:vAlign w:val="center"/>
            <w:hideMark/>
          </w:tcPr>
          <w:p w14:paraId="60C07E4C"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Técnica o Técnico de Trámite</w:t>
            </w:r>
          </w:p>
        </w:tc>
        <w:tc>
          <w:tcPr>
            <w:tcW w:w="760" w:type="dxa"/>
            <w:tcBorders>
              <w:top w:val="nil"/>
              <w:left w:val="nil"/>
              <w:bottom w:val="single" w:sz="8" w:space="0" w:color="auto"/>
              <w:right w:val="single" w:sz="8" w:space="0" w:color="auto"/>
            </w:tcBorders>
            <w:shd w:val="clear" w:color="000000" w:fill="002060"/>
            <w:vAlign w:val="center"/>
            <w:hideMark/>
          </w:tcPr>
          <w:p w14:paraId="53BA08D8"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Jueza o Juez al Mes</w:t>
            </w:r>
          </w:p>
        </w:tc>
        <w:tc>
          <w:tcPr>
            <w:tcW w:w="1200" w:type="dxa"/>
            <w:tcBorders>
              <w:top w:val="nil"/>
              <w:left w:val="nil"/>
              <w:bottom w:val="single" w:sz="8" w:space="0" w:color="auto"/>
              <w:right w:val="single" w:sz="8" w:space="0" w:color="auto"/>
            </w:tcBorders>
            <w:shd w:val="clear" w:color="000000" w:fill="002060"/>
            <w:vAlign w:val="center"/>
            <w:hideMark/>
          </w:tcPr>
          <w:p w14:paraId="22F21B24" w14:textId="604DB7C5"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Técnica o Técnico de Trámite al mes</w:t>
            </w:r>
          </w:p>
        </w:tc>
      </w:tr>
      <w:tr w:rsidR="009F3EC1" w:rsidRPr="009F3EC1" w14:paraId="5554295A"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74C0B371"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Familia Cartago</w:t>
            </w:r>
          </w:p>
        </w:tc>
        <w:tc>
          <w:tcPr>
            <w:tcW w:w="1200" w:type="dxa"/>
            <w:tcBorders>
              <w:top w:val="nil"/>
              <w:left w:val="nil"/>
              <w:bottom w:val="single" w:sz="8" w:space="0" w:color="auto"/>
              <w:right w:val="single" w:sz="8" w:space="0" w:color="auto"/>
            </w:tcBorders>
            <w:shd w:val="clear" w:color="auto" w:fill="auto"/>
            <w:noWrap/>
            <w:vAlign w:val="center"/>
            <w:hideMark/>
          </w:tcPr>
          <w:p w14:paraId="1FB0F728"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358</w:t>
            </w:r>
          </w:p>
        </w:tc>
        <w:tc>
          <w:tcPr>
            <w:tcW w:w="1080" w:type="dxa"/>
            <w:tcBorders>
              <w:top w:val="nil"/>
              <w:left w:val="nil"/>
              <w:bottom w:val="single" w:sz="8" w:space="0" w:color="auto"/>
              <w:right w:val="single" w:sz="8" w:space="0" w:color="auto"/>
            </w:tcBorders>
            <w:shd w:val="clear" w:color="auto" w:fill="auto"/>
            <w:vAlign w:val="center"/>
            <w:hideMark/>
          </w:tcPr>
          <w:p w14:paraId="63066BCE"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1307</w:t>
            </w:r>
          </w:p>
        </w:tc>
        <w:tc>
          <w:tcPr>
            <w:tcW w:w="760" w:type="dxa"/>
            <w:tcBorders>
              <w:top w:val="nil"/>
              <w:left w:val="nil"/>
              <w:bottom w:val="single" w:sz="8" w:space="0" w:color="auto"/>
              <w:right w:val="single" w:sz="8" w:space="0" w:color="auto"/>
            </w:tcBorders>
            <w:shd w:val="clear" w:color="auto" w:fill="auto"/>
            <w:noWrap/>
            <w:vAlign w:val="center"/>
            <w:hideMark/>
          </w:tcPr>
          <w:p w14:paraId="0862B979"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4E71FF31"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w:t>
            </w:r>
          </w:p>
        </w:tc>
        <w:tc>
          <w:tcPr>
            <w:tcW w:w="760" w:type="dxa"/>
            <w:tcBorders>
              <w:top w:val="nil"/>
              <w:left w:val="nil"/>
              <w:bottom w:val="single" w:sz="8" w:space="0" w:color="auto"/>
              <w:right w:val="single" w:sz="8" w:space="0" w:color="auto"/>
            </w:tcBorders>
            <w:shd w:val="clear" w:color="auto" w:fill="auto"/>
            <w:noWrap/>
            <w:vAlign w:val="center"/>
            <w:hideMark/>
          </w:tcPr>
          <w:p w14:paraId="0657E966"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119</w:t>
            </w:r>
          </w:p>
        </w:tc>
        <w:tc>
          <w:tcPr>
            <w:tcW w:w="1200" w:type="dxa"/>
            <w:tcBorders>
              <w:top w:val="nil"/>
              <w:left w:val="nil"/>
              <w:bottom w:val="single" w:sz="8" w:space="0" w:color="auto"/>
              <w:right w:val="single" w:sz="8" w:space="0" w:color="auto"/>
            </w:tcBorders>
            <w:shd w:val="clear" w:color="auto" w:fill="auto"/>
            <w:noWrap/>
            <w:vAlign w:val="center"/>
            <w:hideMark/>
          </w:tcPr>
          <w:p w14:paraId="75A1A56C"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72</w:t>
            </w:r>
          </w:p>
        </w:tc>
      </w:tr>
      <w:tr w:rsidR="009F3EC1" w:rsidRPr="009F3EC1" w14:paraId="538FD6A6"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18C34B1F"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Familia Heredia</w:t>
            </w:r>
          </w:p>
        </w:tc>
        <w:tc>
          <w:tcPr>
            <w:tcW w:w="1200" w:type="dxa"/>
            <w:tcBorders>
              <w:top w:val="nil"/>
              <w:left w:val="nil"/>
              <w:bottom w:val="single" w:sz="8" w:space="0" w:color="auto"/>
              <w:right w:val="single" w:sz="8" w:space="0" w:color="auto"/>
            </w:tcBorders>
            <w:shd w:val="clear" w:color="auto" w:fill="auto"/>
            <w:noWrap/>
            <w:vAlign w:val="center"/>
            <w:hideMark/>
          </w:tcPr>
          <w:p w14:paraId="1725AD8B"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313</w:t>
            </w:r>
          </w:p>
        </w:tc>
        <w:tc>
          <w:tcPr>
            <w:tcW w:w="1080" w:type="dxa"/>
            <w:tcBorders>
              <w:top w:val="nil"/>
              <w:left w:val="nil"/>
              <w:bottom w:val="single" w:sz="8" w:space="0" w:color="auto"/>
              <w:right w:val="single" w:sz="8" w:space="0" w:color="auto"/>
            </w:tcBorders>
            <w:shd w:val="clear" w:color="auto" w:fill="auto"/>
            <w:vAlign w:val="center"/>
            <w:hideMark/>
          </w:tcPr>
          <w:p w14:paraId="1B7F79B3"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2182</w:t>
            </w:r>
          </w:p>
        </w:tc>
        <w:tc>
          <w:tcPr>
            <w:tcW w:w="760" w:type="dxa"/>
            <w:tcBorders>
              <w:top w:val="nil"/>
              <w:left w:val="nil"/>
              <w:bottom w:val="single" w:sz="8" w:space="0" w:color="auto"/>
              <w:right w:val="single" w:sz="8" w:space="0" w:color="auto"/>
            </w:tcBorders>
            <w:shd w:val="clear" w:color="auto" w:fill="auto"/>
            <w:noWrap/>
            <w:vAlign w:val="center"/>
            <w:hideMark/>
          </w:tcPr>
          <w:p w14:paraId="046C9775"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54FB054C"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7</w:t>
            </w:r>
          </w:p>
        </w:tc>
        <w:tc>
          <w:tcPr>
            <w:tcW w:w="760" w:type="dxa"/>
            <w:tcBorders>
              <w:top w:val="nil"/>
              <w:left w:val="nil"/>
              <w:bottom w:val="single" w:sz="8" w:space="0" w:color="auto"/>
              <w:right w:val="single" w:sz="8" w:space="0" w:color="auto"/>
            </w:tcBorders>
            <w:shd w:val="clear" w:color="auto" w:fill="auto"/>
            <w:noWrap/>
            <w:vAlign w:val="center"/>
            <w:hideMark/>
          </w:tcPr>
          <w:p w14:paraId="3D070B60"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78</w:t>
            </w:r>
          </w:p>
        </w:tc>
        <w:tc>
          <w:tcPr>
            <w:tcW w:w="1200" w:type="dxa"/>
            <w:tcBorders>
              <w:top w:val="nil"/>
              <w:left w:val="nil"/>
              <w:bottom w:val="single" w:sz="8" w:space="0" w:color="auto"/>
              <w:right w:val="single" w:sz="8" w:space="0" w:color="auto"/>
            </w:tcBorders>
            <w:shd w:val="clear" w:color="auto" w:fill="auto"/>
            <w:noWrap/>
            <w:vAlign w:val="center"/>
            <w:hideMark/>
          </w:tcPr>
          <w:p w14:paraId="524C48C0"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45</w:t>
            </w:r>
          </w:p>
        </w:tc>
      </w:tr>
      <w:tr w:rsidR="009F3EC1" w:rsidRPr="009F3EC1" w14:paraId="194E1FC1"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502A8388"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Familia I Circ. Jud. de Alajuela</w:t>
            </w:r>
          </w:p>
        </w:tc>
        <w:tc>
          <w:tcPr>
            <w:tcW w:w="1200" w:type="dxa"/>
            <w:tcBorders>
              <w:top w:val="nil"/>
              <w:left w:val="nil"/>
              <w:bottom w:val="single" w:sz="8" w:space="0" w:color="auto"/>
              <w:right w:val="single" w:sz="8" w:space="0" w:color="auto"/>
            </w:tcBorders>
            <w:shd w:val="clear" w:color="auto" w:fill="auto"/>
            <w:noWrap/>
            <w:vAlign w:val="center"/>
            <w:hideMark/>
          </w:tcPr>
          <w:p w14:paraId="0A04E176"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237</w:t>
            </w:r>
          </w:p>
        </w:tc>
        <w:tc>
          <w:tcPr>
            <w:tcW w:w="1080" w:type="dxa"/>
            <w:tcBorders>
              <w:top w:val="nil"/>
              <w:left w:val="nil"/>
              <w:bottom w:val="single" w:sz="8" w:space="0" w:color="auto"/>
              <w:right w:val="single" w:sz="8" w:space="0" w:color="auto"/>
            </w:tcBorders>
            <w:shd w:val="clear" w:color="auto" w:fill="auto"/>
            <w:vAlign w:val="center"/>
            <w:hideMark/>
          </w:tcPr>
          <w:p w14:paraId="784A124D"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2008</w:t>
            </w:r>
          </w:p>
        </w:tc>
        <w:tc>
          <w:tcPr>
            <w:tcW w:w="760" w:type="dxa"/>
            <w:tcBorders>
              <w:top w:val="nil"/>
              <w:left w:val="nil"/>
              <w:bottom w:val="single" w:sz="8" w:space="0" w:color="auto"/>
              <w:right w:val="single" w:sz="8" w:space="0" w:color="auto"/>
            </w:tcBorders>
            <w:shd w:val="clear" w:color="auto" w:fill="auto"/>
            <w:noWrap/>
            <w:vAlign w:val="center"/>
            <w:hideMark/>
          </w:tcPr>
          <w:p w14:paraId="4CAD1B25"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27F727FE"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w:t>
            </w:r>
          </w:p>
        </w:tc>
        <w:tc>
          <w:tcPr>
            <w:tcW w:w="760" w:type="dxa"/>
            <w:tcBorders>
              <w:top w:val="nil"/>
              <w:left w:val="nil"/>
              <w:bottom w:val="single" w:sz="8" w:space="0" w:color="auto"/>
              <w:right w:val="single" w:sz="8" w:space="0" w:color="auto"/>
            </w:tcBorders>
            <w:shd w:val="clear" w:color="auto" w:fill="auto"/>
            <w:noWrap/>
            <w:vAlign w:val="center"/>
            <w:hideMark/>
          </w:tcPr>
          <w:p w14:paraId="4FC61509"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79</w:t>
            </w:r>
          </w:p>
        </w:tc>
        <w:tc>
          <w:tcPr>
            <w:tcW w:w="1200" w:type="dxa"/>
            <w:tcBorders>
              <w:top w:val="nil"/>
              <w:left w:val="nil"/>
              <w:bottom w:val="single" w:sz="8" w:space="0" w:color="auto"/>
              <w:right w:val="single" w:sz="8" w:space="0" w:color="auto"/>
            </w:tcBorders>
            <w:shd w:val="clear" w:color="auto" w:fill="auto"/>
            <w:noWrap/>
            <w:vAlign w:val="center"/>
            <w:hideMark/>
          </w:tcPr>
          <w:p w14:paraId="7D21EB55"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47</w:t>
            </w:r>
          </w:p>
        </w:tc>
      </w:tr>
      <w:tr w:rsidR="009F3EC1" w:rsidRPr="009F3EC1" w14:paraId="3A1908F8"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6524FCF6"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Familia I Circ. Jud. Zona Atlántica</w:t>
            </w:r>
          </w:p>
        </w:tc>
        <w:tc>
          <w:tcPr>
            <w:tcW w:w="1200" w:type="dxa"/>
            <w:tcBorders>
              <w:top w:val="nil"/>
              <w:left w:val="nil"/>
              <w:bottom w:val="single" w:sz="8" w:space="0" w:color="auto"/>
              <w:right w:val="single" w:sz="8" w:space="0" w:color="auto"/>
            </w:tcBorders>
            <w:shd w:val="clear" w:color="auto" w:fill="auto"/>
            <w:noWrap/>
            <w:vAlign w:val="center"/>
            <w:hideMark/>
          </w:tcPr>
          <w:p w14:paraId="57095F01"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125</w:t>
            </w:r>
          </w:p>
        </w:tc>
        <w:tc>
          <w:tcPr>
            <w:tcW w:w="1080" w:type="dxa"/>
            <w:tcBorders>
              <w:top w:val="nil"/>
              <w:left w:val="nil"/>
              <w:bottom w:val="single" w:sz="8" w:space="0" w:color="auto"/>
              <w:right w:val="single" w:sz="8" w:space="0" w:color="auto"/>
            </w:tcBorders>
            <w:shd w:val="clear" w:color="auto" w:fill="auto"/>
            <w:vAlign w:val="center"/>
            <w:hideMark/>
          </w:tcPr>
          <w:p w14:paraId="1D8E89F3"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453</w:t>
            </w:r>
          </w:p>
        </w:tc>
        <w:tc>
          <w:tcPr>
            <w:tcW w:w="760" w:type="dxa"/>
            <w:tcBorders>
              <w:top w:val="nil"/>
              <w:left w:val="nil"/>
              <w:bottom w:val="single" w:sz="8" w:space="0" w:color="auto"/>
              <w:right w:val="single" w:sz="8" w:space="0" w:color="auto"/>
            </w:tcBorders>
            <w:shd w:val="clear" w:color="auto" w:fill="auto"/>
            <w:noWrap/>
            <w:vAlign w:val="center"/>
            <w:hideMark/>
          </w:tcPr>
          <w:p w14:paraId="004EE7ED"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6E242EDC"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w:t>
            </w:r>
          </w:p>
        </w:tc>
        <w:tc>
          <w:tcPr>
            <w:tcW w:w="760" w:type="dxa"/>
            <w:tcBorders>
              <w:top w:val="nil"/>
              <w:left w:val="nil"/>
              <w:bottom w:val="single" w:sz="8" w:space="0" w:color="auto"/>
              <w:right w:val="single" w:sz="8" w:space="0" w:color="auto"/>
            </w:tcBorders>
            <w:shd w:val="clear" w:color="auto" w:fill="auto"/>
            <w:noWrap/>
            <w:vAlign w:val="center"/>
            <w:hideMark/>
          </w:tcPr>
          <w:p w14:paraId="7D269DDD"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62</w:t>
            </w:r>
          </w:p>
        </w:tc>
        <w:tc>
          <w:tcPr>
            <w:tcW w:w="1200" w:type="dxa"/>
            <w:tcBorders>
              <w:top w:val="nil"/>
              <w:left w:val="nil"/>
              <w:bottom w:val="single" w:sz="8" w:space="0" w:color="auto"/>
              <w:right w:val="single" w:sz="8" w:space="0" w:color="auto"/>
            </w:tcBorders>
            <w:shd w:val="clear" w:color="auto" w:fill="auto"/>
            <w:noWrap/>
            <w:vAlign w:val="center"/>
            <w:hideMark/>
          </w:tcPr>
          <w:p w14:paraId="4D831DBF"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31</w:t>
            </w:r>
          </w:p>
        </w:tc>
      </w:tr>
      <w:tr w:rsidR="009F3EC1" w:rsidRPr="009F3EC1" w14:paraId="3D7FFEFB"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6D79F11A"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 xml:space="preserve">Juzgado Familia I Circ. Jud. Zona Sur </w:t>
            </w:r>
          </w:p>
        </w:tc>
        <w:tc>
          <w:tcPr>
            <w:tcW w:w="1200" w:type="dxa"/>
            <w:tcBorders>
              <w:top w:val="nil"/>
              <w:left w:val="nil"/>
              <w:bottom w:val="single" w:sz="8" w:space="0" w:color="auto"/>
              <w:right w:val="single" w:sz="8" w:space="0" w:color="auto"/>
            </w:tcBorders>
            <w:shd w:val="clear" w:color="auto" w:fill="auto"/>
            <w:noWrap/>
            <w:vAlign w:val="center"/>
            <w:hideMark/>
          </w:tcPr>
          <w:p w14:paraId="7A235892"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110</w:t>
            </w:r>
          </w:p>
        </w:tc>
        <w:tc>
          <w:tcPr>
            <w:tcW w:w="1080" w:type="dxa"/>
            <w:tcBorders>
              <w:top w:val="nil"/>
              <w:left w:val="nil"/>
              <w:bottom w:val="single" w:sz="8" w:space="0" w:color="auto"/>
              <w:right w:val="single" w:sz="8" w:space="0" w:color="auto"/>
            </w:tcBorders>
            <w:shd w:val="clear" w:color="auto" w:fill="auto"/>
            <w:vAlign w:val="center"/>
            <w:hideMark/>
          </w:tcPr>
          <w:p w14:paraId="3909C90F"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320</w:t>
            </w:r>
          </w:p>
        </w:tc>
        <w:tc>
          <w:tcPr>
            <w:tcW w:w="760" w:type="dxa"/>
            <w:tcBorders>
              <w:top w:val="nil"/>
              <w:left w:val="nil"/>
              <w:bottom w:val="single" w:sz="8" w:space="0" w:color="auto"/>
              <w:right w:val="single" w:sz="8" w:space="0" w:color="auto"/>
            </w:tcBorders>
            <w:shd w:val="clear" w:color="auto" w:fill="auto"/>
            <w:noWrap/>
            <w:vAlign w:val="center"/>
            <w:hideMark/>
          </w:tcPr>
          <w:p w14:paraId="47730D34"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23CE6C0B"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w:t>
            </w:r>
          </w:p>
        </w:tc>
        <w:tc>
          <w:tcPr>
            <w:tcW w:w="760" w:type="dxa"/>
            <w:tcBorders>
              <w:top w:val="nil"/>
              <w:left w:val="nil"/>
              <w:bottom w:val="single" w:sz="8" w:space="0" w:color="auto"/>
              <w:right w:val="single" w:sz="8" w:space="0" w:color="auto"/>
            </w:tcBorders>
            <w:shd w:val="clear" w:color="auto" w:fill="auto"/>
            <w:noWrap/>
            <w:vAlign w:val="center"/>
            <w:hideMark/>
          </w:tcPr>
          <w:p w14:paraId="4113A7E8"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55</w:t>
            </w:r>
          </w:p>
        </w:tc>
        <w:tc>
          <w:tcPr>
            <w:tcW w:w="1200" w:type="dxa"/>
            <w:tcBorders>
              <w:top w:val="nil"/>
              <w:left w:val="nil"/>
              <w:bottom w:val="single" w:sz="8" w:space="0" w:color="auto"/>
              <w:right w:val="single" w:sz="8" w:space="0" w:color="auto"/>
            </w:tcBorders>
            <w:shd w:val="clear" w:color="auto" w:fill="auto"/>
            <w:noWrap/>
            <w:vAlign w:val="center"/>
            <w:hideMark/>
          </w:tcPr>
          <w:p w14:paraId="2A1D34D1"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55</w:t>
            </w:r>
          </w:p>
        </w:tc>
      </w:tr>
      <w:tr w:rsidR="009F3EC1" w:rsidRPr="009F3EC1" w14:paraId="57233EF5"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7265C0D7"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Familia II Circ. Jud. de Alajuela</w:t>
            </w:r>
          </w:p>
        </w:tc>
        <w:tc>
          <w:tcPr>
            <w:tcW w:w="1200" w:type="dxa"/>
            <w:tcBorders>
              <w:top w:val="nil"/>
              <w:left w:val="nil"/>
              <w:bottom w:val="single" w:sz="8" w:space="0" w:color="auto"/>
              <w:right w:val="single" w:sz="8" w:space="0" w:color="auto"/>
            </w:tcBorders>
            <w:shd w:val="clear" w:color="auto" w:fill="auto"/>
            <w:noWrap/>
            <w:vAlign w:val="center"/>
            <w:hideMark/>
          </w:tcPr>
          <w:p w14:paraId="44A3FA42"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141</w:t>
            </w:r>
          </w:p>
        </w:tc>
        <w:tc>
          <w:tcPr>
            <w:tcW w:w="1080" w:type="dxa"/>
            <w:tcBorders>
              <w:top w:val="nil"/>
              <w:left w:val="nil"/>
              <w:bottom w:val="single" w:sz="8" w:space="0" w:color="auto"/>
              <w:right w:val="single" w:sz="8" w:space="0" w:color="auto"/>
            </w:tcBorders>
            <w:shd w:val="clear" w:color="auto" w:fill="auto"/>
            <w:vAlign w:val="center"/>
            <w:hideMark/>
          </w:tcPr>
          <w:p w14:paraId="61C47D15"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509</w:t>
            </w:r>
          </w:p>
        </w:tc>
        <w:tc>
          <w:tcPr>
            <w:tcW w:w="760" w:type="dxa"/>
            <w:tcBorders>
              <w:top w:val="nil"/>
              <w:left w:val="nil"/>
              <w:bottom w:val="single" w:sz="8" w:space="0" w:color="auto"/>
              <w:right w:val="single" w:sz="8" w:space="0" w:color="auto"/>
            </w:tcBorders>
            <w:shd w:val="clear" w:color="auto" w:fill="auto"/>
            <w:noWrap/>
            <w:vAlign w:val="center"/>
            <w:hideMark/>
          </w:tcPr>
          <w:p w14:paraId="49FF76EE"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68825C4E"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w:t>
            </w:r>
          </w:p>
        </w:tc>
        <w:tc>
          <w:tcPr>
            <w:tcW w:w="760" w:type="dxa"/>
            <w:tcBorders>
              <w:top w:val="nil"/>
              <w:left w:val="nil"/>
              <w:bottom w:val="single" w:sz="8" w:space="0" w:color="auto"/>
              <w:right w:val="single" w:sz="8" w:space="0" w:color="auto"/>
            </w:tcBorders>
            <w:shd w:val="clear" w:color="auto" w:fill="auto"/>
            <w:noWrap/>
            <w:vAlign w:val="center"/>
            <w:hideMark/>
          </w:tcPr>
          <w:p w14:paraId="6C1BFFFD"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70</w:t>
            </w:r>
          </w:p>
        </w:tc>
        <w:tc>
          <w:tcPr>
            <w:tcW w:w="1200" w:type="dxa"/>
            <w:tcBorders>
              <w:top w:val="nil"/>
              <w:left w:val="nil"/>
              <w:bottom w:val="single" w:sz="8" w:space="0" w:color="auto"/>
              <w:right w:val="single" w:sz="8" w:space="0" w:color="auto"/>
            </w:tcBorders>
            <w:shd w:val="clear" w:color="auto" w:fill="auto"/>
            <w:noWrap/>
            <w:vAlign w:val="center"/>
            <w:hideMark/>
          </w:tcPr>
          <w:p w14:paraId="09387D15"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47</w:t>
            </w:r>
          </w:p>
        </w:tc>
      </w:tr>
      <w:tr w:rsidR="009F3EC1" w:rsidRPr="009F3EC1" w14:paraId="0489AECF"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7E331CE9"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Familia II Circ. Jud. San José</w:t>
            </w:r>
          </w:p>
        </w:tc>
        <w:tc>
          <w:tcPr>
            <w:tcW w:w="1200" w:type="dxa"/>
            <w:tcBorders>
              <w:top w:val="nil"/>
              <w:left w:val="nil"/>
              <w:bottom w:val="single" w:sz="8" w:space="0" w:color="auto"/>
              <w:right w:val="single" w:sz="8" w:space="0" w:color="auto"/>
            </w:tcBorders>
            <w:shd w:val="clear" w:color="auto" w:fill="auto"/>
            <w:noWrap/>
            <w:vAlign w:val="center"/>
            <w:hideMark/>
          </w:tcPr>
          <w:p w14:paraId="09E903AB"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310</w:t>
            </w:r>
          </w:p>
        </w:tc>
        <w:tc>
          <w:tcPr>
            <w:tcW w:w="1080" w:type="dxa"/>
            <w:tcBorders>
              <w:top w:val="nil"/>
              <w:left w:val="nil"/>
              <w:bottom w:val="single" w:sz="8" w:space="0" w:color="auto"/>
              <w:right w:val="single" w:sz="8" w:space="0" w:color="auto"/>
            </w:tcBorders>
            <w:shd w:val="clear" w:color="auto" w:fill="auto"/>
            <w:vAlign w:val="center"/>
            <w:hideMark/>
          </w:tcPr>
          <w:p w14:paraId="4B3E75B0"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1573</w:t>
            </w:r>
          </w:p>
        </w:tc>
        <w:tc>
          <w:tcPr>
            <w:tcW w:w="760" w:type="dxa"/>
            <w:tcBorders>
              <w:top w:val="nil"/>
              <w:left w:val="nil"/>
              <w:bottom w:val="single" w:sz="8" w:space="0" w:color="auto"/>
              <w:right w:val="single" w:sz="8" w:space="0" w:color="auto"/>
            </w:tcBorders>
            <w:shd w:val="clear" w:color="auto" w:fill="auto"/>
            <w:noWrap/>
            <w:vAlign w:val="center"/>
            <w:hideMark/>
          </w:tcPr>
          <w:p w14:paraId="3635AE1D"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44656BD2"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8</w:t>
            </w:r>
          </w:p>
        </w:tc>
        <w:tc>
          <w:tcPr>
            <w:tcW w:w="760" w:type="dxa"/>
            <w:tcBorders>
              <w:top w:val="nil"/>
              <w:left w:val="nil"/>
              <w:bottom w:val="single" w:sz="8" w:space="0" w:color="auto"/>
              <w:right w:val="single" w:sz="8" w:space="0" w:color="auto"/>
            </w:tcBorders>
            <w:shd w:val="clear" w:color="auto" w:fill="auto"/>
            <w:noWrap/>
            <w:vAlign w:val="center"/>
            <w:hideMark/>
          </w:tcPr>
          <w:p w14:paraId="01E6369A"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77</w:t>
            </w:r>
          </w:p>
        </w:tc>
        <w:tc>
          <w:tcPr>
            <w:tcW w:w="1200" w:type="dxa"/>
            <w:tcBorders>
              <w:top w:val="nil"/>
              <w:left w:val="nil"/>
              <w:bottom w:val="single" w:sz="8" w:space="0" w:color="auto"/>
              <w:right w:val="single" w:sz="8" w:space="0" w:color="auto"/>
            </w:tcBorders>
            <w:shd w:val="clear" w:color="auto" w:fill="auto"/>
            <w:noWrap/>
            <w:vAlign w:val="center"/>
            <w:hideMark/>
          </w:tcPr>
          <w:p w14:paraId="77C96737"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39</w:t>
            </w:r>
          </w:p>
        </w:tc>
      </w:tr>
      <w:tr w:rsidR="009F3EC1" w:rsidRPr="009F3EC1" w14:paraId="6A690981"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3103EF20"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Familia II Circ. Jud. Zona Atlántica</w:t>
            </w:r>
          </w:p>
        </w:tc>
        <w:tc>
          <w:tcPr>
            <w:tcW w:w="1200" w:type="dxa"/>
            <w:tcBorders>
              <w:top w:val="nil"/>
              <w:left w:val="nil"/>
              <w:bottom w:val="single" w:sz="8" w:space="0" w:color="auto"/>
              <w:right w:val="single" w:sz="8" w:space="0" w:color="auto"/>
            </w:tcBorders>
            <w:shd w:val="clear" w:color="auto" w:fill="auto"/>
            <w:noWrap/>
            <w:vAlign w:val="center"/>
            <w:hideMark/>
          </w:tcPr>
          <w:p w14:paraId="7EF973BD"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161</w:t>
            </w:r>
          </w:p>
        </w:tc>
        <w:tc>
          <w:tcPr>
            <w:tcW w:w="1080" w:type="dxa"/>
            <w:tcBorders>
              <w:top w:val="nil"/>
              <w:left w:val="nil"/>
              <w:bottom w:val="single" w:sz="8" w:space="0" w:color="auto"/>
              <w:right w:val="single" w:sz="8" w:space="0" w:color="auto"/>
            </w:tcBorders>
            <w:shd w:val="clear" w:color="auto" w:fill="auto"/>
            <w:vAlign w:val="center"/>
            <w:hideMark/>
          </w:tcPr>
          <w:p w14:paraId="42DA270D"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1263</w:t>
            </w:r>
          </w:p>
        </w:tc>
        <w:tc>
          <w:tcPr>
            <w:tcW w:w="760" w:type="dxa"/>
            <w:tcBorders>
              <w:top w:val="nil"/>
              <w:left w:val="nil"/>
              <w:bottom w:val="single" w:sz="8" w:space="0" w:color="auto"/>
              <w:right w:val="single" w:sz="8" w:space="0" w:color="auto"/>
            </w:tcBorders>
            <w:shd w:val="clear" w:color="auto" w:fill="auto"/>
            <w:noWrap/>
            <w:vAlign w:val="center"/>
            <w:hideMark/>
          </w:tcPr>
          <w:p w14:paraId="4618EE45"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4579B105"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w:t>
            </w:r>
          </w:p>
        </w:tc>
        <w:tc>
          <w:tcPr>
            <w:tcW w:w="760" w:type="dxa"/>
            <w:tcBorders>
              <w:top w:val="nil"/>
              <w:left w:val="nil"/>
              <w:bottom w:val="single" w:sz="8" w:space="0" w:color="auto"/>
              <w:right w:val="single" w:sz="8" w:space="0" w:color="auto"/>
            </w:tcBorders>
            <w:shd w:val="clear" w:color="auto" w:fill="auto"/>
            <w:noWrap/>
            <w:vAlign w:val="center"/>
            <w:hideMark/>
          </w:tcPr>
          <w:p w14:paraId="6888F27E"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81</w:t>
            </w:r>
          </w:p>
        </w:tc>
        <w:tc>
          <w:tcPr>
            <w:tcW w:w="1200" w:type="dxa"/>
            <w:tcBorders>
              <w:top w:val="nil"/>
              <w:left w:val="nil"/>
              <w:bottom w:val="single" w:sz="8" w:space="0" w:color="auto"/>
              <w:right w:val="single" w:sz="8" w:space="0" w:color="auto"/>
            </w:tcBorders>
            <w:shd w:val="clear" w:color="auto" w:fill="auto"/>
            <w:noWrap/>
            <w:vAlign w:val="center"/>
            <w:hideMark/>
          </w:tcPr>
          <w:p w14:paraId="68CBB844"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54</w:t>
            </w:r>
          </w:p>
        </w:tc>
      </w:tr>
      <w:tr w:rsidR="009F3EC1" w:rsidRPr="009F3EC1" w14:paraId="6D2C4CB6"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5A9E7CEB"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 xml:space="preserve">Juzgado Familia III Circ. Jud. De San José </w:t>
            </w:r>
          </w:p>
        </w:tc>
        <w:tc>
          <w:tcPr>
            <w:tcW w:w="1200" w:type="dxa"/>
            <w:tcBorders>
              <w:top w:val="nil"/>
              <w:left w:val="nil"/>
              <w:bottom w:val="single" w:sz="8" w:space="0" w:color="auto"/>
              <w:right w:val="single" w:sz="8" w:space="0" w:color="auto"/>
            </w:tcBorders>
            <w:shd w:val="clear" w:color="auto" w:fill="auto"/>
            <w:noWrap/>
            <w:vAlign w:val="center"/>
            <w:hideMark/>
          </w:tcPr>
          <w:p w14:paraId="0D2B2229"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216</w:t>
            </w:r>
          </w:p>
        </w:tc>
        <w:tc>
          <w:tcPr>
            <w:tcW w:w="1080" w:type="dxa"/>
            <w:tcBorders>
              <w:top w:val="nil"/>
              <w:left w:val="nil"/>
              <w:bottom w:val="single" w:sz="8" w:space="0" w:color="auto"/>
              <w:right w:val="single" w:sz="8" w:space="0" w:color="auto"/>
            </w:tcBorders>
            <w:shd w:val="clear" w:color="auto" w:fill="auto"/>
            <w:vAlign w:val="center"/>
            <w:hideMark/>
          </w:tcPr>
          <w:p w14:paraId="4ACA29C1"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1114</w:t>
            </w:r>
          </w:p>
        </w:tc>
        <w:tc>
          <w:tcPr>
            <w:tcW w:w="760" w:type="dxa"/>
            <w:tcBorders>
              <w:top w:val="nil"/>
              <w:left w:val="nil"/>
              <w:bottom w:val="single" w:sz="8" w:space="0" w:color="auto"/>
              <w:right w:val="single" w:sz="8" w:space="0" w:color="auto"/>
            </w:tcBorders>
            <w:shd w:val="clear" w:color="auto" w:fill="auto"/>
            <w:noWrap/>
            <w:vAlign w:val="center"/>
            <w:hideMark/>
          </w:tcPr>
          <w:p w14:paraId="48B0A70E"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3C05AB0A"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w:t>
            </w:r>
          </w:p>
        </w:tc>
        <w:tc>
          <w:tcPr>
            <w:tcW w:w="760" w:type="dxa"/>
            <w:tcBorders>
              <w:top w:val="nil"/>
              <w:left w:val="nil"/>
              <w:bottom w:val="single" w:sz="8" w:space="0" w:color="auto"/>
              <w:right w:val="single" w:sz="8" w:space="0" w:color="auto"/>
            </w:tcBorders>
            <w:shd w:val="clear" w:color="auto" w:fill="auto"/>
            <w:noWrap/>
            <w:vAlign w:val="center"/>
            <w:hideMark/>
          </w:tcPr>
          <w:p w14:paraId="407F6823"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72</w:t>
            </w:r>
          </w:p>
        </w:tc>
        <w:tc>
          <w:tcPr>
            <w:tcW w:w="1200" w:type="dxa"/>
            <w:tcBorders>
              <w:top w:val="nil"/>
              <w:left w:val="nil"/>
              <w:bottom w:val="single" w:sz="8" w:space="0" w:color="auto"/>
              <w:right w:val="single" w:sz="8" w:space="0" w:color="auto"/>
            </w:tcBorders>
            <w:shd w:val="clear" w:color="auto" w:fill="auto"/>
            <w:noWrap/>
            <w:vAlign w:val="center"/>
            <w:hideMark/>
          </w:tcPr>
          <w:p w14:paraId="72CAE7D2"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54</w:t>
            </w:r>
          </w:p>
        </w:tc>
      </w:tr>
      <w:tr w:rsidR="009F3EC1" w:rsidRPr="009F3EC1" w14:paraId="3B893134"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5787D1D6"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Familia Puntarenas</w:t>
            </w:r>
          </w:p>
        </w:tc>
        <w:tc>
          <w:tcPr>
            <w:tcW w:w="1200" w:type="dxa"/>
            <w:tcBorders>
              <w:top w:val="nil"/>
              <w:left w:val="nil"/>
              <w:bottom w:val="single" w:sz="8" w:space="0" w:color="auto"/>
              <w:right w:val="single" w:sz="8" w:space="0" w:color="auto"/>
            </w:tcBorders>
            <w:shd w:val="clear" w:color="auto" w:fill="auto"/>
            <w:noWrap/>
            <w:vAlign w:val="center"/>
            <w:hideMark/>
          </w:tcPr>
          <w:p w14:paraId="1089D1FE"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159</w:t>
            </w:r>
          </w:p>
        </w:tc>
        <w:tc>
          <w:tcPr>
            <w:tcW w:w="1080" w:type="dxa"/>
            <w:tcBorders>
              <w:top w:val="nil"/>
              <w:left w:val="nil"/>
              <w:bottom w:val="single" w:sz="8" w:space="0" w:color="auto"/>
              <w:right w:val="single" w:sz="8" w:space="0" w:color="auto"/>
            </w:tcBorders>
            <w:shd w:val="clear" w:color="auto" w:fill="auto"/>
            <w:vAlign w:val="center"/>
            <w:hideMark/>
          </w:tcPr>
          <w:p w14:paraId="1249A92F"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627</w:t>
            </w:r>
          </w:p>
        </w:tc>
        <w:tc>
          <w:tcPr>
            <w:tcW w:w="760" w:type="dxa"/>
            <w:tcBorders>
              <w:top w:val="nil"/>
              <w:left w:val="nil"/>
              <w:bottom w:val="single" w:sz="8" w:space="0" w:color="auto"/>
              <w:right w:val="single" w:sz="8" w:space="0" w:color="auto"/>
            </w:tcBorders>
            <w:shd w:val="clear" w:color="auto" w:fill="auto"/>
            <w:noWrap/>
            <w:vAlign w:val="center"/>
            <w:hideMark/>
          </w:tcPr>
          <w:p w14:paraId="2EEC347C"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36A64CAB"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w:t>
            </w:r>
          </w:p>
        </w:tc>
        <w:tc>
          <w:tcPr>
            <w:tcW w:w="760" w:type="dxa"/>
            <w:tcBorders>
              <w:top w:val="nil"/>
              <w:left w:val="nil"/>
              <w:bottom w:val="single" w:sz="8" w:space="0" w:color="auto"/>
              <w:right w:val="single" w:sz="8" w:space="0" w:color="auto"/>
            </w:tcBorders>
            <w:shd w:val="clear" w:color="auto" w:fill="auto"/>
            <w:noWrap/>
            <w:vAlign w:val="center"/>
            <w:hideMark/>
          </w:tcPr>
          <w:p w14:paraId="24D80ADF"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79</w:t>
            </w:r>
          </w:p>
        </w:tc>
        <w:tc>
          <w:tcPr>
            <w:tcW w:w="1200" w:type="dxa"/>
            <w:tcBorders>
              <w:top w:val="nil"/>
              <w:left w:val="nil"/>
              <w:bottom w:val="single" w:sz="8" w:space="0" w:color="auto"/>
              <w:right w:val="single" w:sz="8" w:space="0" w:color="auto"/>
            </w:tcBorders>
            <w:shd w:val="clear" w:color="auto" w:fill="auto"/>
            <w:noWrap/>
            <w:vAlign w:val="center"/>
            <w:hideMark/>
          </w:tcPr>
          <w:p w14:paraId="0F25E32F"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40</w:t>
            </w:r>
          </w:p>
        </w:tc>
      </w:tr>
      <w:tr w:rsidR="009F3EC1" w:rsidRPr="009F3EC1" w14:paraId="507D59D3"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19317B66"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Primero de Familia de San José</w:t>
            </w:r>
          </w:p>
        </w:tc>
        <w:tc>
          <w:tcPr>
            <w:tcW w:w="1200" w:type="dxa"/>
            <w:tcBorders>
              <w:top w:val="nil"/>
              <w:left w:val="nil"/>
              <w:bottom w:val="single" w:sz="8" w:space="0" w:color="auto"/>
              <w:right w:val="single" w:sz="8" w:space="0" w:color="auto"/>
            </w:tcBorders>
            <w:shd w:val="clear" w:color="auto" w:fill="auto"/>
            <w:noWrap/>
            <w:vAlign w:val="center"/>
            <w:hideMark/>
          </w:tcPr>
          <w:p w14:paraId="1A57B3ED"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148</w:t>
            </w:r>
          </w:p>
        </w:tc>
        <w:tc>
          <w:tcPr>
            <w:tcW w:w="1080" w:type="dxa"/>
            <w:tcBorders>
              <w:top w:val="nil"/>
              <w:left w:val="nil"/>
              <w:bottom w:val="single" w:sz="8" w:space="0" w:color="auto"/>
              <w:right w:val="single" w:sz="8" w:space="0" w:color="auto"/>
            </w:tcBorders>
            <w:shd w:val="clear" w:color="auto" w:fill="auto"/>
            <w:vAlign w:val="center"/>
            <w:hideMark/>
          </w:tcPr>
          <w:p w14:paraId="319E4398"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925</w:t>
            </w:r>
          </w:p>
        </w:tc>
        <w:tc>
          <w:tcPr>
            <w:tcW w:w="760" w:type="dxa"/>
            <w:tcBorders>
              <w:top w:val="nil"/>
              <w:left w:val="nil"/>
              <w:bottom w:val="single" w:sz="8" w:space="0" w:color="auto"/>
              <w:right w:val="single" w:sz="8" w:space="0" w:color="auto"/>
            </w:tcBorders>
            <w:shd w:val="clear" w:color="auto" w:fill="auto"/>
            <w:noWrap/>
            <w:vAlign w:val="center"/>
            <w:hideMark/>
          </w:tcPr>
          <w:p w14:paraId="1F93F669"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0A60EBF8"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w:t>
            </w:r>
          </w:p>
        </w:tc>
        <w:tc>
          <w:tcPr>
            <w:tcW w:w="760" w:type="dxa"/>
            <w:tcBorders>
              <w:top w:val="nil"/>
              <w:left w:val="nil"/>
              <w:bottom w:val="single" w:sz="8" w:space="0" w:color="auto"/>
              <w:right w:val="single" w:sz="8" w:space="0" w:color="auto"/>
            </w:tcBorders>
            <w:shd w:val="clear" w:color="auto" w:fill="auto"/>
            <w:noWrap/>
            <w:vAlign w:val="center"/>
            <w:hideMark/>
          </w:tcPr>
          <w:p w14:paraId="43494A0F"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49</w:t>
            </w:r>
          </w:p>
        </w:tc>
        <w:tc>
          <w:tcPr>
            <w:tcW w:w="1200" w:type="dxa"/>
            <w:tcBorders>
              <w:top w:val="nil"/>
              <w:left w:val="nil"/>
              <w:bottom w:val="single" w:sz="8" w:space="0" w:color="auto"/>
              <w:right w:val="single" w:sz="8" w:space="0" w:color="auto"/>
            </w:tcBorders>
            <w:shd w:val="clear" w:color="auto" w:fill="auto"/>
            <w:noWrap/>
            <w:vAlign w:val="center"/>
            <w:hideMark/>
          </w:tcPr>
          <w:p w14:paraId="6DAAE76E"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37</w:t>
            </w:r>
          </w:p>
        </w:tc>
      </w:tr>
      <w:tr w:rsidR="009F3EC1" w:rsidRPr="009F3EC1" w14:paraId="2A05FAC0"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auto" w:fill="auto"/>
            <w:noWrap/>
            <w:vAlign w:val="center"/>
            <w:hideMark/>
          </w:tcPr>
          <w:p w14:paraId="73EBDF06" w14:textId="77777777" w:rsidR="009F3EC1" w:rsidRPr="009F3EC1" w:rsidRDefault="009F3EC1" w:rsidP="009F3EC1">
            <w:pPr>
              <w:spacing w:after="0" w:line="240" w:lineRule="auto"/>
              <w:rPr>
                <w:rFonts w:ascii="Book Antiqua" w:eastAsia="Times New Roman" w:hAnsi="Book Antiqua" w:cs="Calibri"/>
                <w:b/>
                <w:bCs/>
                <w:color w:val="000000"/>
                <w:sz w:val="20"/>
                <w:szCs w:val="20"/>
                <w:lang w:eastAsia="es-CR"/>
              </w:rPr>
            </w:pPr>
            <w:r w:rsidRPr="009F3EC1">
              <w:rPr>
                <w:rFonts w:ascii="Book Antiqua" w:eastAsia="Times New Roman" w:hAnsi="Book Antiqua" w:cs="Calibri"/>
                <w:b/>
                <w:bCs/>
                <w:color w:val="000000"/>
                <w:sz w:val="20"/>
                <w:szCs w:val="20"/>
                <w:lang w:eastAsia="es-CR"/>
              </w:rPr>
              <w:t>Juzgado Segundo de Familia de San José</w:t>
            </w:r>
          </w:p>
        </w:tc>
        <w:tc>
          <w:tcPr>
            <w:tcW w:w="1200" w:type="dxa"/>
            <w:tcBorders>
              <w:top w:val="nil"/>
              <w:left w:val="nil"/>
              <w:bottom w:val="single" w:sz="8" w:space="0" w:color="auto"/>
              <w:right w:val="single" w:sz="8" w:space="0" w:color="auto"/>
            </w:tcBorders>
            <w:shd w:val="clear" w:color="auto" w:fill="auto"/>
            <w:noWrap/>
            <w:vAlign w:val="center"/>
            <w:hideMark/>
          </w:tcPr>
          <w:p w14:paraId="3AD7CE2F"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144</w:t>
            </w:r>
          </w:p>
        </w:tc>
        <w:tc>
          <w:tcPr>
            <w:tcW w:w="1080" w:type="dxa"/>
            <w:tcBorders>
              <w:top w:val="nil"/>
              <w:left w:val="nil"/>
              <w:bottom w:val="single" w:sz="8" w:space="0" w:color="auto"/>
              <w:right w:val="single" w:sz="8" w:space="0" w:color="auto"/>
            </w:tcBorders>
            <w:shd w:val="clear" w:color="auto" w:fill="auto"/>
            <w:vAlign w:val="center"/>
            <w:hideMark/>
          </w:tcPr>
          <w:p w14:paraId="040DB539"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548</w:t>
            </w:r>
          </w:p>
        </w:tc>
        <w:tc>
          <w:tcPr>
            <w:tcW w:w="760" w:type="dxa"/>
            <w:tcBorders>
              <w:top w:val="nil"/>
              <w:left w:val="nil"/>
              <w:bottom w:val="single" w:sz="8" w:space="0" w:color="auto"/>
              <w:right w:val="single" w:sz="8" w:space="0" w:color="auto"/>
            </w:tcBorders>
            <w:shd w:val="clear" w:color="auto" w:fill="auto"/>
            <w:noWrap/>
            <w:vAlign w:val="center"/>
            <w:hideMark/>
          </w:tcPr>
          <w:p w14:paraId="1CEDFE83"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3</w:t>
            </w:r>
          </w:p>
        </w:tc>
        <w:tc>
          <w:tcPr>
            <w:tcW w:w="1260" w:type="dxa"/>
            <w:tcBorders>
              <w:top w:val="single" w:sz="8" w:space="0" w:color="auto"/>
              <w:left w:val="nil"/>
              <w:bottom w:val="single" w:sz="8" w:space="0" w:color="auto"/>
              <w:right w:val="single" w:sz="8" w:space="0" w:color="000000"/>
            </w:tcBorders>
            <w:shd w:val="clear" w:color="auto" w:fill="auto"/>
            <w:vAlign w:val="center"/>
            <w:hideMark/>
          </w:tcPr>
          <w:p w14:paraId="7149A0E8"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5</w:t>
            </w:r>
          </w:p>
        </w:tc>
        <w:tc>
          <w:tcPr>
            <w:tcW w:w="760" w:type="dxa"/>
            <w:tcBorders>
              <w:top w:val="nil"/>
              <w:left w:val="nil"/>
              <w:bottom w:val="single" w:sz="8" w:space="0" w:color="auto"/>
              <w:right w:val="single" w:sz="8" w:space="0" w:color="auto"/>
            </w:tcBorders>
            <w:shd w:val="clear" w:color="auto" w:fill="auto"/>
            <w:noWrap/>
            <w:vAlign w:val="center"/>
            <w:hideMark/>
          </w:tcPr>
          <w:p w14:paraId="30AEE2C3"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48</w:t>
            </w:r>
          </w:p>
        </w:tc>
        <w:tc>
          <w:tcPr>
            <w:tcW w:w="1200" w:type="dxa"/>
            <w:tcBorders>
              <w:top w:val="nil"/>
              <w:left w:val="nil"/>
              <w:bottom w:val="single" w:sz="8" w:space="0" w:color="auto"/>
              <w:right w:val="single" w:sz="8" w:space="0" w:color="auto"/>
            </w:tcBorders>
            <w:shd w:val="clear" w:color="auto" w:fill="auto"/>
            <w:noWrap/>
            <w:vAlign w:val="center"/>
            <w:hideMark/>
          </w:tcPr>
          <w:p w14:paraId="403E1DB2" w14:textId="77777777" w:rsidR="009F3EC1" w:rsidRPr="009F3EC1" w:rsidRDefault="009F3EC1" w:rsidP="009F3EC1">
            <w:pPr>
              <w:spacing w:after="0" w:line="240" w:lineRule="auto"/>
              <w:jc w:val="center"/>
              <w:rPr>
                <w:rFonts w:ascii="Book Antiqua" w:eastAsia="Times New Roman" w:hAnsi="Book Antiqua" w:cs="Calibri"/>
                <w:color w:val="000000"/>
                <w:sz w:val="20"/>
                <w:szCs w:val="20"/>
                <w:lang w:eastAsia="es-CR"/>
              </w:rPr>
            </w:pPr>
            <w:r w:rsidRPr="009F3EC1">
              <w:rPr>
                <w:rFonts w:ascii="Book Antiqua" w:eastAsia="Times New Roman" w:hAnsi="Book Antiqua" w:cs="Calibri"/>
                <w:color w:val="000000"/>
                <w:sz w:val="20"/>
                <w:szCs w:val="20"/>
                <w:lang w:eastAsia="es-CR"/>
              </w:rPr>
              <w:t>29</w:t>
            </w:r>
          </w:p>
        </w:tc>
      </w:tr>
      <w:tr w:rsidR="009F3EC1" w:rsidRPr="009F3EC1" w14:paraId="0D8A2073"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000000" w:fill="808080"/>
            <w:noWrap/>
            <w:vAlign w:val="center"/>
            <w:hideMark/>
          </w:tcPr>
          <w:p w14:paraId="42715D5C" w14:textId="77777777" w:rsidR="009F3EC1" w:rsidRPr="009F3EC1" w:rsidRDefault="009F3EC1" w:rsidP="009F3EC1">
            <w:pPr>
              <w:spacing w:after="0" w:line="240" w:lineRule="auto"/>
              <w:jc w:val="right"/>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Total</w:t>
            </w:r>
          </w:p>
        </w:tc>
        <w:tc>
          <w:tcPr>
            <w:tcW w:w="1200" w:type="dxa"/>
            <w:tcBorders>
              <w:top w:val="nil"/>
              <w:left w:val="nil"/>
              <w:bottom w:val="single" w:sz="8" w:space="0" w:color="auto"/>
              <w:right w:val="single" w:sz="8" w:space="0" w:color="auto"/>
            </w:tcBorders>
            <w:shd w:val="clear" w:color="000000" w:fill="808080"/>
            <w:noWrap/>
            <w:vAlign w:val="center"/>
            <w:hideMark/>
          </w:tcPr>
          <w:p w14:paraId="12176273"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2 420</w:t>
            </w:r>
          </w:p>
        </w:tc>
        <w:tc>
          <w:tcPr>
            <w:tcW w:w="1080" w:type="dxa"/>
            <w:tcBorders>
              <w:top w:val="nil"/>
              <w:left w:val="nil"/>
              <w:bottom w:val="single" w:sz="8" w:space="0" w:color="auto"/>
              <w:right w:val="single" w:sz="8" w:space="0" w:color="auto"/>
            </w:tcBorders>
            <w:shd w:val="clear" w:color="000000" w:fill="808080"/>
            <w:vAlign w:val="center"/>
            <w:hideMark/>
          </w:tcPr>
          <w:p w14:paraId="262888F5"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12 829</w:t>
            </w:r>
          </w:p>
        </w:tc>
        <w:tc>
          <w:tcPr>
            <w:tcW w:w="760" w:type="dxa"/>
            <w:tcBorders>
              <w:top w:val="nil"/>
              <w:left w:val="nil"/>
              <w:bottom w:val="single" w:sz="8" w:space="0" w:color="auto"/>
              <w:right w:val="single" w:sz="8" w:space="0" w:color="auto"/>
            </w:tcBorders>
            <w:shd w:val="clear" w:color="000000" w:fill="808080"/>
            <w:noWrap/>
            <w:vAlign w:val="center"/>
            <w:hideMark/>
          </w:tcPr>
          <w:p w14:paraId="7C1AD4CD"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33</w:t>
            </w:r>
          </w:p>
        </w:tc>
        <w:tc>
          <w:tcPr>
            <w:tcW w:w="1260" w:type="dxa"/>
            <w:tcBorders>
              <w:top w:val="single" w:sz="8" w:space="0" w:color="auto"/>
              <w:left w:val="nil"/>
              <w:bottom w:val="single" w:sz="8" w:space="0" w:color="auto"/>
              <w:right w:val="single" w:sz="8" w:space="0" w:color="000000"/>
            </w:tcBorders>
            <w:shd w:val="clear" w:color="000000" w:fill="808080"/>
            <w:vAlign w:val="center"/>
            <w:hideMark/>
          </w:tcPr>
          <w:p w14:paraId="2C62A659"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54</w:t>
            </w:r>
          </w:p>
        </w:tc>
        <w:tc>
          <w:tcPr>
            <w:tcW w:w="760" w:type="dxa"/>
            <w:tcBorders>
              <w:top w:val="nil"/>
              <w:left w:val="nil"/>
              <w:bottom w:val="single" w:sz="8" w:space="0" w:color="auto"/>
              <w:right w:val="single" w:sz="8" w:space="0" w:color="auto"/>
            </w:tcBorders>
            <w:shd w:val="clear" w:color="000000" w:fill="808080"/>
            <w:noWrap/>
            <w:vAlign w:val="center"/>
            <w:hideMark/>
          </w:tcPr>
          <w:p w14:paraId="5F947122"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871</w:t>
            </w:r>
          </w:p>
        </w:tc>
        <w:tc>
          <w:tcPr>
            <w:tcW w:w="1200" w:type="dxa"/>
            <w:tcBorders>
              <w:top w:val="nil"/>
              <w:left w:val="nil"/>
              <w:bottom w:val="single" w:sz="8" w:space="0" w:color="auto"/>
              <w:right w:val="single" w:sz="8" w:space="0" w:color="auto"/>
            </w:tcBorders>
            <w:shd w:val="clear" w:color="000000" w:fill="808080"/>
            <w:noWrap/>
            <w:vAlign w:val="center"/>
            <w:hideMark/>
          </w:tcPr>
          <w:p w14:paraId="5CC50628"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549</w:t>
            </w:r>
          </w:p>
        </w:tc>
      </w:tr>
      <w:tr w:rsidR="009F3EC1" w:rsidRPr="009F3EC1" w14:paraId="3D884FD1" w14:textId="77777777" w:rsidTr="009F3EC1">
        <w:trPr>
          <w:trHeight w:val="300"/>
          <w:jc w:val="center"/>
        </w:trPr>
        <w:tc>
          <w:tcPr>
            <w:tcW w:w="4160" w:type="dxa"/>
            <w:tcBorders>
              <w:top w:val="nil"/>
              <w:left w:val="single" w:sz="8" w:space="0" w:color="auto"/>
              <w:bottom w:val="single" w:sz="8" w:space="0" w:color="auto"/>
              <w:right w:val="single" w:sz="8" w:space="0" w:color="auto"/>
            </w:tcBorders>
            <w:shd w:val="clear" w:color="000000" w:fill="808080"/>
            <w:noWrap/>
            <w:vAlign w:val="center"/>
            <w:hideMark/>
          </w:tcPr>
          <w:p w14:paraId="070B8F2F" w14:textId="77777777" w:rsidR="009F3EC1" w:rsidRPr="009F3EC1" w:rsidRDefault="009F3EC1" w:rsidP="009F3EC1">
            <w:pPr>
              <w:spacing w:after="0" w:line="240" w:lineRule="auto"/>
              <w:jc w:val="right"/>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Promedio</w:t>
            </w:r>
          </w:p>
        </w:tc>
        <w:tc>
          <w:tcPr>
            <w:tcW w:w="1200" w:type="dxa"/>
            <w:tcBorders>
              <w:top w:val="nil"/>
              <w:left w:val="nil"/>
              <w:bottom w:val="single" w:sz="8" w:space="0" w:color="auto"/>
              <w:right w:val="single" w:sz="8" w:space="0" w:color="auto"/>
            </w:tcBorders>
            <w:shd w:val="clear" w:color="000000" w:fill="808080"/>
            <w:noWrap/>
            <w:vAlign w:val="center"/>
            <w:hideMark/>
          </w:tcPr>
          <w:p w14:paraId="6180A26A"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202</w:t>
            </w:r>
          </w:p>
        </w:tc>
        <w:tc>
          <w:tcPr>
            <w:tcW w:w="1080" w:type="dxa"/>
            <w:tcBorders>
              <w:top w:val="nil"/>
              <w:left w:val="nil"/>
              <w:bottom w:val="single" w:sz="8" w:space="0" w:color="auto"/>
              <w:right w:val="single" w:sz="8" w:space="0" w:color="auto"/>
            </w:tcBorders>
            <w:shd w:val="clear" w:color="000000" w:fill="808080"/>
            <w:vAlign w:val="center"/>
            <w:hideMark/>
          </w:tcPr>
          <w:p w14:paraId="1EE39A05"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1 069</w:t>
            </w:r>
          </w:p>
        </w:tc>
        <w:tc>
          <w:tcPr>
            <w:tcW w:w="760" w:type="dxa"/>
            <w:tcBorders>
              <w:top w:val="nil"/>
              <w:left w:val="nil"/>
              <w:bottom w:val="single" w:sz="8" w:space="0" w:color="auto"/>
              <w:right w:val="single" w:sz="8" w:space="0" w:color="auto"/>
            </w:tcBorders>
            <w:shd w:val="clear" w:color="000000" w:fill="808080"/>
            <w:noWrap/>
            <w:vAlign w:val="center"/>
            <w:hideMark/>
          </w:tcPr>
          <w:p w14:paraId="1C987FAB"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3</w:t>
            </w:r>
          </w:p>
        </w:tc>
        <w:tc>
          <w:tcPr>
            <w:tcW w:w="1260" w:type="dxa"/>
            <w:tcBorders>
              <w:top w:val="single" w:sz="8" w:space="0" w:color="auto"/>
              <w:left w:val="nil"/>
              <w:bottom w:val="single" w:sz="8" w:space="0" w:color="auto"/>
              <w:right w:val="single" w:sz="8" w:space="0" w:color="000000"/>
            </w:tcBorders>
            <w:shd w:val="clear" w:color="000000" w:fill="808080"/>
            <w:vAlign w:val="center"/>
            <w:hideMark/>
          </w:tcPr>
          <w:p w14:paraId="21669266"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5</w:t>
            </w:r>
          </w:p>
        </w:tc>
        <w:tc>
          <w:tcPr>
            <w:tcW w:w="760" w:type="dxa"/>
            <w:tcBorders>
              <w:top w:val="nil"/>
              <w:left w:val="nil"/>
              <w:bottom w:val="single" w:sz="8" w:space="0" w:color="auto"/>
              <w:right w:val="single" w:sz="8" w:space="0" w:color="auto"/>
            </w:tcBorders>
            <w:shd w:val="clear" w:color="000000" w:fill="808080"/>
            <w:noWrap/>
            <w:vAlign w:val="center"/>
            <w:hideMark/>
          </w:tcPr>
          <w:p w14:paraId="770B0D45"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73</w:t>
            </w:r>
          </w:p>
        </w:tc>
        <w:tc>
          <w:tcPr>
            <w:tcW w:w="1200" w:type="dxa"/>
            <w:tcBorders>
              <w:top w:val="nil"/>
              <w:left w:val="nil"/>
              <w:bottom w:val="single" w:sz="8" w:space="0" w:color="auto"/>
              <w:right w:val="single" w:sz="8" w:space="0" w:color="auto"/>
            </w:tcBorders>
            <w:shd w:val="clear" w:color="000000" w:fill="808080"/>
            <w:noWrap/>
            <w:vAlign w:val="center"/>
            <w:hideMark/>
          </w:tcPr>
          <w:p w14:paraId="7E09156F" w14:textId="77777777" w:rsidR="009F3EC1" w:rsidRPr="009F3EC1" w:rsidRDefault="009F3EC1" w:rsidP="009F3EC1">
            <w:pPr>
              <w:spacing w:after="0" w:line="240" w:lineRule="auto"/>
              <w:jc w:val="center"/>
              <w:rPr>
                <w:rFonts w:ascii="Book Antiqua" w:eastAsia="Times New Roman" w:hAnsi="Book Antiqua" w:cs="Calibri"/>
                <w:b/>
                <w:bCs/>
                <w:color w:val="FFFFFF"/>
                <w:sz w:val="20"/>
                <w:szCs w:val="20"/>
                <w:lang w:eastAsia="es-CR"/>
              </w:rPr>
            </w:pPr>
            <w:r w:rsidRPr="009F3EC1">
              <w:rPr>
                <w:rFonts w:ascii="Book Antiqua" w:eastAsia="Times New Roman" w:hAnsi="Book Antiqua" w:cs="Calibri"/>
                <w:b/>
                <w:bCs/>
                <w:color w:val="FFFFFF"/>
                <w:sz w:val="20"/>
                <w:szCs w:val="20"/>
                <w:lang w:eastAsia="es-CR"/>
              </w:rPr>
              <w:t>46</w:t>
            </w:r>
          </w:p>
        </w:tc>
      </w:tr>
    </w:tbl>
    <w:bookmarkEnd w:id="34"/>
    <w:p w14:paraId="500C1293" w14:textId="00D7822C" w:rsidR="008A2ADA" w:rsidRDefault="008A2ADA" w:rsidP="008A2ADA">
      <w:pPr>
        <w:spacing w:line="276" w:lineRule="auto"/>
        <w:jc w:val="both"/>
        <w:rPr>
          <w:rFonts w:ascii="Book Antiqua" w:hAnsi="Book Antiqua"/>
          <w:i/>
          <w:iCs/>
          <w:sz w:val="20"/>
          <w:szCs w:val="20"/>
        </w:rPr>
      </w:pPr>
      <w:r w:rsidRPr="00F134FF">
        <w:rPr>
          <w:rFonts w:ascii="Book Antiqua" w:hAnsi="Book Antiqua"/>
          <w:b/>
          <w:bCs/>
          <w:i/>
          <w:iCs/>
          <w:sz w:val="20"/>
          <w:szCs w:val="20"/>
        </w:rPr>
        <w:t>Fuente:</w:t>
      </w:r>
      <w:r w:rsidRPr="00A66284">
        <w:rPr>
          <w:rFonts w:ascii="Book Antiqua" w:hAnsi="Book Antiqua"/>
          <w:i/>
          <w:iCs/>
          <w:sz w:val="20"/>
          <w:szCs w:val="20"/>
        </w:rPr>
        <w:t xml:space="preserve"> </w:t>
      </w:r>
      <w:r>
        <w:rPr>
          <w:rFonts w:ascii="Book Antiqua" w:hAnsi="Book Antiqua"/>
          <w:i/>
          <w:iCs/>
          <w:sz w:val="20"/>
          <w:szCs w:val="20"/>
        </w:rPr>
        <w:t xml:space="preserve">Subproceso de </w:t>
      </w:r>
      <w:r w:rsidRPr="00A66284">
        <w:rPr>
          <w:rFonts w:ascii="Book Antiqua" w:hAnsi="Book Antiqua"/>
          <w:i/>
          <w:iCs/>
          <w:sz w:val="20"/>
          <w:szCs w:val="20"/>
        </w:rPr>
        <w:t xml:space="preserve">Modernización </w:t>
      </w:r>
      <w:r w:rsidRPr="008A2ADA">
        <w:rPr>
          <w:rFonts w:ascii="Book Antiqua" w:hAnsi="Book Antiqua"/>
          <w:i/>
          <w:iCs/>
          <w:sz w:val="20"/>
          <w:szCs w:val="20"/>
        </w:rPr>
        <w:t>Institucional con datos del Subproceso de Estadística del 2017 al 2022, del Balance General Interactivo y consulta de SIGMA del 22/2/2023.</w:t>
      </w:r>
    </w:p>
    <w:p w14:paraId="40868C0A" w14:textId="77777777" w:rsidR="000069A7" w:rsidRDefault="000069A7" w:rsidP="000069A7">
      <w:pPr>
        <w:spacing w:after="0" w:line="276" w:lineRule="auto"/>
        <w:jc w:val="both"/>
        <w:rPr>
          <w:rFonts w:ascii="Book Antiqua" w:hAnsi="Book Antiqua"/>
          <w:i/>
          <w:iCs/>
          <w:sz w:val="20"/>
          <w:szCs w:val="20"/>
        </w:rPr>
      </w:pPr>
    </w:p>
    <w:p w14:paraId="677CD499" w14:textId="1AF36B32" w:rsidR="00E134B7" w:rsidRDefault="00E134B7" w:rsidP="00E134B7">
      <w:pPr>
        <w:spacing w:after="0" w:line="276" w:lineRule="auto"/>
        <w:jc w:val="both"/>
        <w:rPr>
          <w:rFonts w:ascii="Book Antiqua" w:eastAsia="Calibri" w:hAnsi="Book Antiqua" w:cs="Arial"/>
          <w:sz w:val="24"/>
          <w:szCs w:val="24"/>
        </w:rPr>
      </w:pPr>
      <w:r w:rsidRPr="00E134B7">
        <w:rPr>
          <w:rFonts w:ascii="Book Antiqua" w:eastAsia="Calibri" w:hAnsi="Book Antiqua" w:cs="Arial"/>
          <w:sz w:val="24"/>
          <w:szCs w:val="24"/>
        </w:rPr>
        <w:t xml:space="preserve">En relación con la información del cuadro anterior, se destaca que la </w:t>
      </w:r>
      <w:bookmarkStart w:id="35" w:name="_Hlk31981039"/>
      <w:r w:rsidRPr="00E134B7">
        <w:rPr>
          <w:rFonts w:ascii="Book Antiqua" w:eastAsia="Calibri" w:hAnsi="Book Antiqua" w:cs="Arial"/>
          <w:sz w:val="24"/>
          <w:szCs w:val="24"/>
        </w:rPr>
        <w:t xml:space="preserve">carga de trabajo por persona juzgadora </w:t>
      </w:r>
      <w:r w:rsidR="00462133" w:rsidRPr="00462133">
        <w:rPr>
          <w:rFonts w:ascii="Book Antiqua" w:eastAsia="Calibri" w:hAnsi="Book Antiqua" w:cs="Arial"/>
          <w:sz w:val="24"/>
          <w:szCs w:val="24"/>
        </w:rPr>
        <w:t xml:space="preserve">disminuyó </w:t>
      </w:r>
      <w:r w:rsidR="000069A7" w:rsidRPr="00462133">
        <w:rPr>
          <w:rFonts w:ascii="Book Antiqua" w:eastAsia="Calibri" w:hAnsi="Book Antiqua" w:cs="Arial"/>
          <w:sz w:val="24"/>
          <w:szCs w:val="24"/>
        </w:rPr>
        <w:t>de 7</w:t>
      </w:r>
      <w:r w:rsidR="00462133" w:rsidRPr="00462133">
        <w:rPr>
          <w:rFonts w:ascii="Book Antiqua" w:eastAsia="Calibri" w:hAnsi="Book Antiqua" w:cs="Arial"/>
          <w:sz w:val="24"/>
          <w:szCs w:val="24"/>
        </w:rPr>
        <w:t>6</w:t>
      </w:r>
      <w:r w:rsidR="000069A7" w:rsidRPr="00462133">
        <w:rPr>
          <w:rFonts w:ascii="Book Antiqua" w:eastAsia="Calibri" w:hAnsi="Book Antiqua" w:cs="Arial"/>
          <w:sz w:val="24"/>
          <w:szCs w:val="24"/>
        </w:rPr>
        <w:t xml:space="preserve"> a </w:t>
      </w:r>
      <w:r w:rsidRPr="00462133">
        <w:rPr>
          <w:rFonts w:ascii="Book Antiqua" w:eastAsia="Calibri" w:hAnsi="Book Antiqua" w:cs="Arial"/>
          <w:sz w:val="24"/>
          <w:szCs w:val="24"/>
        </w:rPr>
        <w:t>7</w:t>
      </w:r>
      <w:r w:rsidR="009F3EC1">
        <w:rPr>
          <w:rFonts w:ascii="Book Antiqua" w:eastAsia="Calibri" w:hAnsi="Book Antiqua" w:cs="Arial"/>
          <w:sz w:val="24"/>
          <w:szCs w:val="24"/>
        </w:rPr>
        <w:t>3</w:t>
      </w:r>
      <w:r w:rsidRPr="00462133">
        <w:rPr>
          <w:rFonts w:ascii="Book Antiqua" w:eastAsia="Calibri" w:hAnsi="Book Antiqua" w:cs="Arial"/>
          <w:sz w:val="24"/>
          <w:szCs w:val="24"/>
        </w:rPr>
        <w:t xml:space="preserve"> </w:t>
      </w:r>
      <w:r w:rsidR="000069A7" w:rsidRPr="00462133">
        <w:rPr>
          <w:rFonts w:ascii="Book Antiqua" w:eastAsia="Calibri" w:hAnsi="Book Antiqua" w:cs="Arial"/>
          <w:sz w:val="24"/>
          <w:szCs w:val="24"/>
        </w:rPr>
        <w:t xml:space="preserve">asuntos </w:t>
      </w:r>
      <w:r w:rsidRPr="00462133">
        <w:rPr>
          <w:rFonts w:ascii="Book Antiqua" w:eastAsia="Calibri" w:hAnsi="Book Antiqua" w:cs="Arial"/>
          <w:sz w:val="24"/>
          <w:szCs w:val="24"/>
        </w:rPr>
        <w:t>al mes y por persona técnica judicial de trámite</w:t>
      </w:r>
      <w:bookmarkEnd w:id="35"/>
      <w:r w:rsidRPr="00462133">
        <w:rPr>
          <w:rFonts w:ascii="Book Antiqua" w:eastAsia="Calibri" w:hAnsi="Book Antiqua" w:cs="Arial"/>
          <w:sz w:val="24"/>
          <w:szCs w:val="24"/>
        </w:rPr>
        <w:t xml:space="preserve">, </w:t>
      </w:r>
      <w:r w:rsidR="000069A7" w:rsidRPr="00462133">
        <w:rPr>
          <w:rFonts w:ascii="Book Antiqua" w:eastAsia="Calibri" w:hAnsi="Book Antiqua" w:cs="Arial"/>
          <w:sz w:val="24"/>
          <w:szCs w:val="24"/>
        </w:rPr>
        <w:t>de 4</w:t>
      </w:r>
      <w:r w:rsidR="00462133" w:rsidRPr="00462133">
        <w:rPr>
          <w:rFonts w:ascii="Book Antiqua" w:eastAsia="Calibri" w:hAnsi="Book Antiqua" w:cs="Arial"/>
          <w:sz w:val="24"/>
          <w:szCs w:val="24"/>
        </w:rPr>
        <w:t>8</w:t>
      </w:r>
      <w:r w:rsidR="000069A7" w:rsidRPr="00462133">
        <w:rPr>
          <w:rFonts w:ascii="Book Antiqua" w:eastAsia="Calibri" w:hAnsi="Book Antiqua" w:cs="Arial"/>
          <w:sz w:val="24"/>
          <w:szCs w:val="24"/>
        </w:rPr>
        <w:t xml:space="preserve"> a 4</w:t>
      </w:r>
      <w:r w:rsidR="009F3EC1">
        <w:rPr>
          <w:rFonts w:ascii="Book Antiqua" w:eastAsia="Calibri" w:hAnsi="Book Antiqua" w:cs="Arial"/>
          <w:sz w:val="24"/>
          <w:szCs w:val="24"/>
        </w:rPr>
        <w:t>6</w:t>
      </w:r>
      <w:r w:rsidR="000069A7" w:rsidRPr="00462133">
        <w:rPr>
          <w:rFonts w:ascii="Book Antiqua" w:eastAsia="Calibri" w:hAnsi="Book Antiqua" w:cs="Arial"/>
          <w:sz w:val="24"/>
          <w:szCs w:val="24"/>
        </w:rPr>
        <w:t xml:space="preserve"> asuntos por mes</w:t>
      </w:r>
      <w:r w:rsidR="000069A7">
        <w:rPr>
          <w:rFonts w:ascii="Book Antiqua" w:eastAsia="Calibri" w:hAnsi="Book Antiqua" w:cs="Arial"/>
          <w:sz w:val="24"/>
          <w:szCs w:val="24"/>
        </w:rPr>
        <w:t xml:space="preserve">; </w:t>
      </w:r>
      <w:r w:rsidRPr="00E134B7">
        <w:rPr>
          <w:rFonts w:ascii="Book Antiqua" w:eastAsia="Calibri" w:hAnsi="Book Antiqua" w:cs="Arial"/>
          <w:sz w:val="24"/>
          <w:szCs w:val="24"/>
        </w:rPr>
        <w:t xml:space="preserve"> se excluye para efecto del cálculo, el Juzgado de Niñez y Adolescencia de San Jose, dada su competencia particular. </w:t>
      </w:r>
    </w:p>
    <w:p w14:paraId="2FD18AB8" w14:textId="14C37FC6" w:rsidR="001A3064" w:rsidRDefault="001A3064" w:rsidP="00E134B7">
      <w:pPr>
        <w:spacing w:after="0" w:line="276" w:lineRule="auto"/>
        <w:jc w:val="both"/>
        <w:rPr>
          <w:rFonts w:ascii="Book Antiqua" w:eastAsia="Calibri" w:hAnsi="Book Antiqua" w:cs="Arial"/>
          <w:sz w:val="24"/>
          <w:szCs w:val="24"/>
        </w:rPr>
      </w:pPr>
    </w:p>
    <w:p w14:paraId="7C8EEF14" w14:textId="2DF62C5B" w:rsidR="00B634F4" w:rsidRDefault="00B634F4" w:rsidP="00B634F4">
      <w:pPr>
        <w:spacing w:after="0" w:line="276" w:lineRule="auto"/>
        <w:jc w:val="both"/>
        <w:rPr>
          <w:rFonts w:ascii="Book Antiqua" w:eastAsia="Calibri" w:hAnsi="Book Antiqua" w:cs="Arial"/>
          <w:sz w:val="24"/>
          <w:szCs w:val="24"/>
        </w:rPr>
      </w:pPr>
      <w:r w:rsidRPr="00B634F4">
        <w:rPr>
          <w:rFonts w:ascii="Book Antiqua" w:eastAsia="Calibri" w:hAnsi="Book Antiqua" w:cs="Arial"/>
          <w:sz w:val="24"/>
          <w:szCs w:val="24"/>
        </w:rPr>
        <w:t xml:space="preserve">El </w:t>
      </w:r>
      <w:r w:rsidR="00F47F75">
        <w:rPr>
          <w:rFonts w:ascii="Book Antiqua" w:eastAsia="Calibri" w:hAnsi="Book Antiqua" w:cs="Arial"/>
          <w:sz w:val="24"/>
          <w:szCs w:val="24"/>
        </w:rPr>
        <w:t>79</w:t>
      </w:r>
      <w:r w:rsidRPr="00B634F4">
        <w:rPr>
          <w:rFonts w:ascii="Book Antiqua" w:eastAsia="Calibri" w:hAnsi="Book Antiqua" w:cs="Arial"/>
          <w:sz w:val="24"/>
          <w:szCs w:val="24"/>
        </w:rPr>
        <w:t xml:space="preserve">% de los casos entrados corresponden a principal, </w:t>
      </w:r>
      <w:r w:rsidR="00B65CC4">
        <w:rPr>
          <w:rFonts w:ascii="Book Antiqua" w:eastAsia="Calibri" w:hAnsi="Book Antiqua" w:cs="Arial"/>
          <w:sz w:val="24"/>
          <w:szCs w:val="24"/>
        </w:rPr>
        <w:t>1</w:t>
      </w:r>
      <w:r w:rsidR="00F47F75">
        <w:rPr>
          <w:rFonts w:ascii="Book Antiqua" w:eastAsia="Calibri" w:hAnsi="Book Antiqua" w:cs="Arial"/>
          <w:sz w:val="24"/>
          <w:szCs w:val="24"/>
        </w:rPr>
        <w:t>5</w:t>
      </w:r>
      <w:r w:rsidRPr="00B634F4">
        <w:rPr>
          <w:rFonts w:ascii="Book Antiqua" w:eastAsia="Calibri" w:hAnsi="Book Antiqua" w:cs="Arial"/>
          <w:sz w:val="24"/>
          <w:szCs w:val="24"/>
        </w:rPr>
        <w:t xml:space="preserve">% a segunda instancia, </w:t>
      </w:r>
      <w:r w:rsidR="009F3EC1">
        <w:rPr>
          <w:rFonts w:ascii="Book Antiqua" w:eastAsia="Calibri" w:hAnsi="Book Antiqua" w:cs="Arial"/>
          <w:sz w:val="24"/>
          <w:szCs w:val="24"/>
        </w:rPr>
        <w:t>5</w:t>
      </w:r>
      <w:r w:rsidRPr="00B634F4">
        <w:rPr>
          <w:rFonts w:ascii="Book Antiqua" w:eastAsia="Calibri" w:hAnsi="Book Antiqua" w:cs="Arial"/>
          <w:sz w:val="24"/>
          <w:szCs w:val="24"/>
        </w:rPr>
        <w:t xml:space="preserve">% son reentrados y </w:t>
      </w:r>
      <w:r w:rsidR="009F3EC1">
        <w:rPr>
          <w:rFonts w:ascii="Book Antiqua" w:eastAsia="Calibri" w:hAnsi="Book Antiqua" w:cs="Arial"/>
          <w:sz w:val="24"/>
          <w:szCs w:val="24"/>
        </w:rPr>
        <w:t>1</w:t>
      </w:r>
      <w:r w:rsidRPr="00B634F4">
        <w:rPr>
          <w:rFonts w:ascii="Book Antiqua" w:eastAsia="Calibri" w:hAnsi="Book Antiqua" w:cs="Arial"/>
          <w:sz w:val="24"/>
          <w:szCs w:val="24"/>
        </w:rPr>
        <w:t>% incidentes, estos resultados se muestran en el cuadro siguiente.</w:t>
      </w:r>
    </w:p>
    <w:p w14:paraId="2A16F2DC" w14:textId="1A84B55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 xml:space="preserve">Cuadro </w:t>
      </w:r>
      <w:r w:rsidRPr="00096C73">
        <w:rPr>
          <w:rFonts w:ascii="Book Antiqua" w:eastAsia="Calibri" w:hAnsi="Book Antiqua" w:cs="Arial"/>
          <w:b/>
          <w:bCs/>
          <w:color w:val="1F497D"/>
          <w:szCs w:val="24"/>
          <w:lang w:val="es-ES" w:eastAsia="es-ES"/>
        </w:rPr>
        <w:fldChar w:fldCharType="begin"/>
      </w:r>
      <w:r w:rsidRPr="00096C73">
        <w:rPr>
          <w:rFonts w:ascii="Book Antiqua" w:eastAsia="Calibri" w:hAnsi="Book Antiqua" w:cs="Arial"/>
          <w:b/>
          <w:bCs/>
          <w:color w:val="1F497D"/>
          <w:szCs w:val="24"/>
          <w:lang w:val="es-ES" w:eastAsia="es-ES"/>
        </w:rPr>
        <w:instrText xml:space="preserve"> SEQ Cuadro \* ARABIC </w:instrText>
      </w:r>
      <w:r w:rsidRPr="00096C73">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22</w:t>
      </w:r>
      <w:r w:rsidRPr="00096C73">
        <w:rPr>
          <w:rFonts w:ascii="Book Antiqua" w:eastAsia="Calibri" w:hAnsi="Book Antiqua" w:cs="Arial"/>
          <w:b/>
          <w:bCs/>
          <w:color w:val="1F497D"/>
          <w:szCs w:val="24"/>
          <w:lang w:val="es-ES" w:eastAsia="es-ES"/>
        </w:rPr>
        <w:fldChar w:fldCharType="end"/>
      </w:r>
      <w:r w:rsidRPr="00096C73">
        <w:rPr>
          <w:rFonts w:ascii="Book Antiqua" w:eastAsia="Calibri" w:hAnsi="Book Antiqua" w:cs="Arial"/>
          <w:b/>
          <w:bCs/>
          <w:color w:val="1F497D"/>
          <w:szCs w:val="24"/>
          <w:lang w:val="es-ES" w:eastAsia="es-ES"/>
        </w:rPr>
        <w:t xml:space="preserve"> </w:t>
      </w:r>
    </w:p>
    <w:p w14:paraId="4D6FABBA" w14:textId="7777777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 xml:space="preserve">Desglose de entrados según motivo de entrada </w:t>
      </w:r>
    </w:p>
    <w:p w14:paraId="501BD530" w14:textId="6A56BECD" w:rsid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por persona juzgadora y persona técnica judicial</w:t>
      </w:r>
    </w:p>
    <w:tbl>
      <w:tblPr>
        <w:tblW w:w="9660" w:type="dxa"/>
        <w:jc w:val="center"/>
        <w:tblCellMar>
          <w:left w:w="70" w:type="dxa"/>
          <w:right w:w="70" w:type="dxa"/>
        </w:tblCellMar>
        <w:tblLook w:val="04A0" w:firstRow="1" w:lastRow="0" w:firstColumn="1" w:lastColumn="0" w:noHBand="0" w:noVBand="1"/>
      </w:tblPr>
      <w:tblGrid>
        <w:gridCol w:w="2040"/>
        <w:gridCol w:w="2120"/>
        <w:gridCol w:w="1900"/>
        <w:gridCol w:w="1680"/>
        <w:gridCol w:w="1920"/>
      </w:tblGrid>
      <w:tr w:rsidR="00F47F75" w:rsidRPr="00F47F75" w14:paraId="1BA43ED0" w14:textId="77777777" w:rsidTr="00F47F75">
        <w:trPr>
          <w:trHeight w:val="1460"/>
          <w:jc w:val="center"/>
        </w:trPr>
        <w:tc>
          <w:tcPr>
            <w:tcW w:w="204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3BC94E5B"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Motivo de Entrada</w:t>
            </w:r>
          </w:p>
        </w:tc>
        <w:tc>
          <w:tcPr>
            <w:tcW w:w="2120" w:type="dxa"/>
            <w:tcBorders>
              <w:top w:val="single" w:sz="8" w:space="0" w:color="auto"/>
              <w:left w:val="nil"/>
              <w:bottom w:val="single" w:sz="8" w:space="0" w:color="auto"/>
              <w:right w:val="single" w:sz="8" w:space="0" w:color="auto"/>
            </w:tcBorders>
            <w:shd w:val="clear" w:color="000000" w:fill="002060"/>
            <w:vAlign w:val="center"/>
            <w:hideMark/>
          </w:tcPr>
          <w:p w14:paraId="34CFC869"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Promedio mensual de entrada 2017-2022 despachos especializados</w:t>
            </w:r>
          </w:p>
        </w:tc>
        <w:tc>
          <w:tcPr>
            <w:tcW w:w="1900" w:type="dxa"/>
            <w:tcBorders>
              <w:top w:val="single" w:sz="8" w:space="0" w:color="auto"/>
              <w:left w:val="nil"/>
              <w:bottom w:val="single" w:sz="8" w:space="0" w:color="auto"/>
              <w:right w:val="single" w:sz="8" w:space="0" w:color="auto"/>
            </w:tcBorders>
            <w:shd w:val="clear" w:color="000000" w:fill="002060"/>
            <w:vAlign w:val="center"/>
            <w:hideMark/>
          </w:tcPr>
          <w:p w14:paraId="22482556"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Porcentaje que representa de la entrada</w:t>
            </w:r>
          </w:p>
        </w:tc>
        <w:tc>
          <w:tcPr>
            <w:tcW w:w="1680" w:type="dxa"/>
            <w:tcBorders>
              <w:top w:val="single" w:sz="8" w:space="0" w:color="auto"/>
              <w:left w:val="nil"/>
              <w:bottom w:val="single" w:sz="8" w:space="0" w:color="auto"/>
              <w:right w:val="single" w:sz="8" w:space="0" w:color="auto"/>
            </w:tcBorders>
            <w:shd w:val="clear" w:color="000000" w:fill="002060"/>
            <w:vAlign w:val="center"/>
            <w:hideMark/>
          </w:tcPr>
          <w:p w14:paraId="44CD08C4"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Promedio mensual de entrada por Jueza/Juez</w:t>
            </w:r>
          </w:p>
        </w:tc>
        <w:tc>
          <w:tcPr>
            <w:tcW w:w="1920" w:type="dxa"/>
            <w:tcBorders>
              <w:top w:val="single" w:sz="8" w:space="0" w:color="auto"/>
              <w:left w:val="nil"/>
              <w:bottom w:val="single" w:sz="8" w:space="0" w:color="auto"/>
              <w:right w:val="single" w:sz="8" w:space="0" w:color="auto"/>
            </w:tcBorders>
            <w:shd w:val="clear" w:color="000000" w:fill="002060"/>
            <w:vAlign w:val="center"/>
            <w:hideMark/>
          </w:tcPr>
          <w:p w14:paraId="08D62DB5"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 xml:space="preserve">Promedio mensual de entrada por persona Técnica Judicial Trámite </w:t>
            </w:r>
          </w:p>
        </w:tc>
      </w:tr>
      <w:tr w:rsidR="00F47F75" w:rsidRPr="00F47F75" w14:paraId="7D8C704F" w14:textId="77777777" w:rsidTr="00F47F75">
        <w:trPr>
          <w:trHeight w:val="300"/>
          <w:jc w:val="center"/>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070A8509"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Principal</w:t>
            </w:r>
          </w:p>
        </w:tc>
        <w:tc>
          <w:tcPr>
            <w:tcW w:w="2120" w:type="dxa"/>
            <w:tcBorders>
              <w:top w:val="nil"/>
              <w:left w:val="nil"/>
              <w:bottom w:val="single" w:sz="8" w:space="0" w:color="auto"/>
              <w:right w:val="single" w:sz="8" w:space="0" w:color="auto"/>
            </w:tcBorders>
            <w:shd w:val="clear" w:color="auto" w:fill="auto"/>
            <w:noWrap/>
            <w:vAlign w:val="center"/>
            <w:hideMark/>
          </w:tcPr>
          <w:p w14:paraId="399E6B15"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1906</w:t>
            </w:r>
          </w:p>
        </w:tc>
        <w:tc>
          <w:tcPr>
            <w:tcW w:w="1900" w:type="dxa"/>
            <w:tcBorders>
              <w:top w:val="nil"/>
              <w:left w:val="nil"/>
              <w:bottom w:val="single" w:sz="8" w:space="0" w:color="auto"/>
              <w:right w:val="single" w:sz="8" w:space="0" w:color="auto"/>
            </w:tcBorders>
            <w:shd w:val="clear" w:color="auto" w:fill="auto"/>
            <w:noWrap/>
            <w:vAlign w:val="center"/>
            <w:hideMark/>
          </w:tcPr>
          <w:p w14:paraId="0D7EE30B"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79%</w:t>
            </w:r>
          </w:p>
        </w:tc>
        <w:tc>
          <w:tcPr>
            <w:tcW w:w="1680" w:type="dxa"/>
            <w:tcBorders>
              <w:top w:val="nil"/>
              <w:left w:val="nil"/>
              <w:bottom w:val="single" w:sz="8" w:space="0" w:color="auto"/>
              <w:right w:val="single" w:sz="8" w:space="0" w:color="auto"/>
            </w:tcBorders>
            <w:shd w:val="clear" w:color="auto" w:fill="auto"/>
            <w:noWrap/>
            <w:vAlign w:val="center"/>
            <w:hideMark/>
          </w:tcPr>
          <w:p w14:paraId="57D8CB60"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58</w:t>
            </w:r>
          </w:p>
        </w:tc>
        <w:tc>
          <w:tcPr>
            <w:tcW w:w="1920" w:type="dxa"/>
            <w:tcBorders>
              <w:top w:val="nil"/>
              <w:left w:val="nil"/>
              <w:bottom w:val="single" w:sz="8" w:space="0" w:color="auto"/>
              <w:right w:val="single" w:sz="8" w:space="0" w:color="auto"/>
            </w:tcBorders>
            <w:shd w:val="clear" w:color="auto" w:fill="auto"/>
            <w:noWrap/>
            <w:vAlign w:val="center"/>
            <w:hideMark/>
          </w:tcPr>
          <w:p w14:paraId="32FF0C6D"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35</w:t>
            </w:r>
          </w:p>
        </w:tc>
      </w:tr>
      <w:tr w:rsidR="00F47F75" w:rsidRPr="00F47F75" w14:paraId="223CC234" w14:textId="77777777" w:rsidTr="00F47F75">
        <w:trPr>
          <w:trHeight w:val="300"/>
          <w:jc w:val="center"/>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0FBD882E"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Segunda Instancia</w:t>
            </w:r>
          </w:p>
        </w:tc>
        <w:tc>
          <w:tcPr>
            <w:tcW w:w="2120" w:type="dxa"/>
            <w:tcBorders>
              <w:top w:val="nil"/>
              <w:left w:val="nil"/>
              <w:bottom w:val="single" w:sz="8" w:space="0" w:color="auto"/>
              <w:right w:val="single" w:sz="8" w:space="0" w:color="auto"/>
            </w:tcBorders>
            <w:shd w:val="clear" w:color="auto" w:fill="auto"/>
            <w:noWrap/>
            <w:vAlign w:val="center"/>
            <w:hideMark/>
          </w:tcPr>
          <w:p w14:paraId="751DFB63"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367</w:t>
            </w:r>
          </w:p>
        </w:tc>
        <w:tc>
          <w:tcPr>
            <w:tcW w:w="1900" w:type="dxa"/>
            <w:tcBorders>
              <w:top w:val="nil"/>
              <w:left w:val="nil"/>
              <w:bottom w:val="single" w:sz="8" w:space="0" w:color="auto"/>
              <w:right w:val="single" w:sz="8" w:space="0" w:color="auto"/>
            </w:tcBorders>
            <w:shd w:val="clear" w:color="auto" w:fill="auto"/>
            <w:noWrap/>
            <w:vAlign w:val="center"/>
            <w:hideMark/>
          </w:tcPr>
          <w:p w14:paraId="1A420B64"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15%</w:t>
            </w:r>
          </w:p>
        </w:tc>
        <w:tc>
          <w:tcPr>
            <w:tcW w:w="1680" w:type="dxa"/>
            <w:tcBorders>
              <w:top w:val="nil"/>
              <w:left w:val="nil"/>
              <w:bottom w:val="single" w:sz="8" w:space="0" w:color="auto"/>
              <w:right w:val="single" w:sz="8" w:space="0" w:color="auto"/>
            </w:tcBorders>
            <w:shd w:val="clear" w:color="auto" w:fill="auto"/>
            <w:noWrap/>
            <w:vAlign w:val="center"/>
            <w:hideMark/>
          </w:tcPr>
          <w:p w14:paraId="72BBA9B5"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11</w:t>
            </w:r>
          </w:p>
        </w:tc>
        <w:tc>
          <w:tcPr>
            <w:tcW w:w="1920" w:type="dxa"/>
            <w:tcBorders>
              <w:top w:val="nil"/>
              <w:left w:val="nil"/>
              <w:bottom w:val="single" w:sz="8" w:space="0" w:color="auto"/>
              <w:right w:val="single" w:sz="8" w:space="0" w:color="auto"/>
            </w:tcBorders>
            <w:shd w:val="clear" w:color="auto" w:fill="auto"/>
            <w:noWrap/>
            <w:vAlign w:val="center"/>
            <w:hideMark/>
          </w:tcPr>
          <w:p w14:paraId="246A6F4E"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7</w:t>
            </w:r>
          </w:p>
        </w:tc>
      </w:tr>
      <w:tr w:rsidR="00F47F75" w:rsidRPr="00F47F75" w14:paraId="26ABFA0A" w14:textId="77777777" w:rsidTr="00F47F75">
        <w:trPr>
          <w:trHeight w:val="300"/>
          <w:jc w:val="center"/>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0FF30794"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Reentrados</w:t>
            </w:r>
          </w:p>
        </w:tc>
        <w:tc>
          <w:tcPr>
            <w:tcW w:w="2120" w:type="dxa"/>
            <w:tcBorders>
              <w:top w:val="nil"/>
              <w:left w:val="nil"/>
              <w:bottom w:val="single" w:sz="8" w:space="0" w:color="auto"/>
              <w:right w:val="single" w:sz="8" w:space="0" w:color="auto"/>
            </w:tcBorders>
            <w:shd w:val="clear" w:color="auto" w:fill="auto"/>
            <w:noWrap/>
            <w:vAlign w:val="center"/>
            <w:hideMark/>
          </w:tcPr>
          <w:p w14:paraId="79768590"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111</w:t>
            </w:r>
          </w:p>
        </w:tc>
        <w:tc>
          <w:tcPr>
            <w:tcW w:w="1900" w:type="dxa"/>
            <w:tcBorders>
              <w:top w:val="nil"/>
              <w:left w:val="nil"/>
              <w:bottom w:val="single" w:sz="8" w:space="0" w:color="auto"/>
              <w:right w:val="single" w:sz="8" w:space="0" w:color="auto"/>
            </w:tcBorders>
            <w:shd w:val="clear" w:color="auto" w:fill="auto"/>
            <w:noWrap/>
            <w:vAlign w:val="center"/>
            <w:hideMark/>
          </w:tcPr>
          <w:p w14:paraId="52EEEC7B"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5%</w:t>
            </w:r>
          </w:p>
        </w:tc>
        <w:tc>
          <w:tcPr>
            <w:tcW w:w="1680" w:type="dxa"/>
            <w:tcBorders>
              <w:top w:val="nil"/>
              <w:left w:val="nil"/>
              <w:bottom w:val="single" w:sz="8" w:space="0" w:color="auto"/>
              <w:right w:val="single" w:sz="8" w:space="0" w:color="auto"/>
            </w:tcBorders>
            <w:shd w:val="clear" w:color="auto" w:fill="auto"/>
            <w:noWrap/>
            <w:vAlign w:val="center"/>
            <w:hideMark/>
          </w:tcPr>
          <w:p w14:paraId="32F31E99"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3</w:t>
            </w:r>
          </w:p>
        </w:tc>
        <w:tc>
          <w:tcPr>
            <w:tcW w:w="1920" w:type="dxa"/>
            <w:tcBorders>
              <w:top w:val="nil"/>
              <w:left w:val="nil"/>
              <w:bottom w:val="single" w:sz="8" w:space="0" w:color="auto"/>
              <w:right w:val="single" w:sz="8" w:space="0" w:color="auto"/>
            </w:tcBorders>
            <w:shd w:val="clear" w:color="auto" w:fill="auto"/>
            <w:noWrap/>
            <w:vAlign w:val="center"/>
            <w:hideMark/>
          </w:tcPr>
          <w:p w14:paraId="33E9AD59"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2</w:t>
            </w:r>
          </w:p>
        </w:tc>
      </w:tr>
      <w:tr w:rsidR="00F47F75" w:rsidRPr="00F47F75" w14:paraId="6F900E57" w14:textId="77777777" w:rsidTr="00F47F75">
        <w:trPr>
          <w:trHeight w:val="300"/>
          <w:jc w:val="center"/>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2EA408C8"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Incidentes</w:t>
            </w:r>
          </w:p>
        </w:tc>
        <w:tc>
          <w:tcPr>
            <w:tcW w:w="2120" w:type="dxa"/>
            <w:tcBorders>
              <w:top w:val="nil"/>
              <w:left w:val="nil"/>
              <w:bottom w:val="single" w:sz="8" w:space="0" w:color="auto"/>
              <w:right w:val="single" w:sz="8" w:space="0" w:color="auto"/>
            </w:tcBorders>
            <w:shd w:val="clear" w:color="auto" w:fill="auto"/>
            <w:noWrap/>
            <w:vAlign w:val="center"/>
            <w:hideMark/>
          </w:tcPr>
          <w:p w14:paraId="65F1AE81"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36</w:t>
            </w:r>
          </w:p>
        </w:tc>
        <w:tc>
          <w:tcPr>
            <w:tcW w:w="1900" w:type="dxa"/>
            <w:tcBorders>
              <w:top w:val="nil"/>
              <w:left w:val="nil"/>
              <w:bottom w:val="single" w:sz="8" w:space="0" w:color="auto"/>
              <w:right w:val="single" w:sz="8" w:space="0" w:color="auto"/>
            </w:tcBorders>
            <w:shd w:val="clear" w:color="auto" w:fill="auto"/>
            <w:noWrap/>
            <w:vAlign w:val="center"/>
            <w:hideMark/>
          </w:tcPr>
          <w:p w14:paraId="03C08081"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1%</w:t>
            </w:r>
          </w:p>
        </w:tc>
        <w:tc>
          <w:tcPr>
            <w:tcW w:w="1680" w:type="dxa"/>
            <w:tcBorders>
              <w:top w:val="nil"/>
              <w:left w:val="nil"/>
              <w:bottom w:val="single" w:sz="8" w:space="0" w:color="auto"/>
              <w:right w:val="single" w:sz="8" w:space="0" w:color="auto"/>
            </w:tcBorders>
            <w:shd w:val="clear" w:color="auto" w:fill="auto"/>
            <w:noWrap/>
            <w:vAlign w:val="center"/>
            <w:hideMark/>
          </w:tcPr>
          <w:p w14:paraId="0B0E8F16"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1</w:t>
            </w:r>
          </w:p>
        </w:tc>
        <w:tc>
          <w:tcPr>
            <w:tcW w:w="1920" w:type="dxa"/>
            <w:tcBorders>
              <w:top w:val="nil"/>
              <w:left w:val="nil"/>
              <w:bottom w:val="single" w:sz="8" w:space="0" w:color="auto"/>
              <w:right w:val="single" w:sz="8" w:space="0" w:color="auto"/>
            </w:tcBorders>
            <w:shd w:val="clear" w:color="auto" w:fill="auto"/>
            <w:noWrap/>
            <w:vAlign w:val="center"/>
            <w:hideMark/>
          </w:tcPr>
          <w:p w14:paraId="4893F7A3" w14:textId="77777777" w:rsidR="00F47F75" w:rsidRPr="00F47F75" w:rsidRDefault="00F47F75" w:rsidP="00F47F75">
            <w:pPr>
              <w:spacing w:after="0" w:line="240" w:lineRule="auto"/>
              <w:jc w:val="center"/>
              <w:rPr>
                <w:rFonts w:ascii="Book Antiqua" w:eastAsia="Times New Roman" w:hAnsi="Book Antiqua" w:cs="Calibri"/>
                <w:color w:val="000000"/>
                <w:lang w:eastAsia="es-CR"/>
              </w:rPr>
            </w:pPr>
            <w:r w:rsidRPr="00F47F75">
              <w:rPr>
                <w:rFonts w:ascii="Book Antiqua" w:eastAsia="Times New Roman" w:hAnsi="Book Antiqua" w:cs="Calibri"/>
                <w:color w:val="000000"/>
                <w:lang w:eastAsia="es-CR"/>
              </w:rPr>
              <w:t>1</w:t>
            </w:r>
          </w:p>
        </w:tc>
      </w:tr>
      <w:tr w:rsidR="00F47F75" w:rsidRPr="00F47F75" w14:paraId="3264438E" w14:textId="77777777" w:rsidTr="00F47F75">
        <w:trPr>
          <w:trHeight w:val="300"/>
          <w:jc w:val="center"/>
        </w:trPr>
        <w:tc>
          <w:tcPr>
            <w:tcW w:w="2040" w:type="dxa"/>
            <w:tcBorders>
              <w:top w:val="nil"/>
              <w:left w:val="single" w:sz="8" w:space="0" w:color="auto"/>
              <w:bottom w:val="single" w:sz="8" w:space="0" w:color="auto"/>
              <w:right w:val="single" w:sz="8" w:space="0" w:color="auto"/>
            </w:tcBorders>
            <w:shd w:val="clear" w:color="000000" w:fill="808080"/>
            <w:noWrap/>
            <w:vAlign w:val="center"/>
            <w:hideMark/>
          </w:tcPr>
          <w:p w14:paraId="04830F8D"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Total</w:t>
            </w:r>
          </w:p>
        </w:tc>
        <w:tc>
          <w:tcPr>
            <w:tcW w:w="2120" w:type="dxa"/>
            <w:tcBorders>
              <w:top w:val="nil"/>
              <w:left w:val="nil"/>
              <w:bottom w:val="single" w:sz="8" w:space="0" w:color="auto"/>
              <w:right w:val="single" w:sz="8" w:space="0" w:color="auto"/>
            </w:tcBorders>
            <w:shd w:val="clear" w:color="000000" w:fill="808080"/>
            <w:noWrap/>
            <w:vAlign w:val="center"/>
            <w:hideMark/>
          </w:tcPr>
          <w:p w14:paraId="32F85616"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2420</w:t>
            </w:r>
          </w:p>
        </w:tc>
        <w:tc>
          <w:tcPr>
            <w:tcW w:w="1900" w:type="dxa"/>
            <w:tcBorders>
              <w:top w:val="nil"/>
              <w:left w:val="nil"/>
              <w:bottom w:val="single" w:sz="8" w:space="0" w:color="auto"/>
              <w:right w:val="single" w:sz="8" w:space="0" w:color="auto"/>
            </w:tcBorders>
            <w:shd w:val="clear" w:color="000000" w:fill="808080"/>
            <w:noWrap/>
            <w:vAlign w:val="center"/>
            <w:hideMark/>
          </w:tcPr>
          <w:p w14:paraId="7C0B56DE"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100%</w:t>
            </w:r>
          </w:p>
        </w:tc>
        <w:tc>
          <w:tcPr>
            <w:tcW w:w="1680" w:type="dxa"/>
            <w:tcBorders>
              <w:top w:val="nil"/>
              <w:left w:val="nil"/>
              <w:bottom w:val="single" w:sz="8" w:space="0" w:color="auto"/>
              <w:right w:val="single" w:sz="8" w:space="0" w:color="auto"/>
            </w:tcBorders>
            <w:shd w:val="clear" w:color="000000" w:fill="808080"/>
            <w:noWrap/>
            <w:vAlign w:val="center"/>
            <w:hideMark/>
          </w:tcPr>
          <w:p w14:paraId="5A106A6C"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73</w:t>
            </w:r>
          </w:p>
        </w:tc>
        <w:tc>
          <w:tcPr>
            <w:tcW w:w="1920" w:type="dxa"/>
            <w:tcBorders>
              <w:top w:val="nil"/>
              <w:left w:val="nil"/>
              <w:bottom w:val="single" w:sz="8" w:space="0" w:color="auto"/>
              <w:right w:val="single" w:sz="8" w:space="0" w:color="auto"/>
            </w:tcBorders>
            <w:shd w:val="clear" w:color="000000" w:fill="808080"/>
            <w:noWrap/>
            <w:vAlign w:val="center"/>
            <w:hideMark/>
          </w:tcPr>
          <w:p w14:paraId="42CFA11A" w14:textId="77777777" w:rsidR="00F47F75" w:rsidRPr="00F47F75" w:rsidRDefault="00F47F75" w:rsidP="00F47F75">
            <w:pPr>
              <w:spacing w:after="0" w:line="240" w:lineRule="auto"/>
              <w:jc w:val="center"/>
              <w:rPr>
                <w:rFonts w:ascii="Book Antiqua" w:eastAsia="Times New Roman" w:hAnsi="Book Antiqua" w:cs="Calibri"/>
                <w:b/>
                <w:bCs/>
                <w:color w:val="FFFFFF"/>
                <w:lang w:eastAsia="es-CR"/>
              </w:rPr>
            </w:pPr>
            <w:r w:rsidRPr="00F47F75">
              <w:rPr>
                <w:rFonts w:ascii="Book Antiqua" w:eastAsia="Times New Roman" w:hAnsi="Book Antiqua" w:cs="Calibri"/>
                <w:b/>
                <w:bCs/>
                <w:color w:val="FFFFFF"/>
                <w:lang w:eastAsia="es-CR"/>
              </w:rPr>
              <w:t>45</w:t>
            </w:r>
          </w:p>
        </w:tc>
      </w:tr>
    </w:tbl>
    <w:p w14:paraId="74DEFFEC" w14:textId="7DCD38FE" w:rsidR="00096C73" w:rsidRDefault="004F692D" w:rsidP="004F692D">
      <w:pPr>
        <w:spacing w:after="0" w:line="276" w:lineRule="auto"/>
        <w:jc w:val="both"/>
        <w:rPr>
          <w:rFonts w:ascii="Book Antiqua" w:eastAsia="Calibri" w:hAnsi="Book Antiqua" w:cs="Arial"/>
          <w:i/>
          <w:iCs/>
          <w:sz w:val="20"/>
          <w:szCs w:val="20"/>
        </w:rPr>
      </w:pPr>
      <w:r w:rsidRPr="00F134FF">
        <w:rPr>
          <w:rFonts w:ascii="Book Antiqua" w:eastAsia="Calibri" w:hAnsi="Book Antiqua" w:cs="Arial"/>
          <w:b/>
          <w:bCs/>
          <w:i/>
          <w:iCs/>
          <w:sz w:val="20"/>
          <w:szCs w:val="20"/>
        </w:rPr>
        <w:t>Fuente:</w:t>
      </w:r>
      <w:r w:rsidRPr="004F692D">
        <w:rPr>
          <w:rFonts w:ascii="Book Antiqua" w:eastAsia="Calibri" w:hAnsi="Book Antiqua" w:cs="Arial"/>
          <w:i/>
          <w:iCs/>
          <w:sz w:val="20"/>
          <w:szCs w:val="20"/>
        </w:rPr>
        <w:t xml:space="preserve"> </w:t>
      </w:r>
      <w:r w:rsidR="00A66306" w:rsidRPr="00A66306">
        <w:rPr>
          <w:rFonts w:ascii="Book Antiqua" w:eastAsia="Calibri" w:hAnsi="Book Antiqua" w:cs="Arial"/>
          <w:i/>
          <w:iCs/>
          <w:sz w:val="20"/>
          <w:szCs w:val="20"/>
        </w:rPr>
        <w:t>Subproceso de Modernización Institucional con datos del Subproceso de Estadística del 2017 al 2022</w:t>
      </w:r>
      <w:r w:rsidR="00A66306">
        <w:rPr>
          <w:rFonts w:ascii="Book Antiqua" w:eastAsia="Calibri" w:hAnsi="Book Antiqua" w:cs="Arial"/>
          <w:i/>
          <w:iCs/>
          <w:sz w:val="20"/>
          <w:szCs w:val="20"/>
        </w:rPr>
        <w:t xml:space="preserve"> y consulta</w:t>
      </w:r>
      <w:r w:rsidR="00A66306" w:rsidRPr="00A66306">
        <w:rPr>
          <w:rFonts w:ascii="Book Antiqua" w:eastAsia="Calibri" w:hAnsi="Book Antiqua" w:cs="Arial"/>
          <w:i/>
          <w:iCs/>
          <w:sz w:val="20"/>
          <w:szCs w:val="20"/>
        </w:rPr>
        <w:t xml:space="preserve"> del Balance General Interactivo del 22/2/2023.</w:t>
      </w:r>
    </w:p>
    <w:p w14:paraId="680400A9" w14:textId="77777777" w:rsidR="00462133" w:rsidRPr="004F692D" w:rsidRDefault="00462133" w:rsidP="004F692D">
      <w:pPr>
        <w:spacing w:after="0" w:line="276" w:lineRule="auto"/>
        <w:jc w:val="both"/>
        <w:rPr>
          <w:rFonts w:ascii="Book Antiqua" w:eastAsia="Calibri" w:hAnsi="Book Antiqua" w:cs="Arial"/>
          <w:i/>
          <w:iCs/>
          <w:sz w:val="20"/>
          <w:szCs w:val="20"/>
        </w:rPr>
      </w:pPr>
    </w:p>
    <w:p w14:paraId="70E49EB9" w14:textId="29284F35" w:rsidR="001020DC" w:rsidRDefault="005F6D5E" w:rsidP="00B634F4">
      <w:pPr>
        <w:spacing w:after="0" w:line="276" w:lineRule="auto"/>
        <w:jc w:val="both"/>
        <w:rPr>
          <w:rFonts w:ascii="Book Antiqua" w:eastAsia="Calibri" w:hAnsi="Book Antiqua" w:cs="Arial"/>
          <w:sz w:val="24"/>
          <w:szCs w:val="24"/>
        </w:rPr>
      </w:pPr>
      <w:r w:rsidRPr="005F6D5E">
        <w:rPr>
          <w:rFonts w:ascii="Book Antiqua" w:eastAsia="Calibri" w:hAnsi="Book Antiqua" w:cs="Arial"/>
          <w:sz w:val="24"/>
          <w:szCs w:val="24"/>
        </w:rPr>
        <w:t>Se analiza la cantidad de casos entrados en relación con los terminados por persona juzgadora para los despachos especializados en materia Familia, para evaluar estos resultados en relación con la carga de trabajo calculada.</w:t>
      </w:r>
    </w:p>
    <w:p w14:paraId="0A736B4A" w14:textId="08E7B0DB" w:rsidR="005F6D5E" w:rsidRDefault="005F6D5E" w:rsidP="00B634F4">
      <w:pPr>
        <w:spacing w:after="0" w:line="276" w:lineRule="auto"/>
        <w:jc w:val="both"/>
        <w:rPr>
          <w:rFonts w:ascii="Book Antiqua" w:eastAsia="Calibri" w:hAnsi="Book Antiqua" w:cs="Arial"/>
          <w:sz w:val="24"/>
          <w:szCs w:val="24"/>
        </w:rPr>
      </w:pPr>
    </w:p>
    <w:p w14:paraId="7CAD71D1" w14:textId="702D8B44"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 xml:space="preserve">Cuadro </w:t>
      </w:r>
      <w:r w:rsidRPr="005F6D5E">
        <w:rPr>
          <w:rFonts w:ascii="Book Antiqua" w:eastAsia="Calibri" w:hAnsi="Book Antiqua" w:cs="Arial"/>
          <w:b/>
          <w:bCs/>
          <w:color w:val="1F497D"/>
          <w:szCs w:val="24"/>
          <w:lang w:val="es-ES" w:eastAsia="es-ES"/>
        </w:rPr>
        <w:fldChar w:fldCharType="begin"/>
      </w:r>
      <w:r w:rsidRPr="005F6D5E">
        <w:rPr>
          <w:rFonts w:ascii="Book Antiqua" w:eastAsia="Calibri" w:hAnsi="Book Antiqua" w:cs="Arial"/>
          <w:b/>
          <w:bCs/>
          <w:color w:val="1F497D"/>
          <w:szCs w:val="24"/>
          <w:lang w:val="es-ES" w:eastAsia="es-ES"/>
        </w:rPr>
        <w:instrText xml:space="preserve"> SEQ Cuadro \* ARABIC </w:instrText>
      </w:r>
      <w:r w:rsidRPr="005F6D5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23</w:t>
      </w:r>
      <w:r w:rsidRPr="005F6D5E">
        <w:rPr>
          <w:rFonts w:ascii="Book Antiqua" w:eastAsia="Calibri" w:hAnsi="Book Antiqua" w:cs="Arial"/>
          <w:b/>
          <w:bCs/>
          <w:color w:val="1F497D"/>
          <w:szCs w:val="24"/>
          <w:lang w:val="es-ES" w:eastAsia="es-ES"/>
        </w:rPr>
        <w:fldChar w:fldCharType="end"/>
      </w:r>
      <w:r w:rsidRPr="005F6D5E">
        <w:rPr>
          <w:rFonts w:ascii="Book Antiqua" w:eastAsia="Calibri" w:hAnsi="Book Antiqua" w:cs="Arial"/>
          <w:b/>
          <w:bCs/>
          <w:color w:val="1F497D"/>
          <w:szCs w:val="24"/>
          <w:lang w:val="es-ES" w:eastAsia="es-ES"/>
        </w:rPr>
        <w:t xml:space="preserve"> </w:t>
      </w:r>
    </w:p>
    <w:p w14:paraId="24F461AD" w14:textId="77777777"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 xml:space="preserve">Promedio de casos entrados y terminados juzgados especializados en </w:t>
      </w:r>
    </w:p>
    <w:p w14:paraId="4E540256" w14:textId="77777777"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materia Familia por persona juzgadora y por persona técnica judicial</w:t>
      </w:r>
    </w:p>
    <w:tbl>
      <w:tblPr>
        <w:tblW w:w="5000" w:type="pct"/>
        <w:tblCellMar>
          <w:left w:w="70" w:type="dxa"/>
          <w:right w:w="70" w:type="dxa"/>
        </w:tblCellMar>
        <w:tblLook w:val="04A0" w:firstRow="1" w:lastRow="0" w:firstColumn="1" w:lastColumn="0" w:noHBand="0" w:noVBand="1"/>
      </w:tblPr>
      <w:tblGrid>
        <w:gridCol w:w="1265"/>
        <w:gridCol w:w="1066"/>
        <w:gridCol w:w="1125"/>
        <w:gridCol w:w="974"/>
        <w:gridCol w:w="1069"/>
        <w:gridCol w:w="1125"/>
        <w:gridCol w:w="1069"/>
        <w:gridCol w:w="1125"/>
      </w:tblGrid>
      <w:tr w:rsidR="005158AA" w:rsidRPr="005158AA" w14:paraId="524D6034" w14:textId="77777777" w:rsidTr="005158AA">
        <w:trPr>
          <w:trHeight w:val="580"/>
        </w:trPr>
        <w:tc>
          <w:tcPr>
            <w:tcW w:w="6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795EA82"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Despacho</w:t>
            </w:r>
          </w:p>
        </w:tc>
        <w:tc>
          <w:tcPr>
            <w:tcW w:w="60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D52544B"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A789DA2"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c>
          <w:tcPr>
            <w:tcW w:w="55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0442845"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Relación Salida Entrada</w:t>
            </w:r>
          </w:p>
        </w:tc>
        <w:tc>
          <w:tcPr>
            <w:tcW w:w="1252" w:type="pct"/>
            <w:gridSpan w:val="2"/>
            <w:tcBorders>
              <w:top w:val="single" w:sz="8" w:space="0" w:color="auto"/>
              <w:left w:val="nil"/>
              <w:bottom w:val="single" w:sz="8" w:space="0" w:color="auto"/>
              <w:right w:val="single" w:sz="8" w:space="0" w:color="000000"/>
            </w:tcBorders>
            <w:shd w:val="clear" w:color="000000" w:fill="002060"/>
            <w:noWrap/>
            <w:vAlign w:val="center"/>
            <w:hideMark/>
          </w:tcPr>
          <w:p w14:paraId="21C99F6F"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Personas juzgadoras</w:t>
            </w:r>
          </w:p>
        </w:tc>
        <w:tc>
          <w:tcPr>
            <w:tcW w:w="1252" w:type="pct"/>
            <w:gridSpan w:val="2"/>
            <w:tcBorders>
              <w:top w:val="single" w:sz="8" w:space="0" w:color="auto"/>
              <w:left w:val="nil"/>
              <w:bottom w:val="single" w:sz="8" w:space="0" w:color="auto"/>
              <w:right w:val="single" w:sz="8" w:space="0" w:color="000000"/>
            </w:tcBorders>
            <w:shd w:val="clear" w:color="000000" w:fill="002060"/>
            <w:vAlign w:val="center"/>
            <w:hideMark/>
          </w:tcPr>
          <w:p w14:paraId="4EF619EC"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Personas Técnicas Judiciales de trámite</w:t>
            </w:r>
          </w:p>
        </w:tc>
      </w:tr>
      <w:tr w:rsidR="005158AA" w:rsidRPr="005158AA" w14:paraId="64ED052A" w14:textId="77777777" w:rsidTr="005158AA">
        <w:trPr>
          <w:trHeight w:val="1170"/>
        </w:trPr>
        <w:tc>
          <w:tcPr>
            <w:tcW w:w="688" w:type="pct"/>
            <w:vMerge/>
            <w:tcBorders>
              <w:top w:val="single" w:sz="8" w:space="0" w:color="auto"/>
              <w:left w:val="single" w:sz="8" w:space="0" w:color="auto"/>
              <w:bottom w:val="single" w:sz="8" w:space="0" w:color="000000"/>
              <w:right w:val="single" w:sz="8" w:space="0" w:color="auto"/>
            </w:tcBorders>
            <w:vAlign w:val="center"/>
            <w:hideMark/>
          </w:tcPr>
          <w:p w14:paraId="7D709330"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09" w:type="pct"/>
            <w:vMerge/>
            <w:tcBorders>
              <w:top w:val="single" w:sz="8" w:space="0" w:color="auto"/>
              <w:left w:val="single" w:sz="8" w:space="0" w:color="auto"/>
              <w:bottom w:val="single" w:sz="8" w:space="0" w:color="000000"/>
              <w:right w:val="single" w:sz="8" w:space="0" w:color="auto"/>
            </w:tcBorders>
            <w:vAlign w:val="center"/>
            <w:hideMark/>
          </w:tcPr>
          <w:p w14:paraId="62CB92A5"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42" w:type="pct"/>
            <w:vMerge/>
            <w:tcBorders>
              <w:top w:val="single" w:sz="8" w:space="0" w:color="auto"/>
              <w:left w:val="single" w:sz="8" w:space="0" w:color="auto"/>
              <w:bottom w:val="single" w:sz="8" w:space="0" w:color="000000"/>
              <w:right w:val="single" w:sz="8" w:space="0" w:color="auto"/>
            </w:tcBorders>
            <w:vAlign w:val="center"/>
            <w:hideMark/>
          </w:tcPr>
          <w:p w14:paraId="36C5A7AC"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556" w:type="pct"/>
            <w:vMerge/>
            <w:tcBorders>
              <w:top w:val="single" w:sz="8" w:space="0" w:color="auto"/>
              <w:left w:val="single" w:sz="8" w:space="0" w:color="auto"/>
              <w:bottom w:val="single" w:sz="8" w:space="0" w:color="000000"/>
              <w:right w:val="single" w:sz="8" w:space="0" w:color="auto"/>
            </w:tcBorders>
            <w:vAlign w:val="center"/>
            <w:hideMark/>
          </w:tcPr>
          <w:p w14:paraId="57BE4242"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10" w:type="pct"/>
            <w:tcBorders>
              <w:top w:val="nil"/>
              <w:left w:val="nil"/>
              <w:bottom w:val="single" w:sz="8" w:space="0" w:color="auto"/>
              <w:right w:val="single" w:sz="8" w:space="0" w:color="auto"/>
            </w:tcBorders>
            <w:shd w:val="clear" w:color="000000" w:fill="002060"/>
            <w:vAlign w:val="center"/>
            <w:hideMark/>
          </w:tcPr>
          <w:p w14:paraId="3900B079"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tcBorders>
              <w:top w:val="nil"/>
              <w:left w:val="nil"/>
              <w:bottom w:val="single" w:sz="8" w:space="0" w:color="auto"/>
              <w:right w:val="single" w:sz="8" w:space="0" w:color="auto"/>
            </w:tcBorders>
            <w:shd w:val="clear" w:color="000000" w:fill="002060"/>
            <w:vAlign w:val="center"/>
            <w:hideMark/>
          </w:tcPr>
          <w:p w14:paraId="6A7EEB45"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c>
          <w:tcPr>
            <w:tcW w:w="610" w:type="pct"/>
            <w:tcBorders>
              <w:top w:val="nil"/>
              <w:left w:val="nil"/>
              <w:bottom w:val="single" w:sz="8" w:space="0" w:color="auto"/>
              <w:right w:val="single" w:sz="8" w:space="0" w:color="auto"/>
            </w:tcBorders>
            <w:shd w:val="clear" w:color="000000" w:fill="002060"/>
            <w:vAlign w:val="center"/>
            <w:hideMark/>
          </w:tcPr>
          <w:p w14:paraId="2214A3B0"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tcBorders>
              <w:top w:val="nil"/>
              <w:left w:val="nil"/>
              <w:bottom w:val="single" w:sz="8" w:space="0" w:color="auto"/>
              <w:right w:val="single" w:sz="8" w:space="0" w:color="auto"/>
            </w:tcBorders>
            <w:shd w:val="clear" w:color="000000" w:fill="002060"/>
            <w:vAlign w:val="center"/>
            <w:hideMark/>
          </w:tcPr>
          <w:p w14:paraId="0CD866D1"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r>
      <w:tr w:rsidR="005158AA" w:rsidRPr="005158AA" w14:paraId="6908D3AA"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73EC00A9"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Cartago</w:t>
            </w:r>
          </w:p>
        </w:tc>
        <w:tc>
          <w:tcPr>
            <w:tcW w:w="609" w:type="pct"/>
            <w:tcBorders>
              <w:top w:val="nil"/>
              <w:left w:val="nil"/>
              <w:bottom w:val="single" w:sz="8" w:space="0" w:color="auto"/>
              <w:right w:val="single" w:sz="8" w:space="0" w:color="auto"/>
            </w:tcBorders>
            <w:shd w:val="clear" w:color="auto" w:fill="auto"/>
            <w:noWrap/>
            <w:vAlign w:val="center"/>
            <w:hideMark/>
          </w:tcPr>
          <w:p w14:paraId="3FE23C8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375</w:t>
            </w:r>
          </w:p>
        </w:tc>
        <w:tc>
          <w:tcPr>
            <w:tcW w:w="642" w:type="pct"/>
            <w:tcBorders>
              <w:top w:val="nil"/>
              <w:left w:val="nil"/>
              <w:bottom w:val="single" w:sz="8" w:space="0" w:color="auto"/>
              <w:right w:val="single" w:sz="8" w:space="0" w:color="auto"/>
            </w:tcBorders>
            <w:shd w:val="clear" w:color="auto" w:fill="auto"/>
            <w:noWrap/>
            <w:vAlign w:val="center"/>
            <w:hideMark/>
          </w:tcPr>
          <w:p w14:paraId="65388E2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375</w:t>
            </w:r>
          </w:p>
        </w:tc>
        <w:tc>
          <w:tcPr>
            <w:tcW w:w="556" w:type="pct"/>
            <w:tcBorders>
              <w:top w:val="nil"/>
              <w:left w:val="nil"/>
              <w:bottom w:val="single" w:sz="8" w:space="0" w:color="auto"/>
              <w:right w:val="single" w:sz="8" w:space="0" w:color="auto"/>
            </w:tcBorders>
            <w:shd w:val="clear" w:color="auto" w:fill="auto"/>
            <w:noWrap/>
            <w:vAlign w:val="center"/>
            <w:hideMark/>
          </w:tcPr>
          <w:p w14:paraId="45B29E8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100%</w:t>
            </w:r>
          </w:p>
        </w:tc>
        <w:tc>
          <w:tcPr>
            <w:tcW w:w="610" w:type="pct"/>
            <w:tcBorders>
              <w:top w:val="nil"/>
              <w:left w:val="nil"/>
              <w:bottom w:val="single" w:sz="8" w:space="0" w:color="auto"/>
              <w:right w:val="single" w:sz="8" w:space="0" w:color="auto"/>
            </w:tcBorders>
            <w:shd w:val="clear" w:color="000000" w:fill="DBE5F1"/>
            <w:noWrap/>
            <w:vAlign w:val="center"/>
            <w:hideMark/>
          </w:tcPr>
          <w:p w14:paraId="7079510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125</w:t>
            </w:r>
          </w:p>
        </w:tc>
        <w:tc>
          <w:tcPr>
            <w:tcW w:w="642" w:type="pct"/>
            <w:tcBorders>
              <w:top w:val="nil"/>
              <w:left w:val="nil"/>
              <w:bottom w:val="single" w:sz="8" w:space="0" w:color="auto"/>
              <w:right w:val="single" w:sz="8" w:space="0" w:color="auto"/>
            </w:tcBorders>
            <w:shd w:val="clear" w:color="000000" w:fill="DBE5F1"/>
            <w:noWrap/>
            <w:vAlign w:val="center"/>
            <w:hideMark/>
          </w:tcPr>
          <w:p w14:paraId="7926502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125</w:t>
            </w:r>
          </w:p>
        </w:tc>
        <w:tc>
          <w:tcPr>
            <w:tcW w:w="610" w:type="pct"/>
            <w:tcBorders>
              <w:top w:val="nil"/>
              <w:left w:val="nil"/>
              <w:bottom w:val="single" w:sz="8" w:space="0" w:color="auto"/>
              <w:right w:val="single" w:sz="8" w:space="0" w:color="auto"/>
            </w:tcBorders>
            <w:shd w:val="clear" w:color="000000" w:fill="DBE5F1"/>
            <w:noWrap/>
            <w:vAlign w:val="center"/>
            <w:hideMark/>
          </w:tcPr>
          <w:p w14:paraId="4DDE0DD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42" w:type="pct"/>
            <w:tcBorders>
              <w:top w:val="nil"/>
              <w:left w:val="nil"/>
              <w:bottom w:val="single" w:sz="8" w:space="0" w:color="auto"/>
              <w:right w:val="single" w:sz="8" w:space="0" w:color="auto"/>
            </w:tcBorders>
            <w:shd w:val="clear" w:color="000000" w:fill="DBE5F1"/>
            <w:noWrap/>
            <w:vAlign w:val="center"/>
            <w:hideMark/>
          </w:tcPr>
          <w:p w14:paraId="5AC5959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r>
      <w:tr w:rsidR="005158AA" w:rsidRPr="005158AA" w14:paraId="4E47B1B9"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12AD0CBC"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Heredia</w:t>
            </w:r>
          </w:p>
        </w:tc>
        <w:tc>
          <w:tcPr>
            <w:tcW w:w="609" w:type="pct"/>
            <w:tcBorders>
              <w:top w:val="nil"/>
              <w:left w:val="nil"/>
              <w:bottom w:val="single" w:sz="8" w:space="0" w:color="auto"/>
              <w:right w:val="single" w:sz="8" w:space="0" w:color="auto"/>
            </w:tcBorders>
            <w:shd w:val="clear" w:color="auto" w:fill="auto"/>
            <w:noWrap/>
            <w:vAlign w:val="center"/>
            <w:hideMark/>
          </w:tcPr>
          <w:p w14:paraId="13CE31F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325</w:t>
            </w:r>
          </w:p>
        </w:tc>
        <w:tc>
          <w:tcPr>
            <w:tcW w:w="642" w:type="pct"/>
            <w:tcBorders>
              <w:top w:val="nil"/>
              <w:left w:val="nil"/>
              <w:bottom w:val="single" w:sz="8" w:space="0" w:color="auto"/>
              <w:right w:val="single" w:sz="8" w:space="0" w:color="auto"/>
            </w:tcBorders>
            <w:shd w:val="clear" w:color="auto" w:fill="auto"/>
            <w:noWrap/>
            <w:vAlign w:val="center"/>
            <w:hideMark/>
          </w:tcPr>
          <w:p w14:paraId="685F5D8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331</w:t>
            </w:r>
          </w:p>
        </w:tc>
        <w:tc>
          <w:tcPr>
            <w:tcW w:w="556" w:type="pct"/>
            <w:tcBorders>
              <w:top w:val="nil"/>
              <w:left w:val="nil"/>
              <w:bottom w:val="single" w:sz="8" w:space="0" w:color="auto"/>
              <w:right w:val="single" w:sz="8" w:space="0" w:color="auto"/>
            </w:tcBorders>
            <w:shd w:val="clear" w:color="auto" w:fill="auto"/>
            <w:noWrap/>
            <w:vAlign w:val="center"/>
            <w:hideMark/>
          </w:tcPr>
          <w:p w14:paraId="2D9479A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102%</w:t>
            </w:r>
          </w:p>
        </w:tc>
        <w:tc>
          <w:tcPr>
            <w:tcW w:w="610" w:type="pct"/>
            <w:tcBorders>
              <w:top w:val="nil"/>
              <w:left w:val="nil"/>
              <w:bottom w:val="single" w:sz="8" w:space="0" w:color="auto"/>
              <w:right w:val="single" w:sz="8" w:space="0" w:color="auto"/>
            </w:tcBorders>
            <w:shd w:val="clear" w:color="000000" w:fill="DBE5F1"/>
            <w:noWrap/>
            <w:vAlign w:val="center"/>
            <w:hideMark/>
          </w:tcPr>
          <w:p w14:paraId="340C0BE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42" w:type="pct"/>
            <w:tcBorders>
              <w:top w:val="nil"/>
              <w:left w:val="nil"/>
              <w:bottom w:val="single" w:sz="8" w:space="0" w:color="auto"/>
              <w:right w:val="single" w:sz="8" w:space="0" w:color="auto"/>
            </w:tcBorders>
            <w:shd w:val="clear" w:color="000000" w:fill="DBE5F1"/>
            <w:noWrap/>
            <w:vAlign w:val="center"/>
            <w:hideMark/>
          </w:tcPr>
          <w:p w14:paraId="4D31900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83</w:t>
            </w:r>
          </w:p>
        </w:tc>
        <w:tc>
          <w:tcPr>
            <w:tcW w:w="610" w:type="pct"/>
            <w:tcBorders>
              <w:top w:val="nil"/>
              <w:left w:val="nil"/>
              <w:bottom w:val="single" w:sz="8" w:space="0" w:color="auto"/>
              <w:right w:val="single" w:sz="8" w:space="0" w:color="auto"/>
            </w:tcBorders>
            <w:shd w:val="clear" w:color="000000" w:fill="DBE5F1"/>
            <w:noWrap/>
            <w:vAlign w:val="center"/>
            <w:hideMark/>
          </w:tcPr>
          <w:p w14:paraId="016E769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46</w:t>
            </w:r>
          </w:p>
        </w:tc>
        <w:tc>
          <w:tcPr>
            <w:tcW w:w="642" w:type="pct"/>
            <w:tcBorders>
              <w:top w:val="nil"/>
              <w:left w:val="nil"/>
              <w:bottom w:val="single" w:sz="8" w:space="0" w:color="auto"/>
              <w:right w:val="single" w:sz="8" w:space="0" w:color="auto"/>
            </w:tcBorders>
            <w:shd w:val="clear" w:color="000000" w:fill="DBE5F1"/>
            <w:noWrap/>
            <w:vAlign w:val="center"/>
            <w:hideMark/>
          </w:tcPr>
          <w:p w14:paraId="05C76A5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47</w:t>
            </w:r>
          </w:p>
        </w:tc>
      </w:tr>
      <w:tr w:rsidR="005158AA" w:rsidRPr="005158AA" w14:paraId="304A8AF4"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2F79DFEE" w14:textId="5668CB6D"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 xml:space="preserve">Juzgado Familia I Circ. Jud. </w:t>
            </w:r>
            <w:r w:rsidR="00E85731" w:rsidRPr="005158AA">
              <w:rPr>
                <w:rFonts w:ascii="Book Antiqua" w:eastAsia="Times New Roman" w:hAnsi="Book Antiqua" w:cs="Calibri"/>
                <w:b/>
                <w:bCs/>
                <w:color w:val="000000"/>
                <w:lang w:eastAsia="es-CR"/>
              </w:rPr>
              <w:t>D</w:t>
            </w:r>
            <w:r w:rsidRPr="005158AA">
              <w:rPr>
                <w:rFonts w:ascii="Book Antiqua" w:eastAsia="Times New Roman" w:hAnsi="Book Antiqua" w:cs="Calibri"/>
                <w:b/>
                <w:bCs/>
                <w:color w:val="000000"/>
                <w:lang w:eastAsia="es-CR"/>
              </w:rPr>
              <w:t>e Alajuela</w:t>
            </w:r>
          </w:p>
        </w:tc>
        <w:tc>
          <w:tcPr>
            <w:tcW w:w="609" w:type="pct"/>
            <w:tcBorders>
              <w:top w:val="nil"/>
              <w:left w:val="nil"/>
              <w:bottom w:val="single" w:sz="8" w:space="0" w:color="auto"/>
              <w:right w:val="single" w:sz="8" w:space="0" w:color="auto"/>
            </w:tcBorders>
            <w:shd w:val="clear" w:color="auto" w:fill="auto"/>
            <w:noWrap/>
            <w:vAlign w:val="center"/>
            <w:hideMark/>
          </w:tcPr>
          <w:p w14:paraId="7190804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239</w:t>
            </w:r>
          </w:p>
        </w:tc>
        <w:tc>
          <w:tcPr>
            <w:tcW w:w="642" w:type="pct"/>
            <w:tcBorders>
              <w:top w:val="nil"/>
              <w:left w:val="nil"/>
              <w:bottom w:val="single" w:sz="8" w:space="0" w:color="auto"/>
              <w:right w:val="single" w:sz="8" w:space="0" w:color="auto"/>
            </w:tcBorders>
            <w:shd w:val="clear" w:color="auto" w:fill="auto"/>
            <w:noWrap/>
            <w:vAlign w:val="center"/>
            <w:hideMark/>
          </w:tcPr>
          <w:p w14:paraId="4F9532C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196</w:t>
            </w:r>
          </w:p>
        </w:tc>
        <w:tc>
          <w:tcPr>
            <w:tcW w:w="556" w:type="pct"/>
            <w:tcBorders>
              <w:top w:val="nil"/>
              <w:left w:val="nil"/>
              <w:bottom w:val="single" w:sz="8" w:space="0" w:color="auto"/>
              <w:right w:val="single" w:sz="8" w:space="0" w:color="auto"/>
            </w:tcBorders>
            <w:shd w:val="clear" w:color="auto" w:fill="auto"/>
            <w:noWrap/>
            <w:vAlign w:val="center"/>
            <w:hideMark/>
          </w:tcPr>
          <w:p w14:paraId="29CABF9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82%</w:t>
            </w:r>
          </w:p>
        </w:tc>
        <w:tc>
          <w:tcPr>
            <w:tcW w:w="610" w:type="pct"/>
            <w:tcBorders>
              <w:top w:val="nil"/>
              <w:left w:val="nil"/>
              <w:bottom w:val="single" w:sz="8" w:space="0" w:color="auto"/>
              <w:right w:val="single" w:sz="8" w:space="0" w:color="auto"/>
            </w:tcBorders>
            <w:shd w:val="clear" w:color="000000" w:fill="DBE5F1"/>
            <w:noWrap/>
            <w:vAlign w:val="center"/>
            <w:hideMark/>
          </w:tcPr>
          <w:p w14:paraId="6225950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80</w:t>
            </w:r>
          </w:p>
        </w:tc>
        <w:tc>
          <w:tcPr>
            <w:tcW w:w="642" w:type="pct"/>
            <w:tcBorders>
              <w:top w:val="nil"/>
              <w:left w:val="nil"/>
              <w:bottom w:val="single" w:sz="8" w:space="0" w:color="auto"/>
              <w:right w:val="single" w:sz="8" w:space="0" w:color="auto"/>
            </w:tcBorders>
            <w:shd w:val="clear" w:color="000000" w:fill="DBE5F1"/>
            <w:noWrap/>
            <w:vAlign w:val="center"/>
            <w:hideMark/>
          </w:tcPr>
          <w:p w14:paraId="56D3AAE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10" w:type="pct"/>
            <w:tcBorders>
              <w:top w:val="nil"/>
              <w:left w:val="nil"/>
              <w:bottom w:val="single" w:sz="8" w:space="0" w:color="auto"/>
              <w:right w:val="single" w:sz="8" w:space="0" w:color="auto"/>
            </w:tcBorders>
            <w:shd w:val="clear" w:color="000000" w:fill="DBE5F1"/>
            <w:noWrap/>
            <w:vAlign w:val="center"/>
            <w:hideMark/>
          </w:tcPr>
          <w:p w14:paraId="114F321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48</w:t>
            </w:r>
          </w:p>
        </w:tc>
        <w:tc>
          <w:tcPr>
            <w:tcW w:w="642" w:type="pct"/>
            <w:tcBorders>
              <w:top w:val="nil"/>
              <w:left w:val="nil"/>
              <w:bottom w:val="single" w:sz="8" w:space="0" w:color="auto"/>
              <w:right w:val="single" w:sz="8" w:space="0" w:color="auto"/>
            </w:tcBorders>
            <w:shd w:val="clear" w:color="000000" w:fill="DBE5F1"/>
            <w:noWrap/>
            <w:vAlign w:val="center"/>
            <w:hideMark/>
          </w:tcPr>
          <w:p w14:paraId="2641403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39</w:t>
            </w:r>
          </w:p>
        </w:tc>
      </w:tr>
      <w:tr w:rsidR="005158AA" w:rsidRPr="005158AA" w14:paraId="5BF3E6EC"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36C172DB"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 Circ. Jud. Zona Atlántica</w:t>
            </w:r>
          </w:p>
        </w:tc>
        <w:tc>
          <w:tcPr>
            <w:tcW w:w="609" w:type="pct"/>
            <w:tcBorders>
              <w:top w:val="nil"/>
              <w:left w:val="nil"/>
              <w:bottom w:val="single" w:sz="8" w:space="0" w:color="auto"/>
              <w:right w:val="single" w:sz="8" w:space="0" w:color="auto"/>
            </w:tcBorders>
            <w:shd w:val="clear" w:color="auto" w:fill="auto"/>
            <w:noWrap/>
            <w:vAlign w:val="center"/>
            <w:hideMark/>
          </w:tcPr>
          <w:p w14:paraId="3660089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129</w:t>
            </w:r>
          </w:p>
        </w:tc>
        <w:tc>
          <w:tcPr>
            <w:tcW w:w="642" w:type="pct"/>
            <w:tcBorders>
              <w:top w:val="nil"/>
              <w:left w:val="nil"/>
              <w:bottom w:val="single" w:sz="8" w:space="0" w:color="auto"/>
              <w:right w:val="single" w:sz="8" w:space="0" w:color="auto"/>
            </w:tcBorders>
            <w:shd w:val="clear" w:color="auto" w:fill="auto"/>
            <w:noWrap/>
            <w:vAlign w:val="center"/>
            <w:hideMark/>
          </w:tcPr>
          <w:p w14:paraId="1D3631D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96</w:t>
            </w:r>
          </w:p>
        </w:tc>
        <w:tc>
          <w:tcPr>
            <w:tcW w:w="556" w:type="pct"/>
            <w:tcBorders>
              <w:top w:val="nil"/>
              <w:left w:val="nil"/>
              <w:bottom w:val="single" w:sz="8" w:space="0" w:color="auto"/>
              <w:right w:val="single" w:sz="8" w:space="0" w:color="auto"/>
            </w:tcBorders>
            <w:shd w:val="clear" w:color="auto" w:fill="auto"/>
            <w:noWrap/>
            <w:vAlign w:val="center"/>
            <w:hideMark/>
          </w:tcPr>
          <w:p w14:paraId="4322ECA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74%</w:t>
            </w:r>
          </w:p>
        </w:tc>
        <w:tc>
          <w:tcPr>
            <w:tcW w:w="610" w:type="pct"/>
            <w:tcBorders>
              <w:top w:val="nil"/>
              <w:left w:val="nil"/>
              <w:bottom w:val="single" w:sz="8" w:space="0" w:color="auto"/>
              <w:right w:val="single" w:sz="8" w:space="0" w:color="auto"/>
            </w:tcBorders>
            <w:shd w:val="clear" w:color="000000" w:fill="DBE5F1"/>
            <w:noWrap/>
            <w:vAlign w:val="center"/>
            <w:hideMark/>
          </w:tcPr>
          <w:p w14:paraId="2DDDC3E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42" w:type="pct"/>
            <w:tcBorders>
              <w:top w:val="nil"/>
              <w:left w:val="nil"/>
              <w:bottom w:val="single" w:sz="8" w:space="0" w:color="auto"/>
              <w:right w:val="single" w:sz="8" w:space="0" w:color="auto"/>
            </w:tcBorders>
            <w:shd w:val="clear" w:color="000000" w:fill="DBE5F1"/>
            <w:noWrap/>
            <w:vAlign w:val="center"/>
            <w:hideMark/>
          </w:tcPr>
          <w:p w14:paraId="2FB1F4E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48</w:t>
            </w:r>
          </w:p>
        </w:tc>
        <w:tc>
          <w:tcPr>
            <w:tcW w:w="610" w:type="pct"/>
            <w:tcBorders>
              <w:top w:val="nil"/>
              <w:left w:val="nil"/>
              <w:bottom w:val="single" w:sz="8" w:space="0" w:color="auto"/>
              <w:right w:val="single" w:sz="8" w:space="0" w:color="auto"/>
            </w:tcBorders>
            <w:shd w:val="clear" w:color="000000" w:fill="DBE5F1"/>
            <w:noWrap/>
            <w:vAlign w:val="center"/>
            <w:hideMark/>
          </w:tcPr>
          <w:p w14:paraId="590BFB6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w:t>
            </w:r>
          </w:p>
        </w:tc>
        <w:tc>
          <w:tcPr>
            <w:tcW w:w="642" w:type="pct"/>
            <w:tcBorders>
              <w:top w:val="nil"/>
              <w:left w:val="nil"/>
              <w:bottom w:val="single" w:sz="8" w:space="0" w:color="auto"/>
              <w:right w:val="single" w:sz="8" w:space="0" w:color="auto"/>
            </w:tcBorders>
            <w:shd w:val="clear" w:color="000000" w:fill="DBE5F1"/>
            <w:noWrap/>
            <w:vAlign w:val="center"/>
            <w:hideMark/>
          </w:tcPr>
          <w:p w14:paraId="3BB9A4C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24</w:t>
            </w:r>
          </w:p>
        </w:tc>
      </w:tr>
      <w:tr w:rsidR="005158AA" w:rsidRPr="005158AA" w14:paraId="325B25C5"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36EECA25"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 Circ. Jud. Zona Sur</w:t>
            </w:r>
          </w:p>
        </w:tc>
        <w:tc>
          <w:tcPr>
            <w:tcW w:w="609" w:type="pct"/>
            <w:tcBorders>
              <w:top w:val="nil"/>
              <w:left w:val="nil"/>
              <w:bottom w:val="single" w:sz="8" w:space="0" w:color="auto"/>
              <w:right w:val="single" w:sz="8" w:space="0" w:color="auto"/>
            </w:tcBorders>
            <w:shd w:val="clear" w:color="auto" w:fill="auto"/>
            <w:noWrap/>
            <w:vAlign w:val="center"/>
            <w:hideMark/>
          </w:tcPr>
          <w:p w14:paraId="01CDC23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114</w:t>
            </w:r>
          </w:p>
        </w:tc>
        <w:tc>
          <w:tcPr>
            <w:tcW w:w="642" w:type="pct"/>
            <w:tcBorders>
              <w:top w:val="nil"/>
              <w:left w:val="nil"/>
              <w:bottom w:val="single" w:sz="8" w:space="0" w:color="auto"/>
              <w:right w:val="single" w:sz="8" w:space="0" w:color="auto"/>
            </w:tcBorders>
            <w:shd w:val="clear" w:color="auto" w:fill="auto"/>
            <w:noWrap/>
            <w:vAlign w:val="center"/>
            <w:hideMark/>
          </w:tcPr>
          <w:p w14:paraId="4D9F6F9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87</w:t>
            </w:r>
          </w:p>
        </w:tc>
        <w:tc>
          <w:tcPr>
            <w:tcW w:w="556" w:type="pct"/>
            <w:tcBorders>
              <w:top w:val="nil"/>
              <w:left w:val="nil"/>
              <w:bottom w:val="single" w:sz="8" w:space="0" w:color="auto"/>
              <w:right w:val="single" w:sz="8" w:space="0" w:color="auto"/>
            </w:tcBorders>
            <w:shd w:val="clear" w:color="auto" w:fill="auto"/>
            <w:noWrap/>
            <w:vAlign w:val="center"/>
            <w:hideMark/>
          </w:tcPr>
          <w:p w14:paraId="788A0BD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76%</w:t>
            </w:r>
          </w:p>
        </w:tc>
        <w:tc>
          <w:tcPr>
            <w:tcW w:w="610" w:type="pct"/>
            <w:tcBorders>
              <w:top w:val="nil"/>
              <w:left w:val="nil"/>
              <w:bottom w:val="single" w:sz="8" w:space="0" w:color="auto"/>
              <w:right w:val="single" w:sz="8" w:space="0" w:color="auto"/>
            </w:tcBorders>
            <w:shd w:val="clear" w:color="000000" w:fill="DBE5F1"/>
            <w:noWrap/>
            <w:vAlign w:val="center"/>
            <w:hideMark/>
          </w:tcPr>
          <w:p w14:paraId="62F5293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723B3BC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44</w:t>
            </w:r>
          </w:p>
        </w:tc>
        <w:tc>
          <w:tcPr>
            <w:tcW w:w="610" w:type="pct"/>
            <w:tcBorders>
              <w:top w:val="nil"/>
              <w:left w:val="nil"/>
              <w:bottom w:val="single" w:sz="8" w:space="0" w:color="auto"/>
              <w:right w:val="single" w:sz="8" w:space="0" w:color="auto"/>
            </w:tcBorders>
            <w:shd w:val="clear" w:color="000000" w:fill="DBE5F1"/>
            <w:noWrap/>
            <w:vAlign w:val="center"/>
            <w:hideMark/>
          </w:tcPr>
          <w:p w14:paraId="6570695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24858C1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44</w:t>
            </w:r>
          </w:p>
        </w:tc>
      </w:tr>
      <w:tr w:rsidR="005158AA" w:rsidRPr="005158AA" w14:paraId="625EB145"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6DC4B5E1" w14:textId="75D2251B"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 xml:space="preserve">Juzgado Familia II Circ. Jud. </w:t>
            </w:r>
            <w:r w:rsidR="00E85731" w:rsidRPr="005158AA">
              <w:rPr>
                <w:rFonts w:ascii="Book Antiqua" w:eastAsia="Times New Roman" w:hAnsi="Book Antiqua" w:cs="Calibri"/>
                <w:b/>
                <w:bCs/>
                <w:color w:val="000000"/>
                <w:lang w:eastAsia="es-CR"/>
              </w:rPr>
              <w:t>D</w:t>
            </w:r>
            <w:r w:rsidRPr="005158AA">
              <w:rPr>
                <w:rFonts w:ascii="Book Antiqua" w:eastAsia="Times New Roman" w:hAnsi="Book Antiqua" w:cs="Calibri"/>
                <w:b/>
                <w:bCs/>
                <w:color w:val="000000"/>
                <w:lang w:eastAsia="es-CR"/>
              </w:rPr>
              <w:t>e Alajuela</w:t>
            </w:r>
          </w:p>
        </w:tc>
        <w:tc>
          <w:tcPr>
            <w:tcW w:w="609" w:type="pct"/>
            <w:tcBorders>
              <w:top w:val="nil"/>
              <w:left w:val="nil"/>
              <w:bottom w:val="single" w:sz="8" w:space="0" w:color="auto"/>
              <w:right w:val="single" w:sz="8" w:space="0" w:color="auto"/>
            </w:tcBorders>
            <w:shd w:val="clear" w:color="auto" w:fill="auto"/>
            <w:noWrap/>
            <w:vAlign w:val="center"/>
            <w:hideMark/>
          </w:tcPr>
          <w:p w14:paraId="2E8265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147</w:t>
            </w:r>
          </w:p>
        </w:tc>
        <w:tc>
          <w:tcPr>
            <w:tcW w:w="642" w:type="pct"/>
            <w:tcBorders>
              <w:top w:val="nil"/>
              <w:left w:val="nil"/>
              <w:bottom w:val="single" w:sz="8" w:space="0" w:color="auto"/>
              <w:right w:val="single" w:sz="8" w:space="0" w:color="auto"/>
            </w:tcBorders>
            <w:shd w:val="clear" w:color="auto" w:fill="auto"/>
            <w:noWrap/>
            <w:vAlign w:val="center"/>
            <w:hideMark/>
          </w:tcPr>
          <w:p w14:paraId="5B7289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110</w:t>
            </w:r>
          </w:p>
        </w:tc>
        <w:tc>
          <w:tcPr>
            <w:tcW w:w="556" w:type="pct"/>
            <w:tcBorders>
              <w:top w:val="nil"/>
              <w:left w:val="nil"/>
              <w:bottom w:val="single" w:sz="8" w:space="0" w:color="auto"/>
              <w:right w:val="single" w:sz="8" w:space="0" w:color="auto"/>
            </w:tcBorders>
            <w:shd w:val="clear" w:color="auto" w:fill="auto"/>
            <w:noWrap/>
            <w:vAlign w:val="center"/>
            <w:hideMark/>
          </w:tcPr>
          <w:p w14:paraId="5407A5D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10" w:type="pct"/>
            <w:tcBorders>
              <w:top w:val="nil"/>
              <w:left w:val="nil"/>
              <w:bottom w:val="single" w:sz="8" w:space="0" w:color="auto"/>
              <w:right w:val="single" w:sz="8" w:space="0" w:color="auto"/>
            </w:tcBorders>
            <w:shd w:val="clear" w:color="000000" w:fill="DBE5F1"/>
            <w:noWrap/>
            <w:vAlign w:val="center"/>
            <w:hideMark/>
          </w:tcPr>
          <w:p w14:paraId="44727AF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73</w:t>
            </w:r>
          </w:p>
        </w:tc>
        <w:tc>
          <w:tcPr>
            <w:tcW w:w="642" w:type="pct"/>
            <w:tcBorders>
              <w:top w:val="nil"/>
              <w:left w:val="nil"/>
              <w:bottom w:val="single" w:sz="8" w:space="0" w:color="auto"/>
              <w:right w:val="single" w:sz="8" w:space="0" w:color="auto"/>
            </w:tcBorders>
            <w:shd w:val="clear" w:color="000000" w:fill="DBE5F1"/>
            <w:noWrap/>
            <w:vAlign w:val="center"/>
            <w:hideMark/>
          </w:tcPr>
          <w:p w14:paraId="76E4C06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55</w:t>
            </w:r>
          </w:p>
        </w:tc>
        <w:tc>
          <w:tcPr>
            <w:tcW w:w="610" w:type="pct"/>
            <w:tcBorders>
              <w:top w:val="nil"/>
              <w:left w:val="nil"/>
              <w:bottom w:val="single" w:sz="8" w:space="0" w:color="auto"/>
              <w:right w:val="single" w:sz="8" w:space="0" w:color="auto"/>
            </w:tcBorders>
            <w:shd w:val="clear" w:color="000000" w:fill="DBE5F1"/>
            <w:noWrap/>
            <w:vAlign w:val="center"/>
            <w:hideMark/>
          </w:tcPr>
          <w:p w14:paraId="40B62BB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49</w:t>
            </w:r>
          </w:p>
        </w:tc>
        <w:tc>
          <w:tcPr>
            <w:tcW w:w="642" w:type="pct"/>
            <w:tcBorders>
              <w:top w:val="nil"/>
              <w:left w:val="nil"/>
              <w:bottom w:val="single" w:sz="8" w:space="0" w:color="auto"/>
              <w:right w:val="single" w:sz="8" w:space="0" w:color="auto"/>
            </w:tcBorders>
            <w:shd w:val="clear" w:color="000000" w:fill="DBE5F1"/>
            <w:noWrap/>
            <w:vAlign w:val="center"/>
            <w:hideMark/>
          </w:tcPr>
          <w:p w14:paraId="27B83F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w:t>
            </w:r>
          </w:p>
        </w:tc>
      </w:tr>
      <w:tr w:rsidR="005158AA" w:rsidRPr="005158AA" w14:paraId="3D1E753A"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65C3810D"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 Circ. Jud. San José</w:t>
            </w:r>
          </w:p>
        </w:tc>
        <w:tc>
          <w:tcPr>
            <w:tcW w:w="609" w:type="pct"/>
            <w:tcBorders>
              <w:top w:val="nil"/>
              <w:left w:val="nil"/>
              <w:bottom w:val="single" w:sz="8" w:space="0" w:color="auto"/>
              <w:right w:val="single" w:sz="8" w:space="0" w:color="auto"/>
            </w:tcBorders>
            <w:shd w:val="clear" w:color="auto" w:fill="auto"/>
            <w:noWrap/>
            <w:vAlign w:val="center"/>
            <w:hideMark/>
          </w:tcPr>
          <w:p w14:paraId="183AB98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323</w:t>
            </w:r>
          </w:p>
        </w:tc>
        <w:tc>
          <w:tcPr>
            <w:tcW w:w="642" w:type="pct"/>
            <w:tcBorders>
              <w:top w:val="nil"/>
              <w:left w:val="nil"/>
              <w:bottom w:val="single" w:sz="8" w:space="0" w:color="auto"/>
              <w:right w:val="single" w:sz="8" w:space="0" w:color="auto"/>
            </w:tcBorders>
            <w:shd w:val="clear" w:color="auto" w:fill="auto"/>
            <w:noWrap/>
            <w:vAlign w:val="center"/>
            <w:hideMark/>
          </w:tcPr>
          <w:p w14:paraId="1FEC0F7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262</w:t>
            </w:r>
          </w:p>
        </w:tc>
        <w:tc>
          <w:tcPr>
            <w:tcW w:w="556" w:type="pct"/>
            <w:tcBorders>
              <w:top w:val="nil"/>
              <w:left w:val="nil"/>
              <w:bottom w:val="single" w:sz="8" w:space="0" w:color="auto"/>
              <w:right w:val="single" w:sz="8" w:space="0" w:color="auto"/>
            </w:tcBorders>
            <w:shd w:val="clear" w:color="auto" w:fill="auto"/>
            <w:noWrap/>
            <w:vAlign w:val="center"/>
            <w:hideMark/>
          </w:tcPr>
          <w:p w14:paraId="3E1919A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10" w:type="pct"/>
            <w:tcBorders>
              <w:top w:val="nil"/>
              <w:left w:val="nil"/>
              <w:bottom w:val="single" w:sz="8" w:space="0" w:color="auto"/>
              <w:right w:val="single" w:sz="8" w:space="0" w:color="auto"/>
            </w:tcBorders>
            <w:shd w:val="clear" w:color="000000" w:fill="DBE5F1"/>
            <w:noWrap/>
            <w:vAlign w:val="center"/>
            <w:hideMark/>
          </w:tcPr>
          <w:p w14:paraId="63F9C69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42" w:type="pct"/>
            <w:tcBorders>
              <w:top w:val="nil"/>
              <w:left w:val="nil"/>
              <w:bottom w:val="single" w:sz="8" w:space="0" w:color="auto"/>
              <w:right w:val="single" w:sz="8" w:space="0" w:color="auto"/>
            </w:tcBorders>
            <w:shd w:val="clear" w:color="000000" w:fill="DBE5F1"/>
            <w:noWrap/>
            <w:vAlign w:val="center"/>
            <w:hideMark/>
          </w:tcPr>
          <w:p w14:paraId="0044DED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10" w:type="pct"/>
            <w:tcBorders>
              <w:top w:val="nil"/>
              <w:left w:val="nil"/>
              <w:bottom w:val="single" w:sz="8" w:space="0" w:color="auto"/>
              <w:right w:val="single" w:sz="8" w:space="0" w:color="auto"/>
            </w:tcBorders>
            <w:shd w:val="clear" w:color="000000" w:fill="DBE5F1"/>
            <w:noWrap/>
            <w:vAlign w:val="center"/>
            <w:hideMark/>
          </w:tcPr>
          <w:p w14:paraId="6D265A6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40</w:t>
            </w:r>
          </w:p>
        </w:tc>
        <w:tc>
          <w:tcPr>
            <w:tcW w:w="642" w:type="pct"/>
            <w:tcBorders>
              <w:top w:val="nil"/>
              <w:left w:val="nil"/>
              <w:bottom w:val="single" w:sz="8" w:space="0" w:color="auto"/>
              <w:right w:val="single" w:sz="8" w:space="0" w:color="auto"/>
            </w:tcBorders>
            <w:shd w:val="clear" w:color="000000" w:fill="DBE5F1"/>
            <w:noWrap/>
            <w:vAlign w:val="center"/>
            <w:hideMark/>
          </w:tcPr>
          <w:p w14:paraId="7366783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33</w:t>
            </w:r>
          </w:p>
        </w:tc>
      </w:tr>
      <w:tr w:rsidR="005158AA" w:rsidRPr="005158AA" w14:paraId="7AF7283D"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5484022B"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 Circ. Jud. Zona Atlántica</w:t>
            </w:r>
          </w:p>
        </w:tc>
        <w:tc>
          <w:tcPr>
            <w:tcW w:w="609" w:type="pct"/>
            <w:tcBorders>
              <w:top w:val="nil"/>
              <w:left w:val="nil"/>
              <w:bottom w:val="single" w:sz="8" w:space="0" w:color="auto"/>
              <w:right w:val="single" w:sz="8" w:space="0" w:color="auto"/>
            </w:tcBorders>
            <w:shd w:val="clear" w:color="auto" w:fill="auto"/>
            <w:noWrap/>
            <w:vAlign w:val="center"/>
            <w:hideMark/>
          </w:tcPr>
          <w:p w14:paraId="67540C2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168</w:t>
            </w:r>
          </w:p>
        </w:tc>
        <w:tc>
          <w:tcPr>
            <w:tcW w:w="642" w:type="pct"/>
            <w:tcBorders>
              <w:top w:val="nil"/>
              <w:left w:val="nil"/>
              <w:bottom w:val="single" w:sz="8" w:space="0" w:color="auto"/>
              <w:right w:val="single" w:sz="8" w:space="0" w:color="auto"/>
            </w:tcBorders>
            <w:shd w:val="clear" w:color="auto" w:fill="auto"/>
            <w:noWrap/>
            <w:vAlign w:val="center"/>
            <w:hideMark/>
          </w:tcPr>
          <w:p w14:paraId="1E62260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123</w:t>
            </w:r>
          </w:p>
        </w:tc>
        <w:tc>
          <w:tcPr>
            <w:tcW w:w="556" w:type="pct"/>
            <w:tcBorders>
              <w:top w:val="nil"/>
              <w:left w:val="nil"/>
              <w:bottom w:val="single" w:sz="8" w:space="0" w:color="auto"/>
              <w:right w:val="single" w:sz="8" w:space="0" w:color="auto"/>
            </w:tcBorders>
            <w:shd w:val="clear" w:color="auto" w:fill="auto"/>
            <w:noWrap/>
            <w:vAlign w:val="center"/>
            <w:hideMark/>
          </w:tcPr>
          <w:p w14:paraId="3659C4C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73%</w:t>
            </w:r>
          </w:p>
        </w:tc>
        <w:tc>
          <w:tcPr>
            <w:tcW w:w="610" w:type="pct"/>
            <w:tcBorders>
              <w:top w:val="nil"/>
              <w:left w:val="nil"/>
              <w:bottom w:val="single" w:sz="8" w:space="0" w:color="auto"/>
              <w:right w:val="single" w:sz="8" w:space="0" w:color="auto"/>
            </w:tcBorders>
            <w:shd w:val="clear" w:color="000000" w:fill="DBE5F1"/>
            <w:noWrap/>
            <w:vAlign w:val="center"/>
            <w:hideMark/>
          </w:tcPr>
          <w:p w14:paraId="2CDF68F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84</w:t>
            </w:r>
          </w:p>
        </w:tc>
        <w:tc>
          <w:tcPr>
            <w:tcW w:w="642" w:type="pct"/>
            <w:tcBorders>
              <w:top w:val="nil"/>
              <w:left w:val="nil"/>
              <w:bottom w:val="single" w:sz="8" w:space="0" w:color="auto"/>
              <w:right w:val="single" w:sz="8" w:space="0" w:color="auto"/>
            </w:tcBorders>
            <w:shd w:val="clear" w:color="000000" w:fill="DBE5F1"/>
            <w:noWrap/>
            <w:vAlign w:val="center"/>
            <w:hideMark/>
          </w:tcPr>
          <w:p w14:paraId="11CA1DE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61</w:t>
            </w:r>
          </w:p>
        </w:tc>
        <w:tc>
          <w:tcPr>
            <w:tcW w:w="610" w:type="pct"/>
            <w:tcBorders>
              <w:top w:val="nil"/>
              <w:left w:val="nil"/>
              <w:bottom w:val="single" w:sz="8" w:space="0" w:color="auto"/>
              <w:right w:val="single" w:sz="8" w:space="0" w:color="auto"/>
            </w:tcBorders>
            <w:shd w:val="clear" w:color="000000" w:fill="DBE5F1"/>
            <w:noWrap/>
            <w:vAlign w:val="center"/>
            <w:hideMark/>
          </w:tcPr>
          <w:p w14:paraId="11E8EDE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56</w:t>
            </w:r>
          </w:p>
        </w:tc>
        <w:tc>
          <w:tcPr>
            <w:tcW w:w="642" w:type="pct"/>
            <w:tcBorders>
              <w:top w:val="nil"/>
              <w:left w:val="nil"/>
              <w:bottom w:val="single" w:sz="8" w:space="0" w:color="auto"/>
              <w:right w:val="single" w:sz="8" w:space="0" w:color="auto"/>
            </w:tcBorders>
            <w:shd w:val="clear" w:color="000000" w:fill="DBE5F1"/>
            <w:noWrap/>
            <w:vAlign w:val="center"/>
            <w:hideMark/>
          </w:tcPr>
          <w:p w14:paraId="2FFC3E8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41</w:t>
            </w:r>
          </w:p>
        </w:tc>
      </w:tr>
      <w:tr w:rsidR="005158AA" w:rsidRPr="005158AA" w14:paraId="0BA1D5CF"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76CFA7A4"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III Circ. Jud.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175F259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226</w:t>
            </w:r>
          </w:p>
        </w:tc>
        <w:tc>
          <w:tcPr>
            <w:tcW w:w="642" w:type="pct"/>
            <w:tcBorders>
              <w:top w:val="nil"/>
              <w:left w:val="nil"/>
              <w:bottom w:val="single" w:sz="8" w:space="0" w:color="auto"/>
              <w:right w:val="single" w:sz="8" w:space="0" w:color="auto"/>
            </w:tcBorders>
            <w:shd w:val="clear" w:color="auto" w:fill="auto"/>
            <w:noWrap/>
            <w:vAlign w:val="center"/>
            <w:hideMark/>
          </w:tcPr>
          <w:p w14:paraId="38327BD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186</w:t>
            </w:r>
          </w:p>
        </w:tc>
        <w:tc>
          <w:tcPr>
            <w:tcW w:w="556" w:type="pct"/>
            <w:tcBorders>
              <w:top w:val="nil"/>
              <w:left w:val="nil"/>
              <w:bottom w:val="single" w:sz="8" w:space="0" w:color="auto"/>
              <w:right w:val="single" w:sz="8" w:space="0" w:color="auto"/>
            </w:tcBorders>
            <w:shd w:val="clear" w:color="auto" w:fill="auto"/>
            <w:noWrap/>
            <w:vAlign w:val="center"/>
            <w:hideMark/>
          </w:tcPr>
          <w:p w14:paraId="03C6648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82%</w:t>
            </w:r>
          </w:p>
        </w:tc>
        <w:tc>
          <w:tcPr>
            <w:tcW w:w="610" w:type="pct"/>
            <w:tcBorders>
              <w:top w:val="nil"/>
              <w:left w:val="nil"/>
              <w:bottom w:val="single" w:sz="8" w:space="0" w:color="auto"/>
              <w:right w:val="single" w:sz="8" w:space="0" w:color="auto"/>
            </w:tcBorders>
            <w:shd w:val="clear" w:color="000000" w:fill="DBE5F1"/>
            <w:noWrap/>
            <w:vAlign w:val="center"/>
            <w:hideMark/>
          </w:tcPr>
          <w:p w14:paraId="6D0ADB4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42" w:type="pct"/>
            <w:tcBorders>
              <w:top w:val="nil"/>
              <w:left w:val="nil"/>
              <w:bottom w:val="single" w:sz="8" w:space="0" w:color="auto"/>
              <w:right w:val="single" w:sz="8" w:space="0" w:color="auto"/>
            </w:tcBorders>
            <w:shd w:val="clear" w:color="000000" w:fill="DBE5F1"/>
            <w:noWrap/>
            <w:vAlign w:val="center"/>
            <w:hideMark/>
          </w:tcPr>
          <w:p w14:paraId="548AAC3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62</w:t>
            </w:r>
          </w:p>
        </w:tc>
        <w:tc>
          <w:tcPr>
            <w:tcW w:w="610" w:type="pct"/>
            <w:tcBorders>
              <w:top w:val="nil"/>
              <w:left w:val="nil"/>
              <w:bottom w:val="single" w:sz="8" w:space="0" w:color="auto"/>
              <w:right w:val="single" w:sz="8" w:space="0" w:color="auto"/>
            </w:tcBorders>
            <w:shd w:val="clear" w:color="000000" w:fill="DBE5F1"/>
            <w:noWrap/>
            <w:vAlign w:val="center"/>
            <w:hideMark/>
          </w:tcPr>
          <w:p w14:paraId="66FCFAF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1234B8C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46</w:t>
            </w:r>
          </w:p>
        </w:tc>
      </w:tr>
      <w:tr w:rsidR="005158AA" w:rsidRPr="005158AA" w14:paraId="4855972E"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5A94110F"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Puntarenas</w:t>
            </w:r>
          </w:p>
        </w:tc>
        <w:tc>
          <w:tcPr>
            <w:tcW w:w="609" w:type="pct"/>
            <w:tcBorders>
              <w:top w:val="nil"/>
              <w:left w:val="nil"/>
              <w:bottom w:val="single" w:sz="8" w:space="0" w:color="auto"/>
              <w:right w:val="single" w:sz="8" w:space="0" w:color="auto"/>
            </w:tcBorders>
            <w:shd w:val="clear" w:color="auto" w:fill="auto"/>
            <w:noWrap/>
            <w:vAlign w:val="center"/>
            <w:hideMark/>
          </w:tcPr>
          <w:p w14:paraId="7D5F426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167</w:t>
            </w:r>
          </w:p>
        </w:tc>
        <w:tc>
          <w:tcPr>
            <w:tcW w:w="642" w:type="pct"/>
            <w:tcBorders>
              <w:top w:val="nil"/>
              <w:left w:val="nil"/>
              <w:bottom w:val="single" w:sz="8" w:space="0" w:color="auto"/>
              <w:right w:val="single" w:sz="8" w:space="0" w:color="auto"/>
            </w:tcBorders>
            <w:shd w:val="clear" w:color="auto" w:fill="auto"/>
            <w:noWrap/>
            <w:vAlign w:val="center"/>
            <w:hideMark/>
          </w:tcPr>
          <w:p w14:paraId="4A82DD4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158</w:t>
            </w:r>
          </w:p>
        </w:tc>
        <w:tc>
          <w:tcPr>
            <w:tcW w:w="556" w:type="pct"/>
            <w:tcBorders>
              <w:top w:val="nil"/>
              <w:left w:val="nil"/>
              <w:bottom w:val="single" w:sz="8" w:space="0" w:color="auto"/>
              <w:right w:val="single" w:sz="8" w:space="0" w:color="auto"/>
            </w:tcBorders>
            <w:shd w:val="clear" w:color="auto" w:fill="auto"/>
            <w:noWrap/>
            <w:vAlign w:val="center"/>
            <w:hideMark/>
          </w:tcPr>
          <w:p w14:paraId="196FDCD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95%</w:t>
            </w:r>
          </w:p>
        </w:tc>
        <w:tc>
          <w:tcPr>
            <w:tcW w:w="610" w:type="pct"/>
            <w:tcBorders>
              <w:top w:val="nil"/>
              <w:left w:val="nil"/>
              <w:bottom w:val="single" w:sz="8" w:space="0" w:color="auto"/>
              <w:right w:val="single" w:sz="8" w:space="0" w:color="auto"/>
            </w:tcBorders>
            <w:shd w:val="clear" w:color="000000" w:fill="DBE5F1"/>
            <w:noWrap/>
            <w:vAlign w:val="center"/>
            <w:hideMark/>
          </w:tcPr>
          <w:p w14:paraId="7376E03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83</w:t>
            </w:r>
          </w:p>
        </w:tc>
        <w:tc>
          <w:tcPr>
            <w:tcW w:w="642" w:type="pct"/>
            <w:tcBorders>
              <w:top w:val="nil"/>
              <w:left w:val="nil"/>
              <w:bottom w:val="single" w:sz="8" w:space="0" w:color="auto"/>
              <w:right w:val="single" w:sz="8" w:space="0" w:color="auto"/>
            </w:tcBorders>
            <w:shd w:val="clear" w:color="000000" w:fill="DBE5F1"/>
            <w:noWrap/>
            <w:vAlign w:val="center"/>
            <w:hideMark/>
          </w:tcPr>
          <w:p w14:paraId="32858BB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79</w:t>
            </w:r>
          </w:p>
        </w:tc>
        <w:tc>
          <w:tcPr>
            <w:tcW w:w="610" w:type="pct"/>
            <w:tcBorders>
              <w:top w:val="nil"/>
              <w:left w:val="nil"/>
              <w:bottom w:val="single" w:sz="8" w:space="0" w:color="auto"/>
              <w:right w:val="single" w:sz="8" w:space="0" w:color="auto"/>
            </w:tcBorders>
            <w:shd w:val="clear" w:color="000000" w:fill="DBE5F1"/>
            <w:noWrap/>
            <w:vAlign w:val="center"/>
            <w:hideMark/>
          </w:tcPr>
          <w:p w14:paraId="484D68D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42</w:t>
            </w:r>
          </w:p>
        </w:tc>
        <w:tc>
          <w:tcPr>
            <w:tcW w:w="642" w:type="pct"/>
            <w:tcBorders>
              <w:top w:val="nil"/>
              <w:left w:val="nil"/>
              <w:bottom w:val="single" w:sz="8" w:space="0" w:color="auto"/>
              <w:right w:val="single" w:sz="8" w:space="0" w:color="auto"/>
            </w:tcBorders>
            <w:shd w:val="clear" w:color="000000" w:fill="DBE5F1"/>
            <w:noWrap/>
            <w:vAlign w:val="center"/>
            <w:hideMark/>
          </w:tcPr>
          <w:p w14:paraId="5CBC8C0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40</w:t>
            </w:r>
          </w:p>
        </w:tc>
      </w:tr>
      <w:tr w:rsidR="005158AA" w:rsidRPr="005158AA" w14:paraId="0D346B2E"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16958BFE"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Primero de Familia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02283F4E"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156</w:t>
            </w:r>
          </w:p>
        </w:tc>
        <w:tc>
          <w:tcPr>
            <w:tcW w:w="642" w:type="pct"/>
            <w:tcBorders>
              <w:top w:val="nil"/>
              <w:left w:val="nil"/>
              <w:bottom w:val="single" w:sz="8" w:space="0" w:color="auto"/>
              <w:right w:val="single" w:sz="8" w:space="0" w:color="auto"/>
            </w:tcBorders>
            <w:shd w:val="clear" w:color="auto" w:fill="auto"/>
            <w:noWrap/>
            <w:vAlign w:val="center"/>
            <w:hideMark/>
          </w:tcPr>
          <w:p w14:paraId="5D11575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134</w:t>
            </w:r>
          </w:p>
        </w:tc>
        <w:tc>
          <w:tcPr>
            <w:tcW w:w="556" w:type="pct"/>
            <w:tcBorders>
              <w:top w:val="nil"/>
              <w:left w:val="nil"/>
              <w:bottom w:val="single" w:sz="8" w:space="0" w:color="auto"/>
              <w:right w:val="single" w:sz="8" w:space="0" w:color="auto"/>
            </w:tcBorders>
            <w:shd w:val="clear" w:color="auto" w:fill="auto"/>
            <w:noWrap/>
            <w:vAlign w:val="center"/>
            <w:hideMark/>
          </w:tcPr>
          <w:p w14:paraId="7D51AEA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86%</w:t>
            </w:r>
          </w:p>
        </w:tc>
        <w:tc>
          <w:tcPr>
            <w:tcW w:w="610" w:type="pct"/>
            <w:tcBorders>
              <w:top w:val="nil"/>
              <w:left w:val="nil"/>
              <w:bottom w:val="single" w:sz="8" w:space="0" w:color="auto"/>
              <w:right w:val="single" w:sz="8" w:space="0" w:color="auto"/>
            </w:tcBorders>
            <w:shd w:val="clear" w:color="000000" w:fill="DBE5F1"/>
            <w:noWrap/>
            <w:vAlign w:val="center"/>
            <w:hideMark/>
          </w:tcPr>
          <w:p w14:paraId="41A6370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52</w:t>
            </w:r>
          </w:p>
        </w:tc>
        <w:tc>
          <w:tcPr>
            <w:tcW w:w="642" w:type="pct"/>
            <w:tcBorders>
              <w:top w:val="nil"/>
              <w:left w:val="nil"/>
              <w:bottom w:val="single" w:sz="8" w:space="0" w:color="auto"/>
              <w:right w:val="single" w:sz="8" w:space="0" w:color="auto"/>
            </w:tcBorders>
            <w:shd w:val="clear" w:color="000000" w:fill="DBE5F1"/>
            <w:noWrap/>
            <w:vAlign w:val="center"/>
            <w:hideMark/>
          </w:tcPr>
          <w:p w14:paraId="2099D2D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45</w:t>
            </w:r>
          </w:p>
        </w:tc>
        <w:tc>
          <w:tcPr>
            <w:tcW w:w="610" w:type="pct"/>
            <w:tcBorders>
              <w:top w:val="nil"/>
              <w:left w:val="nil"/>
              <w:bottom w:val="single" w:sz="8" w:space="0" w:color="auto"/>
              <w:right w:val="single" w:sz="8" w:space="0" w:color="auto"/>
            </w:tcBorders>
            <w:shd w:val="clear" w:color="000000" w:fill="DBE5F1"/>
            <w:noWrap/>
            <w:vAlign w:val="center"/>
            <w:hideMark/>
          </w:tcPr>
          <w:p w14:paraId="483A975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39</w:t>
            </w:r>
          </w:p>
        </w:tc>
        <w:tc>
          <w:tcPr>
            <w:tcW w:w="642" w:type="pct"/>
            <w:tcBorders>
              <w:top w:val="nil"/>
              <w:left w:val="nil"/>
              <w:bottom w:val="single" w:sz="8" w:space="0" w:color="auto"/>
              <w:right w:val="single" w:sz="8" w:space="0" w:color="auto"/>
            </w:tcBorders>
            <w:shd w:val="clear" w:color="000000" w:fill="DBE5F1"/>
            <w:noWrap/>
            <w:vAlign w:val="center"/>
            <w:hideMark/>
          </w:tcPr>
          <w:p w14:paraId="0ACD9E0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34</w:t>
            </w:r>
          </w:p>
        </w:tc>
      </w:tr>
      <w:tr w:rsidR="005158AA" w:rsidRPr="005158AA" w14:paraId="23991813"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2F00881F"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Segundo de Familia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4272E0E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150</w:t>
            </w:r>
          </w:p>
        </w:tc>
        <w:tc>
          <w:tcPr>
            <w:tcW w:w="642" w:type="pct"/>
            <w:tcBorders>
              <w:top w:val="nil"/>
              <w:left w:val="nil"/>
              <w:bottom w:val="single" w:sz="8" w:space="0" w:color="auto"/>
              <w:right w:val="single" w:sz="8" w:space="0" w:color="auto"/>
            </w:tcBorders>
            <w:shd w:val="clear" w:color="auto" w:fill="auto"/>
            <w:noWrap/>
            <w:vAlign w:val="center"/>
            <w:hideMark/>
          </w:tcPr>
          <w:p w14:paraId="4C2A0CD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141</w:t>
            </w:r>
          </w:p>
        </w:tc>
        <w:tc>
          <w:tcPr>
            <w:tcW w:w="556" w:type="pct"/>
            <w:tcBorders>
              <w:top w:val="nil"/>
              <w:left w:val="nil"/>
              <w:bottom w:val="single" w:sz="8" w:space="0" w:color="auto"/>
              <w:right w:val="single" w:sz="8" w:space="0" w:color="auto"/>
            </w:tcBorders>
            <w:shd w:val="clear" w:color="auto" w:fill="auto"/>
            <w:noWrap/>
            <w:vAlign w:val="center"/>
            <w:hideMark/>
          </w:tcPr>
          <w:p w14:paraId="043BDD5E"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94%</w:t>
            </w:r>
          </w:p>
        </w:tc>
        <w:tc>
          <w:tcPr>
            <w:tcW w:w="610" w:type="pct"/>
            <w:tcBorders>
              <w:top w:val="nil"/>
              <w:left w:val="nil"/>
              <w:bottom w:val="single" w:sz="8" w:space="0" w:color="auto"/>
              <w:right w:val="single" w:sz="8" w:space="0" w:color="auto"/>
            </w:tcBorders>
            <w:shd w:val="clear" w:color="000000" w:fill="DBE5F1"/>
            <w:noWrap/>
            <w:vAlign w:val="center"/>
            <w:hideMark/>
          </w:tcPr>
          <w:p w14:paraId="07A80E4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50</w:t>
            </w:r>
          </w:p>
        </w:tc>
        <w:tc>
          <w:tcPr>
            <w:tcW w:w="642" w:type="pct"/>
            <w:tcBorders>
              <w:top w:val="nil"/>
              <w:left w:val="nil"/>
              <w:bottom w:val="single" w:sz="8" w:space="0" w:color="auto"/>
              <w:right w:val="single" w:sz="8" w:space="0" w:color="auto"/>
            </w:tcBorders>
            <w:shd w:val="clear" w:color="000000" w:fill="DBE5F1"/>
            <w:noWrap/>
            <w:vAlign w:val="center"/>
            <w:hideMark/>
          </w:tcPr>
          <w:p w14:paraId="55389D4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47</w:t>
            </w:r>
          </w:p>
        </w:tc>
        <w:tc>
          <w:tcPr>
            <w:tcW w:w="610" w:type="pct"/>
            <w:tcBorders>
              <w:top w:val="nil"/>
              <w:left w:val="nil"/>
              <w:bottom w:val="single" w:sz="8" w:space="0" w:color="auto"/>
              <w:right w:val="single" w:sz="8" w:space="0" w:color="auto"/>
            </w:tcBorders>
            <w:shd w:val="clear" w:color="000000" w:fill="DBE5F1"/>
            <w:noWrap/>
            <w:vAlign w:val="center"/>
            <w:hideMark/>
          </w:tcPr>
          <w:p w14:paraId="77F74ED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30</w:t>
            </w:r>
          </w:p>
        </w:tc>
        <w:tc>
          <w:tcPr>
            <w:tcW w:w="642" w:type="pct"/>
            <w:tcBorders>
              <w:top w:val="nil"/>
              <w:left w:val="nil"/>
              <w:bottom w:val="single" w:sz="8" w:space="0" w:color="auto"/>
              <w:right w:val="single" w:sz="8" w:space="0" w:color="auto"/>
            </w:tcBorders>
            <w:shd w:val="clear" w:color="000000" w:fill="DBE5F1"/>
            <w:noWrap/>
            <w:vAlign w:val="center"/>
            <w:hideMark/>
          </w:tcPr>
          <w:p w14:paraId="65986CF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28</w:t>
            </w:r>
          </w:p>
        </w:tc>
      </w:tr>
      <w:tr w:rsidR="005158AA" w:rsidRPr="005158AA" w14:paraId="794127DC" w14:textId="77777777" w:rsidTr="005158AA">
        <w:trPr>
          <w:trHeight w:val="300"/>
        </w:trPr>
        <w:tc>
          <w:tcPr>
            <w:tcW w:w="688" w:type="pct"/>
            <w:tcBorders>
              <w:top w:val="nil"/>
              <w:left w:val="single" w:sz="8" w:space="0" w:color="auto"/>
              <w:bottom w:val="single" w:sz="8" w:space="0" w:color="auto"/>
              <w:right w:val="single" w:sz="8" w:space="0" w:color="auto"/>
            </w:tcBorders>
            <w:shd w:val="clear" w:color="000000" w:fill="808080"/>
            <w:vAlign w:val="center"/>
            <w:hideMark/>
          </w:tcPr>
          <w:p w14:paraId="433D4A4C" w14:textId="77777777" w:rsidR="005158AA" w:rsidRPr="005158AA" w:rsidRDefault="005158AA" w:rsidP="005158AA">
            <w:pPr>
              <w:spacing w:after="0" w:line="240" w:lineRule="auto"/>
              <w:jc w:val="right"/>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Total</w:t>
            </w:r>
          </w:p>
        </w:tc>
        <w:tc>
          <w:tcPr>
            <w:tcW w:w="609" w:type="pct"/>
            <w:tcBorders>
              <w:top w:val="nil"/>
              <w:left w:val="nil"/>
              <w:bottom w:val="single" w:sz="8" w:space="0" w:color="auto"/>
              <w:right w:val="single" w:sz="8" w:space="0" w:color="auto"/>
            </w:tcBorders>
            <w:shd w:val="clear" w:color="000000" w:fill="808080"/>
            <w:noWrap/>
            <w:vAlign w:val="center"/>
            <w:hideMark/>
          </w:tcPr>
          <w:p w14:paraId="215824B2"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2 519</w:t>
            </w:r>
          </w:p>
        </w:tc>
        <w:tc>
          <w:tcPr>
            <w:tcW w:w="642" w:type="pct"/>
            <w:tcBorders>
              <w:top w:val="nil"/>
              <w:left w:val="nil"/>
              <w:bottom w:val="single" w:sz="8" w:space="0" w:color="auto"/>
              <w:right w:val="single" w:sz="8" w:space="0" w:color="auto"/>
            </w:tcBorders>
            <w:shd w:val="clear" w:color="000000" w:fill="808080"/>
            <w:noWrap/>
            <w:vAlign w:val="center"/>
            <w:hideMark/>
          </w:tcPr>
          <w:p w14:paraId="4D848765"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2 198</w:t>
            </w:r>
          </w:p>
        </w:tc>
        <w:tc>
          <w:tcPr>
            <w:tcW w:w="556" w:type="pct"/>
            <w:tcBorders>
              <w:top w:val="nil"/>
              <w:left w:val="nil"/>
              <w:bottom w:val="single" w:sz="8" w:space="0" w:color="auto"/>
              <w:right w:val="single" w:sz="8" w:space="0" w:color="auto"/>
            </w:tcBorders>
            <w:shd w:val="clear" w:color="000000" w:fill="808080"/>
            <w:noWrap/>
            <w:vAlign w:val="center"/>
            <w:hideMark/>
          </w:tcPr>
          <w:p w14:paraId="704B198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 </w:t>
            </w:r>
          </w:p>
        </w:tc>
        <w:tc>
          <w:tcPr>
            <w:tcW w:w="610" w:type="pct"/>
            <w:tcBorders>
              <w:top w:val="nil"/>
              <w:left w:val="nil"/>
              <w:bottom w:val="single" w:sz="8" w:space="0" w:color="auto"/>
              <w:right w:val="single" w:sz="8" w:space="0" w:color="auto"/>
            </w:tcBorders>
            <w:shd w:val="clear" w:color="000000" w:fill="808080"/>
            <w:noWrap/>
            <w:vAlign w:val="center"/>
            <w:hideMark/>
          </w:tcPr>
          <w:p w14:paraId="0C1E9F0B"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906</w:t>
            </w:r>
          </w:p>
        </w:tc>
        <w:tc>
          <w:tcPr>
            <w:tcW w:w="642" w:type="pct"/>
            <w:tcBorders>
              <w:top w:val="nil"/>
              <w:left w:val="nil"/>
              <w:bottom w:val="single" w:sz="8" w:space="0" w:color="auto"/>
              <w:right w:val="single" w:sz="8" w:space="0" w:color="auto"/>
            </w:tcBorders>
            <w:shd w:val="clear" w:color="000000" w:fill="808080"/>
            <w:noWrap/>
            <w:vAlign w:val="center"/>
            <w:hideMark/>
          </w:tcPr>
          <w:p w14:paraId="0DC82491"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779</w:t>
            </w:r>
          </w:p>
        </w:tc>
        <w:tc>
          <w:tcPr>
            <w:tcW w:w="610" w:type="pct"/>
            <w:tcBorders>
              <w:top w:val="nil"/>
              <w:left w:val="nil"/>
              <w:bottom w:val="single" w:sz="8" w:space="0" w:color="auto"/>
              <w:right w:val="single" w:sz="8" w:space="0" w:color="auto"/>
            </w:tcBorders>
            <w:shd w:val="clear" w:color="000000" w:fill="808080"/>
            <w:noWrap/>
            <w:vAlign w:val="center"/>
            <w:hideMark/>
          </w:tcPr>
          <w:p w14:paraId="522F91A9"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571</w:t>
            </w:r>
          </w:p>
        </w:tc>
        <w:tc>
          <w:tcPr>
            <w:tcW w:w="642" w:type="pct"/>
            <w:tcBorders>
              <w:top w:val="nil"/>
              <w:left w:val="nil"/>
              <w:bottom w:val="single" w:sz="8" w:space="0" w:color="auto"/>
              <w:right w:val="single" w:sz="8" w:space="0" w:color="auto"/>
            </w:tcBorders>
            <w:shd w:val="clear" w:color="000000" w:fill="808080"/>
            <w:noWrap/>
            <w:vAlign w:val="center"/>
            <w:hideMark/>
          </w:tcPr>
          <w:p w14:paraId="05F3E91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487</w:t>
            </w:r>
          </w:p>
        </w:tc>
      </w:tr>
      <w:tr w:rsidR="005158AA" w:rsidRPr="005158AA" w14:paraId="5A354595" w14:textId="77777777" w:rsidTr="005158AA">
        <w:trPr>
          <w:trHeight w:val="300"/>
        </w:trPr>
        <w:tc>
          <w:tcPr>
            <w:tcW w:w="688" w:type="pct"/>
            <w:tcBorders>
              <w:top w:val="nil"/>
              <w:left w:val="single" w:sz="8" w:space="0" w:color="auto"/>
              <w:bottom w:val="single" w:sz="8" w:space="0" w:color="auto"/>
              <w:right w:val="single" w:sz="8" w:space="0" w:color="auto"/>
            </w:tcBorders>
            <w:shd w:val="clear" w:color="000000" w:fill="808080"/>
            <w:vAlign w:val="center"/>
            <w:hideMark/>
          </w:tcPr>
          <w:p w14:paraId="53A31855" w14:textId="77777777" w:rsidR="005158AA" w:rsidRPr="005158AA" w:rsidRDefault="005158AA" w:rsidP="005158AA">
            <w:pPr>
              <w:spacing w:after="0" w:line="240" w:lineRule="auto"/>
              <w:jc w:val="right"/>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Promedio</w:t>
            </w:r>
          </w:p>
        </w:tc>
        <w:tc>
          <w:tcPr>
            <w:tcW w:w="609" w:type="pct"/>
            <w:tcBorders>
              <w:top w:val="nil"/>
              <w:left w:val="nil"/>
              <w:bottom w:val="single" w:sz="8" w:space="0" w:color="auto"/>
              <w:right w:val="single" w:sz="8" w:space="0" w:color="auto"/>
            </w:tcBorders>
            <w:shd w:val="clear" w:color="000000" w:fill="808080"/>
            <w:noWrap/>
            <w:vAlign w:val="center"/>
            <w:hideMark/>
          </w:tcPr>
          <w:p w14:paraId="32E966FF"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210</w:t>
            </w:r>
          </w:p>
        </w:tc>
        <w:tc>
          <w:tcPr>
            <w:tcW w:w="642" w:type="pct"/>
            <w:tcBorders>
              <w:top w:val="nil"/>
              <w:left w:val="nil"/>
              <w:bottom w:val="single" w:sz="8" w:space="0" w:color="auto"/>
              <w:right w:val="single" w:sz="8" w:space="0" w:color="auto"/>
            </w:tcBorders>
            <w:shd w:val="clear" w:color="000000" w:fill="808080"/>
            <w:noWrap/>
            <w:vAlign w:val="center"/>
            <w:hideMark/>
          </w:tcPr>
          <w:p w14:paraId="3F21109D"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183</w:t>
            </w:r>
          </w:p>
        </w:tc>
        <w:tc>
          <w:tcPr>
            <w:tcW w:w="556" w:type="pct"/>
            <w:tcBorders>
              <w:top w:val="nil"/>
              <w:left w:val="nil"/>
              <w:bottom w:val="single" w:sz="8" w:space="0" w:color="auto"/>
              <w:right w:val="single" w:sz="8" w:space="0" w:color="auto"/>
            </w:tcBorders>
            <w:shd w:val="clear" w:color="000000" w:fill="808080"/>
            <w:noWrap/>
            <w:vAlign w:val="center"/>
            <w:hideMark/>
          </w:tcPr>
          <w:p w14:paraId="728737EA"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85%</w:t>
            </w:r>
          </w:p>
        </w:tc>
        <w:tc>
          <w:tcPr>
            <w:tcW w:w="610" w:type="pct"/>
            <w:tcBorders>
              <w:top w:val="nil"/>
              <w:left w:val="nil"/>
              <w:bottom w:val="single" w:sz="8" w:space="0" w:color="auto"/>
              <w:right w:val="single" w:sz="8" w:space="0" w:color="auto"/>
            </w:tcBorders>
            <w:shd w:val="clear" w:color="000000" w:fill="808080"/>
            <w:noWrap/>
            <w:vAlign w:val="center"/>
            <w:hideMark/>
          </w:tcPr>
          <w:p w14:paraId="487906E4"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76</w:t>
            </w:r>
          </w:p>
        </w:tc>
        <w:tc>
          <w:tcPr>
            <w:tcW w:w="642" w:type="pct"/>
            <w:tcBorders>
              <w:top w:val="nil"/>
              <w:left w:val="nil"/>
              <w:bottom w:val="single" w:sz="8" w:space="0" w:color="auto"/>
              <w:right w:val="single" w:sz="8" w:space="0" w:color="auto"/>
            </w:tcBorders>
            <w:shd w:val="clear" w:color="000000" w:fill="808080"/>
            <w:noWrap/>
            <w:vAlign w:val="center"/>
            <w:hideMark/>
          </w:tcPr>
          <w:p w14:paraId="660A2E78"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65</w:t>
            </w:r>
          </w:p>
        </w:tc>
        <w:tc>
          <w:tcPr>
            <w:tcW w:w="610" w:type="pct"/>
            <w:tcBorders>
              <w:top w:val="nil"/>
              <w:left w:val="nil"/>
              <w:bottom w:val="single" w:sz="8" w:space="0" w:color="auto"/>
              <w:right w:val="single" w:sz="8" w:space="0" w:color="auto"/>
            </w:tcBorders>
            <w:shd w:val="clear" w:color="000000" w:fill="808080"/>
            <w:noWrap/>
            <w:vAlign w:val="center"/>
            <w:hideMark/>
          </w:tcPr>
          <w:p w14:paraId="2FA5A309"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48</w:t>
            </w:r>
          </w:p>
        </w:tc>
        <w:tc>
          <w:tcPr>
            <w:tcW w:w="642" w:type="pct"/>
            <w:tcBorders>
              <w:top w:val="nil"/>
              <w:left w:val="nil"/>
              <w:bottom w:val="single" w:sz="8" w:space="0" w:color="auto"/>
              <w:right w:val="single" w:sz="8" w:space="0" w:color="auto"/>
            </w:tcBorders>
            <w:shd w:val="clear" w:color="000000" w:fill="808080"/>
            <w:noWrap/>
            <w:vAlign w:val="center"/>
            <w:hideMark/>
          </w:tcPr>
          <w:p w14:paraId="006C6A4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41</w:t>
            </w:r>
          </w:p>
        </w:tc>
      </w:tr>
    </w:tbl>
    <w:p w14:paraId="3B787329" w14:textId="54002698" w:rsidR="005F6D5E" w:rsidRPr="005158AA" w:rsidRDefault="005158AA" w:rsidP="00B634F4">
      <w:pPr>
        <w:spacing w:after="0" w:line="276" w:lineRule="auto"/>
        <w:jc w:val="both"/>
        <w:rPr>
          <w:rFonts w:ascii="Book Antiqua" w:eastAsia="Calibri" w:hAnsi="Book Antiqua" w:cs="Arial"/>
          <w:i/>
          <w:iCs/>
          <w:sz w:val="20"/>
          <w:szCs w:val="20"/>
        </w:rPr>
      </w:pPr>
      <w:r w:rsidRPr="00F134FF">
        <w:rPr>
          <w:rFonts w:ascii="Book Antiqua" w:eastAsia="Calibri" w:hAnsi="Book Antiqua" w:cs="Arial"/>
          <w:b/>
          <w:bCs/>
          <w:i/>
          <w:iCs/>
          <w:sz w:val="20"/>
          <w:szCs w:val="20"/>
        </w:rPr>
        <w:t>Fuente:</w:t>
      </w:r>
      <w:r w:rsidRPr="005158AA">
        <w:rPr>
          <w:rFonts w:ascii="Book Antiqua" w:eastAsia="Calibri" w:hAnsi="Book Antiqua" w:cs="Arial"/>
          <w:i/>
          <w:iCs/>
          <w:sz w:val="20"/>
          <w:szCs w:val="20"/>
        </w:rPr>
        <w:t xml:space="preserve"> </w:t>
      </w:r>
      <w:r w:rsidR="00E2376D" w:rsidRPr="00E2376D">
        <w:rPr>
          <w:rFonts w:ascii="Book Antiqua" w:eastAsia="Calibri" w:hAnsi="Book Antiqua" w:cs="Arial"/>
          <w:i/>
          <w:iCs/>
          <w:sz w:val="20"/>
          <w:szCs w:val="20"/>
        </w:rPr>
        <w:t>Subproceso de Modernización Institucional con datos del Subproceso de Estadística del 2017 al 2022 y consulta del Balance General Interactivo del 22/2/2023</w:t>
      </w:r>
      <w:r w:rsidRPr="005158AA">
        <w:rPr>
          <w:rFonts w:ascii="Book Antiqua" w:eastAsia="Calibri" w:hAnsi="Book Antiqua" w:cs="Arial"/>
          <w:i/>
          <w:iCs/>
          <w:sz w:val="20"/>
          <w:szCs w:val="20"/>
        </w:rPr>
        <w:t>.</w:t>
      </w:r>
    </w:p>
    <w:p w14:paraId="728EA9FB" w14:textId="6551B0A5" w:rsidR="00D26D89" w:rsidRP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 xml:space="preserve">Como se muestra en el cuadro anterior, </w:t>
      </w:r>
      <w:r w:rsidR="00643CED">
        <w:rPr>
          <w:rFonts w:ascii="Book Antiqua" w:eastAsia="Calibri" w:hAnsi="Book Antiqua" w:cs="Arial"/>
          <w:sz w:val="24"/>
          <w:szCs w:val="24"/>
        </w:rPr>
        <w:t>para el periodo 2017 a 202</w:t>
      </w:r>
      <w:r w:rsidR="00E2376D">
        <w:rPr>
          <w:rFonts w:ascii="Book Antiqua" w:eastAsia="Calibri" w:hAnsi="Book Antiqua" w:cs="Arial"/>
          <w:sz w:val="24"/>
          <w:szCs w:val="24"/>
        </w:rPr>
        <w:t>2</w:t>
      </w:r>
      <w:r w:rsidR="00643CED">
        <w:rPr>
          <w:rFonts w:ascii="Book Antiqua" w:eastAsia="Calibri" w:hAnsi="Book Antiqua" w:cs="Arial"/>
          <w:sz w:val="24"/>
          <w:szCs w:val="24"/>
        </w:rPr>
        <w:t xml:space="preserve">, </w:t>
      </w:r>
      <w:r w:rsidRPr="00D26D89">
        <w:rPr>
          <w:rFonts w:ascii="Book Antiqua" w:eastAsia="Calibri" w:hAnsi="Book Antiqua" w:cs="Arial"/>
          <w:sz w:val="24"/>
          <w:szCs w:val="24"/>
        </w:rPr>
        <w:t xml:space="preserve">se </w:t>
      </w:r>
      <w:r w:rsidR="00643CED">
        <w:rPr>
          <w:rFonts w:ascii="Book Antiqua" w:eastAsia="Calibri" w:hAnsi="Book Antiqua" w:cs="Arial"/>
          <w:sz w:val="24"/>
          <w:szCs w:val="24"/>
        </w:rPr>
        <w:t xml:space="preserve">terminó un </w:t>
      </w:r>
      <w:r w:rsidR="00643CED" w:rsidRPr="00C75F66">
        <w:rPr>
          <w:rFonts w:ascii="Book Antiqua" w:eastAsia="Calibri" w:hAnsi="Book Antiqua" w:cs="Arial"/>
          <w:sz w:val="24"/>
          <w:szCs w:val="24"/>
        </w:rPr>
        <w:t>8</w:t>
      </w:r>
      <w:r w:rsidR="00C75F66" w:rsidRPr="00C75F66">
        <w:rPr>
          <w:rFonts w:ascii="Book Antiqua" w:eastAsia="Calibri" w:hAnsi="Book Antiqua" w:cs="Arial"/>
          <w:sz w:val="24"/>
          <w:szCs w:val="24"/>
        </w:rPr>
        <w:t>5</w:t>
      </w:r>
      <w:r w:rsidRPr="00C75F66">
        <w:rPr>
          <w:rFonts w:ascii="Book Antiqua" w:eastAsia="Calibri" w:hAnsi="Book Antiqua" w:cs="Arial"/>
          <w:sz w:val="24"/>
          <w:szCs w:val="24"/>
        </w:rPr>
        <w:t>%</w:t>
      </w:r>
      <w:r w:rsidRPr="00D26D89">
        <w:rPr>
          <w:rFonts w:ascii="Book Antiqua" w:eastAsia="Calibri" w:hAnsi="Book Antiqua" w:cs="Arial"/>
          <w:sz w:val="24"/>
          <w:szCs w:val="24"/>
        </w:rPr>
        <w:t xml:space="preserve"> de los casos entrados (principales</w:t>
      </w:r>
      <w:r>
        <w:rPr>
          <w:rFonts w:ascii="Book Antiqua" w:eastAsia="Calibri" w:hAnsi="Book Antiqua" w:cs="Arial"/>
          <w:sz w:val="24"/>
          <w:szCs w:val="24"/>
        </w:rPr>
        <w:t>,</w:t>
      </w:r>
      <w:r w:rsidRPr="00D26D89">
        <w:rPr>
          <w:rFonts w:ascii="Book Antiqua" w:eastAsia="Calibri" w:hAnsi="Book Antiqua" w:cs="Arial"/>
          <w:sz w:val="24"/>
          <w:szCs w:val="24"/>
        </w:rPr>
        <w:t xml:space="preserve"> </w:t>
      </w:r>
      <w:r>
        <w:rPr>
          <w:rFonts w:ascii="Book Antiqua" w:eastAsia="Calibri" w:hAnsi="Book Antiqua" w:cs="Arial"/>
          <w:sz w:val="24"/>
          <w:szCs w:val="24"/>
        </w:rPr>
        <w:t>r</w:t>
      </w:r>
      <w:r w:rsidRPr="00D26D89">
        <w:rPr>
          <w:rFonts w:ascii="Book Antiqua" w:eastAsia="Calibri" w:hAnsi="Book Antiqua" w:cs="Arial"/>
          <w:sz w:val="24"/>
          <w:szCs w:val="24"/>
        </w:rPr>
        <w:t xml:space="preserve">eentrados, incidentes y segunda instancia). </w:t>
      </w:r>
    </w:p>
    <w:p w14:paraId="661C0216" w14:textId="77777777" w:rsidR="00D26D89" w:rsidRPr="00D26D89" w:rsidRDefault="00D26D89" w:rsidP="00D26D89">
      <w:pPr>
        <w:spacing w:after="0" w:line="276" w:lineRule="auto"/>
        <w:jc w:val="both"/>
        <w:rPr>
          <w:rFonts w:ascii="Book Antiqua" w:eastAsia="Calibri" w:hAnsi="Book Antiqua" w:cs="Arial"/>
          <w:sz w:val="24"/>
          <w:szCs w:val="24"/>
        </w:rPr>
      </w:pPr>
    </w:p>
    <w:p w14:paraId="5B88E23A" w14:textId="77777777" w:rsidR="00D26D89" w:rsidRP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Utilizando los resultados de carga de trabajo calculada, se puede realizar la comparación con la cantidad de puestos que deberían tener cada despacho especializado luego de la disminución esperada en los niveles de entrada mensual por la desjudicialización de procesos que establece el nuevo Código Procesal Familia. Para esto se toma en cuenta que los despachos especializados en materia Familia según la estructura funcional identificada en la sección anterior, se tendrá dedicada al menos una persona técnica judicial a la atención de la manifestación.</w:t>
      </w:r>
    </w:p>
    <w:p w14:paraId="2D5BBBEA" w14:textId="77777777" w:rsidR="00D26D89" w:rsidRPr="00D26D89" w:rsidRDefault="00D26D89" w:rsidP="00D26D89">
      <w:pPr>
        <w:spacing w:after="0" w:line="276" w:lineRule="auto"/>
        <w:jc w:val="both"/>
        <w:rPr>
          <w:rFonts w:ascii="Book Antiqua" w:eastAsia="Calibri" w:hAnsi="Book Antiqua" w:cs="Arial"/>
          <w:sz w:val="24"/>
          <w:szCs w:val="24"/>
        </w:rPr>
      </w:pPr>
    </w:p>
    <w:p w14:paraId="61D881E7" w14:textId="3679423F"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virtud del abordaje de todos los juzgados especializados en materia de Familia, y que constan en el oficio de la Dirección de Planificación 6-PLA-MI-2022, aprobado por el Consejo Superior en sesión </w:t>
      </w:r>
      <w:r w:rsidR="00D30600">
        <w:rPr>
          <w:rFonts w:ascii="Book Antiqua" w:eastAsia="Calibri" w:hAnsi="Book Antiqua" w:cs="Arial"/>
          <w:sz w:val="24"/>
          <w:szCs w:val="24"/>
        </w:rPr>
        <w:t>7-22 del 5 de enero de 2022, artículo XXXV.</w:t>
      </w:r>
    </w:p>
    <w:p w14:paraId="072A8335" w14:textId="77777777" w:rsidR="008532A0" w:rsidRDefault="008532A0" w:rsidP="00D26D89">
      <w:pPr>
        <w:spacing w:after="0" w:line="276" w:lineRule="auto"/>
        <w:jc w:val="both"/>
        <w:rPr>
          <w:rFonts w:ascii="Book Antiqua" w:eastAsia="Calibri" w:hAnsi="Book Antiqua" w:cs="Arial"/>
          <w:sz w:val="24"/>
          <w:szCs w:val="24"/>
        </w:rPr>
      </w:pPr>
    </w:p>
    <w:p w14:paraId="73078E1C" w14:textId="1F4F45A9"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donde se incluye además el análisis de indicadores y calificación MAIC de las oficinas especializadas, </w:t>
      </w:r>
      <w:r w:rsidRPr="001D0C10">
        <w:rPr>
          <w:rFonts w:ascii="Book Antiqua" w:eastAsia="Calibri" w:hAnsi="Book Antiqua" w:cs="Arial"/>
          <w:b/>
          <w:bCs/>
          <w:sz w:val="24"/>
          <w:szCs w:val="24"/>
          <w:u w:val="single"/>
        </w:rPr>
        <w:t>finalmente no se concluye del seguimiento que ninguna de la</w:t>
      </w:r>
      <w:r w:rsidR="00E2376D">
        <w:rPr>
          <w:rFonts w:ascii="Book Antiqua" w:eastAsia="Calibri" w:hAnsi="Book Antiqua" w:cs="Arial"/>
          <w:b/>
          <w:bCs/>
          <w:sz w:val="24"/>
          <w:szCs w:val="24"/>
          <w:u w:val="single"/>
        </w:rPr>
        <w:t>s oficinas</w:t>
      </w:r>
      <w:r w:rsidRPr="001D0C10">
        <w:rPr>
          <w:rFonts w:ascii="Book Antiqua" w:eastAsia="Calibri" w:hAnsi="Book Antiqua" w:cs="Arial"/>
          <w:b/>
          <w:bCs/>
          <w:sz w:val="24"/>
          <w:szCs w:val="24"/>
          <w:u w:val="single"/>
        </w:rPr>
        <w:t xml:space="preserve"> </w:t>
      </w:r>
      <w:r w:rsidR="00E2376D" w:rsidRPr="001D0C10">
        <w:rPr>
          <w:rFonts w:ascii="Book Antiqua" w:eastAsia="Calibri" w:hAnsi="Book Antiqua" w:cs="Arial"/>
          <w:b/>
          <w:bCs/>
          <w:sz w:val="24"/>
          <w:szCs w:val="24"/>
          <w:u w:val="single"/>
        </w:rPr>
        <w:t>crítica</w:t>
      </w:r>
      <w:r w:rsidR="00E2376D">
        <w:rPr>
          <w:rFonts w:ascii="Book Antiqua" w:eastAsia="Calibri" w:hAnsi="Book Antiqua" w:cs="Arial"/>
          <w:b/>
          <w:bCs/>
          <w:sz w:val="24"/>
          <w:szCs w:val="24"/>
          <w:u w:val="single"/>
        </w:rPr>
        <w:t>s</w:t>
      </w:r>
      <w:r w:rsidRPr="001D0C10">
        <w:rPr>
          <w:rFonts w:ascii="Book Antiqua" w:eastAsia="Calibri" w:hAnsi="Book Antiqua" w:cs="Arial"/>
          <w:b/>
          <w:bCs/>
          <w:sz w:val="24"/>
          <w:szCs w:val="24"/>
          <w:u w:val="single"/>
        </w:rPr>
        <w:t xml:space="preserve"> “D” la justificación sea necesidad de personal.</w:t>
      </w:r>
      <w:r>
        <w:rPr>
          <w:rFonts w:ascii="Book Antiqua" w:eastAsia="Calibri" w:hAnsi="Book Antiqua" w:cs="Arial"/>
          <w:sz w:val="24"/>
          <w:szCs w:val="24"/>
        </w:rPr>
        <w:t xml:space="preserve"> </w:t>
      </w:r>
    </w:p>
    <w:p w14:paraId="48B0D8D9" w14:textId="77777777" w:rsidR="008532A0" w:rsidRDefault="008532A0" w:rsidP="00D26D89">
      <w:pPr>
        <w:spacing w:after="0" w:line="276" w:lineRule="auto"/>
        <w:jc w:val="both"/>
        <w:rPr>
          <w:rFonts w:ascii="Book Antiqua" w:eastAsia="Calibri" w:hAnsi="Book Antiqua" w:cs="Arial"/>
          <w:sz w:val="24"/>
          <w:szCs w:val="24"/>
        </w:rPr>
      </w:pPr>
    </w:p>
    <w:p w14:paraId="5C1B0346" w14:textId="535B2430"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Adicionalmente, como parte de los estudios complementarios citados en</w:t>
      </w:r>
      <w:r w:rsidR="00912F27">
        <w:rPr>
          <w:rFonts w:ascii="Book Antiqua" w:eastAsia="Calibri" w:hAnsi="Book Antiqua" w:cs="Arial"/>
          <w:sz w:val="24"/>
          <w:szCs w:val="24"/>
        </w:rPr>
        <w:t xml:space="preserve"> </w:t>
      </w:r>
      <w:r>
        <w:rPr>
          <w:rFonts w:ascii="Book Antiqua" w:eastAsia="Calibri" w:hAnsi="Book Antiqua" w:cs="Arial"/>
          <w:sz w:val="24"/>
          <w:szCs w:val="24"/>
        </w:rPr>
        <w:t>el oficio 389-PLA-</w:t>
      </w:r>
      <w:r w:rsidR="00CC0AB9">
        <w:rPr>
          <w:rFonts w:ascii="Book Antiqua" w:eastAsia="Calibri" w:hAnsi="Book Antiqua" w:cs="Arial"/>
          <w:sz w:val="24"/>
          <w:szCs w:val="24"/>
        </w:rPr>
        <w:t>R</w:t>
      </w:r>
      <w:r>
        <w:rPr>
          <w:rFonts w:ascii="Book Antiqua" w:eastAsia="Calibri" w:hAnsi="Book Antiqua" w:cs="Arial"/>
          <w:sz w:val="24"/>
          <w:szCs w:val="24"/>
        </w:rPr>
        <w:t xml:space="preserve">H-MI-2021, </w:t>
      </w:r>
      <w:r w:rsidR="00E2376D">
        <w:rPr>
          <w:rFonts w:ascii="Book Antiqua" w:eastAsia="Calibri" w:hAnsi="Book Antiqua" w:cs="Arial"/>
          <w:sz w:val="24"/>
          <w:szCs w:val="24"/>
        </w:rPr>
        <w:t xml:space="preserve">como se indicó </w:t>
      </w:r>
      <w:r>
        <w:rPr>
          <w:rFonts w:ascii="Book Antiqua" w:eastAsia="Calibri" w:hAnsi="Book Antiqua" w:cs="Arial"/>
          <w:sz w:val="24"/>
          <w:szCs w:val="24"/>
        </w:rPr>
        <w:t xml:space="preserve">se </w:t>
      </w:r>
      <w:r w:rsidR="00E2376D">
        <w:rPr>
          <w:rFonts w:ascii="Book Antiqua" w:eastAsia="Calibri" w:hAnsi="Book Antiqua" w:cs="Arial"/>
          <w:sz w:val="24"/>
          <w:szCs w:val="24"/>
        </w:rPr>
        <w:t xml:space="preserve">confeccionó el informe en consulta </w:t>
      </w:r>
      <w:r w:rsidR="00E2376D" w:rsidRPr="00E2376D">
        <w:rPr>
          <w:rFonts w:ascii="Book Antiqua" w:eastAsia="Calibri" w:hAnsi="Book Antiqua" w:cs="Arial"/>
          <w:sz w:val="24"/>
          <w:szCs w:val="24"/>
        </w:rPr>
        <w:t xml:space="preserve">1122-PLA-MI(NPL)-2022 </w:t>
      </w:r>
      <w:r w:rsidR="00E2376D">
        <w:rPr>
          <w:rFonts w:ascii="Book Antiqua" w:eastAsia="Calibri" w:hAnsi="Book Antiqua" w:cs="Arial"/>
          <w:sz w:val="24"/>
          <w:szCs w:val="24"/>
        </w:rPr>
        <w:t xml:space="preserve">remitidos </w:t>
      </w:r>
      <w:r w:rsidR="00E2376D" w:rsidRPr="00E2376D">
        <w:rPr>
          <w:rFonts w:ascii="Book Antiqua" w:eastAsia="Calibri" w:hAnsi="Book Antiqua" w:cs="Arial"/>
          <w:sz w:val="24"/>
          <w:szCs w:val="24"/>
        </w:rPr>
        <w:t>a la Comisión de la Jurisdicción de Familia, Niñez y Adolescencia</w:t>
      </w:r>
      <w:r w:rsidR="00E2376D">
        <w:rPr>
          <w:rFonts w:ascii="Book Antiqua" w:eastAsia="Calibri" w:hAnsi="Book Antiqua" w:cs="Arial"/>
          <w:sz w:val="24"/>
          <w:szCs w:val="24"/>
        </w:rPr>
        <w:t xml:space="preserve">, entre otras oficinas y juzgados que competentes en las materias de Familia y Pensiones Alimentarias, </w:t>
      </w:r>
      <w:r w:rsidR="00364116">
        <w:rPr>
          <w:rFonts w:ascii="Book Antiqua" w:eastAsia="Calibri" w:hAnsi="Book Antiqua" w:cs="Arial"/>
          <w:sz w:val="24"/>
          <w:szCs w:val="24"/>
        </w:rPr>
        <w:t xml:space="preserve">sin embargo, una vez atendidas las observaciones se remite otro informe preliminar relacionado con </w:t>
      </w:r>
      <w:r w:rsidR="00364116" w:rsidRPr="00364116">
        <w:rPr>
          <w:rFonts w:ascii="Book Antiqua" w:eastAsia="Calibri" w:hAnsi="Book Antiqua" w:cs="Arial"/>
          <w:sz w:val="24"/>
          <w:szCs w:val="24"/>
        </w:rPr>
        <w:t>el análisis de modificación de la competencia actual del Juzgado Primero de Familia para limitarlo al conocimiento de una clase de proceso (segunda instancia en Pensiones Alimentarias) a nivel nacional</w:t>
      </w:r>
      <w:r w:rsidR="00364116">
        <w:rPr>
          <w:rFonts w:ascii="Book Antiqua" w:eastAsia="Calibri" w:hAnsi="Book Antiqua" w:cs="Arial"/>
          <w:sz w:val="24"/>
          <w:szCs w:val="24"/>
        </w:rPr>
        <w:t xml:space="preserve"> </w:t>
      </w:r>
      <w:r w:rsidRPr="001D0C10">
        <w:rPr>
          <w:rFonts w:ascii="Book Antiqua" w:eastAsia="Calibri" w:hAnsi="Book Antiqua" w:cs="Arial"/>
          <w:b/>
          <w:bCs/>
          <w:sz w:val="24"/>
          <w:szCs w:val="24"/>
        </w:rPr>
        <w:t>(</w:t>
      </w:r>
      <w:r w:rsidR="00912F27" w:rsidRPr="001D0C10">
        <w:rPr>
          <w:rFonts w:ascii="Book Antiqua" w:eastAsia="Calibri" w:hAnsi="Book Antiqua" w:cs="Arial"/>
          <w:b/>
          <w:bCs/>
          <w:sz w:val="24"/>
          <w:szCs w:val="24"/>
        </w:rPr>
        <w:t>referencia</w:t>
      </w:r>
      <w:r w:rsidRPr="001D0C10">
        <w:rPr>
          <w:rFonts w:ascii="Book Antiqua" w:eastAsia="Calibri" w:hAnsi="Book Antiqua" w:cs="Arial"/>
          <w:b/>
          <w:bCs/>
          <w:sz w:val="24"/>
          <w:szCs w:val="24"/>
        </w:rPr>
        <w:t xml:space="preserve"> interna 1680-2021).</w:t>
      </w:r>
      <w:r w:rsidR="00CC0AB9">
        <w:rPr>
          <w:rFonts w:ascii="Book Antiqua" w:eastAsia="Calibri" w:hAnsi="Book Antiqua" w:cs="Arial"/>
          <w:sz w:val="24"/>
          <w:szCs w:val="24"/>
        </w:rPr>
        <w:t xml:space="preserve"> </w:t>
      </w:r>
      <w:r>
        <w:rPr>
          <w:rFonts w:ascii="Book Antiqua" w:eastAsia="Calibri" w:hAnsi="Book Antiqua" w:cs="Arial"/>
          <w:sz w:val="24"/>
          <w:szCs w:val="24"/>
        </w:rPr>
        <w:t xml:space="preserve">El informe contempla dentro del análisis la estimación de los asuntos en segunda instancia que dejaran de </w:t>
      </w:r>
      <w:r w:rsidR="00912F27">
        <w:rPr>
          <w:rFonts w:ascii="Book Antiqua" w:eastAsia="Calibri" w:hAnsi="Book Antiqua" w:cs="Arial"/>
          <w:sz w:val="24"/>
          <w:szCs w:val="24"/>
        </w:rPr>
        <w:t>entrar</w:t>
      </w:r>
      <w:r>
        <w:rPr>
          <w:rFonts w:ascii="Book Antiqua" w:eastAsia="Calibri" w:hAnsi="Book Antiqua" w:cs="Arial"/>
          <w:sz w:val="24"/>
          <w:szCs w:val="24"/>
        </w:rPr>
        <w:t xml:space="preserve"> a los juzgados de Familia </w:t>
      </w:r>
      <w:r w:rsidR="00912F27">
        <w:rPr>
          <w:rFonts w:ascii="Book Antiqua" w:eastAsia="Calibri" w:hAnsi="Book Antiqua" w:cs="Arial"/>
          <w:sz w:val="24"/>
          <w:szCs w:val="24"/>
        </w:rPr>
        <w:t xml:space="preserve">por apelaciones en </w:t>
      </w:r>
      <w:r w:rsidR="00912F27" w:rsidRPr="001D0C10">
        <w:rPr>
          <w:rFonts w:ascii="Book Antiqua" w:eastAsia="Calibri" w:hAnsi="Book Antiqua" w:cs="Arial"/>
          <w:i/>
          <w:iCs/>
          <w:sz w:val="24"/>
          <w:szCs w:val="24"/>
        </w:rPr>
        <w:t>“pensiones provisionales”.</w:t>
      </w:r>
    </w:p>
    <w:p w14:paraId="0008008A" w14:textId="77777777" w:rsidR="008532A0" w:rsidRDefault="008532A0" w:rsidP="00D26D89">
      <w:pPr>
        <w:spacing w:after="0" w:line="276" w:lineRule="auto"/>
        <w:jc w:val="both"/>
        <w:rPr>
          <w:rFonts w:ascii="Book Antiqua" w:eastAsia="Calibri" w:hAnsi="Book Antiqua" w:cs="Arial"/>
          <w:sz w:val="24"/>
          <w:szCs w:val="24"/>
        </w:rPr>
      </w:pPr>
    </w:p>
    <w:p w14:paraId="3344C89D" w14:textId="5F04A246" w:rsid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 xml:space="preserve">El cálculo que se realiza para conocer la proporción de recurso humano que se debe </w:t>
      </w:r>
      <w:r w:rsidRPr="00DB6A7E">
        <w:rPr>
          <w:rFonts w:ascii="Book Antiqua" w:eastAsia="Calibri" w:hAnsi="Book Antiqua" w:cs="Arial"/>
          <w:sz w:val="24"/>
          <w:szCs w:val="24"/>
        </w:rPr>
        <w:t>tener en cada oficina considerando una entrada por plaza en el caso de Judicatura 7</w:t>
      </w:r>
      <w:r w:rsidR="00C75F66" w:rsidRPr="00DB6A7E">
        <w:rPr>
          <w:rFonts w:ascii="Book Antiqua" w:eastAsia="Calibri" w:hAnsi="Book Antiqua" w:cs="Arial"/>
          <w:sz w:val="24"/>
          <w:szCs w:val="24"/>
        </w:rPr>
        <w:t>3</w:t>
      </w:r>
      <w:r w:rsidRPr="00DB6A7E">
        <w:rPr>
          <w:rFonts w:ascii="Book Antiqua" w:eastAsia="Calibri" w:hAnsi="Book Antiqua" w:cs="Arial"/>
          <w:sz w:val="24"/>
          <w:szCs w:val="24"/>
        </w:rPr>
        <w:t xml:space="preserve"> y en el del personal técnico 4</w:t>
      </w:r>
      <w:r w:rsidR="008B5A79">
        <w:rPr>
          <w:rFonts w:ascii="Book Antiqua" w:eastAsia="Calibri" w:hAnsi="Book Antiqua" w:cs="Arial"/>
          <w:sz w:val="24"/>
          <w:szCs w:val="24"/>
        </w:rPr>
        <w:t>5</w:t>
      </w:r>
      <w:r w:rsidRPr="00C75F66">
        <w:rPr>
          <w:rFonts w:ascii="Book Antiqua" w:eastAsia="Calibri" w:hAnsi="Book Antiqua" w:cs="Arial"/>
          <w:sz w:val="24"/>
          <w:szCs w:val="24"/>
        </w:rPr>
        <w:t xml:space="preserve"> (</w:t>
      </w:r>
      <w:r w:rsidRPr="00D26D89">
        <w:rPr>
          <w:rFonts w:ascii="Book Antiqua" w:eastAsia="Calibri" w:hAnsi="Book Antiqua" w:cs="Arial"/>
          <w:sz w:val="24"/>
          <w:szCs w:val="24"/>
        </w:rPr>
        <w:t xml:space="preserve">se divide la entrada entre el parámetro para obtener cantidad de recurso humano necesario), manteniendo una relación entre la cantidad de personas técnicas y juzgadoras para la firma de proveído (2 </w:t>
      </w:r>
      <w:r w:rsidR="00364116" w:rsidRPr="00D26D89">
        <w:rPr>
          <w:rFonts w:ascii="Book Antiqua" w:eastAsia="Calibri" w:hAnsi="Book Antiqua" w:cs="Arial"/>
          <w:sz w:val="24"/>
          <w:szCs w:val="24"/>
        </w:rPr>
        <w:t>o</w:t>
      </w:r>
      <w:r w:rsidRPr="00D26D89">
        <w:rPr>
          <w:rFonts w:ascii="Book Antiqua" w:eastAsia="Calibri" w:hAnsi="Book Antiqua" w:cs="Arial"/>
          <w:sz w:val="24"/>
          <w:szCs w:val="24"/>
        </w:rPr>
        <w:t xml:space="preserve"> 3 técnicos por Jueza o Juez).</w:t>
      </w:r>
    </w:p>
    <w:p w14:paraId="765F4344" w14:textId="3FA46F54" w:rsidR="00A96771" w:rsidRDefault="00A96771" w:rsidP="00D26D89">
      <w:pPr>
        <w:spacing w:after="0" w:line="276" w:lineRule="auto"/>
        <w:jc w:val="both"/>
        <w:rPr>
          <w:rFonts w:ascii="Book Antiqua" w:eastAsia="Calibri" w:hAnsi="Book Antiqua" w:cs="Arial"/>
          <w:sz w:val="24"/>
          <w:szCs w:val="24"/>
        </w:rPr>
      </w:pPr>
    </w:p>
    <w:p w14:paraId="2F91FFD6" w14:textId="1E44A68B" w:rsidR="002C37D8" w:rsidRP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 xml:space="preserve">Cuadro </w:t>
      </w:r>
      <w:r w:rsidRPr="002C37D8">
        <w:rPr>
          <w:rFonts w:ascii="Book Antiqua" w:eastAsia="Calibri" w:hAnsi="Book Antiqua" w:cs="Arial"/>
          <w:b/>
          <w:bCs/>
          <w:color w:val="1F497D"/>
          <w:szCs w:val="24"/>
          <w:lang w:val="es-ES" w:eastAsia="es-ES"/>
        </w:rPr>
        <w:fldChar w:fldCharType="begin"/>
      </w:r>
      <w:r w:rsidRPr="002C37D8">
        <w:rPr>
          <w:rFonts w:ascii="Book Antiqua" w:eastAsia="Calibri" w:hAnsi="Book Antiqua" w:cs="Arial"/>
          <w:b/>
          <w:bCs/>
          <w:color w:val="1F497D"/>
          <w:szCs w:val="24"/>
          <w:lang w:val="es-ES" w:eastAsia="es-ES"/>
        </w:rPr>
        <w:instrText xml:space="preserve"> SEQ Cuadro \* ARABIC </w:instrText>
      </w:r>
      <w:r w:rsidRPr="002C37D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24</w:t>
      </w:r>
      <w:r w:rsidRPr="002C37D8">
        <w:rPr>
          <w:rFonts w:ascii="Book Antiqua" w:eastAsia="Calibri" w:hAnsi="Book Antiqua" w:cs="Arial"/>
          <w:b/>
          <w:bCs/>
          <w:color w:val="1F497D"/>
          <w:szCs w:val="24"/>
          <w:lang w:val="es-ES" w:eastAsia="es-ES"/>
        </w:rPr>
        <w:fldChar w:fldCharType="end"/>
      </w:r>
      <w:r w:rsidRPr="002C37D8">
        <w:rPr>
          <w:rFonts w:ascii="Book Antiqua" w:eastAsia="Calibri" w:hAnsi="Book Antiqua" w:cs="Arial"/>
          <w:b/>
          <w:bCs/>
          <w:color w:val="1F497D"/>
          <w:szCs w:val="24"/>
          <w:lang w:val="es-ES" w:eastAsia="es-ES"/>
        </w:rPr>
        <w:t xml:space="preserve"> </w:t>
      </w:r>
    </w:p>
    <w:p w14:paraId="0F107569" w14:textId="77777777" w:rsidR="002C37D8" w:rsidRPr="00847ED1"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47ED1">
        <w:rPr>
          <w:rFonts w:ascii="Book Antiqua" w:eastAsia="Calibri" w:hAnsi="Book Antiqua" w:cs="Arial"/>
          <w:b/>
          <w:bCs/>
          <w:color w:val="1F497D"/>
          <w:szCs w:val="24"/>
          <w:lang w:val="es-ES" w:eastAsia="es-ES"/>
        </w:rPr>
        <w:t xml:space="preserve">Cantidad de persona juzgadora y persona técnica </w:t>
      </w:r>
    </w:p>
    <w:p w14:paraId="0574E742" w14:textId="06136E38" w:rsid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47ED1">
        <w:rPr>
          <w:rFonts w:ascii="Book Antiqua" w:eastAsia="Calibri" w:hAnsi="Book Antiqua" w:cs="Arial"/>
          <w:b/>
          <w:bCs/>
          <w:color w:val="1F497D"/>
          <w:szCs w:val="24"/>
          <w:lang w:val="es-ES" w:eastAsia="es-ES"/>
        </w:rPr>
        <w:t>judicial requeridas según promedio de entrada de casos</w:t>
      </w:r>
    </w:p>
    <w:tbl>
      <w:tblPr>
        <w:tblW w:w="11148" w:type="dxa"/>
        <w:jc w:val="center"/>
        <w:tblCellMar>
          <w:left w:w="70" w:type="dxa"/>
          <w:right w:w="70" w:type="dxa"/>
        </w:tblCellMar>
        <w:tblLook w:val="04A0" w:firstRow="1" w:lastRow="0" w:firstColumn="1" w:lastColumn="0" w:noHBand="0" w:noVBand="1"/>
      </w:tblPr>
      <w:tblGrid>
        <w:gridCol w:w="1962"/>
        <w:gridCol w:w="1050"/>
        <w:gridCol w:w="990"/>
        <w:gridCol w:w="1040"/>
        <w:gridCol w:w="1051"/>
        <w:gridCol w:w="1010"/>
        <w:gridCol w:w="1051"/>
        <w:gridCol w:w="950"/>
        <w:gridCol w:w="1051"/>
        <w:gridCol w:w="993"/>
      </w:tblGrid>
      <w:tr w:rsidR="00847ED1" w:rsidRPr="00847ED1" w14:paraId="5AF3100A" w14:textId="77777777" w:rsidTr="00847ED1">
        <w:trPr>
          <w:trHeight w:val="688"/>
          <w:jc w:val="center"/>
        </w:trPr>
        <w:tc>
          <w:tcPr>
            <w:tcW w:w="2862"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AF557FC"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Despacho</w:t>
            </w:r>
          </w:p>
        </w:tc>
        <w:tc>
          <w:tcPr>
            <w:tcW w:w="884"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13D37B5"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Promedio mensual de entrada estimada con desjudicia- lización</w:t>
            </w:r>
          </w:p>
        </w:tc>
        <w:tc>
          <w:tcPr>
            <w:tcW w:w="859"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48F20CD"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Promedio mensual de terminado</w:t>
            </w:r>
          </w:p>
        </w:tc>
        <w:tc>
          <w:tcPr>
            <w:tcW w:w="875"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1EA30AB"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Relación Salida entrada proyectada</w:t>
            </w:r>
          </w:p>
        </w:tc>
        <w:tc>
          <w:tcPr>
            <w:tcW w:w="1920" w:type="dxa"/>
            <w:gridSpan w:val="2"/>
            <w:tcBorders>
              <w:top w:val="single" w:sz="8" w:space="0" w:color="auto"/>
              <w:left w:val="nil"/>
              <w:bottom w:val="single" w:sz="8" w:space="0" w:color="auto"/>
              <w:right w:val="single" w:sz="8" w:space="0" w:color="000000"/>
            </w:tcBorders>
            <w:shd w:val="clear" w:color="000000" w:fill="002060"/>
            <w:vAlign w:val="center"/>
            <w:hideMark/>
          </w:tcPr>
          <w:p w14:paraId="6059BB94"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Recurso humano actual</w:t>
            </w:r>
          </w:p>
        </w:tc>
        <w:tc>
          <w:tcPr>
            <w:tcW w:w="1869" w:type="dxa"/>
            <w:gridSpan w:val="2"/>
            <w:tcBorders>
              <w:top w:val="single" w:sz="8" w:space="0" w:color="auto"/>
              <w:left w:val="nil"/>
              <w:bottom w:val="single" w:sz="8" w:space="0" w:color="auto"/>
              <w:right w:val="single" w:sz="8" w:space="0" w:color="000000"/>
            </w:tcBorders>
            <w:shd w:val="clear" w:color="000000" w:fill="002060"/>
            <w:vAlign w:val="center"/>
            <w:hideMark/>
          </w:tcPr>
          <w:p w14:paraId="6D7E0417"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Recurso humano requerido</w:t>
            </w:r>
          </w:p>
        </w:tc>
        <w:tc>
          <w:tcPr>
            <w:tcW w:w="1879" w:type="dxa"/>
            <w:gridSpan w:val="2"/>
            <w:tcBorders>
              <w:top w:val="single" w:sz="8" w:space="0" w:color="auto"/>
              <w:left w:val="nil"/>
              <w:bottom w:val="single" w:sz="8" w:space="0" w:color="auto"/>
              <w:right w:val="single" w:sz="8" w:space="0" w:color="000000"/>
            </w:tcBorders>
            <w:shd w:val="clear" w:color="000000" w:fill="002060"/>
            <w:vAlign w:val="center"/>
            <w:hideMark/>
          </w:tcPr>
          <w:p w14:paraId="166FD2B4"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Variación</w:t>
            </w:r>
          </w:p>
        </w:tc>
      </w:tr>
      <w:tr w:rsidR="00847ED1" w:rsidRPr="00847ED1" w14:paraId="0B745BDB" w14:textId="77777777" w:rsidTr="00847ED1">
        <w:trPr>
          <w:trHeight w:val="867"/>
          <w:jc w:val="center"/>
        </w:trPr>
        <w:tc>
          <w:tcPr>
            <w:tcW w:w="2862" w:type="dxa"/>
            <w:vMerge/>
            <w:tcBorders>
              <w:top w:val="single" w:sz="8" w:space="0" w:color="auto"/>
              <w:left w:val="single" w:sz="8" w:space="0" w:color="auto"/>
              <w:bottom w:val="single" w:sz="8" w:space="0" w:color="000000"/>
              <w:right w:val="single" w:sz="8" w:space="0" w:color="auto"/>
            </w:tcBorders>
            <w:vAlign w:val="center"/>
            <w:hideMark/>
          </w:tcPr>
          <w:p w14:paraId="39BB48DE" w14:textId="77777777" w:rsidR="00847ED1" w:rsidRPr="00847ED1" w:rsidRDefault="00847ED1" w:rsidP="00847ED1">
            <w:pPr>
              <w:spacing w:after="0" w:line="240" w:lineRule="auto"/>
              <w:rPr>
                <w:rFonts w:ascii="Book Antiqua" w:eastAsia="Times New Roman" w:hAnsi="Book Antiqua" w:cs="Calibri"/>
                <w:b/>
                <w:bCs/>
                <w:color w:val="FFFFFF"/>
                <w:sz w:val="18"/>
                <w:szCs w:val="18"/>
                <w:lang w:eastAsia="es-CR"/>
              </w:rPr>
            </w:pPr>
          </w:p>
        </w:tc>
        <w:tc>
          <w:tcPr>
            <w:tcW w:w="884" w:type="dxa"/>
            <w:vMerge/>
            <w:tcBorders>
              <w:top w:val="single" w:sz="8" w:space="0" w:color="auto"/>
              <w:left w:val="single" w:sz="8" w:space="0" w:color="auto"/>
              <w:bottom w:val="single" w:sz="8" w:space="0" w:color="000000"/>
              <w:right w:val="single" w:sz="8" w:space="0" w:color="auto"/>
            </w:tcBorders>
            <w:vAlign w:val="center"/>
            <w:hideMark/>
          </w:tcPr>
          <w:p w14:paraId="60E74271" w14:textId="77777777" w:rsidR="00847ED1" w:rsidRPr="00847ED1" w:rsidRDefault="00847ED1" w:rsidP="00847ED1">
            <w:pPr>
              <w:spacing w:after="0" w:line="240" w:lineRule="auto"/>
              <w:rPr>
                <w:rFonts w:ascii="Book Antiqua" w:eastAsia="Times New Roman" w:hAnsi="Book Antiqua" w:cs="Calibri"/>
                <w:b/>
                <w:bCs/>
                <w:color w:val="FFFFFF"/>
                <w:sz w:val="18"/>
                <w:szCs w:val="18"/>
                <w:lang w:eastAsia="es-CR"/>
              </w:rPr>
            </w:pPr>
          </w:p>
        </w:tc>
        <w:tc>
          <w:tcPr>
            <w:tcW w:w="859" w:type="dxa"/>
            <w:vMerge/>
            <w:tcBorders>
              <w:top w:val="single" w:sz="8" w:space="0" w:color="auto"/>
              <w:left w:val="single" w:sz="8" w:space="0" w:color="auto"/>
              <w:bottom w:val="single" w:sz="8" w:space="0" w:color="000000"/>
              <w:right w:val="single" w:sz="8" w:space="0" w:color="auto"/>
            </w:tcBorders>
            <w:vAlign w:val="center"/>
            <w:hideMark/>
          </w:tcPr>
          <w:p w14:paraId="22ECC211" w14:textId="77777777" w:rsidR="00847ED1" w:rsidRPr="00847ED1" w:rsidRDefault="00847ED1" w:rsidP="00847ED1">
            <w:pPr>
              <w:spacing w:after="0" w:line="240" w:lineRule="auto"/>
              <w:rPr>
                <w:rFonts w:ascii="Book Antiqua" w:eastAsia="Times New Roman" w:hAnsi="Book Antiqua" w:cs="Calibri"/>
                <w:b/>
                <w:bCs/>
                <w:color w:val="FFFFFF"/>
                <w:sz w:val="18"/>
                <w:szCs w:val="18"/>
                <w:lang w:eastAsia="es-CR"/>
              </w:rPr>
            </w:pPr>
          </w:p>
        </w:tc>
        <w:tc>
          <w:tcPr>
            <w:tcW w:w="875" w:type="dxa"/>
            <w:vMerge/>
            <w:tcBorders>
              <w:top w:val="single" w:sz="8" w:space="0" w:color="auto"/>
              <w:left w:val="single" w:sz="8" w:space="0" w:color="auto"/>
              <w:bottom w:val="single" w:sz="8" w:space="0" w:color="000000"/>
              <w:right w:val="single" w:sz="8" w:space="0" w:color="auto"/>
            </w:tcBorders>
            <w:vAlign w:val="center"/>
            <w:hideMark/>
          </w:tcPr>
          <w:p w14:paraId="6FDDD7EC" w14:textId="77777777" w:rsidR="00847ED1" w:rsidRPr="00847ED1" w:rsidRDefault="00847ED1" w:rsidP="00847ED1">
            <w:pPr>
              <w:spacing w:after="0" w:line="240" w:lineRule="auto"/>
              <w:rPr>
                <w:rFonts w:ascii="Book Antiqua" w:eastAsia="Times New Roman" w:hAnsi="Book Antiqua" w:cs="Calibri"/>
                <w:b/>
                <w:bCs/>
                <w:color w:val="FFFFFF"/>
                <w:sz w:val="18"/>
                <w:szCs w:val="18"/>
                <w:lang w:eastAsia="es-CR"/>
              </w:rPr>
            </w:pPr>
          </w:p>
        </w:tc>
        <w:tc>
          <w:tcPr>
            <w:tcW w:w="909" w:type="dxa"/>
            <w:tcBorders>
              <w:top w:val="nil"/>
              <w:left w:val="nil"/>
              <w:bottom w:val="single" w:sz="8" w:space="0" w:color="auto"/>
              <w:right w:val="single" w:sz="8" w:space="0" w:color="auto"/>
            </w:tcBorders>
            <w:shd w:val="clear" w:color="000000" w:fill="002060"/>
            <w:vAlign w:val="center"/>
            <w:hideMark/>
          </w:tcPr>
          <w:p w14:paraId="2CB15918"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Personas Juzgadoras</w:t>
            </w:r>
          </w:p>
        </w:tc>
        <w:tc>
          <w:tcPr>
            <w:tcW w:w="1010" w:type="dxa"/>
            <w:tcBorders>
              <w:top w:val="nil"/>
              <w:left w:val="nil"/>
              <w:bottom w:val="single" w:sz="8" w:space="0" w:color="auto"/>
              <w:right w:val="single" w:sz="8" w:space="0" w:color="auto"/>
            </w:tcBorders>
            <w:shd w:val="clear" w:color="000000" w:fill="002060"/>
            <w:vAlign w:val="center"/>
            <w:hideMark/>
          </w:tcPr>
          <w:p w14:paraId="2AB3B7F9"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Personas Técnicas Judiciales Trámite</w:t>
            </w:r>
          </w:p>
        </w:tc>
        <w:tc>
          <w:tcPr>
            <w:tcW w:w="943" w:type="dxa"/>
            <w:tcBorders>
              <w:top w:val="nil"/>
              <w:left w:val="nil"/>
              <w:bottom w:val="single" w:sz="8" w:space="0" w:color="auto"/>
              <w:right w:val="single" w:sz="8" w:space="0" w:color="auto"/>
            </w:tcBorders>
            <w:shd w:val="clear" w:color="000000" w:fill="002060"/>
            <w:vAlign w:val="center"/>
            <w:hideMark/>
          </w:tcPr>
          <w:p w14:paraId="4BA5A585"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Personas Juzgadoras</w:t>
            </w:r>
          </w:p>
        </w:tc>
        <w:tc>
          <w:tcPr>
            <w:tcW w:w="926" w:type="dxa"/>
            <w:tcBorders>
              <w:top w:val="nil"/>
              <w:left w:val="nil"/>
              <w:bottom w:val="single" w:sz="8" w:space="0" w:color="auto"/>
              <w:right w:val="single" w:sz="8" w:space="0" w:color="auto"/>
            </w:tcBorders>
            <w:shd w:val="clear" w:color="000000" w:fill="002060"/>
            <w:vAlign w:val="center"/>
            <w:hideMark/>
          </w:tcPr>
          <w:p w14:paraId="2CCBC5E5"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Personas Técnicas Judiciales Trámite</w:t>
            </w:r>
          </w:p>
        </w:tc>
        <w:tc>
          <w:tcPr>
            <w:tcW w:w="885" w:type="dxa"/>
            <w:tcBorders>
              <w:top w:val="nil"/>
              <w:left w:val="nil"/>
              <w:bottom w:val="single" w:sz="8" w:space="0" w:color="auto"/>
              <w:right w:val="single" w:sz="8" w:space="0" w:color="auto"/>
            </w:tcBorders>
            <w:shd w:val="clear" w:color="000000" w:fill="002060"/>
            <w:vAlign w:val="center"/>
            <w:hideMark/>
          </w:tcPr>
          <w:p w14:paraId="2073AF38"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Personas Juzgadoras</w:t>
            </w:r>
          </w:p>
        </w:tc>
        <w:tc>
          <w:tcPr>
            <w:tcW w:w="993" w:type="dxa"/>
            <w:tcBorders>
              <w:top w:val="nil"/>
              <w:left w:val="nil"/>
              <w:bottom w:val="single" w:sz="8" w:space="0" w:color="auto"/>
              <w:right w:val="single" w:sz="8" w:space="0" w:color="auto"/>
            </w:tcBorders>
            <w:shd w:val="clear" w:color="000000" w:fill="002060"/>
            <w:vAlign w:val="center"/>
            <w:hideMark/>
          </w:tcPr>
          <w:p w14:paraId="1115C6B2" w14:textId="77777777" w:rsidR="00847ED1" w:rsidRPr="00847ED1" w:rsidRDefault="00847ED1" w:rsidP="00847ED1">
            <w:pPr>
              <w:spacing w:after="0" w:line="240" w:lineRule="auto"/>
              <w:jc w:val="center"/>
              <w:rPr>
                <w:rFonts w:ascii="Book Antiqua" w:eastAsia="Times New Roman" w:hAnsi="Book Antiqua" w:cs="Calibri"/>
                <w:b/>
                <w:bCs/>
                <w:color w:val="FFFFFF"/>
                <w:sz w:val="18"/>
                <w:szCs w:val="18"/>
                <w:lang w:eastAsia="es-CR"/>
              </w:rPr>
            </w:pPr>
            <w:r w:rsidRPr="00847ED1">
              <w:rPr>
                <w:rFonts w:ascii="Book Antiqua" w:eastAsia="Times New Roman" w:hAnsi="Book Antiqua" w:cs="Calibri"/>
                <w:b/>
                <w:bCs/>
                <w:color w:val="FFFFFF"/>
                <w:sz w:val="18"/>
                <w:szCs w:val="18"/>
                <w:lang w:eastAsia="es-CR"/>
              </w:rPr>
              <w:t>Personas Técnicas Judiciales</w:t>
            </w:r>
          </w:p>
        </w:tc>
      </w:tr>
      <w:tr w:rsidR="00847ED1" w:rsidRPr="00847ED1" w14:paraId="139F6B9E"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09F49516"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Familia Cartago</w:t>
            </w:r>
          </w:p>
        </w:tc>
        <w:tc>
          <w:tcPr>
            <w:tcW w:w="884" w:type="dxa"/>
            <w:tcBorders>
              <w:top w:val="nil"/>
              <w:left w:val="nil"/>
              <w:bottom w:val="single" w:sz="8" w:space="0" w:color="auto"/>
              <w:right w:val="single" w:sz="8" w:space="0" w:color="auto"/>
            </w:tcBorders>
            <w:shd w:val="clear" w:color="auto" w:fill="auto"/>
            <w:noWrap/>
            <w:vAlign w:val="center"/>
            <w:hideMark/>
          </w:tcPr>
          <w:p w14:paraId="07082D22"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320</w:t>
            </w:r>
          </w:p>
        </w:tc>
        <w:tc>
          <w:tcPr>
            <w:tcW w:w="859" w:type="dxa"/>
            <w:tcBorders>
              <w:top w:val="nil"/>
              <w:left w:val="nil"/>
              <w:bottom w:val="single" w:sz="8" w:space="0" w:color="auto"/>
              <w:right w:val="single" w:sz="8" w:space="0" w:color="auto"/>
            </w:tcBorders>
            <w:shd w:val="clear" w:color="auto" w:fill="auto"/>
            <w:noWrap/>
            <w:vAlign w:val="center"/>
            <w:hideMark/>
          </w:tcPr>
          <w:p w14:paraId="5FB8376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352</w:t>
            </w:r>
          </w:p>
        </w:tc>
        <w:tc>
          <w:tcPr>
            <w:tcW w:w="875" w:type="dxa"/>
            <w:tcBorders>
              <w:top w:val="nil"/>
              <w:left w:val="nil"/>
              <w:bottom w:val="single" w:sz="8" w:space="0" w:color="auto"/>
              <w:right w:val="single" w:sz="8" w:space="0" w:color="auto"/>
            </w:tcBorders>
            <w:shd w:val="clear" w:color="auto" w:fill="auto"/>
            <w:vAlign w:val="center"/>
            <w:hideMark/>
          </w:tcPr>
          <w:p w14:paraId="39328A9E"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110%</w:t>
            </w:r>
          </w:p>
        </w:tc>
        <w:tc>
          <w:tcPr>
            <w:tcW w:w="909" w:type="dxa"/>
            <w:tcBorders>
              <w:top w:val="nil"/>
              <w:left w:val="nil"/>
              <w:bottom w:val="single" w:sz="8" w:space="0" w:color="auto"/>
              <w:right w:val="single" w:sz="8" w:space="0" w:color="auto"/>
            </w:tcBorders>
            <w:shd w:val="clear" w:color="auto" w:fill="auto"/>
            <w:noWrap/>
            <w:vAlign w:val="center"/>
            <w:hideMark/>
          </w:tcPr>
          <w:p w14:paraId="62FC9036"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1010" w:type="dxa"/>
            <w:tcBorders>
              <w:top w:val="nil"/>
              <w:left w:val="nil"/>
              <w:bottom w:val="single" w:sz="8" w:space="0" w:color="auto"/>
              <w:right w:val="single" w:sz="8" w:space="0" w:color="auto"/>
            </w:tcBorders>
            <w:shd w:val="clear" w:color="auto" w:fill="auto"/>
            <w:noWrap/>
            <w:vAlign w:val="center"/>
            <w:hideMark/>
          </w:tcPr>
          <w:p w14:paraId="0E35460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5</w:t>
            </w:r>
          </w:p>
        </w:tc>
        <w:tc>
          <w:tcPr>
            <w:tcW w:w="943" w:type="dxa"/>
            <w:tcBorders>
              <w:top w:val="nil"/>
              <w:left w:val="nil"/>
              <w:bottom w:val="single" w:sz="8" w:space="0" w:color="auto"/>
              <w:right w:val="single" w:sz="8" w:space="0" w:color="auto"/>
            </w:tcBorders>
            <w:shd w:val="clear" w:color="000000" w:fill="DBE5F1"/>
            <w:noWrap/>
            <w:vAlign w:val="center"/>
            <w:hideMark/>
          </w:tcPr>
          <w:p w14:paraId="2CCC4F4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4</w:t>
            </w:r>
          </w:p>
        </w:tc>
        <w:tc>
          <w:tcPr>
            <w:tcW w:w="926" w:type="dxa"/>
            <w:tcBorders>
              <w:top w:val="nil"/>
              <w:left w:val="nil"/>
              <w:bottom w:val="single" w:sz="8" w:space="0" w:color="auto"/>
              <w:right w:val="single" w:sz="8" w:space="0" w:color="auto"/>
            </w:tcBorders>
            <w:shd w:val="clear" w:color="000000" w:fill="DBE5F1"/>
            <w:noWrap/>
            <w:vAlign w:val="center"/>
            <w:hideMark/>
          </w:tcPr>
          <w:p w14:paraId="350A8E12"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7</w:t>
            </w:r>
          </w:p>
        </w:tc>
        <w:tc>
          <w:tcPr>
            <w:tcW w:w="885" w:type="dxa"/>
            <w:tcBorders>
              <w:top w:val="nil"/>
              <w:left w:val="nil"/>
              <w:bottom w:val="single" w:sz="8" w:space="0" w:color="auto"/>
              <w:right w:val="single" w:sz="8" w:space="0" w:color="auto"/>
            </w:tcBorders>
            <w:shd w:val="clear" w:color="000000" w:fill="FDE9D9"/>
            <w:noWrap/>
            <w:vAlign w:val="center"/>
            <w:hideMark/>
          </w:tcPr>
          <w:p w14:paraId="70F90740" w14:textId="4E3B4557" w:rsidR="00847ED1" w:rsidRPr="00847ED1" w:rsidRDefault="00303AE6" w:rsidP="00847E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00847ED1" w:rsidRPr="00847ED1">
              <w:rPr>
                <w:rFonts w:ascii="Book Antiqua" w:eastAsia="Times New Roman" w:hAnsi="Book Antiqua" w:cs="Calibri"/>
                <w:color w:val="000000"/>
                <w:sz w:val="18"/>
                <w:szCs w:val="18"/>
                <w:lang w:eastAsia="es-CR"/>
              </w:rPr>
              <w:t>1</w:t>
            </w:r>
          </w:p>
        </w:tc>
        <w:tc>
          <w:tcPr>
            <w:tcW w:w="993" w:type="dxa"/>
            <w:tcBorders>
              <w:top w:val="nil"/>
              <w:left w:val="nil"/>
              <w:bottom w:val="single" w:sz="8" w:space="0" w:color="auto"/>
              <w:right w:val="single" w:sz="8" w:space="0" w:color="auto"/>
            </w:tcBorders>
            <w:shd w:val="clear" w:color="000000" w:fill="FDE9D9"/>
            <w:noWrap/>
            <w:vAlign w:val="center"/>
            <w:hideMark/>
          </w:tcPr>
          <w:p w14:paraId="1C9823BB" w14:textId="52DFF079" w:rsidR="00847ED1" w:rsidRPr="00847ED1" w:rsidRDefault="00303AE6" w:rsidP="00847E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00847ED1" w:rsidRPr="00847ED1">
              <w:rPr>
                <w:rFonts w:ascii="Book Antiqua" w:eastAsia="Times New Roman" w:hAnsi="Book Antiqua" w:cs="Calibri"/>
                <w:color w:val="000000"/>
                <w:sz w:val="18"/>
                <w:szCs w:val="18"/>
                <w:lang w:eastAsia="es-CR"/>
              </w:rPr>
              <w:t>2</w:t>
            </w:r>
          </w:p>
        </w:tc>
      </w:tr>
      <w:tr w:rsidR="00847ED1" w:rsidRPr="00847ED1" w14:paraId="69BB6EA6"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65F04617"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Familia Heredia</w:t>
            </w:r>
          </w:p>
        </w:tc>
        <w:tc>
          <w:tcPr>
            <w:tcW w:w="884" w:type="dxa"/>
            <w:tcBorders>
              <w:top w:val="nil"/>
              <w:left w:val="nil"/>
              <w:bottom w:val="single" w:sz="8" w:space="0" w:color="auto"/>
              <w:right w:val="single" w:sz="8" w:space="0" w:color="auto"/>
            </w:tcBorders>
            <w:shd w:val="clear" w:color="auto" w:fill="auto"/>
            <w:noWrap/>
            <w:vAlign w:val="center"/>
            <w:hideMark/>
          </w:tcPr>
          <w:p w14:paraId="4DBDDB50"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288</w:t>
            </w:r>
          </w:p>
        </w:tc>
        <w:tc>
          <w:tcPr>
            <w:tcW w:w="859" w:type="dxa"/>
            <w:tcBorders>
              <w:top w:val="nil"/>
              <w:left w:val="nil"/>
              <w:bottom w:val="single" w:sz="8" w:space="0" w:color="auto"/>
              <w:right w:val="single" w:sz="8" w:space="0" w:color="auto"/>
            </w:tcBorders>
            <w:shd w:val="clear" w:color="auto" w:fill="auto"/>
            <w:noWrap/>
            <w:vAlign w:val="center"/>
            <w:hideMark/>
          </w:tcPr>
          <w:p w14:paraId="079368A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310</w:t>
            </w:r>
          </w:p>
        </w:tc>
        <w:tc>
          <w:tcPr>
            <w:tcW w:w="875" w:type="dxa"/>
            <w:tcBorders>
              <w:top w:val="nil"/>
              <w:left w:val="nil"/>
              <w:bottom w:val="single" w:sz="8" w:space="0" w:color="auto"/>
              <w:right w:val="single" w:sz="8" w:space="0" w:color="auto"/>
            </w:tcBorders>
            <w:shd w:val="clear" w:color="auto" w:fill="auto"/>
            <w:vAlign w:val="center"/>
            <w:hideMark/>
          </w:tcPr>
          <w:p w14:paraId="3D237BCE"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107%</w:t>
            </w:r>
          </w:p>
        </w:tc>
        <w:tc>
          <w:tcPr>
            <w:tcW w:w="909" w:type="dxa"/>
            <w:tcBorders>
              <w:top w:val="nil"/>
              <w:left w:val="nil"/>
              <w:bottom w:val="single" w:sz="8" w:space="0" w:color="auto"/>
              <w:right w:val="single" w:sz="8" w:space="0" w:color="auto"/>
            </w:tcBorders>
            <w:shd w:val="clear" w:color="auto" w:fill="auto"/>
            <w:noWrap/>
            <w:vAlign w:val="center"/>
            <w:hideMark/>
          </w:tcPr>
          <w:p w14:paraId="15516834"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4</w:t>
            </w:r>
          </w:p>
        </w:tc>
        <w:tc>
          <w:tcPr>
            <w:tcW w:w="1010" w:type="dxa"/>
            <w:tcBorders>
              <w:top w:val="nil"/>
              <w:left w:val="nil"/>
              <w:bottom w:val="single" w:sz="8" w:space="0" w:color="auto"/>
              <w:right w:val="single" w:sz="8" w:space="0" w:color="auto"/>
            </w:tcBorders>
            <w:shd w:val="clear" w:color="auto" w:fill="auto"/>
            <w:noWrap/>
            <w:vAlign w:val="center"/>
            <w:hideMark/>
          </w:tcPr>
          <w:p w14:paraId="6F17489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7</w:t>
            </w:r>
          </w:p>
        </w:tc>
        <w:tc>
          <w:tcPr>
            <w:tcW w:w="943" w:type="dxa"/>
            <w:tcBorders>
              <w:top w:val="nil"/>
              <w:left w:val="nil"/>
              <w:bottom w:val="single" w:sz="8" w:space="0" w:color="auto"/>
              <w:right w:val="single" w:sz="8" w:space="0" w:color="auto"/>
            </w:tcBorders>
            <w:shd w:val="clear" w:color="000000" w:fill="DBE5F1"/>
            <w:noWrap/>
            <w:vAlign w:val="center"/>
            <w:hideMark/>
          </w:tcPr>
          <w:p w14:paraId="6B4991F0"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4</w:t>
            </w:r>
          </w:p>
        </w:tc>
        <w:tc>
          <w:tcPr>
            <w:tcW w:w="926" w:type="dxa"/>
            <w:tcBorders>
              <w:top w:val="nil"/>
              <w:left w:val="nil"/>
              <w:bottom w:val="single" w:sz="8" w:space="0" w:color="auto"/>
              <w:right w:val="single" w:sz="8" w:space="0" w:color="auto"/>
            </w:tcBorders>
            <w:shd w:val="clear" w:color="000000" w:fill="DBE5F1"/>
            <w:noWrap/>
            <w:vAlign w:val="center"/>
            <w:hideMark/>
          </w:tcPr>
          <w:p w14:paraId="00709B67"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6</w:t>
            </w:r>
          </w:p>
        </w:tc>
        <w:tc>
          <w:tcPr>
            <w:tcW w:w="885" w:type="dxa"/>
            <w:tcBorders>
              <w:top w:val="nil"/>
              <w:left w:val="nil"/>
              <w:bottom w:val="single" w:sz="8" w:space="0" w:color="auto"/>
              <w:right w:val="single" w:sz="8" w:space="0" w:color="auto"/>
            </w:tcBorders>
            <w:shd w:val="clear" w:color="000000" w:fill="FDE9D9"/>
            <w:noWrap/>
            <w:vAlign w:val="center"/>
            <w:hideMark/>
          </w:tcPr>
          <w:p w14:paraId="7B067197"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c>
          <w:tcPr>
            <w:tcW w:w="993" w:type="dxa"/>
            <w:tcBorders>
              <w:top w:val="nil"/>
              <w:left w:val="nil"/>
              <w:bottom w:val="single" w:sz="8" w:space="0" w:color="auto"/>
              <w:right w:val="single" w:sz="8" w:space="0" w:color="auto"/>
            </w:tcBorders>
            <w:shd w:val="clear" w:color="000000" w:fill="FDE9D9"/>
            <w:noWrap/>
            <w:vAlign w:val="center"/>
            <w:hideMark/>
          </w:tcPr>
          <w:p w14:paraId="4140B062"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w:t>
            </w:r>
          </w:p>
        </w:tc>
      </w:tr>
      <w:tr w:rsidR="00847ED1" w:rsidRPr="00847ED1" w14:paraId="3A90CD5E"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5690C858"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Familia I Circ. Jud. de Alajuela</w:t>
            </w:r>
          </w:p>
        </w:tc>
        <w:tc>
          <w:tcPr>
            <w:tcW w:w="884" w:type="dxa"/>
            <w:tcBorders>
              <w:top w:val="nil"/>
              <w:left w:val="nil"/>
              <w:bottom w:val="single" w:sz="8" w:space="0" w:color="auto"/>
              <w:right w:val="single" w:sz="8" w:space="0" w:color="auto"/>
            </w:tcBorders>
            <w:shd w:val="clear" w:color="auto" w:fill="auto"/>
            <w:noWrap/>
            <w:vAlign w:val="center"/>
            <w:hideMark/>
          </w:tcPr>
          <w:p w14:paraId="0B62C35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239</w:t>
            </w:r>
          </w:p>
        </w:tc>
        <w:tc>
          <w:tcPr>
            <w:tcW w:w="859" w:type="dxa"/>
            <w:tcBorders>
              <w:top w:val="nil"/>
              <w:left w:val="nil"/>
              <w:bottom w:val="single" w:sz="8" w:space="0" w:color="auto"/>
              <w:right w:val="single" w:sz="8" w:space="0" w:color="auto"/>
            </w:tcBorders>
            <w:shd w:val="clear" w:color="auto" w:fill="auto"/>
            <w:noWrap/>
            <w:vAlign w:val="center"/>
            <w:hideMark/>
          </w:tcPr>
          <w:p w14:paraId="66ECC59B"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191</w:t>
            </w:r>
          </w:p>
        </w:tc>
        <w:tc>
          <w:tcPr>
            <w:tcW w:w="875" w:type="dxa"/>
            <w:tcBorders>
              <w:top w:val="nil"/>
              <w:left w:val="nil"/>
              <w:bottom w:val="single" w:sz="8" w:space="0" w:color="auto"/>
              <w:right w:val="single" w:sz="8" w:space="0" w:color="auto"/>
            </w:tcBorders>
            <w:shd w:val="clear" w:color="auto" w:fill="auto"/>
            <w:vAlign w:val="center"/>
            <w:hideMark/>
          </w:tcPr>
          <w:p w14:paraId="2465C5D1"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80%</w:t>
            </w:r>
          </w:p>
        </w:tc>
        <w:tc>
          <w:tcPr>
            <w:tcW w:w="909" w:type="dxa"/>
            <w:tcBorders>
              <w:top w:val="nil"/>
              <w:left w:val="nil"/>
              <w:bottom w:val="single" w:sz="8" w:space="0" w:color="auto"/>
              <w:right w:val="single" w:sz="8" w:space="0" w:color="auto"/>
            </w:tcBorders>
            <w:shd w:val="clear" w:color="auto" w:fill="auto"/>
            <w:noWrap/>
            <w:vAlign w:val="center"/>
            <w:hideMark/>
          </w:tcPr>
          <w:p w14:paraId="6F62BC16"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1010" w:type="dxa"/>
            <w:tcBorders>
              <w:top w:val="nil"/>
              <w:left w:val="nil"/>
              <w:bottom w:val="single" w:sz="8" w:space="0" w:color="auto"/>
              <w:right w:val="single" w:sz="8" w:space="0" w:color="auto"/>
            </w:tcBorders>
            <w:shd w:val="clear" w:color="auto" w:fill="auto"/>
            <w:noWrap/>
            <w:vAlign w:val="center"/>
            <w:hideMark/>
          </w:tcPr>
          <w:p w14:paraId="39D69E0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5</w:t>
            </w:r>
          </w:p>
        </w:tc>
        <w:tc>
          <w:tcPr>
            <w:tcW w:w="943" w:type="dxa"/>
            <w:tcBorders>
              <w:top w:val="nil"/>
              <w:left w:val="nil"/>
              <w:bottom w:val="single" w:sz="8" w:space="0" w:color="auto"/>
              <w:right w:val="single" w:sz="8" w:space="0" w:color="auto"/>
            </w:tcBorders>
            <w:shd w:val="clear" w:color="000000" w:fill="DBE5F1"/>
            <w:noWrap/>
            <w:vAlign w:val="center"/>
            <w:hideMark/>
          </w:tcPr>
          <w:p w14:paraId="7979BDD2"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926" w:type="dxa"/>
            <w:tcBorders>
              <w:top w:val="nil"/>
              <w:left w:val="nil"/>
              <w:bottom w:val="single" w:sz="8" w:space="0" w:color="auto"/>
              <w:right w:val="single" w:sz="8" w:space="0" w:color="auto"/>
            </w:tcBorders>
            <w:shd w:val="clear" w:color="000000" w:fill="DBE5F1"/>
            <w:noWrap/>
            <w:vAlign w:val="center"/>
            <w:hideMark/>
          </w:tcPr>
          <w:p w14:paraId="4E741979"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5</w:t>
            </w:r>
          </w:p>
        </w:tc>
        <w:tc>
          <w:tcPr>
            <w:tcW w:w="885" w:type="dxa"/>
            <w:tcBorders>
              <w:top w:val="nil"/>
              <w:left w:val="nil"/>
              <w:bottom w:val="single" w:sz="8" w:space="0" w:color="auto"/>
              <w:right w:val="single" w:sz="8" w:space="0" w:color="auto"/>
            </w:tcBorders>
            <w:shd w:val="clear" w:color="000000" w:fill="FDE9D9"/>
            <w:noWrap/>
            <w:vAlign w:val="center"/>
            <w:hideMark/>
          </w:tcPr>
          <w:p w14:paraId="57021E4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c>
          <w:tcPr>
            <w:tcW w:w="993" w:type="dxa"/>
            <w:tcBorders>
              <w:top w:val="nil"/>
              <w:left w:val="nil"/>
              <w:bottom w:val="single" w:sz="8" w:space="0" w:color="auto"/>
              <w:right w:val="single" w:sz="8" w:space="0" w:color="auto"/>
            </w:tcBorders>
            <w:shd w:val="clear" w:color="000000" w:fill="FDE9D9"/>
            <w:noWrap/>
            <w:vAlign w:val="center"/>
            <w:hideMark/>
          </w:tcPr>
          <w:p w14:paraId="07509C82"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r>
      <w:tr w:rsidR="00847ED1" w:rsidRPr="00847ED1" w14:paraId="66B45842" w14:textId="77777777" w:rsidTr="00847ED1">
        <w:trPr>
          <w:trHeight w:val="438"/>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60235415"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Familia I Circ. Jud. Zona Atlántica</w:t>
            </w:r>
          </w:p>
        </w:tc>
        <w:tc>
          <w:tcPr>
            <w:tcW w:w="884" w:type="dxa"/>
            <w:tcBorders>
              <w:top w:val="nil"/>
              <w:left w:val="nil"/>
              <w:bottom w:val="single" w:sz="8" w:space="0" w:color="auto"/>
              <w:right w:val="single" w:sz="8" w:space="0" w:color="auto"/>
            </w:tcBorders>
            <w:shd w:val="clear" w:color="auto" w:fill="auto"/>
            <w:noWrap/>
            <w:vAlign w:val="center"/>
            <w:hideMark/>
          </w:tcPr>
          <w:p w14:paraId="465D87A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118</w:t>
            </w:r>
          </w:p>
        </w:tc>
        <w:tc>
          <w:tcPr>
            <w:tcW w:w="859" w:type="dxa"/>
            <w:tcBorders>
              <w:top w:val="nil"/>
              <w:left w:val="nil"/>
              <w:bottom w:val="single" w:sz="8" w:space="0" w:color="auto"/>
              <w:right w:val="single" w:sz="8" w:space="0" w:color="auto"/>
            </w:tcBorders>
            <w:shd w:val="clear" w:color="auto" w:fill="auto"/>
            <w:noWrap/>
            <w:vAlign w:val="center"/>
            <w:hideMark/>
          </w:tcPr>
          <w:p w14:paraId="0D2A5D07"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93</w:t>
            </w:r>
          </w:p>
        </w:tc>
        <w:tc>
          <w:tcPr>
            <w:tcW w:w="875" w:type="dxa"/>
            <w:tcBorders>
              <w:top w:val="nil"/>
              <w:left w:val="nil"/>
              <w:bottom w:val="single" w:sz="8" w:space="0" w:color="auto"/>
              <w:right w:val="single" w:sz="8" w:space="0" w:color="auto"/>
            </w:tcBorders>
            <w:shd w:val="clear" w:color="auto" w:fill="auto"/>
            <w:vAlign w:val="center"/>
            <w:hideMark/>
          </w:tcPr>
          <w:p w14:paraId="2D3F87F9"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79%</w:t>
            </w:r>
          </w:p>
        </w:tc>
        <w:tc>
          <w:tcPr>
            <w:tcW w:w="909" w:type="dxa"/>
            <w:tcBorders>
              <w:top w:val="nil"/>
              <w:left w:val="nil"/>
              <w:bottom w:val="single" w:sz="8" w:space="0" w:color="auto"/>
              <w:right w:val="single" w:sz="8" w:space="0" w:color="auto"/>
            </w:tcBorders>
            <w:shd w:val="clear" w:color="auto" w:fill="auto"/>
            <w:noWrap/>
            <w:vAlign w:val="center"/>
            <w:hideMark/>
          </w:tcPr>
          <w:p w14:paraId="7950184C"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1010" w:type="dxa"/>
            <w:tcBorders>
              <w:top w:val="nil"/>
              <w:left w:val="nil"/>
              <w:bottom w:val="single" w:sz="8" w:space="0" w:color="auto"/>
              <w:right w:val="single" w:sz="8" w:space="0" w:color="auto"/>
            </w:tcBorders>
            <w:shd w:val="clear" w:color="auto" w:fill="auto"/>
            <w:noWrap/>
            <w:vAlign w:val="center"/>
            <w:hideMark/>
          </w:tcPr>
          <w:p w14:paraId="10C10855"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4</w:t>
            </w:r>
          </w:p>
        </w:tc>
        <w:tc>
          <w:tcPr>
            <w:tcW w:w="943" w:type="dxa"/>
            <w:tcBorders>
              <w:top w:val="nil"/>
              <w:left w:val="nil"/>
              <w:bottom w:val="single" w:sz="8" w:space="0" w:color="auto"/>
              <w:right w:val="single" w:sz="8" w:space="0" w:color="auto"/>
            </w:tcBorders>
            <w:shd w:val="clear" w:color="000000" w:fill="DBE5F1"/>
            <w:noWrap/>
            <w:vAlign w:val="center"/>
            <w:hideMark/>
          </w:tcPr>
          <w:p w14:paraId="58696DEF"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926" w:type="dxa"/>
            <w:tcBorders>
              <w:top w:val="nil"/>
              <w:left w:val="nil"/>
              <w:bottom w:val="single" w:sz="8" w:space="0" w:color="auto"/>
              <w:right w:val="single" w:sz="8" w:space="0" w:color="auto"/>
            </w:tcBorders>
            <w:shd w:val="clear" w:color="000000" w:fill="DBE5F1"/>
            <w:noWrap/>
            <w:vAlign w:val="center"/>
            <w:hideMark/>
          </w:tcPr>
          <w:p w14:paraId="5FAB477C"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885" w:type="dxa"/>
            <w:tcBorders>
              <w:top w:val="nil"/>
              <w:left w:val="nil"/>
              <w:bottom w:val="single" w:sz="8" w:space="0" w:color="auto"/>
              <w:right w:val="single" w:sz="8" w:space="0" w:color="auto"/>
            </w:tcBorders>
            <w:shd w:val="clear" w:color="000000" w:fill="FDE9D9"/>
            <w:noWrap/>
            <w:vAlign w:val="center"/>
            <w:hideMark/>
          </w:tcPr>
          <w:p w14:paraId="48E23BD5"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c>
          <w:tcPr>
            <w:tcW w:w="993" w:type="dxa"/>
            <w:tcBorders>
              <w:top w:val="nil"/>
              <w:left w:val="nil"/>
              <w:bottom w:val="single" w:sz="8" w:space="0" w:color="auto"/>
              <w:right w:val="single" w:sz="8" w:space="0" w:color="auto"/>
            </w:tcBorders>
            <w:shd w:val="clear" w:color="000000" w:fill="FDE9D9"/>
            <w:noWrap/>
            <w:vAlign w:val="center"/>
            <w:hideMark/>
          </w:tcPr>
          <w:p w14:paraId="2A1E47C7"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w:t>
            </w:r>
          </w:p>
        </w:tc>
      </w:tr>
      <w:tr w:rsidR="00847ED1" w:rsidRPr="00847ED1" w14:paraId="6203928C"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2FAADA4F"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 xml:space="preserve">Juzgado Familia I Circ. Jud. Zona Sur </w:t>
            </w:r>
          </w:p>
        </w:tc>
        <w:tc>
          <w:tcPr>
            <w:tcW w:w="884" w:type="dxa"/>
            <w:tcBorders>
              <w:top w:val="nil"/>
              <w:left w:val="nil"/>
              <w:bottom w:val="single" w:sz="8" w:space="0" w:color="auto"/>
              <w:right w:val="single" w:sz="8" w:space="0" w:color="auto"/>
            </w:tcBorders>
            <w:shd w:val="clear" w:color="auto" w:fill="auto"/>
            <w:noWrap/>
            <w:vAlign w:val="center"/>
            <w:hideMark/>
          </w:tcPr>
          <w:p w14:paraId="4885C59E"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100</w:t>
            </w:r>
          </w:p>
        </w:tc>
        <w:tc>
          <w:tcPr>
            <w:tcW w:w="859" w:type="dxa"/>
            <w:tcBorders>
              <w:top w:val="nil"/>
              <w:left w:val="nil"/>
              <w:bottom w:val="single" w:sz="8" w:space="0" w:color="auto"/>
              <w:right w:val="single" w:sz="8" w:space="0" w:color="auto"/>
            </w:tcBorders>
            <w:shd w:val="clear" w:color="auto" w:fill="auto"/>
            <w:noWrap/>
            <w:vAlign w:val="center"/>
            <w:hideMark/>
          </w:tcPr>
          <w:p w14:paraId="4EFB0BB9"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85</w:t>
            </w:r>
          </w:p>
        </w:tc>
        <w:tc>
          <w:tcPr>
            <w:tcW w:w="875" w:type="dxa"/>
            <w:tcBorders>
              <w:top w:val="nil"/>
              <w:left w:val="nil"/>
              <w:bottom w:val="single" w:sz="8" w:space="0" w:color="auto"/>
              <w:right w:val="single" w:sz="8" w:space="0" w:color="auto"/>
            </w:tcBorders>
            <w:shd w:val="clear" w:color="auto" w:fill="auto"/>
            <w:vAlign w:val="center"/>
            <w:hideMark/>
          </w:tcPr>
          <w:p w14:paraId="0FFDA36F"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85%</w:t>
            </w:r>
          </w:p>
        </w:tc>
        <w:tc>
          <w:tcPr>
            <w:tcW w:w="909" w:type="dxa"/>
            <w:tcBorders>
              <w:top w:val="nil"/>
              <w:left w:val="nil"/>
              <w:bottom w:val="single" w:sz="8" w:space="0" w:color="auto"/>
              <w:right w:val="single" w:sz="8" w:space="0" w:color="auto"/>
            </w:tcBorders>
            <w:shd w:val="clear" w:color="auto" w:fill="auto"/>
            <w:noWrap/>
            <w:vAlign w:val="center"/>
            <w:hideMark/>
          </w:tcPr>
          <w:p w14:paraId="10738A0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1010" w:type="dxa"/>
            <w:tcBorders>
              <w:top w:val="nil"/>
              <w:left w:val="nil"/>
              <w:bottom w:val="single" w:sz="8" w:space="0" w:color="auto"/>
              <w:right w:val="single" w:sz="8" w:space="0" w:color="auto"/>
            </w:tcBorders>
            <w:shd w:val="clear" w:color="auto" w:fill="auto"/>
            <w:noWrap/>
            <w:vAlign w:val="center"/>
            <w:hideMark/>
          </w:tcPr>
          <w:p w14:paraId="3B830AEE"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943" w:type="dxa"/>
            <w:tcBorders>
              <w:top w:val="nil"/>
              <w:left w:val="nil"/>
              <w:bottom w:val="single" w:sz="8" w:space="0" w:color="auto"/>
              <w:right w:val="single" w:sz="8" w:space="0" w:color="auto"/>
            </w:tcBorders>
            <w:shd w:val="clear" w:color="000000" w:fill="DBE5F1"/>
            <w:noWrap/>
            <w:vAlign w:val="center"/>
            <w:hideMark/>
          </w:tcPr>
          <w:p w14:paraId="2D4724E1"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w:t>
            </w:r>
          </w:p>
        </w:tc>
        <w:tc>
          <w:tcPr>
            <w:tcW w:w="926" w:type="dxa"/>
            <w:tcBorders>
              <w:top w:val="nil"/>
              <w:left w:val="nil"/>
              <w:bottom w:val="single" w:sz="8" w:space="0" w:color="auto"/>
              <w:right w:val="single" w:sz="8" w:space="0" w:color="auto"/>
            </w:tcBorders>
            <w:shd w:val="clear" w:color="000000" w:fill="DBE5F1"/>
            <w:noWrap/>
            <w:vAlign w:val="center"/>
            <w:hideMark/>
          </w:tcPr>
          <w:p w14:paraId="1D5E8C1B"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885" w:type="dxa"/>
            <w:tcBorders>
              <w:top w:val="nil"/>
              <w:left w:val="nil"/>
              <w:bottom w:val="single" w:sz="8" w:space="0" w:color="auto"/>
              <w:right w:val="single" w:sz="8" w:space="0" w:color="auto"/>
            </w:tcBorders>
            <w:shd w:val="clear" w:color="000000" w:fill="FDE9D9"/>
            <w:noWrap/>
            <w:vAlign w:val="center"/>
            <w:hideMark/>
          </w:tcPr>
          <w:p w14:paraId="4F319C6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w:t>
            </w:r>
          </w:p>
        </w:tc>
        <w:tc>
          <w:tcPr>
            <w:tcW w:w="993" w:type="dxa"/>
            <w:tcBorders>
              <w:top w:val="nil"/>
              <w:left w:val="nil"/>
              <w:bottom w:val="single" w:sz="8" w:space="0" w:color="auto"/>
              <w:right w:val="single" w:sz="8" w:space="0" w:color="auto"/>
            </w:tcBorders>
            <w:shd w:val="clear" w:color="000000" w:fill="FDE9D9"/>
            <w:noWrap/>
            <w:vAlign w:val="center"/>
            <w:hideMark/>
          </w:tcPr>
          <w:p w14:paraId="3D4A2F41"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r>
      <w:tr w:rsidR="00847ED1" w:rsidRPr="00847ED1" w14:paraId="3991BDE9"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3E19FF11"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Familia II Circ. Jud. de Alajuela</w:t>
            </w:r>
          </w:p>
        </w:tc>
        <w:tc>
          <w:tcPr>
            <w:tcW w:w="884" w:type="dxa"/>
            <w:tcBorders>
              <w:top w:val="nil"/>
              <w:left w:val="nil"/>
              <w:bottom w:val="single" w:sz="8" w:space="0" w:color="auto"/>
              <w:right w:val="single" w:sz="8" w:space="0" w:color="auto"/>
            </w:tcBorders>
            <w:shd w:val="clear" w:color="auto" w:fill="auto"/>
            <w:noWrap/>
            <w:vAlign w:val="center"/>
            <w:hideMark/>
          </w:tcPr>
          <w:p w14:paraId="065B12D6"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129</w:t>
            </w:r>
          </w:p>
        </w:tc>
        <w:tc>
          <w:tcPr>
            <w:tcW w:w="859" w:type="dxa"/>
            <w:tcBorders>
              <w:top w:val="nil"/>
              <w:left w:val="nil"/>
              <w:bottom w:val="single" w:sz="8" w:space="0" w:color="auto"/>
              <w:right w:val="single" w:sz="8" w:space="0" w:color="auto"/>
            </w:tcBorders>
            <w:shd w:val="clear" w:color="auto" w:fill="auto"/>
            <w:noWrap/>
            <w:vAlign w:val="center"/>
            <w:hideMark/>
          </w:tcPr>
          <w:p w14:paraId="6EEE3F2E"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107</w:t>
            </w:r>
          </w:p>
        </w:tc>
        <w:tc>
          <w:tcPr>
            <w:tcW w:w="875" w:type="dxa"/>
            <w:tcBorders>
              <w:top w:val="nil"/>
              <w:left w:val="nil"/>
              <w:bottom w:val="single" w:sz="8" w:space="0" w:color="auto"/>
              <w:right w:val="single" w:sz="8" w:space="0" w:color="auto"/>
            </w:tcBorders>
            <w:shd w:val="clear" w:color="auto" w:fill="auto"/>
            <w:vAlign w:val="center"/>
            <w:hideMark/>
          </w:tcPr>
          <w:p w14:paraId="44FAC4B1"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83%</w:t>
            </w:r>
          </w:p>
        </w:tc>
        <w:tc>
          <w:tcPr>
            <w:tcW w:w="909" w:type="dxa"/>
            <w:tcBorders>
              <w:top w:val="nil"/>
              <w:left w:val="nil"/>
              <w:bottom w:val="single" w:sz="8" w:space="0" w:color="auto"/>
              <w:right w:val="single" w:sz="8" w:space="0" w:color="auto"/>
            </w:tcBorders>
            <w:shd w:val="clear" w:color="auto" w:fill="auto"/>
            <w:noWrap/>
            <w:vAlign w:val="center"/>
            <w:hideMark/>
          </w:tcPr>
          <w:p w14:paraId="6358933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1010" w:type="dxa"/>
            <w:tcBorders>
              <w:top w:val="nil"/>
              <w:left w:val="nil"/>
              <w:bottom w:val="single" w:sz="8" w:space="0" w:color="auto"/>
              <w:right w:val="single" w:sz="8" w:space="0" w:color="auto"/>
            </w:tcBorders>
            <w:shd w:val="clear" w:color="auto" w:fill="auto"/>
            <w:noWrap/>
            <w:vAlign w:val="center"/>
            <w:hideMark/>
          </w:tcPr>
          <w:p w14:paraId="58157C4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943" w:type="dxa"/>
            <w:tcBorders>
              <w:top w:val="nil"/>
              <w:left w:val="nil"/>
              <w:bottom w:val="single" w:sz="8" w:space="0" w:color="auto"/>
              <w:right w:val="single" w:sz="8" w:space="0" w:color="auto"/>
            </w:tcBorders>
            <w:shd w:val="clear" w:color="000000" w:fill="DBE5F1"/>
            <w:noWrap/>
            <w:vAlign w:val="center"/>
            <w:hideMark/>
          </w:tcPr>
          <w:p w14:paraId="4B4E7A73"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926" w:type="dxa"/>
            <w:tcBorders>
              <w:top w:val="nil"/>
              <w:left w:val="nil"/>
              <w:bottom w:val="single" w:sz="8" w:space="0" w:color="auto"/>
              <w:right w:val="single" w:sz="8" w:space="0" w:color="auto"/>
            </w:tcBorders>
            <w:shd w:val="clear" w:color="000000" w:fill="DBE5F1"/>
            <w:noWrap/>
            <w:vAlign w:val="center"/>
            <w:hideMark/>
          </w:tcPr>
          <w:p w14:paraId="1CBC7DDF"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885" w:type="dxa"/>
            <w:tcBorders>
              <w:top w:val="nil"/>
              <w:left w:val="nil"/>
              <w:bottom w:val="single" w:sz="8" w:space="0" w:color="auto"/>
              <w:right w:val="single" w:sz="8" w:space="0" w:color="auto"/>
            </w:tcBorders>
            <w:shd w:val="clear" w:color="000000" w:fill="FDE9D9"/>
            <w:noWrap/>
            <w:vAlign w:val="center"/>
            <w:hideMark/>
          </w:tcPr>
          <w:p w14:paraId="0635A3A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c>
          <w:tcPr>
            <w:tcW w:w="993" w:type="dxa"/>
            <w:tcBorders>
              <w:top w:val="nil"/>
              <w:left w:val="nil"/>
              <w:bottom w:val="single" w:sz="8" w:space="0" w:color="auto"/>
              <w:right w:val="single" w:sz="8" w:space="0" w:color="auto"/>
            </w:tcBorders>
            <w:shd w:val="clear" w:color="000000" w:fill="FDE9D9"/>
            <w:noWrap/>
            <w:vAlign w:val="center"/>
            <w:hideMark/>
          </w:tcPr>
          <w:p w14:paraId="52D46774" w14:textId="741931F0" w:rsidR="00847ED1" w:rsidRPr="00847ED1" w:rsidRDefault="00303AE6" w:rsidP="00847ED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00847ED1" w:rsidRPr="00847ED1">
              <w:rPr>
                <w:rFonts w:ascii="Book Antiqua" w:eastAsia="Times New Roman" w:hAnsi="Book Antiqua" w:cs="Calibri"/>
                <w:color w:val="000000"/>
                <w:sz w:val="18"/>
                <w:szCs w:val="18"/>
                <w:lang w:eastAsia="es-CR"/>
              </w:rPr>
              <w:t>1</w:t>
            </w:r>
          </w:p>
        </w:tc>
      </w:tr>
      <w:tr w:rsidR="00847ED1" w:rsidRPr="00847ED1" w14:paraId="1221039B"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272F5549"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Familia II Circ. Jud. San José</w:t>
            </w:r>
          </w:p>
        </w:tc>
        <w:tc>
          <w:tcPr>
            <w:tcW w:w="884" w:type="dxa"/>
            <w:tcBorders>
              <w:top w:val="nil"/>
              <w:left w:val="nil"/>
              <w:bottom w:val="single" w:sz="8" w:space="0" w:color="auto"/>
              <w:right w:val="single" w:sz="8" w:space="0" w:color="auto"/>
            </w:tcBorders>
            <w:shd w:val="clear" w:color="auto" w:fill="auto"/>
            <w:noWrap/>
            <w:vAlign w:val="center"/>
            <w:hideMark/>
          </w:tcPr>
          <w:p w14:paraId="5DE7897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277</w:t>
            </w:r>
          </w:p>
        </w:tc>
        <w:tc>
          <w:tcPr>
            <w:tcW w:w="859" w:type="dxa"/>
            <w:tcBorders>
              <w:top w:val="nil"/>
              <w:left w:val="nil"/>
              <w:bottom w:val="single" w:sz="8" w:space="0" w:color="auto"/>
              <w:right w:val="single" w:sz="8" w:space="0" w:color="auto"/>
            </w:tcBorders>
            <w:shd w:val="clear" w:color="auto" w:fill="auto"/>
            <w:noWrap/>
            <w:vAlign w:val="center"/>
            <w:hideMark/>
          </w:tcPr>
          <w:p w14:paraId="1692748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252</w:t>
            </w:r>
          </w:p>
        </w:tc>
        <w:tc>
          <w:tcPr>
            <w:tcW w:w="875" w:type="dxa"/>
            <w:tcBorders>
              <w:top w:val="nil"/>
              <w:left w:val="nil"/>
              <w:bottom w:val="single" w:sz="8" w:space="0" w:color="auto"/>
              <w:right w:val="single" w:sz="8" w:space="0" w:color="auto"/>
            </w:tcBorders>
            <w:shd w:val="clear" w:color="auto" w:fill="auto"/>
            <w:vAlign w:val="center"/>
            <w:hideMark/>
          </w:tcPr>
          <w:p w14:paraId="0B8E0D8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91%</w:t>
            </w:r>
          </w:p>
        </w:tc>
        <w:tc>
          <w:tcPr>
            <w:tcW w:w="909" w:type="dxa"/>
            <w:tcBorders>
              <w:top w:val="nil"/>
              <w:left w:val="nil"/>
              <w:bottom w:val="single" w:sz="8" w:space="0" w:color="auto"/>
              <w:right w:val="single" w:sz="8" w:space="0" w:color="auto"/>
            </w:tcBorders>
            <w:shd w:val="clear" w:color="auto" w:fill="auto"/>
            <w:noWrap/>
            <w:vAlign w:val="center"/>
            <w:hideMark/>
          </w:tcPr>
          <w:p w14:paraId="63A9D8BF"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4</w:t>
            </w:r>
          </w:p>
        </w:tc>
        <w:tc>
          <w:tcPr>
            <w:tcW w:w="1010" w:type="dxa"/>
            <w:tcBorders>
              <w:top w:val="nil"/>
              <w:left w:val="nil"/>
              <w:bottom w:val="single" w:sz="8" w:space="0" w:color="auto"/>
              <w:right w:val="single" w:sz="8" w:space="0" w:color="auto"/>
            </w:tcBorders>
            <w:shd w:val="clear" w:color="auto" w:fill="auto"/>
            <w:noWrap/>
            <w:vAlign w:val="center"/>
            <w:hideMark/>
          </w:tcPr>
          <w:p w14:paraId="05ECF606"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7</w:t>
            </w:r>
          </w:p>
        </w:tc>
        <w:tc>
          <w:tcPr>
            <w:tcW w:w="943" w:type="dxa"/>
            <w:tcBorders>
              <w:top w:val="nil"/>
              <w:left w:val="nil"/>
              <w:bottom w:val="single" w:sz="8" w:space="0" w:color="auto"/>
              <w:right w:val="single" w:sz="8" w:space="0" w:color="auto"/>
            </w:tcBorders>
            <w:shd w:val="clear" w:color="000000" w:fill="DBE5F1"/>
            <w:noWrap/>
            <w:vAlign w:val="center"/>
            <w:hideMark/>
          </w:tcPr>
          <w:p w14:paraId="6EA70776"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4</w:t>
            </w:r>
          </w:p>
        </w:tc>
        <w:tc>
          <w:tcPr>
            <w:tcW w:w="926" w:type="dxa"/>
            <w:tcBorders>
              <w:top w:val="nil"/>
              <w:left w:val="nil"/>
              <w:bottom w:val="single" w:sz="8" w:space="0" w:color="auto"/>
              <w:right w:val="single" w:sz="8" w:space="0" w:color="auto"/>
            </w:tcBorders>
            <w:shd w:val="clear" w:color="000000" w:fill="DBE5F1"/>
            <w:noWrap/>
            <w:vAlign w:val="center"/>
            <w:hideMark/>
          </w:tcPr>
          <w:p w14:paraId="18D63E6B"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6</w:t>
            </w:r>
          </w:p>
        </w:tc>
        <w:tc>
          <w:tcPr>
            <w:tcW w:w="885" w:type="dxa"/>
            <w:tcBorders>
              <w:top w:val="nil"/>
              <w:left w:val="nil"/>
              <w:bottom w:val="single" w:sz="8" w:space="0" w:color="auto"/>
              <w:right w:val="single" w:sz="8" w:space="0" w:color="auto"/>
            </w:tcBorders>
            <w:shd w:val="clear" w:color="000000" w:fill="FDE9D9"/>
            <w:noWrap/>
            <w:vAlign w:val="center"/>
            <w:hideMark/>
          </w:tcPr>
          <w:p w14:paraId="6E254EC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c>
          <w:tcPr>
            <w:tcW w:w="993" w:type="dxa"/>
            <w:tcBorders>
              <w:top w:val="nil"/>
              <w:left w:val="nil"/>
              <w:bottom w:val="single" w:sz="8" w:space="0" w:color="auto"/>
              <w:right w:val="single" w:sz="8" w:space="0" w:color="auto"/>
            </w:tcBorders>
            <w:shd w:val="clear" w:color="000000" w:fill="FDE9D9"/>
            <w:noWrap/>
            <w:vAlign w:val="center"/>
            <w:hideMark/>
          </w:tcPr>
          <w:p w14:paraId="284C4C8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w:t>
            </w:r>
          </w:p>
        </w:tc>
      </w:tr>
      <w:tr w:rsidR="00847ED1" w:rsidRPr="00847ED1" w14:paraId="0B8E8FA7" w14:textId="77777777" w:rsidTr="00847ED1">
        <w:trPr>
          <w:trHeight w:val="40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17941100"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Familia II Circ. Jud. Zona Atlántica</w:t>
            </w:r>
          </w:p>
        </w:tc>
        <w:tc>
          <w:tcPr>
            <w:tcW w:w="884" w:type="dxa"/>
            <w:tcBorders>
              <w:top w:val="nil"/>
              <w:left w:val="nil"/>
              <w:bottom w:val="single" w:sz="8" w:space="0" w:color="auto"/>
              <w:right w:val="single" w:sz="8" w:space="0" w:color="auto"/>
            </w:tcBorders>
            <w:shd w:val="clear" w:color="auto" w:fill="auto"/>
            <w:noWrap/>
            <w:vAlign w:val="center"/>
            <w:hideMark/>
          </w:tcPr>
          <w:p w14:paraId="265CEF9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147</w:t>
            </w:r>
          </w:p>
        </w:tc>
        <w:tc>
          <w:tcPr>
            <w:tcW w:w="859" w:type="dxa"/>
            <w:tcBorders>
              <w:top w:val="nil"/>
              <w:left w:val="nil"/>
              <w:bottom w:val="single" w:sz="8" w:space="0" w:color="auto"/>
              <w:right w:val="single" w:sz="8" w:space="0" w:color="auto"/>
            </w:tcBorders>
            <w:shd w:val="clear" w:color="auto" w:fill="auto"/>
            <w:noWrap/>
            <w:vAlign w:val="center"/>
            <w:hideMark/>
          </w:tcPr>
          <w:p w14:paraId="56611FDE"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119</w:t>
            </w:r>
          </w:p>
        </w:tc>
        <w:tc>
          <w:tcPr>
            <w:tcW w:w="875" w:type="dxa"/>
            <w:tcBorders>
              <w:top w:val="nil"/>
              <w:left w:val="nil"/>
              <w:bottom w:val="single" w:sz="8" w:space="0" w:color="auto"/>
              <w:right w:val="single" w:sz="8" w:space="0" w:color="auto"/>
            </w:tcBorders>
            <w:shd w:val="clear" w:color="auto" w:fill="auto"/>
            <w:vAlign w:val="center"/>
            <w:hideMark/>
          </w:tcPr>
          <w:p w14:paraId="67106C93"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81%</w:t>
            </w:r>
          </w:p>
        </w:tc>
        <w:tc>
          <w:tcPr>
            <w:tcW w:w="909" w:type="dxa"/>
            <w:tcBorders>
              <w:top w:val="nil"/>
              <w:left w:val="nil"/>
              <w:bottom w:val="single" w:sz="8" w:space="0" w:color="auto"/>
              <w:right w:val="single" w:sz="8" w:space="0" w:color="auto"/>
            </w:tcBorders>
            <w:shd w:val="clear" w:color="auto" w:fill="auto"/>
            <w:noWrap/>
            <w:vAlign w:val="center"/>
            <w:hideMark/>
          </w:tcPr>
          <w:p w14:paraId="7C2236F0"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1010" w:type="dxa"/>
            <w:tcBorders>
              <w:top w:val="nil"/>
              <w:left w:val="nil"/>
              <w:bottom w:val="single" w:sz="8" w:space="0" w:color="auto"/>
              <w:right w:val="single" w:sz="8" w:space="0" w:color="auto"/>
            </w:tcBorders>
            <w:shd w:val="clear" w:color="auto" w:fill="auto"/>
            <w:noWrap/>
            <w:vAlign w:val="center"/>
            <w:hideMark/>
          </w:tcPr>
          <w:p w14:paraId="47A298D6"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943" w:type="dxa"/>
            <w:tcBorders>
              <w:top w:val="nil"/>
              <w:left w:val="nil"/>
              <w:bottom w:val="single" w:sz="8" w:space="0" w:color="auto"/>
              <w:right w:val="single" w:sz="8" w:space="0" w:color="auto"/>
            </w:tcBorders>
            <w:shd w:val="clear" w:color="000000" w:fill="DBE5F1"/>
            <w:noWrap/>
            <w:vAlign w:val="center"/>
            <w:hideMark/>
          </w:tcPr>
          <w:p w14:paraId="43CE2920"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926" w:type="dxa"/>
            <w:tcBorders>
              <w:top w:val="nil"/>
              <w:left w:val="nil"/>
              <w:bottom w:val="single" w:sz="8" w:space="0" w:color="auto"/>
              <w:right w:val="single" w:sz="8" w:space="0" w:color="auto"/>
            </w:tcBorders>
            <w:shd w:val="clear" w:color="000000" w:fill="DBE5F1"/>
            <w:noWrap/>
            <w:vAlign w:val="center"/>
            <w:hideMark/>
          </w:tcPr>
          <w:p w14:paraId="570C933B"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885" w:type="dxa"/>
            <w:tcBorders>
              <w:top w:val="nil"/>
              <w:left w:val="nil"/>
              <w:bottom w:val="single" w:sz="8" w:space="0" w:color="auto"/>
              <w:right w:val="single" w:sz="8" w:space="0" w:color="auto"/>
            </w:tcBorders>
            <w:shd w:val="clear" w:color="000000" w:fill="FDE9D9"/>
            <w:noWrap/>
            <w:vAlign w:val="center"/>
            <w:hideMark/>
          </w:tcPr>
          <w:p w14:paraId="187919C6"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c>
          <w:tcPr>
            <w:tcW w:w="993" w:type="dxa"/>
            <w:tcBorders>
              <w:top w:val="nil"/>
              <w:left w:val="nil"/>
              <w:bottom w:val="single" w:sz="8" w:space="0" w:color="auto"/>
              <w:right w:val="single" w:sz="8" w:space="0" w:color="auto"/>
            </w:tcBorders>
            <w:shd w:val="clear" w:color="000000" w:fill="FDE9D9"/>
            <w:noWrap/>
            <w:vAlign w:val="center"/>
            <w:hideMark/>
          </w:tcPr>
          <w:p w14:paraId="78DE8483"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r>
      <w:tr w:rsidR="00847ED1" w:rsidRPr="00847ED1" w14:paraId="173FC1F5" w14:textId="77777777" w:rsidTr="00847ED1">
        <w:trPr>
          <w:trHeight w:val="44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7729A918"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 xml:space="preserve">Juzgado Familia III Circ. Jud. De San José </w:t>
            </w:r>
          </w:p>
        </w:tc>
        <w:tc>
          <w:tcPr>
            <w:tcW w:w="884" w:type="dxa"/>
            <w:tcBorders>
              <w:top w:val="nil"/>
              <w:left w:val="nil"/>
              <w:bottom w:val="single" w:sz="8" w:space="0" w:color="auto"/>
              <w:right w:val="single" w:sz="8" w:space="0" w:color="auto"/>
            </w:tcBorders>
            <w:shd w:val="clear" w:color="auto" w:fill="auto"/>
            <w:noWrap/>
            <w:vAlign w:val="center"/>
            <w:hideMark/>
          </w:tcPr>
          <w:p w14:paraId="1448FD1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190</w:t>
            </w:r>
          </w:p>
        </w:tc>
        <w:tc>
          <w:tcPr>
            <w:tcW w:w="859" w:type="dxa"/>
            <w:tcBorders>
              <w:top w:val="nil"/>
              <w:left w:val="nil"/>
              <w:bottom w:val="single" w:sz="8" w:space="0" w:color="auto"/>
              <w:right w:val="single" w:sz="8" w:space="0" w:color="auto"/>
            </w:tcBorders>
            <w:shd w:val="clear" w:color="auto" w:fill="auto"/>
            <w:noWrap/>
            <w:vAlign w:val="center"/>
            <w:hideMark/>
          </w:tcPr>
          <w:p w14:paraId="4F2279D4"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181</w:t>
            </w:r>
          </w:p>
        </w:tc>
        <w:tc>
          <w:tcPr>
            <w:tcW w:w="875" w:type="dxa"/>
            <w:tcBorders>
              <w:top w:val="nil"/>
              <w:left w:val="nil"/>
              <w:bottom w:val="single" w:sz="8" w:space="0" w:color="auto"/>
              <w:right w:val="single" w:sz="8" w:space="0" w:color="auto"/>
            </w:tcBorders>
            <w:shd w:val="clear" w:color="auto" w:fill="auto"/>
            <w:vAlign w:val="center"/>
            <w:hideMark/>
          </w:tcPr>
          <w:p w14:paraId="78A89A5F"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95%</w:t>
            </w:r>
          </w:p>
        </w:tc>
        <w:tc>
          <w:tcPr>
            <w:tcW w:w="909" w:type="dxa"/>
            <w:tcBorders>
              <w:top w:val="nil"/>
              <w:left w:val="nil"/>
              <w:bottom w:val="single" w:sz="8" w:space="0" w:color="auto"/>
              <w:right w:val="single" w:sz="8" w:space="0" w:color="auto"/>
            </w:tcBorders>
            <w:shd w:val="clear" w:color="auto" w:fill="auto"/>
            <w:noWrap/>
            <w:vAlign w:val="center"/>
            <w:hideMark/>
          </w:tcPr>
          <w:p w14:paraId="77371EF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1010" w:type="dxa"/>
            <w:tcBorders>
              <w:top w:val="nil"/>
              <w:left w:val="nil"/>
              <w:bottom w:val="single" w:sz="8" w:space="0" w:color="auto"/>
              <w:right w:val="single" w:sz="8" w:space="0" w:color="auto"/>
            </w:tcBorders>
            <w:shd w:val="clear" w:color="auto" w:fill="auto"/>
            <w:noWrap/>
            <w:vAlign w:val="center"/>
            <w:hideMark/>
          </w:tcPr>
          <w:p w14:paraId="18AC4F63"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4</w:t>
            </w:r>
          </w:p>
        </w:tc>
        <w:tc>
          <w:tcPr>
            <w:tcW w:w="943" w:type="dxa"/>
            <w:tcBorders>
              <w:top w:val="nil"/>
              <w:left w:val="nil"/>
              <w:bottom w:val="single" w:sz="8" w:space="0" w:color="auto"/>
              <w:right w:val="single" w:sz="8" w:space="0" w:color="auto"/>
            </w:tcBorders>
            <w:shd w:val="clear" w:color="000000" w:fill="DBE5F1"/>
            <w:noWrap/>
            <w:vAlign w:val="center"/>
            <w:hideMark/>
          </w:tcPr>
          <w:p w14:paraId="256E5877"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926" w:type="dxa"/>
            <w:tcBorders>
              <w:top w:val="nil"/>
              <w:left w:val="nil"/>
              <w:bottom w:val="single" w:sz="8" w:space="0" w:color="auto"/>
              <w:right w:val="single" w:sz="8" w:space="0" w:color="auto"/>
            </w:tcBorders>
            <w:shd w:val="clear" w:color="000000" w:fill="DBE5F1"/>
            <w:noWrap/>
            <w:vAlign w:val="center"/>
            <w:hideMark/>
          </w:tcPr>
          <w:p w14:paraId="15449C5C"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4</w:t>
            </w:r>
          </w:p>
        </w:tc>
        <w:tc>
          <w:tcPr>
            <w:tcW w:w="885" w:type="dxa"/>
            <w:tcBorders>
              <w:top w:val="nil"/>
              <w:left w:val="nil"/>
              <w:bottom w:val="single" w:sz="8" w:space="0" w:color="auto"/>
              <w:right w:val="single" w:sz="8" w:space="0" w:color="auto"/>
            </w:tcBorders>
            <w:shd w:val="clear" w:color="000000" w:fill="FDE9D9"/>
            <w:noWrap/>
            <w:vAlign w:val="center"/>
            <w:hideMark/>
          </w:tcPr>
          <w:p w14:paraId="042F21B5"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c>
          <w:tcPr>
            <w:tcW w:w="993" w:type="dxa"/>
            <w:tcBorders>
              <w:top w:val="nil"/>
              <w:left w:val="nil"/>
              <w:bottom w:val="single" w:sz="8" w:space="0" w:color="auto"/>
              <w:right w:val="single" w:sz="8" w:space="0" w:color="auto"/>
            </w:tcBorders>
            <w:shd w:val="clear" w:color="000000" w:fill="FDE9D9"/>
            <w:noWrap/>
            <w:vAlign w:val="center"/>
            <w:hideMark/>
          </w:tcPr>
          <w:p w14:paraId="1F2CDDA5"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r>
      <w:tr w:rsidR="00847ED1" w:rsidRPr="00847ED1" w14:paraId="6B979CD4"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0400A4A1"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Familia Puntarenas</w:t>
            </w:r>
          </w:p>
        </w:tc>
        <w:tc>
          <w:tcPr>
            <w:tcW w:w="884" w:type="dxa"/>
            <w:tcBorders>
              <w:top w:val="nil"/>
              <w:left w:val="nil"/>
              <w:bottom w:val="single" w:sz="8" w:space="0" w:color="auto"/>
              <w:right w:val="single" w:sz="8" w:space="0" w:color="auto"/>
            </w:tcBorders>
            <w:shd w:val="clear" w:color="auto" w:fill="auto"/>
            <w:noWrap/>
            <w:vAlign w:val="center"/>
            <w:hideMark/>
          </w:tcPr>
          <w:p w14:paraId="27B8790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138</w:t>
            </w:r>
          </w:p>
        </w:tc>
        <w:tc>
          <w:tcPr>
            <w:tcW w:w="859" w:type="dxa"/>
            <w:tcBorders>
              <w:top w:val="nil"/>
              <w:left w:val="nil"/>
              <w:bottom w:val="single" w:sz="8" w:space="0" w:color="auto"/>
              <w:right w:val="single" w:sz="8" w:space="0" w:color="auto"/>
            </w:tcBorders>
            <w:shd w:val="clear" w:color="auto" w:fill="auto"/>
            <w:noWrap/>
            <w:vAlign w:val="center"/>
            <w:hideMark/>
          </w:tcPr>
          <w:p w14:paraId="6B08A2E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147</w:t>
            </w:r>
          </w:p>
        </w:tc>
        <w:tc>
          <w:tcPr>
            <w:tcW w:w="875" w:type="dxa"/>
            <w:tcBorders>
              <w:top w:val="nil"/>
              <w:left w:val="nil"/>
              <w:bottom w:val="single" w:sz="8" w:space="0" w:color="auto"/>
              <w:right w:val="single" w:sz="8" w:space="0" w:color="auto"/>
            </w:tcBorders>
            <w:shd w:val="clear" w:color="auto" w:fill="auto"/>
            <w:vAlign w:val="center"/>
            <w:hideMark/>
          </w:tcPr>
          <w:p w14:paraId="455ED7E1"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106%</w:t>
            </w:r>
          </w:p>
        </w:tc>
        <w:tc>
          <w:tcPr>
            <w:tcW w:w="909" w:type="dxa"/>
            <w:tcBorders>
              <w:top w:val="nil"/>
              <w:left w:val="nil"/>
              <w:bottom w:val="single" w:sz="8" w:space="0" w:color="auto"/>
              <w:right w:val="single" w:sz="8" w:space="0" w:color="auto"/>
            </w:tcBorders>
            <w:shd w:val="clear" w:color="auto" w:fill="auto"/>
            <w:noWrap/>
            <w:vAlign w:val="center"/>
            <w:hideMark/>
          </w:tcPr>
          <w:p w14:paraId="628CA9B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1010" w:type="dxa"/>
            <w:tcBorders>
              <w:top w:val="nil"/>
              <w:left w:val="nil"/>
              <w:bottom w:val="single" w:sz="8" w:space="0" w:color="auto"/>
              <w:right w:val="single" w:sz="8" w:space="0" w:color="auto"/>
            </w:tcBorders>
            <w:shd w:val="clear" w:color="auto" w:fill="auto"/>
            <w:noWrap/>
            <w:vAlign w:val="center"/>
            <w:hideMark/>
          </w:tcPr>
          <w:p w14:paraId="4958405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943" w:type="dxa"/>
            <w:tcBorders>
              <w:top w:val="nil"/>
              <w:left w:val="nil"/>
              <w:bottom w:val="single" w:sz="8" w:space="0" w:color="auto"/>
              <w:right w:val="single" w:sz="8" w:space="0" w:color="auto"/>
            </w:tcBorders>
            <w:shd w:val="clear" w:color="000000" w:fill="DBE5F1"/>
            <w:noWrap/>
            <w:vAlign w:val="center"/>
            <w:hideMark/>
          </w:tcPr>
          <w:p w14:paraId="59A9993B"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926" w:type="dxa"/>
            <w:tcBorders>
              <w:top w:val="nil"/>
              <w:left w:val="nil"/>
              <w:bottom w:val="single" w:sz="8" w:space="0" w:color="auto"/>
              <w:right w:val="single" w:sz="8" w:space="0" w:color="auto"/>
            </w:tcBorders>
            <w:shd w:val="clear" w:color="000000" w:fill="DBE5F1"/>
            <w:noWrap/>
            <w:vAlign w:val="center"/>
            <w:hideMark/>
          </w:tcPr>
          <w:p w14:paraId="5A6852C9"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885" w:type="dxa"/>
            <w:tcBorders>
              <w:top w:val="nil"/>
              <w:left w:val="nil"/>
              <w:bottom w:val="single" w:sz="8" w:space="0" w:color="auto"/>
              <w:right w:val="single" w:sz="8" w:space="0" w:color="auto"/>
            </w:tcBorders>
            <w:shd w:val="clear" w:color="000000" w:fill="FDE9D9"/>
            <w:noWrap/>
            <w:vAlign w:val="center"/>
            <w:hideMark/>
          </w:tcPr>
          <w:p w14:paraId="6F3CC780"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c>
          <w:tcPr>
            <w:tcW w:w="993" w:type="dxa"/>
            <w:tcBorders>
              <w:top w:val="nil"/>
              <w:left w:val="nil"/>
              <w:bottom w:val="single" w:sz="8" w:space="0" w:color="auto"/>
              <w:right w:val="single" w:sz="8" w:space="0" w:color="auto"/>
            </w:tcBorders>
            <w:shd w:val="clear" w:color="000000" w:fill="FDE9D9"/>
            <w:noWrap/>
            <w:vAlign w:val="center"/>
            <w:hideMark/>
          </w:tcPr>
          <w:p w14:paraId="09BE7B94"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0</w:t>
            </w:r>
          </w:p>
        </w:tc>
      </w:tr>
      <w:tr w:rsidR="00847ED1" w:rsidRPr="00847ED1" w14:paraId="11E6FCF9"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32685678"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Primero de Familia de San José</w:t>
            </w:r>
          </w:p>
        </w:tc>
        <w:tc>
          <w:tcPr>
            <w:tcW w:w="884" w:type="dxa"/>
            <w:tcBorders>
              <w:top w:val="nil"/>
              <w:left w:val="nil"/>
              <w:bottom w:val="single" w:sz="8" w:space="0" w:color="auto"/>
              <w:right w:val="single" w:sz="8" w:space="0" w:color="auto"/>
            </w:tcBorders>
            <w:shd w:val="clear" w:color="auto" w:fill="auto"/>
            <w:noWrap/>
            <w:vAlign w:val="center"/>
            <w:hideMark/>
          </w:tcPr>
          <w:p w14:paraId="67CA1155"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130</w:t>
            </w:r>
          </w:p>
        </w:tc>
        <w:tc>
          <w:tcPr>
            <w:tcW w:w="859" w:type="dxa"/>
            <w:tcBorders>
              <w:top w:val="nil"/>
              <w:left w:val="nil"/>
              <w:bottom w:val="single" w:sz="8" w:space="0" w:color="auto"/>
              <w:right w:val="single" w:sz="8" w:space="0" w:color="auto"/>
            </w:tcBorders>
            <w:shd w:val="clear" w:color="auto" w:fill="auto"/>
            <w:noWrap/>
            <w:vAlign w:val="center"/>
            <w:hideMark/>
          </w:tcPr>
          <w:p w14:paraId="4E07DE9E"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130</w:t>
            </w:r>
          </w:p>
        </w:tc>
        <w:tc>
          <w:tcPr>
            <w:tcW w:w="875" w:type="dxa"/>
            <w:tcBorders>
              <w:top w:val="nil"/>
              <w:left w:val="nil"/>
              <w:bottom w:val="single" w:sz="8" w:space="0" w:color="auto"/>
              <w:right w:val="single" w:sz="8" w:space="0" w:color="auto"/>
            </w:tcBorders>
            <w:shd w:val="clear" w:color="auto" w:fill="auto"/>
            <w:vAlign w:val="center"/>
            <w:hideMark/>
          </w:tcPr>
          <w:p w14:paraId="1EF42D17"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101%</w:t>
            </w:r>
          </w:p>
        </w:tc>
        <w:tc>
          <w:tcPr>
            <w:tcW w:w="909" w:type="dxa"/>
            <w:tcBorders>
              <w:top w:val="nil"/>
              <w:left w:val="nil"/>
              <w:bottom w:val="single" w:sz="8" w:space="0" w:color="auto"/>
              <w:right w:val="single" w:sz="8" w:space="0" w:color="auto"/>
            </w:tcBorders>
            <w:shd w:val="clear" w:color="auto" w:fill="auto"/>
            <w:noWrap/>
            <w:vAlign w:val="center"/>
            <w:hideMark/>
          </w:tcPr>
          <w:p w14:paraId="18728F18"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1010" w:type="dxa"/>
            <w:tcBorders>
              <w:top w:val="nil"/>
              <w:left w:val="nil"/>
              <w:bottom w:val="single" w:sz="8" w:space="0" w:color="auto"/>
              <w:right w:val="single" w:sz="8" w:space="0" w:color="auto"/>
            </w:tcBorders>
            <w:shd w:val="clear" w:color="auto" w:fill="auto"/>
            <w:noWrap/>
            <w:vAlign w:val="center"/>
            <w:hideMark/>
          </w:tcPr>
          <w:p w14:paraId="7DE846FC"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5</w:t>
            </w:r>
          </w:p>
        </w:tc>
        <w:tc>
          <w:tcPr>
            <w:tcW w:w="943" w:type="dxa"/>
            <w:tcBorders>
              <w:top w:val="nil"/>
              <w:left w:val="nil"/>
              <w:bottom w:val="single" w:sz="8" w:space="0" w:color="auto"/>
              <w:right w:val="single" w:sz="8" w:space="0" w:color="auto"/>
            </w:tcBorders>
            <w:shd w:val="clear" w:color="000000" w:fill="DBE5F1"/>
            <w:noWrap/>
            <w:vAlign w:val="center"/>
            <w:hideMark/>
          </w:tcPr>
          <w:p w14:paraId="52F82563"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926" w:type="dxa"/>
            <w:tcBorders>
              <w:top w:val="nil"/>
              <w:left w:val="nil"/>
              <w:bottom w:val="single" w:sz="8" w:space="0" w:color="auto"/>
              <w:right w:val="single" w:sz="8" w:space="0" w:color="auto"/>
            </w:tcBorders>
            <w:shd w:val="clear" w:color="000000" w:fill="DBE5F1"/>
            <w:noWrap/>
            <w:vAlign w:val="center"/>
            <w:hideMark/>
          </w:tcPr>
          <w:p w14:paraId="14BF19EA"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885" w:type="dxa"/>
            <w:tcBorders>
              <w:top w:val="nil"/>
              <w:left w:val="nil"/>
              <w:bottom w:val="single" w:sz="8" w:space="0" w:color="auto"/>
              <w:right w:val="single" w:sz="8" w:space="0" w:color="auto"/>
            </w:tcBorders>
            <w:shd w:val="clear" w:color="000000" w:fill="FDE9D9"/>
            <w:noWrap/>
            <w:vAlign w:val="center"/>
            <w:hideMark/>
          </w:tcPr>
          <w:p w14:paraId="0251DC69"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w:t>
            </w:r>
          </w:p>
        </w:tc>
        <w:tc>
          <w:tcPr>
            <w:tcW w:w="993" w:type="dxa"/>
            <w:tcBorders>
              <w:top w:val="nil"/>
              <w:left w:val="nil"/>
              <w:bottom w:val="single" w:sz="8" w:space="0" w:color="auto"/>
              <w:right w:val="single" w:sz="8" w:space="0" w:color="auto"/>
            </w:tcBorders>
            <w:shd w:val="clear" w:color="000000" w:fill="FDE9D9"/>
            <w:noWrap/>
            <w:vAlign w:val="center"/>
            <w:hideMark/>
          </w:tcPr>
          <w:p w14:paraId="198156AD"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r>
      <w:tr w:rsidR="00847ED1" w:rsidRPr="00847ED1" w14:paraId="52BAD5FF" w14:textId="77777777" w:rsidTr="00847ED1">
        <w:trPr>
          <w:trHeight w:val="322"/>
          <w:jc w:val="center"/>
        </w:trPr>
        <w:tc>
          <w:tcPr>
            <w:tcW w:w="2862" w:type="dxa"/>
            <w:tcBorders>
              <w:top w:val="nil"/>
              <w:left w:val="single" w:sz="8" w:space="0" w:color="auto"/>
              <w:bottom w:val="single" w:sz="8" w:space="0" w:color="auto"/>
              <w:right w:val="single" w:sz="8" w:space="0" w:color="auto"/>
            </w:tcBorders>
            <w:shd w:val="clear" w:color="auto" w:fill="auto"/>
            <w:vAlign w:val="center"/>
            <w:hideMark/>
          </w:tcPr>
          <w:p w14:paraId="6583A9EE" w14:textId="77777777" w:rsidR="00847ED1" w:rsidRPr="00847ED1" w:rsidRDefault="00847ED1" w:rsidP="00847ED1">
            <w:pPr>
              <w:spacing w:after="0" w:line="240" w:lineRule="auto"/>
              <w:rPr>
                <w:rFonts w:ascii="Book Antiqua" w:eastAsia="Times New Roman" w:hAnsi="Book Antiqua" w:cs="Calibri"/>
                <w:b/>
                <w:bCs/>
                <w:color w:val="000000"/>
                <w:sz w:val="18"/>
                <w:szCs w:val="18"/>
                <w:lang w:eastAsia="es-CR"/>
              </w:rPr>
            </w:pPr>
            <w:r w:rsidRPr="00847ED1">
              <w:rPr>
                <w:rFonts w:ascii="Book Antiqua" w:eastAsia="Times New Roman" w:hAnsi="Book Antiqua" w:cs="Calibri"/>
                <w:b/>
                <w:bCs/>
                <w:color w:val="000000"/>
                <w:sz w:val="18"/>
                <w:szCs w:val="18"/>
                <w:lang w:eastAsia="es-CR"/>
              </w:rPr>
              <w:t>Juzgado Segundo de Familia de San José</w:t>
            </w:r>
          </w:p>
        </w:tc>
        <w:tc>
          <w:tcPr>
            <w:tcW w:w="884" w:type="dxa"/>
            <w:tcBorders>
              <w:top w:val="nil"/>
              <w:left w:val="nil"/>
              <w:bottom w:val="single" w:sz="8" w:space="0" w:color="auto"/>
              <w:right w:val="single" w:sz="8" w:space="0" w:color="auto"/>
            </w:tcBorders>
            <w:shd w:val="clear" w:color="auto" w:fill="auto"/>
            <w:noWrap/>
            <w:vAlign w:val="center"/>
            <w:hideMark/>
          </w:tcPr>
          <w:p w14:paraId="071B08A0"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134</w:t>
            </w:r>
          </w:p>
        </w:tc>
        <w:tc>
          <w:tcPr>
            <w:tcW w:w="859" w:type="dxa"/>
            <w:tcBorders>
              <w:top w:val="nil"/>
              <w:left w:val="nil"/>
              <w:bottom w:val="single" w:sz="8" w:space="0" w:color="auto"/>
              <w:right w:val="single" w:sz="8" w:space="0" w:color="auto"/>
            </w:tcBorders>
            <w:shd w:val="clear" w:color="auto" w:fill="auto"/>
            <w:noWrap/>
            <w:vAlign w:val="center"/>
            <w:hideMark/>
          </w:tcPr>
          <w:p w14:paraId="33268A96"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137</w:t>
            </w:r>
          </w:p>
        </w:tc>
        <w:tc>
          <w:tcPr>
            <w:tcW w:w="875" w:type="dxa"/>
            <w:tcBorders>
              <w:top w:val="nil"/>
              <w:left w:val="nil"/>
              <w:bottom w:val="single" w:sz="8" w:space="0" w:color="auto"/>
              <w:right w:val="single" w:sz="8" w:space="0" w:color="auto"/>
            </w:tcBorders>
            <w:shd w:val="clear" w:color="auto" w:fill="auto"/>
            <w:vAlign w:val="center"/>
            <w:hideMark/>
          </w:tcPr>
          <w:p w14:paraId="689F79A0"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102%</w:t>
            </w:r>
          </w:p>
        </w:tc>
        <w:tc>
          <w:tcPr>
            <w:tcW w:w="909" w:type="dxa"/>
            <w:tcBorders>
              <w:top w:val="nil"/>
              <w:left w:val="nil"/>
              <w:bottom w:val="single" w:sz="8" w:space="0" w:color="auto"/>
              <w:right w:val="single" w:sz="8" w:space="0" w:color="auto"/>
            </w:tcBorders>
            <w:shd w:val="clear" w:color="auto" w:fill="auto"/>
            <w:noWrap/>
            <w:vAlign w:val="center"/>
            <w:hideMark/>
          </w:tcPr>
          <w:p w14:paraId="4909E6DC"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1010" w:type="dxa"/>
            <w:tcBorders>
              <w:top w:val="nil"/>
              <w:left w:val="nil"/>
              <w:bottom w:val="single" w:sz="8" w:space="0" w:color="auto"/>
              <w:right w:val="single" w:sz="8" w:space="0" w:color="auto"/>
            </w:tcBorders>
            <w:shd w:val="clear" w:color="auto" w:fill="auto"/>
            <w:noWrap/>
            <w:vAlign w:val="center"/>
            <w:hideMark/>
          </w:tcPr>
          <w:p w14:paraId="1BEA69CE"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5</w:t>
            </w:r>
          </w:p>
        </w:tc>
        <w:tc>
          <w:tcPr>
            <w:tcW w:w="943" w:type="dxa"/>
            <w:tcBorders>
              <w:top w:val="nil"/>
              <w:left w:val="nil"/>
              <w:bottom w:val="single" w:sz="8" w:space="0" w:color="auto"/>
              <w:right w:val="single" w:sz="8" w:space="0" w:color="auto"/>
            </w:tcBorders>
            <w:shd w:val="clear" w:color="000000" w:fill="DBE5F1"/>
            <w:noWrap/>
            <w:vAlign w:val="center"/>
            <w:hideMark/>
          </w:tcPr>
          <w:p w14:paraId="0AE9BC30"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c>
          <w:tcPr>
            <w:tcW w:w="926" w:type="dxa"/>
            <w:tcBorders>
              <w:top w:val="nil"/>
              <w:left w:val="nil"/>
              <w:bottom w:val="single" w:sz="8" w:space="0" w:color="auto"/>
              <w:right w:val="single" w:sz="8" w:space="0" w:color="auto"/>
            </w:tcBorders>
            <w:shd w:val="clear" w:color="000000" w:fill="DBE5F1"/>
            <w:noWrap/>
            <w:vAlign w:val="center"/>
            <w:hideMark/>
          </w:tcPr>
          <w:p w14:paraId="43E52154"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3</w:t>
            </w:r>
          </w:p>
        </w:tc>
        <w:tc>
          <w:tcPr>
            <w:tcW w:w="885" w:type="dxa"/>
            <w:tcBorders>
              <w:top w:val="nil"/>
              <w:left w:val="nil"/>
              <w:bottom w:val="single" w:sz="8" w:space="0" w:color="auto"/>
              <w:right w:val="single" w:sz="8" w:space="0" w:color="auto"/>
            </w:tcBorders>
            <w:shd w:val="clear" w:color="000000" w:fill="FDE9D9"/>
            <w:noWrap/>
            <w:vAlign w:val="center"/>
            <w:hideMark/>
          </w:tcPr>
          <w:p w14:paraId="483C6D94"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-1</w:t>
            </w:r>
          </w:p>
        </w:tc>
        <w:tc>
          <w:tcPr>
            <w:tcW w:w="993" w:type="dxa"/>
            <w:tcBorders>
              <w:top w:val="nil"/>
              <w:left w:val="nil"/>
              <w:bottom w:val="single" w:sz="8" w:space="0" w:color="auto"/>
              <w:right w:val="single" w:sz="8" w:space="0" w:color="auto"/>
            </w:tcBorders>
            <w:shd w:val="clear" w:color="000000" w:fill="FDE9D9"/>
            <w:noWrap/>
            <w:vAlign w:val="center"/>
            <w:hideMark/>
          </w:tcPr>
          <w:p w14:paraId="5144AD57" w14:textId="77777777" w:rsidR="00847ED1" w:rsidRPr="00847ED1" w:rsidRDefault="00847ED1" w:rsidP="00847ED1">
            <w:pPr>
              <w:spacing w:after="0" w:line="240" w:lineRule="auto"/>
              <w:jc w:val="center"/>
              <w:rPr>
                <w:rFonts w:ascii="Book Antiqua" w:eastAsia="Times New Roman" w:hAnsi="Book Antiqua" w:cs="Calibri"/>
                <w:color w:val="000000"/>
                <w:sz w:val="18"/>
                <w:szCs w:val="18"/>
                <w:lang w:eastAsia="es-CR"/>
              </w:rPr>
            </w:pPr>
            <w:r w:rsidRPr="00847ED1">
              <w:rPr>
                <w:rFonts w:ascii="Book Antiqua" w:eastAsia="Times New Roman" w:hAnsi="Book Antiqua" w:cs="Calibri"/>
                <w:color w:val="000000"/>
                <w:sz w:val="18"/>
                <w:szCs w:val="18"/>
                <w:lang w:eastAsia="es-CR"/>
              </w:rPr>
              <w:t>-2</w:t>
            </w:r>
          </w:p>
        </w:tc>
      </w:tr>
    </w:tbl>
    <w:p w14:paraId="56B70F0E" w14:textId="30359562" w:rsidR="007D1FD9" w:rsidRDefault="007D1FD9" w:rsidP="00303AE6">
      <w:pPr>
        <w:keepNext/>
        <w:numPr>
          <w:ilvl w:val="12"/>
          <w:numId w:val="0"/>
        </w:numPr>
        <w:spacing w:after="0" w:line="276" w:lineRule="auto"/>
        <w:rPr>
          <w:rFonts w:ascii="Book Antiqua" w:eastAsia="Calibri" w:hAnsi="Book Antiqua" w:cs="Arial"/>
          <w:i/>
          <w:iCs/>
          <w:sz w:val="20"/>
          <w:szCs w:val="20"/>
          <w:lang w:val="es-ES" w:eastAsia="es-ES"/>
        </w:rPr>
      </w:pPr>
      <w:r w:rsidRPr="00DC503B">
        <w:rPr>
          <w:rFonts w:ascii="Book Antiqua" w:eastAsia="Calibri" w:hAnsi="Book Antiqua" w:cs="Arial"/>
          <w:b/>
          <w:bCs/>
          <w:i/>
          <w:iCs/>
          <w:sz w:val="20"/>
          <w:szCs w:val="20"/>
          <w:lang w:val="es-ES" w:eastAsia="es-ES"/>
        </w:rPr>
        <w:t>Fuente:</w:t>
      </w:r>
      <w:r w:rsidRPr="007D1FD9">
        <w:rPr>
          <w:rFonts w:ascii="Book Antiqua" w:eastAsia="Calibri" w:hAnsi="Book Antiqua" w:cs="Arial"/>
          <w:i/>
          <w:iCs/>
          <w:sz w:val="20"/>
          <w:szCs w:val="20"/>
          <w:lang w:val="es-ES" w:eastAsia="es-ES"/>
        </w:rPr>
        <w:t xml:space="preserve"> </w:t>
      </w:r>
      <w:r w:rsidR="00303AE6" w:rsidRPr="00303AE6">
        <w:rPr>
          <w:rFonts w:ascii="Book Antiqua" w:eastAsia="Calibri" w:hAnsi="Book Antiqua" w:cs="Arial"/>
          <w:i/>
          <w:iCs/>
          <w:sz w:val="20"/>
          <w:szCs w:val="20"/>
          <w:lang w:val="es-ES" w:eastAsia="es-ES"/>
        </w:rPr>
        <w:t>Subproceso de Modernización Institucional con datos del Subproceso de Estadística del 2017 al 2022 y consulta del Balance General Interactivo del 22/2/2023.</w:t>
      </w:r>
    </w:p>
    <w:p w14:paraId="12B0AD24" w14:textId="77777777" w:rsidR="00303AE6" w:rsidRDefault="00303AE6" w:rsidP="00303AE6">
      <w:pPr>
        <w:keepNext/>
        <w:numPr>
          <w:ilvl w:val="12"/>
          <w:numId w:val="0"/>
        </w:numPr>
        <w:spacing w:after="0" w:line="276" w:lineRule="auto"/>
        <w:rPr>
          <w:rFonts w:ascii="Book Antiqua" w:eastAsia="Calibri" w:hAnsi="Book Antiqua" w:cs="Arial"/>
          <w:b/>
          <w:bCs/>
          <w:color w:val="1F497D"/>
          <w:szCs w:val="24"/>
          <w:lang w:val="es-ES" w:eastAsia="es-ES"/>
        </w:rPr>
      </w:pPr>
    </w:p>
    <w:p w14:paraId="70BAC723" w14:textId="0340149B" w:rsidR="000379A3" w:rsidRDefault="002C37D8" w:rsidP="002C37D8">
      <w:pPr>
        <w:spacing w:after="0" w:line="276" w:lineRule="auto"/>
        <w:jc w:val="both"/>
        <w:rPr>
          <w:rFonts w:ascii="Book Antiqua" w:eastAsia="Calibri" w:hAnsi="Book Antiqua" w:cs="Arial"/>
          <w:sz w:val="24"/>
          <w:szCs w:val="24"/>
        </w:rPr>
      </w:pPr>
      <w:r w:rsidRPr="004B01D6">
        <w:rPr>
          <w:rFonts w:ascii="Book Antiqua" w:eastAsia="Calibri" w:hAnsi="Book Antiqua" w:cs="Arial"/>
          <w:sz w:val="24"/>
          <w:szCs w:val="24"/>
        </w:rPr>
        <w:t>De los resultados anteriores se identifica que el Juzgado de Familia de Cartago</w:t>
      </w:r>
      <w:r w:rsidR="00B432C4" w:rsidRPr="004B01D6">
        <w:rPr>
          <w:rFonts w:ascii="Book Antiqua" w:eastAsia="Calibri" w:hAnsi="Book Antiqua" w:cs="Arial"/>
          <w:sz w:val="24"/>
          <w:szCs w:val="24"/>
        </w:rPr>
        <w:t xml:space="preserve"> y el </w:t>
      </w:r>
      <w:bookmarkStart w:id="36" w:name="_Hlk96073158"/>
      <w:r w:rsidRPr="004B01D6">
        <w:rPr>
          <w:rFonts w:ascii="Book Antiqua" w:eastAsia="Calibri" w:hAnsi="Book Antiqua" w:cs="Arial"/>
          <w:sz w:val="24"/>
          <w:szCs w:val="24"/>
        </w:rPr>
        <w:t xml:space="preserve">Juzgado Familia </w:t>
      </w:r>
      <w:r w:rsidR="00545C67" w:rsidRPr="004B01D6">
        <w:rPr>
          <w:rFonts w:ascii="Book Antiqua" w:eastAsia="Calibri" w:hAnsi="Book Antiqua" w:cs="Arial"/>
          <w:sz w:val="24"/>
          <w:szCs w:val="24"/>
        </w:rPr>
        <w:t xml:space="preserve">del Segundo </w:t>
      </w:r>
      <w:r w:rsidRPr="004B01D6">
        <w:rPr>
          <w:rFonts w:ascii="Book Antiqua" w:eastAsia="Calibri" w:hAnsi="Book Antiqua" w:cs="Arial"/>
          <w:sz w:val="24"/>
          <w:szCs w:val="24"/>
        </w:rPr>
        <w:t>Circuito Judicial de Alajuela</w:t>
      </w:r>
      <w:bookmarkEnd w:id="36"/>
      <w:r w:rsidR="00D56F74" w:rsidRPr="004B01D6">
        <w:rPr>
          <w:rFonts w:ascii="Book Antiqua" w:eastAsia="Calibri" w:hAnsi="Book Antiqua" w:cs="Arial"/>
          <w:sz w:val="24"/>
          <w:szCs w:val="24"/>
        </w:rPr>
        <w:t>, so</w:t>
      </w:r>
      <w:r w:rsidRPr="004B01D6">
        <w:rPr>
          <w:rFonts w:ascii="Book Antiqua" w:eastAsia="Calibri" w:hAnsi="Book Antiqua" w:cs="Arial"/>
          <w:sz w:val="24"/>
          <w:szCs w:val="24"/>
        </w:rPr>
        <w:t>n los únicos que registran necesidad de personas juzgadoras o técnicas judiciales, con la variación estimada en los niveles de entrada mensual del nuevo Código Procesal Familia</w:t>
      </w:r>
      <w:r w:rsidR="000379A3" w:rsidRPr="004B01D6">
        <w:rPr>
          <w:rFonts w:ascii="Book Antiqua" w:eastAsia="Calibri" w:hAnsi="Book Antiqua" w:cs="Arial"/>
          <w:sz w:val="24"/>
          <w:szCs w:val="24"/>
        </w:rPr>
        <w:t>; por lo que se analizan con mayor detalle en el siguiente apartado.</w:t>
      </w:r>
      <w:r w:rsidR="000379A3">
        <w:rPr>
          <w:rFonts w:ascii="Book Antiqua" w:eastAsia="Calibri" w:hAnsi="Book Antiqua" w:cs="Arial"/>
          <w:sz w:val="24"/>
          <w:szCs w:val="24"/>
        </w:rPr>
        <w:t xml:space="preserve"> </w:t>
      </w:r>
    </w:p>
    <w:p w14:paraId="111FAC1A" w14:textId="7D855E59" w:rsidR="002C37D8" w:rsidRPr="002C37D8" w:rsidRDefault="002C37D8" w:rsidP="002C37D8">
      <w:pPr>
        <w:spacing w:after="0" w:line="276" w:lineRule="auto"/>
        <w:jc w:val="both"/>
        <w:rPr>
          <w:rFonts w:ascii="Book Antiqua" w:eastAsia="Calibri" w:hAnsi="Book Antiqua" w:cs="Arial"/>
          <w:sz w:val="24"/>
          <w:szCs w:val="24"/>
        </w:rPr>
      </w:pPr>
      <w:r w:rsidRPr="004B01D6">
        <w:rPr>
          <w:rFonts w:ascii="Book Antiqua" w:eastAsia="Calibri" w:hAnsi="Book Antiqua" w:cs="Arial"/>
          <w:sz w:val="24"/>
          <w:szCs w:val="24"/>
        </w:rPr>
        <w:t xml:space="preserve">En los demás casos producto de esta variación no sería necesario incluir recurso humano, por el contrario, según el volumen de ingreso de casos al mes se podría disponer para reubicar personas juzgadoras </w:t>
      </w:r>
      <w:r w:rsidR="00303AE6">
        <w:rPr>
          <w:rFonts w:ascii="Book Antiqua" w:eastAsia="Calibri" w:hAnsi="Book Antiqua" w:cs="Arial"/>
          <w:sz w:val="24"/>
          <w:szCs w:val="24"/>
        </w:rPr>
        <w:t xml:space="preserve">del </w:t>
      </w:r>
      <w:r w:rsidR="00B432C4" w:rsidRPr="004B01D6">
        <w:rPr>
          <w:rFonts w:ascii="Book Antiqua" w:eastAsia="Calibri" w:hAnsi="Book Antiqua" w:cs="Arial"/>
          <w:sz w:val="24"/>
          <w:szCs w:val="24"/>
        </w:rPr>
        <w:t xml:space="preserve">Juzgado </w:t>
      </w:r>
      <w:r w:rsidRPr="004B01D6">
        <w:rPr>
          <w:rFonts w:ascii="Book Antiqua" w:eastAsia="Calibri" w:hAnsi="Book Antiqua" w:cs="Arial"/>
          <w:sz w:val="24"/>
          <w:szCs w:val="24"/>
        </w:rPr>
        <w:t xml:space="preserve">Primero de Familia de San José y </w:t>
      </w:r>
      <w:r w:rsidR="00303AE6">
        <w:rPr>
          <w:rFonts w:ascii="Book Antiqua" w:eastAsia="Calibri" w:hAnsi="Book Antiqua" w:cs="Arial"/>
          <w:sz w:val="24"/>
          <w:szCs w:val="24"/>
        </w:rPr>
        <w:t>d</w:t>
      </w:r>
      <w:r w:rsidRPr="004B01D6">
        <w:rPr>
          <w:rFonts w:ascii="Book Antiqua" w:eastAsia="Calibri" w:hAnsi="Book Antiqua" w:cs="Arial"/>
          <w:sz w:val="24"/>
          <w:szCs w:val="24"/>
        </w:rPr>
        <w:t>el Juzgado Segundo de Familia de San José, además de personas técnicas judiciales</w:t>
      </w:r>
      <w:r w:rsidR="00303AE6">
        <w:rPr>
          <w:rFonts w:ascii="Book Antiqua" w:eastAsia="Calibri" w:hAnsi="Book Antiqua" w:cs="Arial"/>
          <w:sz w:val="24"/>
          <w:szCs w:val="24"/>
        </w:rPr>
        <w:t xml:space="preserve"> del Juzgado de Familia de Heredia, d</w:t>
      </w:r>
      <w:r w:rsidR="00303AE6" w:rsidRPr="004B01D6">
        <w:rPr>
          <w:rFonts w:ascii="Book Antiqua" w:eastAsia="Calibri" w:hAnsi="Book Antiqua" w:cs="Arial"/>
          <w:sz w:val="24"/>
          <w:szCs w:val="24"/>
        </w:rPr>
        <w:t>e</w:t>
      </w:r>
      <w:r w:rsidR="00303AE6">
        <w:rPr>
          <w:rFonts w:ascii="Book Antiqua" w:eastAsia="Calibri" w:hAnsi="Book Antiqua" w:cs="Arial"/>
          <w:sz w:val="24"/>
          <w:szCs w:val="24"/>
        </w:rPr>
        <w:t xml:space="preserve">l </w:t>
      </w:r>
      <w:r w:rsidR="00885870">
        <w:rPr>
          <w:rFonts w:ascii="Book Antiqua" w:eastAsia="Calibri" w:hAnsi="Book Antiqua" w:cs="Arial"/>
          <w:sz w:val="24"/>
          <w:szCs w:val="24"/>
        </w:rPr>
        <w:t xml:space="preserve">Juzgado de Familia </w:t>
      </w:r>
      <w:r w:rsidRPr="004B01D6">
        <w:rPr>
          <w:rFonts w:ascii="Book Antiqua" w:eastAsia="Calibri" w:hAnsi="Book Antiqua" w:cs="Arial"/>
          <w:sz w:val="24"/>
          <w:szCs w:val="24"/>
        </w:rPr>
        <w:t xml:space="preserve">del I Circuito Judicial Zona Atlántica, del II Circuito </w:t>
      </w:r>
      <w:r w:rsidR="004B01D6">
        <w:rPr>
          <w:rFonts w:ascii="Book Antiqua" w:eastAsia="Calibri" w:hAnsi="Book Antiqua" w:cs="Arial"/>
          <w:sz w:val="24"/>
          <w:szCs w:val="24"/>
        </w:rPr>
        <w:t>J</w:t>
      </w:r>
      <w:r w:rsidRPr="004B01D6">
        <w:rPr>
          <w:rFonts w:ascii="Book Antiqua" w:eastAsia="Calibri" w:hAnsi="Book Antiqua" w:cs="Arial"/>
          <w:sz w:val="24"/>
          <w:szCs w:val="24"/>
        </w:rPr>
        <w:t xml:space="preserve">udicial </w:t>
      </w:r>
      <w:r w:rsidR="004B01D6">
        <w:rPr>
          <w:rFonts w:ascii="Book Antiqua" w:eastAsia="Calibri" w:hAnsi="Book Antiqua" w:cs="Arial"/>
          <w:sz w:val="24"/>
          <w:szCs w:val="24"/>
        </w:rPr>
        <w:t>S</w:t>
      </w:r>
      <w:r w:rsidRPr="004B01D6">
        <w:rPr>
          <w:rFonts w:ascii="Book Antiqua" w:eastAsia="Calibri" w:hAnsi="Book Antiqua" w:cs="Arial"/>
          <w:sz w:val="24"/>
          <w:szCs w:val="24"/>
        </w:rPr>
        <w:t xml:space="preserve">an José (porque además de los 7 técnicos tramitadores dispone de un manifestador y un Auxiliar de Servicios Generales) y del Primero </w:t>
      </w:r>
      <w:r w:rsidR="00303AE6">
        <w:rPr>
          <w:rFonts w:ascii="Book Antiqua" w:eastAsia="Calibri" w:hAnsi="Book Antiqua" w:cs="Arial"/>
          <w:sz w:val="24"/>
          <w:szCs w:val="24"/>
        </w:rPr>
        <w:t>y</w:t>
      </w:r>
      <w:r w:rsidRPr="004B01D6">
        <w:rPr>
          <w:rFonts w:ascii="Book Antiqua" w:eastAsia="Calibri" w:hAnsi="Book Antiqua" w:cs="Arial"/>
          <w:sz w:val="24"/>
          <w:szCs w:val="24"/>
        </w:rPr>
        <w:t xml:space="preserve"> </w:t>
      </w:r>
      <w:r w:rsidR="00303AE6">
        <w:rPr>
          <w:rFonts w:ascii="Book Antiqua" w:eastAsia="Calibri" w:hAnsi="Book Antiqua" w:cs="Arial"/>
          <w:sz w:val="24"/>
          <w:szCs w:val="24"/>
        </w:rPr>
        <w:t>d</w:t>
      </w:r>
      <w:r w:rsidRPr="004B01D6">
        <w:rPr>
          <w:rFonts w:ascii="Book Antiqua" w:eastAsia="Calibri" w:hAnsi="Book Antiqua" w:cs="Arial"/>
          <w:sz w:val="24"/>
          <w:szCs w:val="24"/>
        </w:rPr>
        <w:t>el</w:t>
      </w:r>
      <w:r w:rsidR="00303AE6">
        <w:rPr>
          <w:rFonts w:ascii="Book Antiqua" w:eastAsia="Calibri" w:hAnsi="Book Antiqua" w:cs="Arial"/>
          <w:sz w:val="24"/>
          <w:szCs w:val="24"/>
        </w:rPr>
        <w:t xml:space="preserve"> </w:t>
      </w:r>
      <w:r w:rsidRPr="004B01D6">
        <w:rPr>
          <w:rFonts w:ascii="Book Antiqua" w:eastAsia="Calibri" w:hAnsi="Book Antiqua" w:cs="Arial"/>
          <w:sz w:val="24"/>
          <w:szCs w:val="24"/>
        </w:rPr>
        <w:t xml:space="preserve">Segundo de Familia de </w:t>
      </w:r>
      <w:r w:rsidR="00364116" w:rsidRPr="004B01D6">
        <w:rPr>
          <w:rFonts w:ascii="Book Antiqua" w:eastAsia="Calibri" w:hAnsi="Book Antiqua" w:cs="Arial"/>
          <w:sz w:val="24"/>
          <w:szCs w:val="24"/>
        </w:rPr>
        <w:t>S</w:t>
      </w:r>
      <w:r w:rsidRPr="004B01D6">
        <w:rPr>
          <w:rFonts w:ascii="Book Antiqua" w:eastAsia="Calibri" w:hAnsi="Book Antiqua" w:cs="Arial"/>
          <w:sz w:val="24"/>
          <w:szCs w:val="24"/>
        </w:rPr>
        <w:t>an José, por lo que se procede a analizar dichos despachos en específico.</w:t>
      </w:r>
      <w:r w:rsidRPr="002C37D8">
        <w:rPr>
          <w:rFonts w:ascii="Book Antiqua" w:eastAsia="Calibri" w:hAnsi="Book Antiqua" w:cs="Arial"/>
          <w:sz w:val="24"/>
          <w:szCs w:val="24"/>
        </w:rPr>
        <w:t xml:space="preserve"> </w:t>
      </w:r>
    </w:p>
    <w:p w14:paraId="071A11A1" w14:textId="77777777" w:rsidR="002C37D8" w:rsidRPr="002C37D8" w:rsidRDefault="002C37D8" w:rsidP="002C37D8">
      <w:pPr>
        <w:spacing w:after="0" w:line="276" w:lineRule="auto"/>
        <w:jc w:val="both"/>
        <w:rPr>
          <w:rFonts w:ascii="Book Antiqua" w:eastAsia="Calibri" w:hAnsi="Book Antiqua" w:cs="Arial"/>
          <w:sz w:val="24"/>
          <w:szCs w:val="24"/>
        </w:rPr>
      </w:pPr>
    </w:p>
    <w:p w14:paraId="0E22F91A" w14:textId="04C246BD" w:rsidR="002C37D8" w:rsidRPr="002C37D8" w:rsidRDefault="002C37D8" w:rsidP="002C37D8">
      <w:pPr>
        <w:spacing w:after="0" w:line="276" w:lineRule="auto"/>
        <w:jc w:val="both"/>
        <w:rPr>
          <w:rFonts w:ascii="Book Antiqua" w:eastAsia="Calibri" w:hAnsi="Book Antiqua" w:cs="Arial"/>
          <w:sz w:val="24"/>
          <w:szCs w:val="24"/>
          <w:lang w:val="es-ES"/>
        </w:rPr>
      </w:pPr>
      <w:r w:rsidRPr="004B01D6">
        <w:rPr>
          <w:rFonts w:ascii="Book Antiqua" w:eastAsia="Calibri" w:hAnsi="Book Antiqua" w:cs="Arial"/>
          <w:sz w:val="24"/>
          <w:szCs w:val="24"/>
        </w:rPr>
        <w:t>Es importante indicar que para efectos de este informe no se planteará la reubicación de personas juzgadoras o técnicas judiciales, bajo el entendido que al mantener estas personas e</w:t>
      </w:r>
      <w:r w:rsidR="0032739F" w:rsidRPr="004B01D6">
        <w:rPr>
          <w:rFonts w:ascii="Book Antiqua" w:eastAsia="Calibri" w:hAnsi="Book Antiqua" w:cs="Arial"/>
          <w:sz w:val="24"/>
          <w:szCs w:val="24"/>
        </w:rPr>
        <w:t>n</w:t>
      </w:r>
      <w:r w:rsidRPr="004B01D6">
        <w:rPr>
          <w:rFonts w:ascii="Book Antiqua" w:eastAsia="Calibri" w:hAnsi="Book Antiqua" w:cs="Arial"/>
          <w:sz w:val="24"/>
          <w:szCs w:val="24"/>
        </w:rPr>
        <w:t xml:space="preserve"> sus despachos se estaría contribuyendo a la reducción del circulante y a la disminución de tiempos en los procesos en sus despachos de manera inmediata, en línea con lo indicado por la Contraloría General de la República, hecho que se comprobará en los abordajes que se realicen a estas oficinas por la Dirección de Planificación y el seguimiento respectivo.</w:t>
      </w:r>
    </w:p>
    <w:p w14:paraId="6EBB02FB" w14:textId="17CE869C" w:rsidR="002C37D8" w:rsidRDefault="002C37D8" w:rsidP="002C37D8">
      <w:pPr>
        <w:spacing w:after="0" w:line="276" w:lineRule="auto"/>
        <w:jc w:val="both"/>
        <w:rPr>
          <w:rFonts w:ascii="Book Antiqua" w:eastAsia="Calibri" w:hAnsi="Book Antiqua" w:cs="Arial"/>
          <w:sz w:val="24"/>
          <w:szCs w:val="24"/>
        </w:rPr>
      </w:pPr>
    </w:p>
    <w:p w14:paraId="03DF88FA" w14:textId="77777777" w:rsidR="000379A3" w:rsidRPr="004A3198" w:rsidRDefault="000379A3"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Juzgado </w:t>
      </w:r>
      <w:bookmarkStart w:id="37" w:name="_Hlk31981893"/>
      <w:r w:rsidRPr="004A3198">
        <w:rPr>
          <w:rFonts w:ascii="Book Antiqua" w:eastAsia="Calibri" w:hAnsi="Book Antiqua" w:cs="Arial"/>
          <w:b/>
          <w:bCs/>
          <w:sz w:val="24"/>
          <w:szCs w:val="24"/>
        </w:rPr>
        <w:t>de Familia de Cartago</w:t>
      </w:r>
      <w:bookmarkEnd w:id="37"/>
    </w:p>
    <w:p w14:paraId="4018302C" w14:textId="77777777" w:rsidR="004A3198" w:rsidRDefault="004A3198" w:rsidP="000379A3">
      <w:pPr>
        <w:spacing w:after="0" w:line="276" w:lineRule="auto"/>
        <w:jc w:val="both"/>
        <w:rPr>
          <w:rFonts w:ascii="Book Antiqua" w:eastAsia="Calibri" w:hAnsi="Book Antiqua" w:cs="Arial"/>
          <w:sz w:val="24"/>
          <w:szCs w:val="24"/>
        </w:rPr>
      </w:pPr>
    </w:p>
    <w:p w14:paraId="31967E37" w14:textId="4DFFDCFA" w:rsidR="000379A3" w:rsidRPr="00BF2B4F" w:rsidRDefault="000379A3" w:rsidP="000379A3">
      <w:p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 xml:space="preserve">En el caso del Juzgado de Familia de Cartago cuenta actualmente con 3 recursos de persona juzgadora (informe 628-PLA-EV-2020).  </w:t>
      </w:r>
      <w:r w:rsidRPr="00BF2B4F">
        <w:rPr>
          <w:rFonts w:ascii="Book Antiqua" w:eastAsia="Calibri" w:hAnsi="Book Antiqua" w:cs="Arial"/>
          <w:sz w:val="24"/>
          <w:szCs w:val="24"/>
        </w:rPr>
        <w:t>El Juzgado de Familia de Cartago es el que registra mayor cantidad de casos entrados en la actualidad por persona juzgadora de todo el país con 1</w:t>
      </w:r>
      <w:r w:rsidR="00BF2B4F" w:rsidRPr="00BF2B4F">
        <w:rPr>
          <w:rFonts w:ascii="Book Antiqua" w:eastAsia="Calibri" w:hAnsi="Book Antiqua" w:cs="Arial"/>
          <w:sz w:val="24"/>
          <w:szCs w:val="24"/>
        </w:rPr>
        <w:t>19</w:t>
      </w:r>
      <w:r w:rsidRPr="00BF2B4F">
        <w:rPr>
          <w:rFonts w:ascii="Book Antiqua" w:eastAsia="Calibri" w:hAnsi="Book Antiqua" w:cs="Arial"/>
          <w:sz w:val="24"/>
          <w:szCs w:val="24"/>
        </w:rPr>
        <w:t xml:space="preserve"> casos en promedio al mes. Conforme a esa carga se estaría ante la necesidad de crear la plaza de Jueza o Juez 3 </w:t>
      </w:r>
      <w:r w:rsidR="00E32E75" w:rsidRPr="00BF2B4F">
        <w:rPr>
          <w:rFonts w:ascii="Book Antiqua" w:eastAsia="Calibri" w:hAnsi="Book Antiqua" w:cs="Arial"/>
          <w:sz w:val="24"/>
          <w:szCs w:val="24"/>
        </w:rPr>
        <w:t xml:space="preserve">y 2 de persona técnica judicial </w:t>
      </w:r>
      <w:r w:rsidRPr="00BF2B4F">
        <w:rPr>
          <w:rFonts w:ascii="Book Antiqua" w:eastAsia="Calibri" w:hAnsi="Book Antiqua" w:cs="Arial"/>
          <w:sz w:val="24"/>
          <w:szCs w:val="24"/>
        </w:rPr>
        <w:t xml:space="preserve">con la entrada del nuevo Código Procesal de Familia según el análisis macro del cuadro anterior. </w:t>
      </w:r>
    </w:p>
    <w:p w14:paraId="43FCD898" w14:textId="02B4A557" w:rsidR="00E32E75" w:rsidRDefault="000379A3" w:rsidP="00E32E75">
      <w:pPr>
        <w:spacing w:after="0" w:line="276" w:lineRule="auto"/>
        <w:jc w:val="both"/>
        <w:rPr>
          <w:rFonts w:ascii="Book Antiqua" w:eastAsia="Calibri" w:hAnsi="Book Antiqua" w:cs="Arial"/>
          <w:sz w:val="24"/>
          <w:szCs w:val="24"/>
        </w:rPr>
      </w:pPr>
      <w:r w:rsidRPr="00BF2B4F">
        <w:rPr>
          <w:rFonts w:ascii="Book Antiqua" w:eastAsia="Calibri" w:hAnsi="Book Antiqua" w:cs="Arial"/>
          <w:sz w:val="24"/>
          <w:szCs w:val="24"/>
        </w:rPr>
        <w:t xml:space="preserve">Sin embargo, al analizar en detalle la oficina, </w:t>
      </w:r>
      <w:r w:rsidR="00E32E75" w:rsidRPr="00BF2B4F">
        <w:rPr>
          <w:rFonts w:ascii="Book Antiqua" w:eastAsia="Calibri" w:hAnsi="Book Antiqua" w:cs="Arial"/>
          <w:sz w:val="24"/>
          <w:szCs w:val="24"/>
        </w:rPr>
        <w:t>la cual reporta un excelente rendimiento de las personas juzgadoras a través del tiempo, registrando en promedio 117 casos terminados por Jueza o Juez, un 9</w:t>
      </w:r>
      <w:r w:rsidR="00BF2B4F" w:rsidRPr="00BF2B4F">
        <w:rPr>
          <w:rFonts w:ascii="Book Antiqua" w:eastAsia="Calibri" w:hAnsi="Book Antiqua" w:cs="Arial"/>
          <w:sz w:val="24"/>
          <w:szCs w:val="24"/>
        </w:rPr>
        <w:t>8</w:t>
      </w:r>
      <w:r w:rsidR="00E32E75" w:rsidRPr="00BF2B4F">
        <w:rPr>
          <w:rFonts w:ascii="Book Antiqua" w:eastAsia="Calibri" w:hAnsi="Book Antiqua" w:cs="Arial"/>
          <w:sz w:val="24"/>
          <w:szCs w:val="24"/>
        </w:rPr>
        <w:t>% superior al valor promedio registrado por los demás despachos para las personas juzgadoras (6</w:t>
      </w:r>
      <w:r w:rsidR="00BF2B4F" w:rsidRPr="00BF2B4F">
        <w:rPr>
          <w:rFonts w:ascii="Book Antiqua" w:eastAsia="Calibri" w:hAnsi="Book Antiqua" w:cs="Arial"/>
          <w:sz w:val="24"/>
          <w:szCs w:val="24"/>
        </w:rPr>
        <w:t>2</w:t>
      </w:r>
      <w:r w:rsidR="00E32E75" w:rsidRPr="00BF2B4F">
        <w:rPr>
          <w:rFonts w:ascii="Book Antiqua" w:eastAsia="Calibri" w:hAnsi="Book Antiqua" w:cs="Arial"/>
          <w:sz w:val="24"/>
          <w:szCs w:val="24"/>
        </w:rPr>
        <w:t>), razón por la que no se considera necesario la inclusión de este nuevo recurso. Lo anterior</w:t>
      </w:r>
      <w:r w:rsidR="00E32E75" w:rsidRPr="009D59D7">
        <w:rPr>
          <w:rFonts w:ascii="Book Antiqua" w:eastAsia="Calibri" w:hAnsi="Book Antiqua" w:cs="Arial"/>
          <w:sz w:val="24"/>
          <w:szCs w:val="24"/>
        </w:rPr>
        <w:t xml:space="preserve"> bajo el entendido que no se varíe el recurso humano (Juezas o Jueces) en este despacho, situación que, si se diera, entonces se requeriría una nueva valoración de condiciones para justificar o no la necesidad de incluir la persona juzgadora identificada anteriormente para completar la estructura de trabajo</w:t>
      </w:r>
      <w:r w:rsidR="00E32E75">
        <w:rPr>
          <w:rFonts w:ascii="Book Antiqua" w:eastAsia="Calibri" w:hAnsi="Book Antiqua" w:cs="Arial"/>
          <w:sz w:val="24"/>
          <w:szCs w:val="24"/>
        </w:rPr>
        <w:t xml:space="preserve"> y tampoco el recurso de apoyo. </w:t>
      </w:r>
    </w:p>
    <w:p w14:paraId="5FD02016" w14:textId="42BE89C2" w:rsidR="000379A3" w:rsidRPr="009D59D7" w:rsidRDefault="00E32E75" w:rsidP="00E32E75">
      <w:pPr>
        <w:spacing w:after="0" w:line="276" w:lineRule="auto"/>
        <w:jc w:val="both"/>
        <w:rPr>
          <w:rFonts w:ascii="Book Antiqua" w:eastAsia="Calibri" w:hAnsi="Book Antiqua" w:cs="Arial"/>
          <w:sz w:val="24"/>
          <w:szCs w:val="24"/>
        </w:rPr>
      </w:pPr>
      <w:r w:rsidRPr="00983FC0">
        <w:rPr>
          <w:rFonts w:ascii="Book Antiqua" w:eastAsia="Calibri" w:hAnsi="Book Antiqua" w:cs="Arial"/>
          <w:sz w:val="24"/>
          <w:szCs w:val="24"/>
        </w:rPr>
        <w:t>Lo anterior considerando además, visualizar el impacto en la carga de trabajo de esta oficina a partir del 1 de octubre de 202</w:t>
      </w:r>
      <w:r w:rsidR="00BF2B4F" w:rsidRPr="00983FC0">
        <w:rPr>
          <w:rFonts w:ascii="Book Antiqua" w:eastAsia="Calibri" w:hAnsi="Book Antiqua" w:cs="Arial"/>
          <w:sz w:val="24"/>
          <w:szCs w:val="24"/>
        </w:rPr>
        <w:t>4</w:t>
      </w:r>
      <w:r w:rsidRPr="00983FC0">
        <w:rPr>
          <w:rFonts w:ascii="Book Antiqua" w:eastAsia="Calibri" w:hAnsi="Book Antiqua" w:cs="Arial"/>
          <w:sz w:val="24"/>
          <w:szCs w:val="24"/>
        </w:rPr>
        <w:t xml:space="preserve">, </w:t>
      </w:r>
      <w:r w:rsidR="00562911" w:rsidRPr="00983FC0">
        <w:rPr>
          <w:rFonts w:ascii="Book Antiqua" w:eastAsia="Calibri" w:hAnsi="Book Antiqua" w:cs="Arial"/>
          <w:sz w:val="24"/>
          <w:szCs w:val="24"/>
        </w:rPr>
        <w:t>fecha a</w:t>
      </w:r>
      <w:r w:rsidRPr="00983FC0">
        <w:rPr>
          <w:rFonts w:ascii="Book Antiqua" w:eastAsia="Calibri" w:hAnsi="Book Antiqua" w:cs="Arial"/>
          <w:sz w:val="24"/>
          <w:szCs w:val="24"/>
        </w:rPr>
        <w:t xml:space="preserve"> partir de la cual ya no conocerán las Apelaciones de “pensiones provisionales” que para 2021 representó una entrada de </w:t>
      </w:r>
      <w:r w:rsidR="00983FC0" w:rsidRPr="00983FC0">
        <w:rPr>
          <w:rFonts w:ascii="Book Antiqua" w:eastAsia="Calibri" w:hAnsi="Book Antiqua" w:cs="Arial"/>
          <w:sz w:val="24"/>
          <w:szCs w:val="24"/>
        </w:rPr>
        <w:t>592</w:t>
      </w:r>
      <w:r w:rsidRPr="00983FC0">
        <w:rPr>
          <w:rFonts w:ascii="Book Antiqua" w:eastAsia="Calibri" w:hAnsi="Book Antiqua" w:cs="Arial"/>
          <w:sz w:val="24"/>
          <w:szCs w:val="24"/>
        </w:rPr>
        <w:t xml:space="preserve"> casos.  Así como la eventual creación de un </w:t>
      </w:r>
      <w:r w:rsidR="00562911" w:rsidRPr="00983FC0">
        <w:rPr>
          <w:rFonts w:ascii="Book Antiqua" w:eastAsia="Calibri" w:hAnsi="Book Antiqua" w:cs="Arial"/>
          <w:sz w:val="24"/>
          <w:szCs w:val="24"/>
        </w:rPr>
        <w:t>J</w:t>
      </w:r>
      <w:r w:rsidRPr="00983FC0">
        <w:rPr>
          <w:rFonts w:ascii="Book Antiqua" w:eastAsia="Calibri" w:hAnsi="Book Antiqua" w:cs="Arial"/>
          <w:sz w:val="24"/>
          <w:szCs w:val="24"/>
        </w:rPr>
        <w:t xml:space="preserve">uzgado de Familia que pueda conocer toda la segunda instancia de este juzgado que podría representar perder </w:t>
      </w:r>
      <w:r w:rsidR="00562911" w:rsidRPr="00983FC0">
        <w:rPr>
          <w:rFonts w:ascii="Book Antiqua" w:eastAsia="Calibri" w:hAnsi="Book Antiqua" w:cs="Arial"/>
          <w:sz w:val="24"/>
          <w:szCs w:val="24"/>
        </w:rPr>
        <w:t>3</w:t>
      </w:r>
      <w:r w:rsidR="00983FC0" w:rsidRPr="00983FC0">
        <w:rPr>
          <w:rFonts w:ascii="Book Antiqua" w:eastAsia="Calibri" w:hAnsi="Book Antiqua" w:cs="Arial"/>
          <w:sz w:val="24"/>
          <w:szCs w:val="24"/>
        </w:rPr>
        <w:t>10 asuntos anuales</w:t>
      </w:r>
      <w:r w:rsidR="00B0711E" w:rsidRPr="00983FC0">
        <w:rPr>
          <w:rFonts w:ascii="Book Antiqua" w:eastAsia="Calibri" w:hAnsi="Book Antiqua" w:cs="Arial"/>
          <w:sz w:val="24"/>
          <w:szCs w:val="24"/>
        </w:rPr>
        <w:t>.</w:t>
      </w:r>
    </w:p>
    <w:p w14:paraId="7149FB8B" w14:textId="76BEADD1" w:rsidR="000379A3" w:rsidRDefault="000379A3" w:rsidP="002C37D8">
      <w:pPr>
        <w:spacing w:after="0" w:line="276" w:lineRule="auto"/>
        <w:jc w:val="both"/>
        <w:rPr>
          <w:rFonts w:ascii="Book Antiqua" w:eastAsia="Calibri" w:hAnsi="Book Antiqua" w:cs="Arial"/>
          <w:sz w:val="24"/>
          <w:szCs w:val="24"/>
        </w:rPr>
      </w:pPr>
    </w:p>
    <w:p w14:paraId="4EFA6129" w14:textId="419248EA" w:rsidR="00CD33BA" w:rsidRPr="004A3198" w:rsidRDefault="00CD33BA"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 Familia del Segundo Circuito Judicial de Alajuela</w:t>
      </w:r>
    </w:p>
    <w:p w14:paraId="2B078DA9" w14:textId="77777777" w:rsidR="004A3198" w:rsidRDefault="004A3198" w:rsidP="004823B4">
      <w:pPr>
        <w:spacing w:line="276" w:lineRule="auto"/>
        <w:jc w:val="both"/>
        <w:rPr>
          <w:rFonts w:ascii="Book Antiqua" w:eastAsia="Calibri" w:hAnsi="Book Antiqua" w:cs="Arial"/>
          <w:sz w:val="24"/>
          <w:szCs w:val="24"/>
        </w:rPr>
      </w:pPr>
    </w:p>
    <w:p w14:paraId="5E34FD15" w14:textId="4804C7A3" w:rsidR="00CD33BA" w:rsidRPr="00BF2B4F" w:rsidRDefault="00CD33BA" w:rsidP="004823B4">
      <w:pPr>
        <w:spacing w:line="276" w:lineRule="auto"/>
        <w:jc w:val="both"/>
        <w:rPr>
          <w:rFonts w:ascii="Book Antiqua" w:eastAsia="Calibri" w:hAnsi="Book Antiqua" w:cs="Arial"/>
          <w:sz w:val="24"/>
          <w:szCs w:val="24"/>
        </w:rPr>
      </w:pPr>
      <w:r w:rsidRPr="00BF2B4F">
        <w:rPr>
          <w:rFonts w:ascii="Book Antiqua" w:eastAsia="Calibri" w:hAnsi="Book Antiqua" w:cs="Arial"/>
          <w:sz w:val="24"/>
          <w:szCs w:val="24"/>
        </w:rPr>
        <w:t xml:space="preserve">El Juzgado Familia del Segundo Circuito Judicial de Alajuela, San Carlos, registra en promedio </w:t>
      </w:r>
      <w:r w:rsidR="0035192D" w:rsidRPr="00BF2B4F">
        <w:rPr>
          <w:rFonts w:ascii="Book Antiqua" w:eastAsia="Calibri" w:hAnsi="Book Antiqua" w:cs="Arial"/>
          <w:sz w:val="24"/>
          <w:szCs w:val="24"/>
        </w:rPr>
        <w:t>5</w:t>
      </w:r>
      <w:r w:rsidR="00BF2B4F" w:rsidRPr="00BF2B4F">
        <w:rPr>
          <w:rFonts w:ascii="Book Antiqua" w:eastAsia="Calibri" w:hAnsi="Book Antiqua" w:cs="Arial"/>
          <w:sz w:val="24"/>
          <w:szCs w:val="24"/>
        </w:rPr>
        <w:t>4</w:t>
      </w:r>
      <w:r w:rsidRPr="00BF2B4F">
        <w:rPr>
          <w:rFonts w:ascii="Book Antiqua" w:eastAsia="Calibri" w:hAnsi="Book Antiqua" w:cs="Arial"/>
          <w:sz w:val="24"/>
          <w:szCs w:val="24"/>
        </w:rPr>
        <w:t xml:space="preserve"> casos terminados por Jueza o Juez , lo que representa un 1</w:t>
      </w:r>
      <w:r w:rsidR="0035192D" w:rsidRPr="00BF2B4F">
        <w:rPr>
          <w:rFonts w:ascii="Book Antiqua" w:eastAsia="Calibri" w:hAnsi="Book Antiqua" w:cs="Arial"/>
          <w:sz w:val="24"/>
          <w:szCs w:val="24"/>
        </w:rPr>
        <w:t>5</w:t>
      </w:r>
      <w:r w:rsidRPr="00BF2B4F">
        <w:rPr>
          <w:rFonts w:ascii="Book Antiqua" w:eastAsia="Calibri" w:hAnsi="Book Antiqua" w:cs="Arial"/>
          <w:sz w:val="24"/>
          <w:szCs w:val="24"/>
        </w:rPr>
        <w:t xml:space="preserve">% inferior al promedio de los demás despachos especializados en materia Familia. En el caso de los técnicos, con una entrada mensual de </w:t>
      </w:r>
      <w:r w:rsidR="007448FF" w:rsidRPr="00BF2B4F">
        <w:rPr>
          <w:rFonts w:ascii="Book Antiqua" w:eastAsia="Calibri" w:hAnsi="Book Antiqua" w:cs="Arial"/>
          <w:sz w:val="24"/>
          <w:szCs w:val="24"/>
        </w:rPr>
        <w:t>4</w:t>
      </w:r>
      <w:r w:rsidR="00BF2B4F" w:rsidRPr="00BF2B4F">
        <w:rPr>
          <w:rFonts w:ascii="Book Antiqua" w:eastAsia="Calibri" w:hAnsi="Book Antiqua" w:cs="Arial"/>
          <w:sz w:val="24"/>
          <w:szCs w:val="24"/>
        </w:rPr>
        <w:t>7</w:t>
      </w:r>
      <w:r w:rsidR="007448FF" w:rsidRPr="00BF2B4F">
        <w:rPr>
          <w:rFonts w:ascii="Book Antiqua" w:eastAsia="Calibri" w:hAnsi="Book Antiqua" w:cs="Arial"/>
          <w:sz w:val="24"/>
          <w:szCs w:val="24"/>
        </w:rPr>
        <w:t xml:space="preserve"> </w:t>
      </w:r>
      <w:r w:rsidRPr="00BF2B4F">
        <w:rPr>
          <w:rFonts w:ascii="Book Antiqua" w:eastAsia="Calibri" w:hAnsi="Book Antiqua" w:cs="Arial"/>
          <w:sz w:val="24"/>
          <w:szCs w:val="24"/>
        </w:rPr>
        <w:t xml:space="preserve">asuntos por plaza se ajustan al promedio nacional.  </w:t>
      </w:r>
    </w:p>
    <w:p w14:paraId="6A990B20" w14:textId="01FDEC3F" w:rsidR="00AF5DE5" w:rsidRDefault="00CD33BA" w:rsidP="00AF5DE5">
      <w:pPr>
        <w:keepNext/>
        <w:numPr>
          <w:ilvl w:val="12"/>
          <w:numId w:val="0"/>
        </w:numPr>
        <w:spacing w:after="0" w:line="276" w:lineRule="auto"/>
        <w:jc w:val="both"/>
        <w:rPr>
          <w:rFonts w:ascii="Book Antiqua" w:eastAsia="Calibri" w:hAnsi="Book Antiqua" w:cs="Arial"/>
          <w:sz w:val="24"/>
          <w:szCs w:val="24"/>
        </w:rPr>
      </w:pPr>
      <w:r w:rsidRPr="00BF2B4F">
        <w:rPr>
          <w:rFonts w:ascii="Book Antiqua" w:eastAsia="Calibri" w:hAnsi="Book Antiqua" w:cs="Arial"/>
          <w:sz w:val="24"/>
          <w:szCs w:val="24"/>
        </w:rPr>
        <w:t xml:space="preserve">Se compara la entrada mensual una vez que se desjudicialicen procesos y se divide contra </w:t>
      </w:r>
      <w:r w:rsidR="007448FF" w:rsidRPr="00BF2B4F">
        <w:rPr>
          <w:rFonts w:ascii="Book Antiqua" w:eastAsia="Calibri" w:hAnsi="Book Antiqua" w:cs="Arial"/>
          <w:sz w:val="24"/>
          <w:szCs w:val="24"/>
        </w:rPr>
        <w:t>7</w:t>
      </w:r>
      <w:r w:rsidR="00BF2B4F" w:rsidRPr="00BF2B4F">
        <w:rPr>
          <w:rFonts w:ascii="Book Antiqua" w:eastAsia="Calibri" w:hAnsi="Book Antiqua" w:cs="Arial"/>
          <w:sz w:val="24"/>
          <w:szCs w:val="24"/>
        </w:rPr>
        <w:t>3</w:t>
      </w:r>
      <w:r w:rsidRPr="00BF2B4F">
        <w:rPr>
          <w:rFonts w:ascii="Book Antiqua" w:eastAsia="Calibri" w:hAnsi="Book Antiqua" w:cs="Arial"/>
          <w:sz w:val="24"/>
          <w:szCs w:val="24"/>
        </w:rPr>
        <w:t xml:space="preserve"> asuntos por plaza de Judicatura y </w:t>
      </w:r>
      <w:r w:rsidR="007448FF" w:rsidRPr="00BF2B4F">
        <w:rPr>
          <w:rFonts w:ascii="Book Antiqua" w:eastAsia="Calibri" w:hAnsi="Book Antiqua" w:cs="Arial"/>
          <w:sz w:val="24"/>
          <w:szCs w:val="24"/>
        </w:rPr>
        <w:t>4</w:t>
      </w:r>
      <w:r w:rsidR="00303AE6">
        <w:rPr>
          <w:rFonts w:ascii="Book Antiqua" w:eastAsia="Calibri" w:hAnsi="Book Antiqua" w:cs="Arial"/>
          <w:sz w:val="24"/>
          <w:szCs w:val="24"/>
        </w:rPr>
        <w:t>5</w:t>
      </w:r>
      <w:r w:rsidRPr="00BF2B4F">
        <w:rPr>
          <w:rFonts w:ascii="Book Antiqua" w:eastAsia="Calibri" w:hAnsi="Book Antiqua" w:cs="Arial"/>
          <w:sz w:val="24"/>
          <w:szCs w:val="24"/>
        </w:rPr>
        <w:t xml:space="preserve"> por persona Técnica Judicial, para obtener la cantidad de recurso humano</w:t>
      </w:r>
      <w:r w:rsidR="00AF5DE5" w:rsidRPr="00BF2B4F">
        <w:rPr>
          <w:rFonts w:ascii="Book Antiqua" w:eastAsia="Calibri" w:hAnsi="Book Antiqua" w:cs="Arial"/>
          <w:sz w:val="24"/>
          <w:szCs w:val="24"/>
        </w:rPr>
        <w:t xml:space="preserve"> </w:t>
      </w:r>
      <w:r w:rsidRPr="00BF2B4F">
        <w:rPr>
          <w:rFonts w:ascii="Book Antiqua" w:eastAsia="Calibri" w:hAnsi="Book Antiqua" w:cs="Arial"/>
          <w:sz w:val="24"/>
          <w:szCs w:val="24"/>
        </w:rPr>
        <w:t>que se necesita</w:t>
      </w:r>
      <w:r w:rsidR="00AF5DE5" w:rsidRPr="00BF2B4F">
        <w:rPr>
          <w:rFonts w:ascii="Book Antiqua" w:eastAsia="Calibri" w:hAnsi="Book Antiqua" w:cs="Arial"/>
          <w:sz w:val="24"/>
          <w:szCs w:val="24"/>
        </w:rPr>
        <w:t>.</w:t>
      </w:r>
    </w:p>
    <w:p w14:paraId="78B4DCB2" w14:textId="77777777" w:rsidR="00AF5DE5" w:rsidRDefault="00AF5DE5" w:rsidP="004D306D">
      <w:pPr>
        <w:keepNext/>
        <w:numPr>
          <w:ilvl w:val="12"/>
          <w:numId w:val="0"/>
        </w:numPr>
        <w:spacing w:after="0" w:line="276" w:lineRule="auto"/>
        <w:jc w:val="center"/>
        <w:rPr>
          <w:rFonts w:ascii="Book Antiqua" w:eastAsia="Calibri" w:hAnsi="Book Antiqua" w:cs="Arial"/>
          <w:sz w:val="24"/>
          <w:szCs w:val="24"/>
        </w:rPr>
      </w:pPr>
    </w:p>
    <w:p w14:paraId="69C2B66A" w14:textId="4AB5D945" w:rsidR="00CD33BA" w:rsidRPr="004D306D" w:rsidRDefault="00CD33BA"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 xml:space="preserve">Cuadro </w:t>
      </w:r>
      <w:r w:rsidRPr="004D306D">
        <w:rPr>
          <w:rFonts w:ascii="Book Antiqua" w:eastAsia="Calibri" w:hAnsi="Book Antiqua" w:cs="Arial"/>
          <w:b/>
          <w:bCs/>
          <w:color w:val="1F497D"/>
          <w:szCs w:val="24"/>
          <w:lang w:val="es-ES" w:eastAsia="es-ES"/>
        </w:rPr>
        <w:fldChar w:fldCharType="begin"/>
      </w:r>
      <w:r w:rsidRPr="004D306D">
        <w:rPr>
          <w:rFonts w:ascii="Book Antiqua" w:eastAsia="Calibri" w:hAnsi="Book Antiqua" w:cs="Arial"/>
          <w:b/>
          <w:bCs/>
          <w:color w:val="1F497D"/>
          <w:szCs w:val="24"/>
          <w:lang w:val="es-ES" w:eastAsia="es-ES"/>
        </w:rPr>
        <w:instrText xml:space="preserve"> SEQ Cuadro \* ARABIC </w:instrText>
      </w:r>
      <w:r w:rsidRPr="004D306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25</w:t>
      </w:r>
      <w:r w:rsidRPr="004D306D">
        <w:rPr>
          <w:rFonts w:ascii="Book Antiqua" w:eastAsia="Calibri" w:hAnsi="Book Antiqua" w:cs="Arial"/>
          <w:b/>
          <w:bCs/>
          <w:color w:val="1F497D"/>
          <w:szCs w:val="24"/>
          <w:lang w:val="es-ES" w:eastAsia="es-ES"/>
        </w:rPr>
        <w:fldChar w:fldCharType="end"/>
      </w:r>
    </w:p>
    <w:p w14:paraId="6DDCE1D6" w14:textId="61239A20" w:rsidR="00CD33BA" w:rsidRDefault="00CD33BA"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3AE6">
        <w:rPr>
          <w:rFonts w:ascii="Book Antiqua" w:eastAsia="Calibri" w:hAnsi="Book Antiqua" w:cs="Arial"/>
          <w:b/>
          <w:bCs/>
          <w:color w:val="1F497D"/>
          <w:szCs w:val="24"/>
          <w:lang w:val="es-ES" w:eastAsia="es-ES"/>
        </w:rPr>
        <w:t>Análisis de carga de trabajo para el Juzgado Familia II Circuito Judicial de Alajuela</w:t>
      </w:r>
    </w:p>
    <w:tbl>
      <w:tblPr>
        <w:tblW w:w="10500" w:type="dxa"/>
        <w:jc w:val="center"/>
        <w:tblCellMar>
          <w:left w:w="70" w:type="dxa"/>
          <w:right w:w="70" w:type="dxa"/>
        </w:tblCellMar>
        <w:tblLook w:val="04A0" w:firstRow="1" w:lastRow="0" w:firstColumn="1" w:lastColumn="0" w:noHBand="0" w:noVBand="1"/>
      </w:tblPr>
      <w:tblGrid>
        <w:gridCol w:w="5740"/>
        <w:gridCol w:w="2320"/>
        <w:gridCol w:w="2440"/>
      </w:tblGrid>
      <w:tr w:rsidR="0002521D" w:rsidRPr="0002521D" w14:paraId="0A3B56D1" w14:textId="77777777" w:rsidTr="0002521D">
        <w:trPr>
          <w:trHeight w:val="530"/>
          <w:jc w:val="center"/>
        </w:trPr>
        <w:tc>
          <w:tcPr>
            <w:tcW w:w="5740" w:type="dxa"/>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20A176D3" w14:textId="77777777" w:rsidR="0002521D" w:rsidRPr="0002521D" w:rsidRDefault="0002521D" w:rsidP="0002521D">
            <w:pPr>
              <w:spacing w:after="0" w:line="240" w:lineRule="auto"/>
              <w:jc w:val="center"/>
              <w:rPr>
                <w:rFonts w:ascii="Book Antiqua" w:eastAsia="Times New Roman" w:hAnsi="Book Antiqua" w:cs="Calibri"/>
                <w:color w:val="FFFFFF"/>
                <w:sz w:val="20"/>
                <w:szCs w:val="20"/>
                <w:lang w:eastAsia="es-CR"/>
              </w:rPr>
            </w:pPr>
            <w:r w:rsidRPr="0002521D">
              <w:rPr>
                <w:rFonts w:ascii="Book Antiqua" w:eastAsia="Times New Roman" w:hAnsi="Book Antiqua" w:cs="Calibri"/>
                <w:color w:val="FFFFFF"/>
                <w:sz w:val="20"/>
                <w:szCs w:val="20"/>
                <w:lang w:eastAsia="es-CR"/>
              </w:rPr>
              <w:t>Juzgado Familia II Circuito Judicial de Alajuela</w:t>
            </w:r>
          </w:p>
        </w:tc>
        <w:tc>
          <w:tcPr>
            <w:tcW w:w="2320" w:type="dxa"/>
            <w:tcBorders>
              <w:top w:val="single" w:sz="8" w:space="0" w:color="auto"/>
              <w:left w:val="nil"/>
              <w:bottom w:val="single" w:sz="8" w:space="0" w:color="auto"/>
              <w:right w:val="single" w:sz="8" w:space="0" w:color="auto"/>
            </w:tcBorders>
            <w:shd w:val="clear" w:color="000000" w:fill="002060"/>
            <w:vAlign w:val="center"/>
            <w:hideMark/>
          </w:tcPr>
          <w:p w14:paraId="6D58391E" w14:textId="77777777" w:rsidR="0002521D" w:rsidRPr="0002521D" w:rsidRDefault="0002521D" w:rsidP="0002521D">
            <w:pPr>
              <w:spacing w:after="0" w:line="240" w:lineRule="auto"/>
              <w:jc w:val="center"/>
              <w:rPr>
                <w:rFonts w:ascii="Book Antiqua" w:eastAsia="Times New Roman" w:hAnsi="Book Antiqua" w:cs="Calibri"/>
                <w:color w:val="FFFFFF"/>
                <w:sz w:val="20"/>
                <w:szCs w:val="20"/>
                <w:lang w:eastAsia="es-CR"/>
              </w:rPr>
            </w:pPr>
            <w:r w:rsidRPr="0002521D">
              <w:rPr>
                <w:rFonts w:ascii="Book Antiqua" w:eastAsia="Times New Roman" w:hAnsi="Book Antiqua" w:cs="Calibri"/>
                <w:color w:val="FFFFFF"/>
                <w:sz w:val="20"/>
                <w:szCs w:val="20"/>
                <w:lang w:eastAsia="es-CR"/>
              </w:rPr>
              <w:t>Personas Juzgadoras</w:t>
            </w:r>
          </w:p>
        </w:tc>
        <w:tc>
          <w:tcPr>
            <w:tcW w:w="2440" w:type="dxa"/>
            <w:tcBorders>
              <w:top w:val="single" w:sz="8" w:space="0" w:color="auto"/>
              <w:left w:val="nil"/>
              <w:bottom w:val="single" w:sz="8" w:space="0" w:color="auto"/>
              <w:right w:val="single" w:sz="8" w:space="0" w:color="auto"/>
            </w:tcBorders>
            <w:shd w:val="clear" w:color="000000" w:fill="002060"/>
            <w:vAlign w:val="center"/>
            <w:hideMark/>
          </w:tcPr>
          <w:p w14:paraId="6C942423" w14:textId="77777777" w:rsidR="0002521D" w:rsidRPr="0002521D" w:rsidRDefault="0002521D" w:rsidP="0002521D">
            <w:pPr>
              <w:spacing w:after="0" w:line="240" w:lineRule="auto"/>
              <w:jc w:val="center"/>
              <w:rPr>
                <w:rFonts w:ascii="Book Antiqua" w:eastAsia="Times New Roman" w:hAnsi="Book Antiqua" w:cs="Calibri"/>
                <w:color w:val="FFFFFF"/>
                <w:sz w:val="20"/>
                <w:szCs w:val="20"/>
                <w:lang w:eastAsia="es-CR"/>
              </w:rPr>
            </w:pPr>
            <w:r w:rsidRPr="0002521D">
              <w:rPr>
                <w:rFonts w:ascii="Book Antiqua" w:eastAsia="Times New Roman" w:hAnsi="Book Antiqua" w:cs="Calibri"/>
                <w:color w:val="FFFFFF"/>
                <w:sz w:val="20"/>
                <w:szCs w:val="20"/>
                <w:lang w:eastAsia="es-CR"/>
              </w:rPr>
              <w:t>Personas Técnicas Judiciales de Trámite</w:t>
            </w:r>
          </w:p>
        </w:tc>
      </w:tr>
      <w:tr w:rsidR="0002521D" w:rsidRPr="0002521D" w14:paraId="0FF79CF2" w14:textId="77777777" w:rsidTr="0002521D">
        <w:trPr>
          <w:trHeight w:val="530"/>
          <w:jc w:val="center"/>
        </w:trPr>
        <w:tc>
          <w:tcPr>
            <w:tcW w:w="5740" w:type="dxa"/>
            <w:tcBorders>
              <w:top w:val="nil"/>
              <w:left w:val="single" w:sz="8" w:space="0" w:color="auto"/>
              <w:bottom w:val="single" w:sz="8" w:space="0" w:color="auto"/>
              <w:right w:val="single" w:sz="8" w:space="0" w:color="auto"/>
            </w:tcBorders>
            <w:shd w:val="clear" w:color="000000" w:fill="BFBFBF"/>
            <w:vAlign w:val="center"/>
            <w:hideMark/>
          </w:tcPr>
          <w:p w14:paraId="217E4C65" w14:textId="77777777" w:rsidR="0002521D" w:rsidRPr="0002521D" w:rsidRDefault="0002521D" w:rsidP="0002521D">
            <w:pPr>
              <w:spacing w:after="0" w:line="240" w:lineRule="auto"/>
              <w:rPr>
                <w:rFonts w:ascii="Book Antiqua" w:eastAsia="Times New Roman" w:hAnsi="Book Antiqua" w:cs="Calibri"/>
                <w:b/>
                <w:bCs/>
                <w:color w:val="000000"/>
                <w:sz w:val="20"/>
                <w:szCs w:val="20"/>
                <w:lang w:eastAsia="es-CR"/>
              </w:rPr>
            </w:pPr>
            <w:r w:rsidRPr="0002521D">
              <w:rPr>
                <w:rFonts w:ascii="Book Antiqua" w:eastAsia="Times New Roman" w:hAnsi="Book Antiqua" w:cs="Calibri"/>
                <w:b/>
                <w:bCs/>
                <w:color w:val="000000"/>
                <w:sz w:val="20"/>
                <w:szCs w:val="20"/>
                <w:lang w:eastAsia="es-CR"/>
              </w:rPr>
              <w:t>Promedio mensual de Entrada 2017-2022 (estimado con desjudicialización)</w:t>
            </w:r>
          </w:p>
        </w:tc>
        <w:tc>
          <w:tcPr>
            <w:tcW w:w="2320" w:type="dxa"/>
            <w:tcBorders>
              <w:top w:val="nil"/>
              <w:left w:val="nil"/>
              <w:bottom w:val="single" w:sz="8" w:space="0" w:color="auto"/>
              <w:right w:val="single" w:sz="8" w:space="0" w:color="auto"/>
            </w:tcBorders>
            <w:shd w:val="clear" w:color="auto" w:fill="auto"/>
            <w:noWrap/>
            <w:vAlign w:val="center"/>
            <w:hideMark/>
          </w:tcPr>
          <w:p w14:paraId="05458893"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129/2=64,5</w:t>
            </w:r>
          </w:p>
        </w:tc>
        <w:tc>
          <w:tcPr>
            <w:tcW w:w="2440" w:type="dxa"/>
            <w:tcBorders>
              <w:top w:val="nil"/>
              <w:left w:val="nil"/>
              <w:bottom w:val="single" w:sz="8" w:space="0" w:color="auto"/>
              <w:right w:val="single" w:sz="8" w:space="0" w:color="auto"/>
            </w:tcBorders>
            <w:shd w:val="clear" w:color="auto" w:fill="auto"/>
            <w:noWrap/>
            <w:vAlign w:val="center"/>
            <w:hideMark/>
          </w:tcPr>
          <w:p w14:paraId="579526A0"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129/2=64,5</w:t>
            </w:r>
          </w:p>
        </w:tc>
      </w:tr>
      <w:tr w:rsidR="0002521D" w:rsidRPr="0002521D" w14:paraId="71F18CB3" w14:textId="77777777" w:rsidTr="0002521D">
        <w:trPr>
          <w:trHeight w:val="300"/>
          <w:jc w:val="center"/>
        </w:trPr>
        <w:tc>
          <w:tcPr>
            <w:tcW w:w="5740" w:type="dxa"/>
            <w:tcBorders>
              <w:top w:val="nil"/>
              <w:left w:val="single" w:sz="8" w:space="0" w:color="auto"/>
              <w:bottom w:val="single" w:sz="8" w:space="0" w:color="auto"/>
              <w:right w:val="single" w:sz="8" w:space="0" w:color="auto"/>
            </w:tcBorders>
            <w:shd w:val="clear" w:color="000000" w:fill="BFBFBF"/>
            <w:noWrap/>
            <w:vAlign w:val="center"/>
            <w:hideMark/>
          </w:tcPr>
          <w:p w14:paraId="294CBB12" w14:textId="77777777" w:rsidR="0002521D" w:rsidRPr="0002521D" w:rsidRDefault="0002521D" w:rsidP="0002521D">
            <w:pPr>
              <w:spacing w:after="0" w:line="240" w:lineRule="auto"/>
              <w:rPr>
                <w:rFonts w:ascii="Book Antiqua" w:eastAsia="Times New Roman" w:hAnsi="Book Antiqua" w:cs="Calibri"/>
                <w:b/>
                <w:bCs/>
                <w:color w:val="000000"/>
                <w:sz w:val="20"/>
                <w:szCs w:val="20"/>
                <w:lang w:eastAsia="es-CR"/>
              </w:rPr>
            </w:pPr>
            <w:r w:rsidRPr="0002521D">
              <w:rPr>
                <w:rFonts w:ascii="Book Antiqua" w:eastAsia="Times New Roman" w:hAnsi="Book Antiqua" w:cs="Calibri"/>
                <w:b/>
                <w:bCs/>
                <w:color w:val="000000"/>
                <w:sz w:val="20"/>
                <w:szCs w:val="20"/>
                <w:lang w:eastAsia="es-CR"/>
              </w:rPr>
              <w:t>Promedio mensual de terminado 2017-2022</w:t>
            </w:r>
          </w:p>
        </w:tc>
        <w:tc>
          <w:tcPr>
            <w:tcW w:w="2320" w:type="dxa"/>
            <w:tcBorders>
              <w:top w:val="nil"/>
              <w:left w:val="nil"/>
              <w:bottom w:val="single" w:sz="8" w:space="0" w:color="auto"/>
              <w:right w:val="single" w:sz="8" w:space="0" w:color="auto"/>
            </w:tcBorders>
            <w:shd w:val="clear" w:color="auto" w:fill="auto"/>
            <w:noWrap/>
            <w:vAlign w:val="center"/>
            <w:hideMark/>
          </w:tcPr>
          <w:p w14:paraId="7FB15C21" w14:textId="385B3481"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10</w:t>
            </w:r>
            <w:r w:rsidR="000511CF">
              <w:rPr>
                <w:rFonts w:ascii="Book Antiqua" w:eastAsia="Times New Roman" w:hAnsi="Book Antiqua" w:cs="Calibri"/>
                <w:color w:val="000000"/>
                <w:sz w:val="20"/>
                <w:szCs w:val="20"/>
                <w:lang w:eastAsia="es-CR"/>
              </w:rPr>
              <w:t>7</w:t>
            </w:r>
            <w:r w:rsidRPr="0002521D">
              <w:rPr>
                <w:rFonts w:ascii="Book Antiqua" w:eastAsia="Times New Roman" w:hAnsi="Book Antiqua" w:cs="Calibri"/>
                <w:color w:val="000000"/>
                <w:sz w:val="20"/>
                <w:szCs w:val="20"/>
                <w:lang w:eastAsia="es-CR"/>
              </w:rPr>
              <w:t>/2=5</w:t>
            </w:r>
            <w:r w:rsidR="000511CF">
              <w:rPr>
                <w:rFonts w:ascii="Book Antiqua" w:eastAsia="Times New Roman" w:hAnsi="Book Antiqua" w:cs="Calibri"/>
                <w:color w:val="000000"/>
                <w:sz w:val="20"/>
                <w:szCs w:val="20"/>
                <w:lang w:eastAsia="es-CR"/>
              </w:rPr>
              <w:t>3</w:t>
            </w:r>
          </w:p>
        </w:tc>
        <w:tc>
          <w:tcPr>
            <w:tcW w:w="2440" w:type="dxa"/>
            <w:tcBorders>
              <w:top w:val="nil"/>
              <w:left w:val="nil"/>
              <w:bottom w:val="single" w:sz="8" w:space="0" w:color="auto"/>
              <w:right w:val="single" w:sz="8" w:space="0" w:color="auto"/>
            </w:tcBorders>
            <w:shd w:val="clear" w:color="auto" w:fill="auto"/>
            <w:noWrap/>
            <w:vAlign w:val="center"/>
            <w:hideMark/>
          </w:tcPr>
          <w:p w14:paraId="52285FD7" w14:textId="253371C8"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10</w:t>
            </w:r>
            <w:r w:rsidR="000511CF">
              <w:rPr>
                <w:rFonts w:ascii="Book Antiqua" w:eastAsia="Times New Roman" w:hAnsi="Book Antiqua" w:cs="Calibri"/>
                <w:color w:val="000000"/>
                <w:sz w:val="20"/>
                <w:szCs w:val="20"/>
                <w:lang w:eastAsia="es-CR"/>
              </w:rPr>
              <w:t>7</w:t>
            </w:r>
            <w:r w:rsidRPr="0002521D">
              <w:rPr>
                <w:rFonts w:ascii="Book Antiqua" w:eastAsia="Times New Roman" w:hAnsi="Book Antiqua" w:cs="Calibri"/>
                <w:color w:val="000000"/>
                <w:sz w:val="20"/>
                <w:szCs w:val="20"/>
                <w:lang w:eastAsia="es-CR"/>
              </w:rPr>
              <w:t>/2=5</w:t>
            </w:r>
            <w:r w:rsidR="000511CF">
              <w:rPr>
                <w:rFonts w:ascii="Book Antiqua" w:eastAsia="Times New Roman" w:hAnsi="Book Antiqua" w:cs="Calibri"/>
                <w:color w:val="000000"/>
                <w:sz w:val="20"/>
                <w:szCs w:val="20"/>
                <w:lang w:eastAsia="es-CR"/>
              </w:rPr>
              <w:t>3</w:t>
            </w:r>
          </w:p>
        </w:tc>
      </w:tr>
      <w:tr w:rsidR="0002521D" w:rsidRPr="0002521D" w14:paraId="7CEDBE05" w14:textId="77777777" w:rsidTr="0002521D">
        <w:trPr>
          <w:trHeight w:val="300"/>
          <w:jc w:val="center"/>
        </w:trPr>
        <w:tc>
          <w:tcPr>
            <w:tcW w:w="5740" w:type="dxa"/>
            <w:tcBorders>
              <w:top w:val="nil"/>
              <w:left w:val="single" w:sz="8" w:space="0" w:color="auto"/>
              <w:bottom w:val="single" w:sz="8" w:space="0" w:color="auto"/>
              <w:right w:val="single" w:sz="8" w:space="0" w:color="auto"/>
            </w:tcBorders>
            <w:shd w:val="clear" w:color="000000" w:fill="BFBFBF"/>
            <w:noWrap/>
            <w:vAlign w:val="center"/>
            <w:hideMark/>
          </w:tcPr>
          <w:p w14:paraId="5AAFA7CF" w14:textId="77777777" w:rsidR="0002521D" w:rsidRPr="0002521D" w:rsidRDefault="0002521D" w:rsidP="0002521D">
            <w:pPr>
              <w:spacing w:after="0" w:line="240" w:lineRule="auto"/>
              <w:rPr>
                <w:rFonts w:ascii="Book Antiqua" w:eastAsia="Times New Roman" w:hAnsi="Book Antiqua" w:cs="Calibri"/>
                <w:b/>
                <w:bCs/>
                <w:color w:val="000000"/>
                <w:sz w:val="20"/>
                <w:szCs w:val="20"/>
                <w:lang w:eastAsia="es-CR"/>
              </w:rPr>
            </w:pPr>
            <w:r w:rsidRPr="0002521D">
              <w:rPr>
                <w:rFonts w:ascii="Book Antiqua" w:eastAsia="Times New Roman" w:hAnsi="Book Antiqua" w:cs="Calibri"/>
                <w:b/>
                <w:bCs/>
                <w:color w:val="000000"/>
                <w:sz w:val="20"/>
                <w:szCs w:val="20"/>
                <w:lang w:eastAsia="es-CR"/>
              </w:rPr>
              <w:t>Circulante al finalizar el 2022</w:t>
            </w:r>
          </w:p>
        </w:tc>
        <w:tc>
          <w:tcPr>
            <w:tcW w:w="476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1FC5A8E9"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509</w:t>
            </w:r>
          </w:p>
        </w:tc>
      </w:tr>
      <w:tr w:rsidR="0002521D" w:rsidRPr="0002521D" w14:paraId="6C4182C2" w14:textId="77777777" w:rsidTr="0002521D">
        <w:trPr>
          <w:trHeight w:val="300"/>
          <w:jc w:val="center"/>
        </w:trPr>
        <w:tc>
          <w:tcPr>
            <w:tcW w:w="5740" w:type="dxa"/>
            <w:tcBorders>
              <w:top w:val="nil"/>
              <w:left w:val="single" w:sz="8" w:space="0" w:color="auto"/>
              <w:bottom w:val="single" w:sz="8" w:space="0" w:color="auto"/>
              <w:right w:val="single" w:sz="8" w:space="0" w:color="auto"/>
            </w:tcBorders>
            <w:shd w:val="clear" w:color="000000" w:fill="BFBFBF"/>
            <w:noWrap/>
            <w:vAlign w:val="center"/>
            <w:hideMark/>
          </w:tcPr>
          <w:p w14:paraId="479FBBAE" w14:textId="77777777" w:rsidR="0002521D" w:rsidRPr="0002521D" w:rsidRDefault="0002521D" w:rsidP="0002521D">
            <w:pPr>
              <w:spacing w:after="0" w:line="240" w:lineRule="auto"/>
              <w:rPr>
                <w:rFonts w:ascii="Book Antiqua" w:eastAsia="Times New Roman" w:hAnsi="Book Antiqua" w:cs="Calibri"/>
                <w:b/>
                <w:bCs/>
                <w:color w:val="000000"/>
                <w:sz w:val="20"/>
                <w:szCs w:val="20"/>
                <w:lang w:eastAsia="es-CR"/>
              </w:rPr>
            </w:pPr>
            <w:r w:rsidRPr="0002521D">
              <w:rPr>
                <w:rFonts w:ascii="Book Antiqua" w:eastAsia="Times New Roman" w:hAnsi="Book Antiqua" w:cs="Calibri"/>
                <w:b/>
                <w:bCs/>
                <w:color w:val="000000"/>
                <w:sz w:val="20"/>
                <w:szCs w:val="20"/>
                <w:lang w:eastAsia="es-CR"/>
              </w:rPr>
              <w:t>Relación Salida Entrada</w:t>
            </w:r>
          </w:p>
        </w:tc>
        <w:tc>
          <w:tcPr>
            <w:tcW w:w="476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5EFD169" w14:textId="2A3B7DDC" w:rsidR="0002521D" w:rsidRPr="0002521D" w:rsidRDefault="000511CF" w:rsidP="0002521D">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83</w:t>
            </w:r>
            <w:r w:rsidR="0002521D" w:rsidRPr="0002521D">
              <w:rPr>
                <w:rFonts w:ascii="Book Antiqua" w:eastAsia="Times New Roman" w:hAnsi="Book Antiqua" w:cs="Calibri"/>
                <w:color w:val="000000"/>
                <w:sz w:val="20"/>
                <w:szCs w:val="20"/>
                <w:lang w:eastAsia="es-CR"/>
              </w:rPr>
              <w:t>%</w:t>
            </w:r>
          </w:p>
        </w:tc>
      </w:tr>
      <w:tr w:rsidR="0002521D" w:rsidRPr="0002521D" w14:paraId="35678638" w14:textId="77777777" w:rsidTr="0002521D">
        <w:trPr>
          <w:trHeight w:val="530"/>
          <w:jc w:val="center"/>
        </w:trPr>
        <w:tc>
          <w:tcPr>
            <w:tcW w:w="5740" w:type="dxa"/>
            <w:tcBorders>
              <w:top w:val="nil"/>
              <w:left w:val="single" w:sz="8" w:space="0" w:color="auto"/>
              <w:bottom w:val="single" w:sz="8" w:space="0" w:color="auto"/>
              <w:right w:val="single" w:sz="8" w:space="0" w:color="auto"/>
            </w:tcBorders>
            <w:shd w:val="clear" w:color="000000" w:fill="BFBFBF"/>
            <w:vAlign w:val="center"/>
            <w:hideMark/>
          </w:tcPr>
          <w:p w14:paraId="28422F9C" w14:textId="77777777" w:rsidR="0002521D" w:rsidRPr="0002521D" w:rsidRDefault="0002521D" w:rsidP="0002521D">
            <w:pPr>
              <w:spacing w:after="0" w:line="240" w:lineRule="auto"/>
              <w:rPr>
                <w:rFonts w:ascii="Book Antiqua" w:eastAsia="Times New Roman" w:hAnsi="Book Antiqua" w:cs="Calibri"/>
                <w:b/>
                <w:bCs/>
                <w:color w:val="000000"/>
                <w:sz w:val="20"/>
                <w:szCs w:val="20"/>
                <w:lang w:eastAsia="es-CR"/>
              </w:rPr>
            </w:pPr>
            <w:r w:rsidRPr="0002521D">
              <w:rPr>
                <w:rFonts w:ascii="Book Antiqua" w:eastAsia="Times New Roman" w:hAnsi="Book Antiqua" w:cs="Calibri"/>
                <w:b/>
                <w:bCs/>
                <w:color w:val="000000"/>
                <w:sz w:val="20"/>
                <w:szCs w:val="20"/>
                <w:lang w:eastAsia="es-CR"/>
              </w:rPr>
              <w:t>Cantidad de personas con que cuenta el despacho (dedicando a una persona técnica judicial a la manifestación)</w:t>
            </w:r>
          </w:p>
        </w:tc>
        <w:tc>
          <w:tcPr>
            <w:tcW w:w="2320" w:type="dxa"/>
            <w:tcBorders>
              <w:top w:val="nil"/>
              <w:left w:val="nil"/>
              <w:bottom w:val="single" w:sz="8" w:space="0" w:color="auto"/>
              <w:right w:val="single" w:sz="8" w:space="0" w:color="auto"/>
            </w:tcBorders>
            <w:shd w:val="clear" w:color="auto" w:fill="auto"/>
            <w:noWrap/>
            <w:vAlign w:val="center"/>
            <w:hideMark/>
          </w:tcPr>
          <w:p w14:paraId="0E293324"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2</w:t>
            </w:r>
          </w:p>
        </w:tc>
        <w:tc>
          <w:tcPr>
            <w:tcW w:w="2440" w:type="dxa"/>
            <w:tcBorders>
              <w:top w:val="nil"/>
              <w:left w:val="nil"/>
              <w:bottom w:val="single" w:sz="8" w:space="0" w:color="auto"/>
              <w:right w:val="single" w:sz="8" w:space="0" w:color="auto"/>
            </w:tcBorders>
            <w:shd w:val="clear" w:color="auto" w:fill="auto"/>
            <w:noWrap/>
            <w:vAlign w:val="center"/>
            <w:hideMark/>
          </w:tcPr>
          <w:p w14:paraId="5D9B99C8"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2</w:t>
            </w:r>
          </w:p>
        </w:tc>
      </w:tr>
      <w:tr w:rsidR="0002521D" w:rsidRPr="0002521D" w14:paraId="095CD3D3" w14:textId="77777777" w:rsidTr="0002521D">
        <w:trPr>
          <w:trHeight w:val="300"/>
          <w:jc w:val="center"/>
        </w:trPr>
        <w:tc>
          <w:tcPr>
            <w:tcW w:w="5740" w:type="dxa"/>
            <w:tcBorders>
              <w:top w:val="nil"/>
              <w:left w:val="single" w:sz="8" w:space="0" w:color="auto"/>
              <w:bottom w:val="single" w:sz="8" w:space="0" w:color="auto"/>
              <w:right w:val="single" w:sz="8" w:space="0" w:color="auto"/>
            </w:tcBorders>
            <w:shd w:val="clear" w:color="000000" w:fill="BFBFBF"/>
            <w:noWrap/>
            <w:vAlign w:val="center"/>
            <w:hideMark/>
          </w:tcPr>
          <w:p w14:paraId="5F94CFC9" w14:textId="77777777" w:rsidR="0002521D" w:rsidRPr="0002521D" w:rsidRDefault="0002521D" w:rsidP="0002521D">
            <w:pPr>
              <w:spacing w:after="0" w:line="240" w:lineRule="auto"/>
              <w:rPr>
                <w:rFonts w:ascii="Book Antiqua" w:eastAsia="Times New Roman" w:hAnsi="Book Antiqua" w:cs="Calibri"/>
                <w:b/>
                <w:bCs/>
                <w:color w:val="000000"/>
                <w:sz w:val="20"/>
                <w:szCs w:val="20"/>
                <w:lang w:eastAsia="es-CR"/>
              </w:rPr>
            </w:pPr>
            <w:r w:rsidRPr="0002521D">
              <w:rPr>
                <w:rFonts w:ascii="Book Antiqua" w:eastAsia="Times New Roman" w:hAnsi="Book Antiqua" w:cs="Calibri"/>
                <w:b/>
                <w:bCs/>
                <w:color w:val="000000"/>
                <w:sz w:val="20"/>
                <w:szCs w:val="20"/>
                <w:lang w:eastAsia="es-CR"/>
              </w:rPr>
              <w:t>Cantidad requerida de personas</w:t>
            </w:r>
          </w:p>
        </w:tc>
        <w:tc>
          <w:tcPr>
            <w:tcW w:w="2320" w:type="dxa"/>
            <w:tcBorders>
              <w:top w:val="nil"/>
              <w:left w:val="nil"/>
              <w:bottom w:val="single" w:sz="8" w:space="0" w:color="auto"/>
              <w:right w:val="single" w:sz="8" w:space="0" w:color="auto"/>
            </w:tcBorders>
            <w:shd w:val="clear" w:color="auto" w:fill="auto"/>
            <w:noWrap/>
            <w:vAlign w:val="center"/>
            <w:hideMark/>
          </w:tcPr>
          <w:p w14:paraId="6AF429C2"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2</w:t>
            </w:r>
          </w:p>
        </w:tc>
        <w:tc>
          <w:tcPr>
            <w:tcW w:w="2440" w:type="dxa"/>
            <w:tcBorders>
              <w:top w:val="nil"/>
              <w:left w:val="nil"/>
              <w:bottom w:val="single" w:sz="8" w:space="0" w:color="auto"/>
              <w:right w:val="single" w:sz="8" w:space="0" w:color="auto"/>
            </w:tcBorders>
            <w:shd w:val="clear" w:color="auto" w:fill="auto"/>
            <w:noWrap/>
            <w:vAlign w:val="center"/>
            <w:hideMark/>
          </w:tcPr>
          <w:p w14:paraId="33F2EC37"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3</w:t>
            </w:r>
          </w:p>
        </w:tc>
      </w:tr>
      <w:tr w:rsidR="0002521D" w:rsidRPr="0002521D" w14:paraId="3196BB25" w14:textId="77777777" w:rsidTr="0002521D">
        <w:trPr>
          <w:trHeight w:val="300"/>
          <w:jc w:val="center"/>
        </w:trPr>
        <w:tc>
          <w:tcPr>
            <w:tcW w:w="5740" w:type="dxa"/>
            <w:tcBorders>
              <w:top w:val="nil"/>
              <w:left w:val="single" w:sz="8" w:space="0" w:color="auto"/>
              <w:bottom w:val="single" w:sz="8" w:space="0" w:color="auto"/>
              <w:right w:val="single" w:sz="8" w:space="0" w:color="auto"/>
            </w:tcBorders>
            <w:shd w:val="clear" w:color="000000" w:fill="BFBFBF"/>
            <w:noWrap/>
            <w:vAlign w:val="center"/>
            <w:hideMark/>
          </w:tcPr>
          <w:p w14:paraId="4936F0F6" w14:textId="77777777" w:rsidR="0002521D" w:rsidRPr="0002521D" w:rsidRDefault="0002521D" w:rsidP="0002521D">
            <w:pPr>
              <w:spacing w:after="0" w:line="240" w:lineRule="auto"/>
              <w:rPr>
                <w:rFonts w:ascii="Book Antiqua" w:eastAsia="Times New Roman" w:hAnsi="Book Antiqua" w:cs="Calibri"/>
                <w:b/>
                <w:bCs/>
                <w:color w:val="000000"/>
                <w:sz w:val="20"/>
                <w:szCs w:val="20"/>
                <w:lang w:eastAsia="es-CR"/>
              </w:rPr>
            </w:pPr>
            <w:r w:rsidRPr="0002521D">
              <w:rPr>
                <w:rFonts w:ascii="Book Antiqua" w:eastAsia="Times New Roman" w:hAnsi="Book Antiqua" w:cs="Calibri"/>
                <w:b/>
                <w:bCs/>
                <w:color w:val="000000"/>
                <w:sz w:val="20"/>
                <w:szCs w:val="20"/>
                <w:lang w:eastAsia="es-CR"/>
              </w:rPr>
              <w:t>Variación</w:t>
            </w:r>
          </w:p>
        </w:tc>
        <w:tc>
          <w:tcPr>
            <w:tcW w:w="2320" w:type="dxa"/>
            <w:tcBorders>
              <w:top w:val="nil"/>
              <w:left w:val="nil"/>
              <w:bottom w:val="single" w:sz="8" w:space="0" w:color="auto"/>
              <w:right w:val="single" w:sz="8" w:space="0" w:color="auto"/>
            </w:tcBorders>
            <w:shd w:val="clear" w:color="auto" w:fill="auto"/>
            <w:noWrap/>
            <w:vAlign w:val="center"/>
            <w:hideMark/>
          </w:tcPr>
          <w:p w14:paraId="5BC6E6C1"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0</w:t>
            </w:r>
          </w:p>
        </w:tc>
        <w:tc>
          <w:tcPr>
            <w:tcW w:w="2440" w:type="dxa"/>
            <w:tcBorders>
              <w:top w:val="nil"/>
              <w:left w:val="nil"/>
              <w:bottom w:val="single" w:sz="8" w:space="0" w:color="auto"/>
              <w:right w:val="single" w:sz="8" w:space="0" w:color="auto"/>
            </w:tcBorders>
            <w:shd w:val="clear" w:color="auto" w:fill="auto"/>
            <w:noWrap/>
            <w:vAlign w:val="center"/>
            <w:hideMark/>
          </w:tcPr>
          <w:p w14:paraId="788F6EB3" w14:textId="77777777" w:rsidR="0002521D" w:rsidRPr="0002521D" w:rsidRDefault="0002521D" w:rsidP="0002521D">
            <w:pPr>
              <w:spacing w:after="0" w:line="240" w:lineRule="auto"/>
              <w:jc w:val="center"/>
              <w:rPr>
                <w:rFonts w:ascii="Book Antiqua" w:eastAsia="Times New Roman" w:hAnsi="Book Antiqua" w:cs="Calibri"/>
                <w:color w:val="000000"/>
                <w:sz w:val="20"/>
                <w:szCs w:val="20"/>
                <w:lang w:eastAsia="es-CR"/>
              </w:rPr>
            </w:pPr>
            <w:r w:rsidRPr="0002521D">
              <w:rPr>
                <w:rFonts w:ascii="Book Antiqua" w:eastAsia="Times New Roman" w:hAnsi="Book Antiqua" w:cs="Calibri"/>
                <w:color w:val="000000"/>
                <w:sz w:val="20"/>
                <w:szCs w:val="20"/>
                <w:lang w:eastAsia="es-CR"/>
              </w:rPr>
              <w:t>1</w:t>
            </w:r>
          </w:p>
        </w:tc>
      </w:tr>
    </w:tbl>
    <w:p w14:paraId="07568005" w14:textId="20442454" w:rsidR="00EF0E2A" w:rsidRPr="009D59D7" w:rsidRDefault="00210C15" w:rsidP="004823B4">
      <w:pPr>
        <w:spacing w:line="276" w:lineRule="auto"/>
        <w:jc w:val="both"/>
        <w:rPr>
          <w:rFonts w:ascii="Book Antiqua" w:eastAsia="Calibri" w:hAnsi="Book Antiqua" w:cs="Arial"/>
          <w:i/>
          <w:iCs/>
          <w:sz w:val="20"/>
          <w:szCs w:val="20"/>
        </w:rPr>
      </w:pPr>
      <w:r w:rsidRPr="00DC503B">
        <w:rPr>
          <w:rFonts w:ascii="Book Antiqua" w:eastAsia="Calibri" w:hAnsi="Book Antiqua" w:cs="Arial"/>
          <w:b/>
          <w:bCs/>
          <w:i/>
          <w:iCs/>
          <w:sz w:val="20"/>
          <w:szCs w:val="20"/>
        </w:rPr>
        <w:t>Fuente:</w:t>
      </w:r>
      <w:r w:rsidRPr="009D59D7">
        <w:rPr>
          <w:rFonts w:ascii="Book Antiqua" w:eastAsia="Calibri" w:hAnsi="Book Antiqua" w:cs="Arial"/>
          <w:i/>
          <w:iCs/>
          <w:sz w:val="20"/>
          <w:szCs w:val="20"/>
        </w:rPr>
        <w:t xml:space="preserve"> </w:t>
      </w:r>
      <w:r w:rsidR="0002521D">
        <w:rPr>
          <w:rFonts w:ascii="Book Antiqua" w:eastAsia="Calibri" w:hAnsi="Book Antiqua" w:cs="Arial"/>
          <w:i/>
          <w:iCs/>
          <w:sz w:val="20"/>
          <w:szCs w:val="20"/>
        </w:rPr>
        <w:t xml:space="preserve">Subproceso de </w:t>
      </w:r>
      <w:r w:rsidRPr="009D59D7">
        <w:rPr>
          <w:rFonts w:ascii="Book Antiqua" w:eastAsia="Calibri" w:hAnsi="Book Antiqua" w:cs="Arial"/>
          <w:i/>
          <w:iCs/>
          <w:sz w:val="20"/>
          <w:szCs w:val="20"/>
        </w:rPr>
        <w:t>Modernización Institucional con</w:t>
      </w:r>
      <w:r w:rsidR="0002521D">
        <w:rPr>
          <w:rFonts w:ascii="Book Antiqua" w:eastAsia="Calibri" w:hAnsi="Book Antiqua" w:cs="Arial"/>
          <w:i/>
          <w:iCs/>
          <w:sz w:val="20"/>
          <w:szCs w:val="20"/>
        </w:rPr>
        <w:t xml:space="preserve"> </w:t>
      </w:r>
      <w:r w:rsidRPr="009D59D7">
        <w:rPr>
          <w:rFonts w:ascii="Book Antiqua" w:eastAsia="Calibri" w:hAnsi="Book Antiqua" w:cs="Arial"/>
          <w:i/>
          <w:iCs/>
          <w:sz w:val="20"/>
          <w:szCs w:val="20"/>
        </w:rPr>
        <w:t>datos del Subproceso de Estadística de</w:t>
      </w:r>
      <w:r w:rsidR="0002521D">
        <w:rPr>
          <w:rFonts w:ascii="Book Antiqua" w:eastAsia="Calibri" w:hAnsi="Book Antiqua" w:cs="Arial"/>
          <w:i/>
          <w:iCs/>
          <w:sz w:val="20"/>
          <w:szCs w:val="20"/>
        </w:rPr>
        <w:t xml:space="preserve">l 2017 al 2022 y consulta del Balance General Interactivos del </w:t>
      </w:r>
      <w:r w:rsidR="00303AE6">
        <w:rPr>
          <w:rFonts w:ascii="Book Antiqua" w:eastAsia="Calibri" w:hAnsi="Book Antiqua" w:cs="Arial"/>
          <w:i/>
          <w:iCs/>
          <w:sz w:val="20"/>
          <w:szCs w:val="20"/>
        </w:rPr>
        <w:t>7</w:t>
      </w:r>
      <w:r w:rsidR="0002521D">
        <w:rPr>
          <w:rFonts w:ascii="Book Antiqua" w:eastAsia="Calibri" w:hAnsi="Book Antiqua" w:cs="Arial"/>
          <w:i/>
          <w:iCs/>
          <w:sz w:val="20"/>
          <w:szCs w:val="20"/>
        </w:rPr>
        <w:t>/</w:t>
      </w:r>
      <w:r w:rsidR="00303AE6">
        <w:rPr>
          <w:rFonts w:ascii="Book Antiqua" w:eastAsia="Calibri" w:hAnsi="Book Antiqua" w:cs="Arial"/>
          <w:i/>
          <w:iCs/>
          <w:sz w:val="20"/>
          <w:szCs w:val="20"/>
        </w:rPr>
        <w:t>3</w:t>
      </w:r>
      <w:r w:rsidR="0002521D">
        <w:rPr>
          <w:rFonts w:ascii="Book Antiqua" w:eastAsia="Calibri" w:hAnsi="Book Antiqua" w:cs="Arial"/>
          <w:i/>
          <w:iCs/>
          <w:sz w:val="20"/>
          <w:szCs w:val="20"/>
        </w:rPr>
        <w:t>/2023</w:t>
      </w:r>
      <w:r w:rsidRPr="009D59D7">
        <w:rPr>
          <w:rFonts w:ascii="Book Antiqua" w:eastAsia="Calibri" w:hAnsi="Book Antiqua" w:cs="Arial"/>
          <w:i/>
          <w:iCs/>
          <w:sz w:val="20"/>
          <w:szCs w:val="20"/>
        </w:rPr>
        <w:t>.</w:t>
      </w:r>
    </w:p>
    <w:p w14:paraId="194ACCA9" w14:textId="4B959DD4" w:rsidR="00B26BC9" w:rsidRPr="009D59D7" w:rsidRDefault="00B26BC9" w:rsidP="004D306D">
      <w:pPr>
        <w:spacing w:after="0" w:line="276" w:lineRule="auto"/>
        <w:jc w:val="both"/>
        <w:rPr>
          <w:rFonts w:ascii="Book Antiqua" w:eastAsia="Calibri" w:hAnsi="Book Antiqua" w:cs="Arial"/>
          <w:sz w:val="24"/>
          <w:szCs w:val="24"/>
        </w:rPr>
      </w:pPr>
    </w:p>
    <w:p w14:paraId="5C82A2F7" w14:textId="24A5DD5A" w:rsidR="00210C15" w:rsidRPr="009D59D7" w:rsidRDefault="00210C15" w:rsidP="001D0C10">
      <w:pPr>
        <w:spacing w:line="276" w:lineRule="auto"/>
        <w:jc w:val="both"/>
        <w:rPr>
          <w:rFonts w:ascii="Book Antiqua" w:eastAsia="Calibri" w:hAnsi="Book Antiqua" w:cs="Arial"/>
          <w:sz w:val="24"/>
          <w:szCs w:val="24"/>
        </w:rPr>
      </w:pPr>
      <w:r w:rsidRPr="0002521D">
        <w:rPr>
          <w:rFonts w:ascii="Book Antiqua" w:eastAsia="Calibri" w:hAnsi="Book Antiqua" w:cs="Arial"/>
          <w:sz w:val="24"/>
          <w:szCs w:val="24"/>
        </w:rPr>
        <w:t>Se identifica la necesidad de una persona técnica judicial en este despacho, para completar la estructura propuesta. Ya que en la actualidad el despacho utiliza a la persona Auxiliar de Servicios Generales para atender entre otras funciones la manifestación. Es importante indicar que se planea continuar con una persona Auxiliar de Servicios Generales para que atienda las necesidades de limpieza de este despacho, ya que, si se considerara la recalificación o movimiento de estos puestos, se tendría que incluir el costo de contratación privada de servicio de limpieza, subpartida 1.04.06 “</w:t>
      </w:r>
      <w:r w:rsidRPr="0002521D">
        <w:rPr>
          <w:rFonts w:ascii="Book Antiqua" w:eastAsia="Calibri" w:hAnsi="Book Antiqua" w:cs="Arial"/>
          <w:i/>
          <w:iCs/>
          <w:sz w:val="24"/>
          <w:szCs w:val="24"/>
        </w:rPr>
        <w:t>Servicios Generales”,</w:t>
      </w:r>
      <w:r w:rsidRPr="0002521D">
        <w:rPr>
          <w:rFonts w:ascii="Book Antiqua" w:eastAsia="Calibri" w:hAnsi="Book Antiqua" w:cs="Arial"/>
          <w:sz w:val="24"/>
          <w:szCs w:val="24"/>
        </w:rPr>
        <w:t xml:space="preserve"> la cual actualmente se encuentra restringida por el aumento del Impuesto Valor Agregado (IVA) en los servicios.</w:t>
      </w:r>
    </w:p>
    <w:p w14:paraId="0CD93D09" w14:textId="0A297A39" w:rsidR="00EF0E2A" w:rsidRPr="009D59D7" w:rsidRDefault="00EF0E2A" w:rsidP="004823B4">
      <w:pPr>
        <w:spacing w:line="276" w:lineRule="auto"/>
        <w:jc w:val="both"/>
        <w:rPr>
          <w:rFonts w:ascii="Book Antiqua" w:eastAsia="Calibri" w:hAnsi="Book Antiqua" w:cs="Arial"/>
          <w:sz w:val="24"/>
          <w:szCs w:val="24"/>
        </w:rPr>
      </w:pPr>
    </w:p>
    <w:p w14:paraId="70EDA83A" w14:textId="3D5CFD70" w:rsidR="00210C15" w:rsidRPr="004D306D" w:rsidRDefault="00210C15"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 xml:space="preserve">Cuadro </w:t>
      </w:r>
      <w:r w:rsidRPr="004D306D">
        <w:rPr>
          <w:rFonts w:ascii="Book Antiqua" w:eastAsia="Calibri" w:hAnsi="Book Antiqua" w:cs="Arial"/>
          <w:b/>
          <w:bCs/>
          <w:color w:val="1F497D"/>
          <w:szCs w:val="24"/>
          <w:lang w:val="es-ES" w:eastAsia="es-ES"/>
        </w:rPr>
        <w:fldChar w:fldCharType="begin"/>
      </w:r>
      <w:r w:rsidRPr="004D306D">
        <w:rPr>
          <w:rFonts w:ascii="Book Antiqua" w:eastAsia="Calibri" w:hAnsi="Book Antiqua" w:cs="Arial"/>
          <w:b/>
          <w:bCs/>
          <w:color w:val="1F497D"/>
          <w:szCs w:val="24"/>
          <w:lang w:val="es-ES" w:eastAsia="es-ES"/>
        </w:rPr>
        <w:instrText xml:space="preserve"> SEQ Cuadro \* ARABIC </w:instrText>
      </w:r>
      <w:r w:rsidRPr="004D306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26</w:t>
      </w:r>
      <w:r w:rsidRPr="004D306D">
        <w:rPr>
          <w:rFonts w:ascii="Book Antiqua" w:eastAsia="Calibri" w:hAnsi="Book Antiqua" w:cs="Arial"/>
          <w:b/>
          <w:bCs/>
          <w:color w:val="1F497D"/>
          <w:szCs w:val="24"/>
          <w:lang w:val="es-ES" w:eastAsia="es-ES"/>
        </w:rPr>
        <w:fldChar w:fldCharType="end"/>
      </w:r>
    </w:p>
    <w:p w14:paraId="685BB8E5" w14:textId="3BA94CE5" w:rsidR="00210C15" w:rsidRPr="004D306D" w:rsidRDefault="00210C15"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Estructura propuesta Juzgado Familia II Circuito Judicial de Alajuela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3"/>
        <w:gridCol w:w="3402"/>
        <w:gridCol w:w="3303"/>
      </w:tblGrid>
      <w:tr w:rsidR="009D59D7" w:rsidRPr="009D59D7" w14:paraId="657E8C60" w14:textId="77777777" w:rsidTr="00210C15">
        <w:trPr>
          <w:trHeight w:val="283"/>
          <w:tblHeader/>
          <w:jc w:val="center"/>
        </w:trPr>
        <w:tc>
          <w:tcPr>
            <w:tcW w:w="1202" w:type="pct"/>
            <w:shd w:val="clear" w:color="auto" w:fill="002060"/>
            <w:vAlign w:val="center"/>
          </w:tcPr>
          <w:p w14:paraId="32B5449A" w14:textId="0198F23E" w:rsidR="00210C15" w:rsidRPr="004D306D" w:rsidRDefault="00210C15" w:rsidP="004D306D">
            <w:pPr>
              <w:spacing w:after="0" w:line="276" w:lineRule="auto"/>
              <w:jc w:val="center"/>
              <w:rPr>
                <w:rFonts w:ascii="Book Antiqua" w:eastAsia="Calibri" w:hAnsi="Book Antiqua" w:cs="Arial"/>
                <w:color w:val="FFFFFF"/>
              </w:rPr>
            </w:pPr>
            <w:r w:rsidRPr="004D306D">
              <w:rPr>
                <w:rFonts w:ascii="Book Antiqua" w:eastAsia="Calibri" w:hAnsi="Book Antiqua" w:cs="Arial"/>
                <w:b/>
                <w:bCs/>
                <w:color w:val="FFFFFF"/>
              </w:rPr>
              <w:t>Juzgado Mixto</w:t>
            </w:r>
          </w:p>
        </w:tc>
        <w:tc>
          <w:tcPr>
            <w:tcW w:w="1927" w:type="pct"/>
            <w:shd w:val="clear" w:color="auto" w:fill="002060"/>
            <w:vAlign w:val="center"/>
          </w:tcPr>
          <w:p w14:paraId="6F15939F" w14:textId="6E36686A" w:rsidR="00210C15" w:rsidRPr="004D306D" w:rsidRDefault="00210C15" w:rsidP="004D306D">
            <w:pPr>
              <w:spacing w:after="0" w:line="276" w:lineRule="auto"/>
              <w:jc w:val="center"/>
              <w:rPr>
                <w:rFonts w:ascii="Book Antiqua" w:eastAsia="Calibri" w:hAnsi="Book Antiqua" w:cs="Arial"/>
                <w:color w:val="FFFFFF"/>
              </w:rPr>
            </w:pPr>
            <w:r w:rsidRPr="004D306D">
              <w:rPr>
                <w:rFonts w:ascii="Book Antiqua" w:eastAsia="Calibri" w:hAnsi="Book Antiqua" w:cs="Arial"/>
                <w:b/>
                <w:bCs/>
                <w:color w:val="FFFFFF"/>
              </w:rPr>
              <w:t>Estructura orgánica funcional actual del despacho</w:t>
            </w:r>
          </w:p>
        </w:tc>
        <w:tc>
          <w:tcPr>
            <w:tcW w:w="1871" w:type="pct"/>
            <w:shd w:val="clear" w:color="auto" w:fill="002060"/>
            <w:vAlign w:val="center"/>
          </w:tcPr>
          <w:p w14:paraId="29CD2623" w14:textId="0702D8B4" w:rsidR="00210C15" w:rsidRPr="004D306D" w:rsidRDefault="00210C15" w:rsidP="004D306D">
            <w:pPr>
              <w:spacing w:after="0" w:line="276" w:lineRule="auto"/>
              <w:jc w:val="center"/>
              <w:rPr>
                <w:rFonts w:ascii="Book Antiqua" w:eastAsia="Calibri" w:hAnsi="Book Antiqua" w:cs="Arial"/>
                <w:b/>
                <w:color w:val="FFFFFF"/>
              </w:rPr>
            </w:pPr>
            <w:r w:rsidRPr="004D306D">
              <w:rPr>
                <w:rFonts w:ascii="Book Antiqua" w:eastAsia="Calibri" w:hAnsi="Book Antiqua" w:cs="Arial"/>
                <w:b/>
                <w:color w:val="FFFFFF"/>
              </w:rPr>
              <w:t>Estructura Propuesta</w:t>
            </w:r>
          </w:p>
        </w:tc>
      </w:tr>
      <w:tr w:rsidR="009D59D7" w:rsidRPr="009D59D7" w14:paraId="0EB0A681" w14:textId="77777777" w:rsidTr="00210C15">
        <w:trPr>
          <w:jc w:val="center"/>
        </w:trPr>
        <w:tc>
          <w:tcPr>
            <w:tcW w:w="1202" w:type="pct"/>
            <w:shd w:val="clear" w:color="auto" w:fill="auto"/>
            <w:vAlign w:val="center"/>
          </w:tcPr>
          <w:p w14:paraId="3D551613" w14:textId="2075D619"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Juzgado Familia II Circuito Judicial de Alajuela</w:t>
            </w:r>
          </w:p>
        </w:tc>
        <w:tc>
          <w:tcPr>
            <w:tcW w:w="1927" w:type="pct"/>
            <w:shd w:val="clear" w:color="auto" w:fill="auto"/>
            <w:vAlign w:val="center"/>
          </w:tcPr>
          <w:p w14:paraId="043CABF3" w14:textId="06962F1C"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2 Juezas/ces 3</w:t>
            </w:r>
          </w:p>
          <w:p w14:paraId="269D42F9" w14:textId="7CFBD9E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Coordinadora/or Judicial 2</w:t>
            </w:r>
          </w:p>
          <w:p w14:paraId="7A1F1F0C" w14:textId="18D4F6F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3 Técnicas/os Judiciales 2</w:t>
            </w:r>
          </w:p>
          <w:p w14:paraId="16F71256" w14:textId="395C6155"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1 Auxiliar de Servicios Generales 2</w:t>
            </w:r>
          </w:p>
        </w:tc>
        <w:tc>
          <w:tcPr>
            <w:tcW w:w="1871" w:type="pct"/>
            <w:vAlign w:val="center"/>
          </w:tcPr>
          <w:p w14:paraId="1F873434" w14:textId="59A10540"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2 Juezas/ces 3</w:t>
            </w:r>
          </w:p>
          <w:p w14:paraId="20EA62E5" w14:textId="4434C5D8"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Coordinadora/or Judicial 2</w:t>
            </w:r>
          </w:p>
          <w:p w14:paraId="5AE0A0EA" w14:textId="314DE7CE"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 xml:space="preserve">4 Técnicas/os Judiciales 2 (crear una </w:t>
            </w:r>
            <w:r w:rsidRPr="009D59D7">
              <w:rPr>
                <w:rFonts w:ascii="Book Antiqua" w:eastAsia="Calibri" w:hAnsi="Book Antiqua" w:cs="Arial"/>
                <w:i/>
              </w:rPr>
              <w:t>plaza técnica o técnico Judicial 2</w:t>
            </w:r>
            <w:r w:rsidRPr="009D59D7">
              <w:rPr>
                <w:rFonts w:ascii="Book Antiqua" w:eastAsia="Calibri" w:hAnsi="Book Antiqua" w:cs="Arial"/>
              </w:rPr>
              <w:t>)</w:t>
            </w:r>
          </w:p>
          <w:p w14:paraId="768A13E9" w14:textId="061D02E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Auxiliar de Servicios Generales 2</w:t>
            </w:r>
          </w:p>
        </w:tc>
      </w:tr>
    </w:tbl>
    <w:p w14:paraId="4A5BE792" w14:textId="50AF3F6B" w:rsidR="00210C15" w:rsidRPr="009D59D7" w:rsidRDefault="00210C15" w:rsidP="004823B4">
      <w:pPr>
        <w:spacing w:line="276" w:lineRule="auto"/>
        <w:jc w:val="both"/>
        <w:rPr>
          <w:rFonts w:ascii="Book Antiqua" w:eastAsia="Calibri" w:hAnsi="Book Antiqua" w:cs="Arial"/>
          <w:i/>
          <w:iCs/>
          <w:sz w:val="20"/>
          <w:szCs w:val="20"/>
        </w:rPr>
      </w:pPr>
      <w:r w:rsidRPr="00DC503B">
        <w:rPr>
          <w:rFonts w:ascii="Book Antiqua" w:eastAsia="Calibri" w:hAnsi="Book Antiqua" w:cs="Arial"/>
          <w:b/>
          <w:bCs/>
          <w:i/>
          <w:iCs/>
          <w:sz w:val="20"/>
          <w:szCs w:val="20"/>
        </w:rPr>
        <w:t>Fuente:</w:t>
      </w:r>
      <w:r w:rsidRPr="009D59D7">
        <w:rPr>
          <w:rFonts w:ascii="Book Antiqua" w:eastAsia="Calibri" w:hAnsi="Book Antiqua" w:cs="Arial"/>
          <w:i/>
          <w:iCs/>
          <w:sz w:val="20"/>
          <w:szCs w:val="20"/>
        </w:rPr>
        <w:t xml:space="preserve"> Modernización Institucional de la Dirección de Planificación.</w:t>
      </w:r>
    </w:p>
    <w:p w14:paraId="44D1C8B4" w14:textId="63626FDE" w:rsidR="00210C15" w:rsidRPr="009D59D7" w:rsidRDefault="00210C15" w:rsidP="004D306D">
      <w:p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Por lo que basado en los resultados anteriores se analiza el costo de la inclusión de la plaza de persona técnica judicial 2 para completar la estructura de trabajo de este despacho. El impacto económico de esta propuesta se calcula en el siguiente cuadro.</w:t>
      </w:r>
    </w:p>
    <w:p w14:paraId="71FF0036" w14:textId="77777777" w:rsidR="0041384A" w:rsidRDefault="0041384A">
      <w:pP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br w:type="page"/>
      </w:r>
    </w:p>
    <w:p w14:paraId="590CE5F8" w14:textId="57A1B73A" w:rsidR="00210C15" w:rsidRPr="00EF146D" w:rsidRDefault="00210C15" w:rsidP="006E5F52">
      <w:pPr>
        <w:keepNext/>
        <w:numPr>
          <w:ilvl w:val="12"/>
          <w:numId w:val="0"/>
        </w:numPr>
        <w:spacing w:after="0" w:line="240"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27</w:t>
      </w:r>
      <w:r w:rsidRPr="00EF146D">
        <w:rPr>
          <w:rFonts w:ascii="Book Antiqua" w:eastAsia="Calibri" w:hAnsi="Book Antiqua" w:cs="Arial"/>
          <w:b/>
          <w:bCs/>
          <w:color w:val="1F497D"/>
          <w:szCs w:val="24"/>
          <w:lang w:val="es-ES" w:eastAsia="es-ES"/>
        </w:rPr>
        <w:fldChar w:fldCharType="end"/>
      </w:r>
    </w:p>
    <w:p w14:paraId="5EDF34EE" w14:textId="324AFFEC" w:rsidR="00210C15" w:rsidRPr="00DC503B" w:rsidRDefault="00210C15" w:rsidP="006E5F52">
      <w:pPr>
        <w:spacing w:after="0" w:line="240" w:lineRule="auto"/>
        <w:jc w:val="center"/>
        <w:rPr>
          <w:rFonts w:ascii="Book Antiqua" w:eastAsia="Calibri" w:hAnsi="Book Antiqua" w:cs="Arial"/>
          <w:b/>
          <w:bCs/>
          <w:color w:val="1F497D"/>
          <w:szCs w:val="24"/>
          <w:lang w:val="es-ES" w:eastAsia="es-ES"/>
        </w:rPr>
      </w:pPr>
      <w:r w:rsidRPr="00DC503B">
        <w:rPr>
          <w:rFonts w:ascii="Book Antiqua" w:eastAsia="Calibri" w:hAnsi="Book Antiqua" w:cs="Arial"/>
          <w:b/>
          <w:bCs/>
          <w:color w:val="1F497D"/>
          <w:szCs w:val="24"/>
          <w:lang w:val="es-ES" w:eastAsia="es-ES"/>
        </w:rPr>
        <w:t>Costo por puesto anual según estructura propuesta</w:t>
      </w:r>
    </w:p>
    <w:p w14:paraId="33FE867F" w14:textId="0057E528" w:rsidR="00210C15" w:rsidRPr="00DC503B" w:rsidRDefault="00210C15" w:rsidP="006E5F52">
      <w:pPr>
        <w:spacing w:after="0" w:line="240" w:lineRule="auto"/>
        <w:jc w:val="center"/>
        <w:rPr>
          <w:rFonts w:ascii="Book Antiqua" w:eastAsia="Calibri" w:hAnsi="Book Antiqua" w:cs="Arial"/>
          <w:b/>
          <w:bCs/>
          <w:color w:val="1F497D"/>
          <w:szCs w:val="24"/>
          <w:lang w:val="es-ES" w:eastAsia="es-ES"/>
        </w:rPr>
      </w:pPr>
      <w:r w:rsidRPr="00DC503B">
        <w:rPr>
          <w:rFonts w:ascii="Book Antiqua" w:eastAsia="Calibri" w:hAnsi="Book Antiqua" w:cs="Arial"/>
          <w:b/>
          <w:bCs/>
          <w:color w:val="1F497D"/>
          <w:szCs w:val="24"/>
          <w:lang w:val="es-ES" w:eastAsia="es-ES"/>
        </w:rPr>
        <w:t>para el Juzgado Familia del Segundo Circuito Judicial de Alajuela</w:t>
      </w:r>
    </w:p>
    <w:tbl>
      <w:tblPr>
        <w:tblW w:w="5000" w:type="pct"/>
        <w:tblCellMar>
          <w:left w:w="70" w:type="dxa"/>
          <w:right w:w="70" w:type="dxa"/>
        </w:tblCellMar>
        <w:tblLook w:val="04A0" w:firstRow="1" w:lastRow="0" w:firstColumn="1" w:lastColumn="0" w:noHBand="0" w:noVBand="1"/>
      </w:tblPr>
      <w:tblGrid>
        <w:gridCol w:w="2012"/>
        <w:gridCol w:w="1351"/>
        <w:gridCol w:w="1311"/>
        <w:gridCol w:w="2401"/>
        <w:gridCol w:w="1758"/>
      </w:tblGrid>
      <w:tr w:rsidR="009D59D7" w:rsidRPr="009D59D7" w14:paraId="3FE9BAD4" w14:textId="77777777" w:rsidTr="00210C15">
        <w:trPr>
          <w:trHeight w:val="600"/>
          <w:tblHeader/>
        </w:trPr>
        <w:tc>
          <w:tcPr>
            <w:tcW w:w="1139" w:type="pct"/>
            <w:tcBorders>
              <w:bottom w:val="single" w:sz="4" w:space="0" w:color="auto"/>
              <w:right w:val="single" w:sz="4" w:space="0" w:color="auto"/>
            </w:tcBorders>
            <w:shd w:val="clear" w:color="auto" w:fill="auto"/>
            <w:vAlign w:val="center"/>
            <w:hideMark/>
          </w:tcPr>
          <w:p w14:paraId="4EAFDF6D" w14:textId="3C0F8D20"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4C1B3043" w14:textId="62632EC9"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4A17681C" w14:textId="263276CD"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7F01D7FB" w14:textId="3883D3B0"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4C7A1E9" w14:textId="66A72C50" w:rsidR="00210C15" w:rsidRPr="001D0C10" w:rsidRDefault="00210C15" w:rsidP="001D0C10">
            <w:pPr>
              <w:spacing w:line="276" w:lineRule="auto"/>
              <w:jc w:val="both"/>
              <w:rPr>
                <w:rFonts w:ascii="Book Antiqua" w:eastAsia="Times New Roman" w:hAnsi="Book Antiqua" w:cs="Times New Roman"/>
                <w:b/>
                <w:bCs/>
                <w:lang w:eastAsia="ar-SA"/>
              </w:rPr>
            </w:pPr>
            <w:r w:rsidRPr="001D0C10">
              <w:rPr>
                <w:rFonts w:ascii="Book Antiqua" w:eastAsia="Times New Roman" w:hAnsi="Book Antiqua" w:cs="Times New Roman"/>
                <w:b/>
                <w:bCs/>
                <w:lang w:eastAsia="ar-SA"/>
              </w:rPr>
              <w:t>Costo total</w:t>
            </w:r>
          </w:p>
        </w:tc>
      </w:tr>
      <w:tr w:rsidR="009D59D7" w:rsidRPr="009D59D7" w14:paraId="491A1513" w14:textId="77777777" w:rsidTr="00210C15">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0213246" w14:textId="4EF16709"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24929ABF" w14:textId="19A25B5D"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274759C5" w14:textId="4A5F48DB"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774B9FDF" w14:textId="438ED6D7"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Times New Roman" w:eastAsia="Times New Roman" w:hAnsi="Times New Roman" w:cs="Times New Roman"/>
                <w:lang w:eastAsia="ar-SA"/>
              </w:rPr>
              <w:t>₡</w:t>
            </w:r>
            <w:r w:rsidRPr="001D0C10">
              <w:rPr>
                <w:rFonts w:ascii="Book Antiqua" w:eastAsia="Times New Roman" w:hAnsi="Book Antiqua" w:cs="Times New Roman"/>
                <w:lang w:eastAsia="ar-SA"/>
              </w:rPr>
              <w:t>1</w:t>
            </w:r>
            <w:r w:rsidR="0099396C">
              <w:rPr>
                <w:rFonts w:ascii="Book Antiqua" w:eastAsia="Times New Roman" w:hAnsi="Book Antiqua" w:cs="Times New Roman"/>
                <w:lang w:eastAsia="ar-SA"/>
              </w:rPr>
              <w:t>5</w:t>
            </w:r>
            <w:r w:rsidRPr="001D0C10">
              <w:rPr>
                <w:rFonts w:ascii="Book Antiqua" w:eastAsia="Times New Roman" w:hAnsi="Book Antiqua" w:cs="Times New Roman"/>
                <w:lang w:eastAsia="ar-SA"/>
              </w:rPr>
              <w:t>.</w:t>
            </w:r>
            <w:r w:rsidR="0099396C">
              <w:rPr>
                <w:rFonts w:ascii="Book Antiqua" w:eastAsia="Times New Roman" w:hAnsi="Book Antiqua" w:cs="Times New Roman"/>
                <w:lang w:eastAsia="ar-SA"/>
              </w:rPr>
              <w:t>945</w:t>
            </w:r>
            <w:r w:rsidRPr="001D0C10">
              <w:rPr>
                <w:rFonts w:ascii="Book Antiqua" w:eastAsia="Times New Roman" w:hAnsi="Book Antiqua" w:cs="Times New Roman"/>
                <w:lang w:eastAsia="ar-SA"/>
              </w:rPr>
              <w:t>.000</w:t>
            </w:r>
          </w:p>
        </w:tc>
        <w:tc>
          <w:tcPr>
            <w:tcW w:w="995" w:type="pct"/>
            <w:tcBorders>
              <w:top w:val="single" w:sz="4" w:space="0" w:color="auto"/>
              <w:left w:val="nil"/>
              <w:bottom w:val="single" w:sz="4" w:space="0" w:color="auto"/>
              <w:right w:val="single" w:sz="4" w:space="0" w:color="auto"/>
            </w:tcBorders>
            <w:vAlign w:val="center"/>
          </w:tcPr>
          <w:p w14:paraId="2B412EE4" w14:textId="08BF8C1A" w:rsidR="00210C15" w:rsidRPr="001D0C10" w:rsidRDefault="00210C15" w:rsidP="001D0C10">
            <w:pPr>
              <w:spacing w:line="276" w:lineRule="auto"/>
              <w:jc w:val="both"/>
              <w:rPr>
                <w:rFonts w:ascii="Book Antiqua" w:eastAsia="Times New Roman" w:hAnsi="Book Antiqua" w:cs="Times New Roman"/>
                <w:lang w:eastAsia="ar-SA"/>
              </w:rPr>
            </w:pPr>
            <w:r w:rsidRPr="001D0C10">
              <w:rPr>
                <w:rFonts w:ascii="Times New Roman" w:eastAsia="Times New Roman" w:hAnsi="Times New Roman" w:cs="Times New Roman"/>
                <w:lang w:eastAsia="ar-SA"/>
              </w:rPr>
              <w:t>₡</w:t>
            </w:r>
            <w:r w:rsidRPr="001D0C10">
              <w:rPr>
                <w:rFonts w:ascii="Book Antiqua" w:eastAsia="Times New Roman" w:hAnsi="Book Antiqua" w:cs="Times New Roman"/>
                <w:lang w:eastAsia="ar-SA"/>
              </w:rPr>
              <w:t>1</w:t>
            </w:r>
            <w:r w:rsidR="0099396C">
              <w:rPr>
                <w:rFonts w:ascii="Book Antiqua" w:eastAsia="Times New Roman" w:hAnsi="Book Antiqua" w:cs="Times New Roman"/>
                <w:lang w:eastAsia="ar-SA"/>
              </w:rPr>
              <w:t>5</w:t>
            </w:r>
            <w:r w:rsidRPr="001D0C10">
              <w:rPr>
                <w:rFonts w:ascii="Book Antiqua" w:eastAsia="Times New Roman" w:hAnsi="Book Antiqua" w:cs="Times New Roman"/>
                <w:lang w:eastAsia="ar-SA"/>
              </w:rPr>
              <w:t>.</w:t>
            </w:r>
            <w:r w:rsidR="0099396C">
              <w:rPr>
                <w:rFonts w:ascii="Book Antiqua" w:eastAsia="Times New Roman" w:hAnsi="Book Antiqua" w:cs="Times New Roman"/>
                <w:lang w:eastAsia="ar-SA"/>
              </w:rPr>
              <w:t>945</w:t>
            </w:r>
            <w:r w:rsidRPr="001D0C10">
              <w:rPr>
                <w:rFonts w:ascii="Book Antiqua" w:eastAsia="Times New Roman" w:hAnsi="Book Antiqua" w:cs="Times New Roman"/>
                <w:lang w:eastAsia="ar-SA"/>
              </w:rPr>
              <w:t>.000</w:t>
            </w:r>
          </w:p>
        </w:tc>
      </w:tr>
    </w:tbl>
    <w:p w14:paraId="22EEE596" w14:textId="7B2399B3" w:rsidR="00EF0E2A" w:rsidRPr="009D59D7" w:rsidRDefault="00210C15" w:rsidP="004823B4">
      <w:pPr>
        <w:spacing w:line="276" w:lineRule="auto"/>
        <w:jc w:val="both"/>
        <w:rPr>
          <w:rFonts w:ascii="Book Antiqua" w:eastAsia="Calibri" w:hAnsi="Book Antiqua" w:cs="Arial"/>
          <w:i/>
          <w:iCs/>
          <w:sz w:val="20"/>
          <w:szCs w:val="20"/>
        </w:rPr>
      </w:pPr>
      <w:r w:rsidRPr="00DC503B">
        <w:rPr>
          <w:rFonts w:ascii="Book Antiqua" w:eastAsia="Calibri" w:hAnsi="Book Antiqua" w:cs="Arial"/>
          <w:b/>
          <w:bCs/>
          <w:i/>
          <w:iCs/>
          <w:sz w:val="20"/>
          <w:szCs w:val="20"/>
        </w:rPr>
        <w:t>Fuente:</w:t>
      </w:r>
      <w:r w:rsidRPr="009D59D7">
        <w:rPr>
          <w:rFonts w:ascii="Book Antiqua" w:eastAsia="Calibri" w:hAnsi="Book Antiqua" w:cs="Arial"/>
          <w:i/>
          <w:iCs/>
          <w:sz w:val="20"/>
          <w:szCs w:val="20"/>
        </w:rPr>
        <w:t xml:space="preserve"> </w:t>
      </w:r>
      <w:r w:rsidR="00D23F9C">
        <w:rPr>
          <w:rFonts w:ascii="Book Antiqua" w:eastAsia="Calibri" w:hAnsi="Book Antiqua" w:cs="Arial"/>
          <w:i/>
          <w:iCs/>
          <w:sz w:val="20"/>
          <w:szCs w:val="20"/>
        </w:rPr>
        <w:t xml:space="preserve">Subproceso de </w:t>
      </w:r>
      <w:r w:rsidRPr="009D59D7">
        <w:rPr>
          <w:rFonts w:ascii="Book Antiqua" w:eastAsia="Calibri" w:hAnsi="Book Antiqua" w:cs="Arial"/>
          <w:i/>
          <w:iCs/>
          <w:sz w:val="20"/>
          <w:szCs w:val="20"/>
        </w:rPr>
        <w:t xml:space="preserve">Modernización Institucional </w:t>
      </w:r>
      <w:r w:rsidR="00D23F9C">
        <w:rPr>
          <w:rFonts w:ascii="Book Antiqua" w:eastAsia="Calibri" w:hAnsi="Book Antiqua" w:cs="Arial"/>
          <w:i/>
          <w:iCs/>
          <w:sz w:val="20"/>
          <w:szCs w:val="20"/>
        </w:rPr>
        <w:t>con datos suministrados por el Subproceso</w:t>
      </w:r>
      <w:r w:rsidR="00D23F9C" w:rsidRPr="00D23F9C">
        <w:rPr>
          <w:rFonts w:ascii="Book Antiqua" w:eastAsia="Calibri" w:hAnsi="Book Antiqua" w:cs="Arial"/>
          <w:i/>
          <w:iCs/>
          <w:sz w:val="20"/>
          <w:szCs w:val="20"/>
        </w:rPr>
        <w:t xml:space="preserve"> </w:t>
      </w:r>
      <w:r w:rsidR="00D23F9C">
        <w:rPr>
          <w:rFonts w:ascii="Book Antiqua" w:eastAsia="Calibri" w:hAnsi="Book Antiqua" w:cs="Arial"/>
          <w:i/>
          <w:iCs/>
          <w:sz w:val="20"/>
          <w:szCs w:val="20"/>
        </w:rPr>
        <w:t xml:space="preserve">de </w:t>
      </w:r>
      <w:r w:rsidR="00D23F9C" w:rsidRPr="00D23F9C">
        <w:rPr>
          <w:rFonts w:ascii="Book Antiqua" w:eastAsia="Calibri" w:hAnsi="Book Antiqua" w:cs="Arial"/>
          <w:i/>
          <w:iCs/>
          <w:sz w:val="20"/>
          <w:szCs w:val="20"/>
        </w:rPr>
        <w:t>Presupuesto y Portafolio de Proyectos</w:t>
      </w:r>
      <w:r w:rsidR="00D23F9C">
        <w:rPr>
          <w:rFonts w:ascii="Book Antiqua" w:eastAsia="Calibri" w:hAnsi="Book Antiqua" w:cs="Arial"/>
          <w:i/>
          <w:iCs/>
          <w:sz w:val="20"/>
          <w:szCs w:val="20"/>
        </w:rPr>
        <w:t xml:space="preserve"> </w:t>
      </w:r>
      <w:r w:rsidRPr="009D59D7">
        <w:rPr>
          <w:rFonts w:ascii="Book Antiqua" w:eastAsia="Calibri" w:hAnsi="Book Antiqua" w:cs="Arial"/>
          <w:i/>
          <w:iCs/>
          <w:sz w:val="20"/>
          <w:szCs w:val="20"/>
        </w:rPr>
        <w:t>de la Dirección de Planificación.</w:t>
      </w:r>
    </w:p>
    <w:p w14:paraId="143DECB1" w14:textId="2AB942A9" w:rsidR="00C319F8" w:rsidRDefault="00C319F8" w:rsidP="001D0C10">
      <w:pPr>
        <w:spacing w:line="276" w:lineRule="auto"/>
        <w:jc w:val="both"/>
        <w:rPr>
          <w:rFonts w:ascii="Book Antiqua" w:eastAsia="Calibri" w:hAnsi="Book Antiqua" w:cs="Times New Roman"/>
          <w:sz w:val="24"/>
          <w:szCs w:val="24"/>
        </w:rPr>
      </w:pPr>
      <w:r w:rsidRPr="009D59D7">
        <w:rPr>
          <w:rFonts w:ascii="Book Antiqua" w:eastAsia="Calibri" w:hAnsi="Book Antiqua" w:cs="Arial"/>
          <w:sz w:val="24"/>
          <w:szCs w:val="24"/>
        </w:rPr>
        <w:t xml:space="preserve">El costo anual para hacerle frente a la propuesta es de </w:t>
      </w:r>
      <w:r w:rsidRPr="009D59D7">
        <w:rPr>
          <w:rFonts w:ascii="Times New Roman" w:eastAsia="Calibri" w:hAnsi="Times New Roman" w:cs="Times New Roman"/>
          <w:sz w:val="24"/>
          <w:szCs w:val="24"/>
        </w:rPr>
        <w:t>₡</w:t>
      </w:r>
      <w:r w:rsidRPr="009D59D7">
        <w:rPr>
          <w:rFonts w:ascii="Book Antiqua" w:eastAsia="Calibri" w:hAnsi="Book Antiqua" w:cs="Times New Roman"/>
          <w:sz w:val="24"/>
          <w:szCs w:val="24"/>
        </w:rPr>
        <w:t>1</w:t>
      </w:r>
      <w:r w:rsidR="0099396C">
        <w:rPr>
          <w:rFonts w:ascii="Book Antiqua" w:eastAsia="Calibri" w:hAnsi="Book Antiqua" w:cs="Times New Roman"/>
          <w:sz w:val="24"/>
          <w:szCs w:val="24"/>
        </w:rPr>
        <w:t>5</w:t>
      </w:r>
      <w:r w:rsidRPr="009D59D7">
        <w:rPr>
          <w:rFonts w:ascii="Book Antiqua" w:eastAsia="Calibri" w:hAnsi="Book Antiqua" w:cs="Times New Roman"/>
          <w:sz w:val="24"/>
          <w:szCs w:val="24"/>
        </w:rPr>
        <w:t>.</w:t>
      </w:r>
      <w:r w:rsidR="0099396C">
        <w:rPr>
          <w:rFonts w:ascii="Book Antiqua" w:eastAsia="Calibri" w:hAnsi="Book Antiqua" w:cs="Times New Roman"/>
          <w:sz w:val="24"/>
          <w:szCs w:val="24"/>
        </w:rPr>
        <w:t>945</w:t>
      </w:r>
      <w:r w:rsidRPr="009D59D7">
        <w:rPr>
          <w:rFonts w:ascii="Book Antiqua" w:eastAsia="Calibri" w:hAnsi="Book Antiqua" w:cs="Times New Roman"/>
          <w:sz w:val="24"/>
          <w:szCs w:val="24"/>
        </w:rPr>
        <w:t>.000.</w:t>
      </w:r>
    </w:p>
    <w:p w14:paraId="13A53535" w14:textId="77777777" w:rsidR="00C815F1" w:rsidRDefault="00C815F1" w:rsidP="004A3198">
      <w:pPr>
        <w:spacing w:after="0" w:line="276" w:lineRule="auto"/>
        <w:jc w:val="both"/>
        <w:rPr>
          <w:rFonts w:ascii="Book Antiqua" w:eastAsia="Calibri" w:hAnsi="Book Antiqua" w:cs="Arial"/>
          <w:b/>
          <w:bCs/>
          <w:sz w:val="24"/>
          <w:szCs w:val="24"/>
        </w:rPr>
      </w:pPr>
    </w:p>
    <w:p w14:paraId="1CCBD26A" w14:textId="68AB6DEE" w:rsidR="006C11D9" w:rsidRPr="004A3198" w:rsidRDefault="004D31DA" w:rsidP="004A3198">
      <w:pPr>
        <w:spacing w:after="0" w:line="276" w:lineRule="auto"/>
        <w:jc w:val="both"/>
        <w:rPr>
          <w:rFonts w:ascii="Book Antiqua" w:eastAsia="Calibri" w:hAnsi="Book Antiqua" w:cs="Arial"/>
          <w:b/>
          <w:bCs/>
          <w:sz w:val="24"/>
          <w:szCs w:val="24"/>
        </w:rPr>
      </w:pPr>
      <w:r w:rsidRPr="009A28BE">
        <w:rPr>
          <w:rFonts w:ascii="Book Antiqua" w:eastAsia="Calibri" w:hAnsi="Book Antiqua" w:cs="Arial"/>
          <w:b/>
          <w:bCs/>
          <w:sz w:val="24"/>
          <w:szCs w:val="24"/>
        </w:rPr>
        <w:t xml:space="preserve">Análisis de </w:t>
      </w:r>
      <w:r w:rsidR="006C11D9" w:rsidRPr="009A28BE">
        <w:rPr>
          <w:rFonts w:ascii="Book Antiqua" w:eastAsia="Calibri" w:hAnsi="Book Antiqua" w:cs="Arial"/>
          <w:b/>
          <w:bCs/>
          <w:sz w:val="24"/>
          <w:szCs w:val="24"/>
        </w:rPr>
        <w:t>Juzgados Primero y Segundo de San José</w:t>
      </w:r>
    </w:p>
    <w:p w14:paraId="1CCB9C53" w14:textId="77777777" w:rsidR="004A3198" w:rsidRDefault="004A3198" w:rsidP="006C11D9">
      <w:pPr>
        <w:spacing w:after="0" w:line="276" w:lineRule="auto"/>
        <w:jc w:val="both"/>
        <w:rPr>
          <w:rFonts w:ascii="Book Antiqua" w:eastAsia="Calibri" w:hAnsi="Book Antiqua" w:cs="Arial"/>
          <w:sz w:val="24"/>
          <w:szCs w:val="24"/>
        </w:rPr>
      </w:pPr>
    </w:p>
    <w:p w14:paraId="5F7CA4F9" w14:textId="589D56D7" w:rsidR="00330C8D" w:rsidRDefault="006C11D9" w:rsidP="004F2315">
      <w:pPr>
        <w:spacing w:after="0" w:line="276" w:lineRule="auto"/>
        <w:jc w:val="both"/>
        <w:rPr>
          <w:rFonts w:ascii="Book Antiqua" w:eastAsia="Calibri" w:hAnsi="Book Antiqua" w:cs="Arial"/>
          <w:sz w:val="24"/>
          <w:szCs w:val="24"/>
        </w:rPr>
      </w:pPr>
      <w:r w:rsidRPr="006C11D9">
        <w:rPr>
          <w:rFonts w:ascii="Book Antiqua" w:eastAsia="Calibri" w:hAnsi="Book Antiqua" w:cs="Arial"/>
          <w:sz w:val="24"/>
          <w:szCs w:val="24"/>
        </w:rPr>
        <w:t>En l</w:t>
      </w:r>
      <w:r w:rsidR="006E02D4">
        <w:rPr>
          <w:rFonts w:ascii="Book Antiqua" w:eastAsia="Calibri" w:hAnsi="Book Antiqua" w:cs="Arial"/>
          <w:sz w:val="24"/>
          <w:szCs w:val="24"/>
        </w:rPr>
        <w:t>os informes 656-PLA-RR-MI-2021</w:t>
      </w:r>
      <w:r w:rsidR="0052491B">
        <w:rPr>
          <w:rStyle w:val="Refdenotaalpie"/>
          <w:rFonts w:ascii="Book Antiqua" w:eastAsia="Calibri" w:hAnsi="Book Antiqua" w:cs="Arial"/>
          <w:sz w:val="24"/>
          <w:szCs w:val="24"/>
        </w:rPr>
        <w:footnoteReference w:id="13"/>
      </w:r>
      <w:r w:rsidR="00FF6204">
        <w:rPr>
          <w:rFonts w:ascii="Book Antiqua" w:eastAsia="Calibri" w:hAnsi="Book Antiqua" w:cs="Arial"/>
          <w:sz w:val="24"/>
          <w:szCs w:val="24"/>
        </w:rPr>
        <w:t>,</w:t>
      </w:r>
      <w:r w:rsidR="006E02D4">
        <w:rPr>
          <w:rFonts w:ascii="Book Antiqua" w:eastAsia="Calibri" w:hAnsi="Book Antiqua" w:cs="Arial"/>
          <w:sz w:val="24"/>
          <w:szCs w:val="24"/>
        </w:rPr>
        <w:t xml:space="preserve"> 389-PLA-R</w:t>
      </w:r>
      <w:r w:rsidR="00A958BE">
        <w:rPr>
          <w:rFonts w:ascii="Book Antiqua" w:eastAsia="Calibri" w:hAnsi="Book Antiqua" w:cs="Arial"/>
          <w:sz w:val="24"/>
          <w:szCs w:val="24"/>
        </w:rPr>
        <w:t>H</w:t>
      </w:r>
      <w:r w:rsidR="006E02D4">
        <w:rPr>
          <w:rFonts w:ascii="Book Antiqua" w:eastAsia="Calibri" w:hAnsi="Book Antiqua" w:cs="Arial"/>
          <w:sz w:val="24"/>
          <w:szCs w:val="24"/>
        </w:rPr>
        <w:t>-M</w:t>
      </w:r>
      <w:r w:rsidR="007779FA">
        <w:rPr>
          <w:rFonts w:ascii="Book Antiqua" w:eastAsia="Calibri" w:hAnsi="Book Antiqua" w:cs="Arial"/>
          <w:sz w:val="24"/>
          <w:szCs w:val="24"/>
        </w:rPr>
        <w:t>I</w:t>
      </w:r>
      <w:r w:rsidR="006E02D4">
        <w:rPr>
          <w:rFonts w:ascii="Book Antiqua" w:eastAsia="Calibri" w:hAnsi="Book Antiqua" w:cs="Arial"/>
          <w:sz w:val="24"/>
          <w:szCs w:val="24"/>
        </w:rPr>
        <w:t>-2021</w:t>
      </w:r>
      <w:r w:rsidR="0052491B">
        <w:rPr>
          <w:rStyle w:val="Refdenotaalpie"/>
          <w:rFonts w:ascii="Book Antiqua" w:eastAsia="Calibri" w:hAnsi="Book Antiqua" w:cs="Arial"/>
          <w:sz w:val="24"/>
          <w:szCs w:val="24"/>
        </w:rPr>
        <w:footnoteReference w:id="14"/>
      </w:r>
      <w:r w:rsidR="00FF6204">
        <w:rPr>
          <w:rFonts w:ascii="Book Antiqua" w:eastAsia="Calibri" w:hAnsi="Book Antiqua" w:cs="Arial"/>
          <w:sz w:val="24"/>
          <w:szCs w:val="24"/>
        </w:rPr>
        <w:t xml:space="preserve"> y 314-PLA-MI-RH-2022</w:t>
      </w:r>
      <w:r w:rsidR="0052491B">
        <w:rPr>
          <w:rStyle w:val="Refdenotaalpie"/>
          <w:rFonts w:ascii="Book Antiqua" w:eastAsia="Calibri" w:hAnsi="Book Antiqua" w:cs="Arial"/>
          <w:sz w:val="24"/>
          <w:szCs w:val="24"/>
        </w:rPr>
        <w:footnoteReference w:id="15"/>
      </w:r>
      <w:r w:rsidR="007779FA">
        <w:rPr>
          <w:rFonts w:ascii="Book Antiqua" w:eastAsia="Calibri" w:hAnsi="Book Antiqua" w:cs="Arial"/>
          <w:sz w:val="24"/>
          <w:szCs w:val="24"/>
        </w:rPr>
        <w:t xml:space="preserve">, se identificó que en </w:t>
      </w:r>
      <w:r w:rsidR="00C8201D">
        <w:rPr>
          <w:rFonts w:ascii="Book Antiqua" w:eastAsia="Calibri" w:hAnsi="Book Antiqua" w:cs="Arial"/>
          <w:sz w:val="24"/>
          <w:szCs w:val="24"/>
        </w:rPr>
        <w:t>e</w:t>
      </w:r>
      <w:r w:rsidR="007779FA">
        <w:rPr>
          <w:rFonts w:ascii="Book Antiqua" w:eastAsia="Calibri" w:hAnsi="Book Antiqua" w:cs="Arial"/>
          <w:sz w:val="24"/>
          <w:szCs w:val="24"/>
        </w:rPr>
        <w:t>l</w:t>
      </w:r>
      <w:r w:rsidRPr="006C11D9">
        <w:rPr>
          <w:rFonts w:ascii="Book Antiqua" w:eastAsia="Calibri" w:hAnsi="Book Antiqua" w:cs="Arial"/>
          <w:sz w:val="24"/>
          <w:szCs w:val="24"/>
        </w:rPr>
        <w:t xml:space="preserve"> caso del Juzgado Primero y Segundo de Familia de San José</w:t>
      </w:r>
      <w:r>
        <w:rPr>
          <w:rFonts w:ascii="Book Antiqua" w:eastAsia="Calibri" w:hAnsi="Book Antiqua" w:cs="Arial"/>
          <w:sz w:val="24"/>
          <w:szCs w:val="24"/>
        </w:rPr>
        <w:t>,</w:t>
      </w:r>
      <w:r w:rsidRPr="006C11D9">
        <w:rPr>
          <w:rFonts w:ascii="Book Antiqua" w:eastAsia="Calibri" w:hAnsi="Book Antiqua" w:cs="Arial"/>
          <w:sz w:val="24"/>
          <w:szCs w:val="24"/>
        </w:rPr>
        <w:t xml:space="preserve"> según la carga de trabajo estimada por mes</w:t>
      </w:r>
      <w:r w:rsidR="00D970AF">
        <w:rPr>
          <w:rFonts w:ascii="Book Antiqua" w:eastAsia="Calibri" w:hAnsi="Book Antiqua" w:cs="Arial"/>
          <w:sz w:val="24"/>
          <w:szCs w:val="24"/>
        </w:rPr>
        <w:t xml:space="preserve"> </w:t>
      </w:r>
      <w:r w:rsidRPr="006C11D9">
        <w:rPr>
          <w:rFonts w:ascii="Book Antiqua" w:eastAsia="Calibri" w:hAnsi="Book Antiqua" w:cs="Arial"/>
          <w:sz w:val="24"/>
          <w:szCs w:val="24"/>
        </w:rPr>
        <w:t>se podría modificar la cantidad de personas juzgadoras con que cuenta cada uno de estos despachos</w:t>
      </w:r>
      <w:r w:rsidR="00C815F1">
        <w:rPr>
          <w:rFonts w:ascii="Book Antiqua" w:eastAsia="Calibri" w:hAnsi="Book Antiqua" w:cs="Arial"/>
          <w:sz w:val="24"/>
          <w:szCs w:val="24"/>
        </w:rPr>
        <w:t xml:space="preserve"> y </w:t>
      </w:r>
      <w:r w:rsidR="00FF6204">
        <w:rPr>
          <w:rFonts w:ascii="Book Antiqua" w:eastAsia="Calibri" w:hAnsi="Book Antiqua" w:cs="Arial"/>
          <w:sz w:val="24"/>
          <w:szCs w:val="24"/>
        </w:rPr>
        <w:t>además, se ana</w:t>
      </w:r>
      <w:r w:rsidRPr="006C11D9">
        <w:rPr>
          <w:rFonts w:ascii="Book Antiqua" w:eastAsia="Calibri" w:hAnsi="Book Antiqua" w:cs="Arial"/>
          <w:sz w:val="24"/>
          <w:szCs w:val="24"/>
        </w:rPr>
        <w:t>liz</w:t>
      </w:r>
      <w:r w:rsidR="00FF6204">
        <w:rPr>
          <w:rFonts w:ascii="Book Antiqua" w:eastAsia="Calibri" w:hAnsi="Book Antiqua" w:cs="Arial"/>
          <w:sz w:val="24"/>
          <w:szCs w:val="24"/>
        </w:rPr>
        <w:t>ó</w:t>
      </w:r>
      <w:r w:rsidRPr="006C11D9">
        <w:rPr>
          <w:rFonts w:ascii="Book Antiqua" w:eastAsia="Calibri" w:hAnsi="Book Antiqua" w:cs="Arial"/>
          <w:sz w:val="24"/>
          <w:szCs w:val="24"/>
        </w:rPr>
        <w:t xml:space="preserve"> </w:t>
      </w:r>
      <w:r w:rsidR="00C22066">
        <w:rPr>
          <w:rFonts w:ascii="Book Antiqua" w:eastAsia="Calibri" w:hAnsi="Book Antiqua" w:cs="Arial"/>
          <w:sz w:val="24"/>
          <w:szCs w:val="24"/>
        </w:rPr>
        <w:t>la posibilidad de unificar</w:t>
      </w:r>
      <w:r w:rsidR="004F2315">
        <w:rPr>
          <w:rFonts w:ascii="Book Antiqua" w:eastAsia="Calibri" w:hAnsi="Book Antiqua" w:cs="Arial"/>
          <w:sz w:val="24"/>
          <w:szCs w:val="24"/>
        </w:rPr>
        <w:t>los</w:t>
      </w:r>
      <w:r w:rsidR="00C8201D">
        <w:rPr>
          <w:rFonts w:ascii="Book Antiqua" w:eastAsia="Calibri" w:hAnsi="Book Antiqua" w:cs="Arial"/>
          <w:sz w:val="24"/>
          <w:szCs w:val="24"/>
        </w:rPr>
        <w:t>,</w:t>
      </w:r>
      <w:r w:rsidR="00FF6204">
        <w:rPr>
          <w:rFonts w:ascii="Book Antiqua" w:eastAsia="Calibri" w:hAnsi="Book Antiqua" w:cs="Arial"/>
          <w:sz w:val="24"/>
          <w:szCs w:val="24"/>
        </w:rPr>
        <w:t xml:space="preserve"> </w:t>
      </w:r>
      <w:r w:rsidR="00C8201D">
        <w:rPr>
          <w:rFonts w:ascii="Book Antiqua" w:eastAsia="Calibri" w:hAnsi="Book Antiqua" w:cs="Arial"/>
          <w:sz w:val="24"/>
          <w:szCs w:val="24"/>
        </w:rPr>
        <w:t xml:space="preserve">ya que cuentan </w:t>
      </w:r>
      <w:r w:rsidR="00C8201D" w:rsidRPr="00C8201D">
        <w:rPr>
          <w:rFonts w:ascii="Book Antiqua" w:eastAsia="Calibri" w:hAnsi="Book Antiqua" w:cs="Arial"/>
          <w:sz w:val="24"/>
          <w:szCs w:val="24"/>
        </w:rPr>
        <w:t>con la misma competencia material y territorial</w:t>
      </w:r>
      <w:r w:rsidR="00C8201D">
        <w:rPr>
          <w:rFonts w:ascii="Book Antiqua" w:eastAsia="Calibri" w:hAnsi="Book Antiqua" w:cs="Arial"/>
          <w:sz w:val="24"/>
          <w:szCs w:val="24"/>
        </w:rPr>
        <w:t>.</w:t>
      </w:r>
      <w:r w:rsidR="00C815F1">
        <w:rPr>
          <w:rFonts w:ascii="Book Antiqua" w:eastAsia="Calibri" w:hAnsi="Book Antiqua" w:cs="Arial"/>
          <w:sz w:val="24"/>
          <w:szCs w:val="24"/>
        </w:rPr>
        <w:t xml:space="preserve"> </w:t>
      </w:r>
      <w:r w:rsidR="004F2315" w:rsidRPr="004F2315">
        <w:rPr>
          <w:rFonts w:ascii="Book Antiqua" w:eastAsia="Calibri" w:hAnsi="Book Antiqua" w:cs="Arial"/>
          <w:sz w:val="24"/>
          <w:szCs w:val="24"/>
        </w:rPr>
        <w:t xml:space="preserve">Para ello se creó la referencia interna </w:t>
      </w:r>
      <w:r w:rsidR="004F2315" w:rsidRPr="004F2315">
        <w:rPr>
          <w:rFonts w:ascii="Book Antiqua" w:eastAsia="Calibri" w:hAnsi="Book Antiqua" w:cs="Arial"/>
          <w:b/>
          <w:bCs/>
          <w:sz w:val="24"/>
          <w:szCs w:val="24"/>
        </w:rPr>
        <w:t>1679-2021</w:t>
      </w:r>
      <w:r w:rsidR="004F2315" w:rsidRPr="004F2315">
        <w:rPr>
          <w:rFonts w:ascii="Book Antiqua" w:eastAsia="Calibri" w:hAnsi="Book Antiqua" w:cs="Arial"/>
          <w:sz w:val="24"/>
          <w:szCs w:val="24"/>
        </w:rPr>
        <w:t>,</w:t>
      </w:r>
      <w:r w:rsidR="004F2315">
        <w:rPr>
          <w:rFonts w:ascii="Book Antiqua" w:eastAsia="Calibri" w:hAnsi="Book Antiqua" w:cs="Arial"/>
          <w:sz w:val="24"/>
          <w:szCs w:val="24"/>
        </w:rPr>
        <w:t xml:space="preserve"> r</w:t>
      </w:r>
      <w:r w:rsidR="004F2315" w:rsidRPr="00866B87">
        <w:rPr>
          <w:rFonts w:ascii="Book Antiqua" w:eastAsia="Calibri" w:hAnsi="Book Antiqua" w:cs="Arial"/>
          <w:sz w:val="24"/>
          <w:szCs w:val="24"/>
        </w:rPr>
        <w:t>elacionad</w:t>
      </w:r>
      <w:r w:rsidR="004F2315">
        <w:rPr>
          <w:rFonts w:ascii="Book Antiqua" w:eastAsia="Calibri" w:hAnsi="Book Antiqua" w:cs="Arial"/>
          <w:sz w:val="24"/>
          <w:szCs w:val="24"/>
        </w:rPr>
        <w:t>a</w:t>
      </w:r>
      <w:r w:rsidR="004F2315" w:rsidRPr="00866B87">
        <w:rPr>
          <w:rFonts w:ascii="Book Antiqua" w:eastAsia="Calibri" w:hAnsi="Book Antiqua" w:cs="Arial"/>
          <w:sz w:val="24"/>
          <w:szCs w:val="24"/>
        </w:rPr>
        <w:t xml:space="preserve"> con </w:t>
      </w:r>
      <w:r w:rsidR="004F2315">
        <w:rPr>
          <w:rFonts w:ascii="Book Antiqua" w:eastAsia="Calibri" w:hAnsi="Book Antiqua" w:cs="Arial"/>
          <w:sz w:val="24"/>
          <w:szCs w:val="24"/>
        </w:rPr>
        <w:t>el “</w:t>
      </w:r>
      <w:r w:rsidR="004F2315" w:rsidRPr="001D0C10">
        <w:rPr>
          <w:rFonts w:ascii="Book Antiqua" w:eastAsia="Calibri" w:hAnsi="Book Antiqua" w:cs="Arial"/>
          <w:i/>
          <w:iCs/>
          <w:sz w:val="24"/>
          <w:szCs w:val="24"/>
        </w:rPr>
        <w:t>Análisis de carga de trabajo de los Juzgados de Familia del Primer Circuito Judicial de San José”</w:t>
      </w:r>
      <w:r w:rsidR="004F2315">
        <w:rPr>
          <w:rFonts w:ascii="Book Antiqua" w:eastAsia="Calibri" w:hAnsi="Book Antiqua" w:cs="Arial"/>
          <w:i/>
          <w:iCs/>
          <w:sz w:val="24"/>
          <w:szCs w:val="24"/>
        </w:rPr>
        <w:t xml:space="preserve">, </w:t>
      </w:r>
      <w:r w:rsidR="004F2315" w:rsidRPr="001D0C10">
        <w:rPr>
          <w:rFonts w:ascii="Book Antiqua" w:eastAsia="Calibri" w:hAnsi="Book Antiqua" w:cs="Arial"/>
          <w:sz w:val="24"/>
          <w:szCs w:val="24"/>
        </w:rPr>
        <w:t xml:space="preserve">a fin de presentar una propuesta </w:t>
      </w:r>
      <w:r w:rsidR="004F2315">
        <w:rPr>
          <w:rFonts w:ascii="Book Antiqua" w:eastAsia="Calibri" w:hAnsi="Book Antiqua" w:cs="Arial"/>
          <w:sz w:val="24"/>
          <w:szCs w:val="24"/>
        </w:rPr>
        <w:t xml:space="preserve">detallada en un oficio adicional, para socializarla </w:t>
      </w:r>
      <w:r w:rsidR="004F2315" w:rsidRPr="001D0C10">
        <w:rPr>
          <w:rFonts w:ascii="Book Antiqua" w:eastAsia="Calibri" w:hAnsi="Book Antiqua" w:cs="Arial"/>
          <w:sz w:val="24"/>
          <w:szCs w:val="24"/>
        </w:rPr>
        <w:t>con las oficinas</w:t>
      </w:r>
      <w:r w:rsidR="00C815F1">
        <w:rPr>
          <w:rFonts w:ascii="Book Antiqua" w:eastAsia="Calibri" w:hAnsi="Book Antiqua" w:cs="Arial"/>
          <w:sz w:val="24"/>
          <w:szCs w:val="24"/>
        </w:rPr>
        <w:t xml:space="preserve"> y</w:t>
      </w:r>
      <w:r w:rsidR="004F2315" w:rsidRPr="001D0C10">
        <w:rPr>
          <w:rFonts w:ascii="Book Antiqua" w:eastAsia="Calibri" w:hAnsi="Book Antiqua" w:cs="Arial"/>
          <w:sz w:val="24"/>
          <w:szCs w:val="24"/>
        </w:rPr>
        <w:t xml:space="preserve"> la Comisión </w:t>
      </w:r>
      <w:r w:rsidR="004F2315" w:rsidRPr="00AB3140">
        <w:rPr>
          <w:rFonts w:ascii="Book Antiqua" w:eastAsia="Calibri" w:hAnsi="Book Antiqua" w:cs="Arial"/>
          <w:sz w:val="24"/>
          <w:szCs w:val="24"/>
        </w:rPr>
        <w:t>Jurisdiccional</w:t>
      </w:r>
      <w:r w:rsidR="004F2315">
        <w:rPr>
          <w:rFonts w:ascii="Book Antiqua" w:eastAsia="Calibri" w:hAnsi="Book Antiqua" w:cs="Arial"/>
          <w:sz w:val="24"/>
          <w:szCs w:val="24"/>
        </w:rPr>
        <w:t xml:space="preserve"> previo a remitirla a conocimiento de la Secretaría General de la Corte</w:t>
      </w:r>
      <w:r w:rsidR="00330C8D">
        <w:rPr>
          <w:rFonts w:ascii="Book Antiqua" w:eastAsia="Calibri" w:hAnsi="Book Antiqua" w:cs="Arial"/>
          <w:sz w:val="24"/>
          <w:szCs w:val="24"/>
        </w:rPr>
        <w:t xml:space="preserve">; </w:t>
      </w:r>
      <w:r w:rsidR="00C815F1">
        <w:rPr>
          <w:rFonts w:ascii="Book Antiqua" w:eastAsia="Calibri" w:hAnsi="Book Antiqua" w:cs="Arial"/>
          <w:sz w:val="24"/>
          <w:szCs w:val="24"/>
        </w:rPr>
        <w:t>también</w:t>
      </w:r>
      <w:r w:rsidR="00330C8D">
        <w:rPr>
          <w:rFonts w:ascii="Book Antiqua" w:eastAsia="Calibri" w:hAnsi="Book Antiqua" w:cs="Arial"/>
          <w:sz w:val="24"/>
          <w:szCs w:val="24"/>
        </w:rPr>
        <w:t xml:space="preserve"> se creó la referencia </w:t>
      </w:r>
      <w:r w:rsidR="00330C8D" w:rsidRPr="00330C8D">
        <w:rPr>
          <w:rFonts w:ascii="Book Antiqua" w:eastAsia="Calibri" w:hAnsi="Book Antiqua" w:cs="Arial"/>
          <w:sz w:val="24"/>
          <w:szCs w:val="24"/>
        </w:rPr>
        <w:t xml:space="preserve">interna </w:t>
      </w:r>
      <w:r w:rsidR="00330C8D" w:rsidRPr="00330C8D">
        <w:rPr>
          <w:rFonts w:ascii="Book Antiqua" w:eastAsia="Calibri" w:hAnsi="Book Antiqua" w:cs="Arial"/>
          <w:b/>
          <w:bCs/>
          <w:sz w:val="24"/>
          <w:szCs w:val="24"/>
        </w:rPr>
        <w:t>1680-2021</w:t>
      </w:r>
      <w:r w:rsidR="00330C8D">
        <w:rPr>
          <w:rFonts w:ascii="Book Antiqua" w:eastAsia="Calibri" w:hAnsi="Book Antiqua" w:cs="Arial"/>
          <w:sz w:val="24"/>
          <w:szCs w:val="24"/>
        </w:rPr>
        <w:t xml:space="preserve">, relacionada con el </w:t>
      </w:r>
      <w:r w:rsidR="00330C8D" w:rsidRPr="00330C8D">
        <w:rPr>
          <w:rFonts w:ascii="Book Antiqua" w:eastAsia="Calibri" w:hAnsi="Book Antiqua" w:cs="Arial"/>
          <w:i/>
          <w:iCs/>
          <w:sz w:val="24"/>
          <w:szCs w:val="24"/>
        </w:rPr>
        <w:t>“Estudio de factibilidad de creación de un Juzgado de Familia con una competencia limitada al conocimiento de una clase de proceso (segunda instancia en Pensiones Alimentarias)”.</w:t>
      </w:r>
      <w:r w:rsidR="00330C8D">
        <w:rPr>
          <w:rFonts w:ascii="Book Antiqua" w:eastAsia="Calibri" w:hAnsi="Book Antiqua" w:cs="Arial"/>
          <w:sz w:val="24"/>
          <w:szCs w:val="24"/>
        </w:rPr>
        <w:t xml:space="preserve"> </w:t>
      </w:r>
    </w:p>
    <w:p w14:paraId="2DBD42BE" w14:textId="77777777" w:rsidR="005805D1" w:rsidRDefault="004F2315" w:rsidP="006C11D9">
      <w:pPr>
        <w:spacing w:after="0" w:line="276" w:lineRule="auto"/>
        <w:jc w:val="both"/>
        <w:rPr>
          <w:rFonts w:ascii="Book Antiqua" w:eastAsia="Calibri" w:hAnsi="Book Antiqua" w:cs="Arial"/>
          <w:i/>
          <w:iCs/>
          <w:sz w:val="24"/>
          <w:szCs w:val="24"/>
        </w:rPr>
      </w:pPr>
      <w:r w:rsidRPr="004F2315">
        <w:rPr>
          <w:rFonts w:ascii="Book Antiqua" w:eastAsia="Calibri" w:hAnsi="Book Antiqua" w:cs="Arial"/>
          <w:sz w:val="24"/>
          <w:szCs w:val="24"/>
        </w:rPr>
        <w:t xml:space="preserve">Dado lo anterior, </w:t>
      </w:r>
      <w:r w:rsidR="00E54BD0">
        <w:rPr>
          <w:rFonts w:ascii="Book Antiqua" w:eastAsia="Calibri" w:hAnsi="Book Antiqua" w:cs="Arial"/>
          <w:sz w:val="24"/>
          <w:szCs w:val="24"/>
        </w:rPr>
        <w:t>c</w:t>
      </w:r>
      <w:r w:rsidR="002F19C6">
        <w:rPr>
          <w:rFonts w:ascii="Book Antiqua" w:eastAsia="Calibri" w:hAnsi="Book Antiqua" w:cs="Arial"/>
          <w:sz w:val="24"/>
          <w:szCs w:val="24"/>
        </w:rPr>
        <w:t xml:space="preserve">omo se mencionó en párrafos anteriores, </w:t>
      </w:r>
      <w:r>
        <w:rPr>
          <w:rFonts w:ascii="Book Antiqua" w:eastAsia="Calibri" w:hAnsi="Book Antiqua" w:cs="Arial"/>
          <w:sz w:val="24"/>
          <w:szCs w:val="24"/>
        </w:rPr>
        <w:t>se confeccionó</w:t>
      </w:r>
      <w:r w:rsidR="002F19C6">
        <w:rPr>
          <w:rFonts w:ascii="Book Antiqua" w:eastAsia="Calibri" w:hAnsi="Book Antiqua" w:cs="Arial"/>
          <w:sz w:val="24"/>
          <w:szCs w:val="24"/>
        </w:rPr>
        <w:t xml:space="preserve"> </w:t>
      </w:r>
      <w:r w:rsidR="0052491B">
        <w:rPr>
          <w:rFonts w:ascii="Book Antiqua" w:eastAsia="Calibri" w:hAnsi="Book Antiqua" w:cs="Arial"/>
          <w:sz w:val="24"/>
          <w:szCs w:val="24"/>
        </w:rPr>
        <w:t xml:space="preserve">el </w:t>
      </w:r>
      <w:r w:rsidR="002F19C6">
        <w:rPr>
          <w:rFonts w:ascii="Book Antiqua" w:eastAsia="Calibri" w:hAnsi="Book Antiqua" w:cs="Arial"/>
          <w:sz w:val="24"/>
          <w:szCs w:val="24"/>
        </w:rPr>
        <w:t xml:space="preserve">oficio preliminar </w:t>
      </w:r>
      <w:r w:rsidR="0052491B" w:rsidRPr="0052491B">
        <w:rPr>
          <w:rFonts w:ascii="Book Antiqua" w:eastAsia="Calibri" w:hAnsi="Book Antiqua" w:cs="Arial"/>
          <w:sz w:val="24"/>
          <w:szCs w:val="24"/>
        </w:rPr>
        <w:t>1122-PLA-MI(NPL)-2022</w:t>
      </w:r>
      <w:r w:rsidR="0052491B">
        <w:rPr>
          <w:rFonts w:ascii="Book Antiqua" w:eastAsia="Calibri" w:hAnsi="Book Antiqua" w:cs="Arial"/>
          <w:sz w:val="24"/>
          <w:szCs w:val="24"/>
        </w:rPr>
        <w:t xml:space="preserve">, relacionado con </w:t>
      </w:r>
      <w:r w:rsidRPr="00C815F1">
        <w:rPr>
          <w:rFonts w:ascii="Book Antiqua" w:eastAsia="Calibri" w:hAnsi="Book Antiqua" w:cs="Arial"/>
          <w:sz w:val="24"/>
          <w:szCs w:val="24"/>
        </w:rPr>
        <w:t xml:space="preserve">el </w:t>
      </w:r>
      <w:r w:rsidR="0052491B" w:rsidRPr="00C815F1">
        <w:rPr>
          <w:rFonts w:ascii="Book Antiqua" w:eastAsia="Calibri" w:hAnsi="Book Antiqua" w:cs="Arial"/>
          <w:sz w:val="24"/>
          <w:szCs w:val="24"/>
        </w:rPr>
        <w:t>“</w:t>
      </w:r>
      <w:r w:rsidRPr="00C815F1">
        <w:rPr>
          <w:rFonts w:ascii="Book Antiqua" w:eastAsia="Calibri" w:hAnsi="Book Antiqua" w:cs="Arial"/>
          <w:sz w:val="24"/>
          <w:szCs w:val="24"/>
        </w:rPr>
        <w:t>A</w:t>
      </w:r>
      <w:r w:rsidR="005B693F" w:rsidRPr="00C815F1">
        <w:rPr>
          <w:rFonts w:ascii="Book Antiqua" w:eastAsia="Calibri" w:hAnsi="Book Antiqua" w:cs="Arial"/>
          <w:i/>
          <w:iCs/>
          <w:sz w:val="24"/>
          <w:szCs w:val="24"/>
        </w:rPr>
        <w:t>nálisis de modificación de la competencia actual del Juzgado Segundo de Familia para limitarlo al conocimiento de una clase de proceso (segunda instancia en Pensiones Alimentarias) a nivel nacional</w:t>
      </w:r>
      <w:r w:rsidR="0052491B" w:rsidRPr="00C815F1">
        <w:rPr>
          <w:rFonts w:ascii="Book Antiqua" w:eastAsia="Calibri" w:hAnsi="Book Antiqua" w:cs="Arial"/>
          <w:sz w:val="24"/>
          <w:szCs w:val="24"/>
        </w:rPr>
        <w:t>”,</w:t>
      </w:r>
      <w:r w:rsidR="0052491B">
        <w:rPr>
          <w:rFonts w:ascii="Book Antiqua" w:eastAsia="Calibri" w:hAnsi="Book Antiqua" w:cs="Arial"/>
          <w:sz w:val="24"/>
          <w:szCs w:val="24"/>
        </w:rPr>
        <w:t xml:space="preserve"> remitido en consulta</w:t>
      </w:r>
      <w:r w:rsidR="0052491B" w:rsidRPr="0052491B">
        <w:rPr>
          <w:rFonts w:ascii="Book Antiqua" w:eastAsia="Calibri" w:hAnsi="Book Antiqua" w:cs="Arial"/>
          <w:sz w:val="24"/>
          <w:szCs w:val="24"/>
        </w:rPr>
        <w:t xml:space="preserve"> a la Comisión de la Jurisdicción de Familia, Niñez y Adolescencia, Dirección Ejecutiva, Administración Regional del Primer Circuito Judicial de San José, Salud Ocupacional, Departamento de Servicios Generales, Dirección de Gestión Humana y a todos los juzgados competentes en materia de Familia y Pensiones Alimentarias a nivel nacional</w:t>
      </w:r>
      <w:r>
        <w:rPr>
          <w:rFonts w:ascii="Book Antiqua" w:eastAsia="Calibri" w:hAnsi="Book Antiqua" w:cs="Arial"/>
          <w:sz w:val="24"/>
          <w:szCs w:val="24"/>
        </w:rPr>
        <w:t>;</w:t>
      </w:r>
      <w:r w:rsidR="0052491B">
        <w:rPr>
          <w:rFonts w:ascii="Book Antiqua" w:eastAsia="Calibri" w:hAnsi="Book Antiqua" w:cs="Arial"/>
          <w:sz w:val="24"/>
          <w:szCs w:val="24"/>
        </w:rPr>
        <w:t xml:space="preserve"> una vez atendidas las observaciones realizadas por las </w:t>
      </w:r>
      <w:r>
        <w:rPr>
          <w:rFonts w:ascii="Book Antiqua" w:eastAsia="Calibri" w:hAnsi="Book Antiqua" w:cs="Arial"/>
          <w:sz w:val="24"/>
          <w:szCs w:val="24"/>
        </w:rPr>
        <w:t xml:space="preserve">distintas </w:t>
      </w:r>
      <w:r w:rsidR="0052491B">
        <w:rPr>
          <w:rFonts w:ascii="Book Antiqua" w:eastAsia="Calibri" w:hAnsi="Book Antiqua" w:cs="Arial"/>
          <w:sz w:val="24"/>
          <w:szCs w:val="24"/>
        </w:rPr>
        <w:t xml:space="preserve">oficinas, se comunica un nuevo informe en consulta relacionado con el </w:t>
      </w:r>
      <w:r w:rsidR="0052491B" w:rsidRPr="0052491B">
        <w:rPr>
          <w:rFonts w:ascii="Book Antiqua" w:eastAsia="Calibri" w:hAnsi="Book Antiqua" w:cs="Arial"/>
          <w:i/>
          <w:iCs/>
          <w:sz w:val="24"/>
          <w:szCs w:val="24"/>
        </w:rPr>
        <w:t>“</w:t>
      </w:r>
      <w:bookmarkStart w:id="38" w:name="_Hlk128033863"/>
      <w:r w:rsidR="0052491B" w:rsidRPr="004F2315">
        <w:rPr>
          <w:rFonts w:ascii="Book Antiqua" w:eastAsia="Calibri" w:hAnsi="Book Antiqua" w:cs="Arial"/>
          <w:b/>
          <w:bCs/>
          <w:i/>
          <w:iCs/>
          <w:sz w:val="24"/>
          <w:szCs w:val="24"/>
        </w:rPr>
        <w:t>Análisis de modificación de la competencia actual del Juzgado Primero de Familia para limitarlo al conocimiento de una clase de proceso (segunda instancia en Pensiones Alimentarias) a nivel nacional</w:t>
      </w:r>
      <w:bookmarkEnd w:id="38"/>
      <w:r w:rsidR="0052491B" w:rsidRPr="0052491B">
        <w:rPr>
          <w:rFonts w:ascii="Book Antiqua" w:eastAsia="Calibri" w:hAnsi="Book Antiqua" w:cs="Arial"/>
          <w:i/>
          <w:iCs/>
          <w:sz w:val="24"/>
          <w:szCs w:val="24"/>
        </w:rPr>
        <w:t>”</w:t>
      </w:r>
      <w:r w:rsidR="005805D1">
        <w:rPr>
          <w:rFonts w:ascii="Book Antiqua" w:eastAsia="Calibri" w:hAnsi="Book Antiqua" w:cs="Arial"/>
          <w:i/>
          <w:iCs/>
          <w:sz w:val="24"/>
          <w:szCs w:val="24"/>
        </w:rPr>
        <w:t xml:space="preserve">. </w:t>
      </w:r>
    </w:p>
    <w:p w14:paraId="28E9B55B" w14:textId="77777777" w:rsidR="005805D1" w:rsidRDefault="005805D1" w:rsidP="006C11D9">
      <w:pPr>
        <w:spacing w:after="0" w:line="276" w:lineRule="auto"/>
        <w:jc w:val="both"/>
        <w:rPr>
          <w:rFonts w:ascii="Book Antiqua" w:eastAsia="Calibri" w:hAnsi="Book Antiqua" w:cs="Arial"/>
          <w:i/>
          <w:iCs/>
          <w:sz w:val="24"/>
          <w:szCs w:val="24"/>
        </w:rPr>
      </w:pPr>
    </w:p>
    <w:p w14:paraId="233F8B1D" w14:textId="0DA76234" w:rsidR="00C8201D" w:rsidRPr="00A273BD" w:rsidRDefault="005805D1" w:rsidP="006C11D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acuerdo con el citado informe, para estimar la carga de trabajo actual y futura con la entrada en vigencia del CPF, se consideran los</w:t>
      </w:r>
      <w:r w:rsidRPr="005805D1">
        <w:t xml:space="preserve"> </w:t>
      </w:r>
      <w:r w:rsidRPr="005805D1">
        <w:rPr>
          <w:rFonts w:ascii="Book Antiqua" w:eastAsia="Calibri" w:hAnsi="Book Antiqua" w:cs="Arial"/>
          <w:sz w:val="24"/>
          <w:szCs w:val="24"/>
        </w:rPr>
        <w:t>recursos de apelación de la materia de Pensiones Alimentarias ingresados durante el 2021 y 2022</w:t>
      </w:r>
      <w:r w:rsidR="0052491B" w:rsidRPr="00A273BD">
        <w:rPr>
          <w:rFonts w:ascii="Book Antiqua" w:eastAsia="Calibri" w:hAnsi="Book Antiqua" w:cs="Arial"/>
          <w:sz w:val="24"/>
          <w:szCs w:val="24"/>
        </w:rPr>
        <w:t xml:space="preserve">. </w:t>
      </w:r>
    </w:p>
    <w:p w14:paraId="218AF421" w14:textId="77777777" w:rsid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5E9BDE95" w14:textId="743DBA62" w:rsidR="006C11D9" w:rsidRP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C11D9">
        <w:rPr>
          <w:rFonts w:ascii="Book Antiqua" w:eastAsia="Calibri" w:hAnsi="Book Antiqua" w:cs="Arial"/>
          <w:b/>
          <w:bCs/>
          <w:color w:val="1F497D"/>
          <w:szCs w:val="24"/>
          <w:lang w:val="es-ES" w:eastAsia="es-ES"/>
        </w:rPr>
        <w:t xml:space="preserve">Cuadro </w:t>
      </w:r>
      <w:r w:rsidRPr="006C11D9">
        <w:rPr>
          <w:rFonts w:ascii="Book Antiqua" w:eastAsia="Calibri" w:hAnsi="Book Antiqua" w:cs="Arial"/>
          <w:b/>
          <w:bCs/>
          <w:color w:val="1F497D"/>
          <w:szCs w:val="24"/>
          <w:lang w:val="es-ES" w:eastAsia="es-ES"/>
        </w:rPr>
        <w:fldChar w:fldCharType="begin"/>
      </w:r>
      <w:r w:rsidRPr="006C11D9">
        <w:rPr>
          <w:rFonts w:ascii="Book Antiqua" w:eastAsia="Calibri" w:hAnsi="Book Antiqua" w:cs="Arial"/>
          <w:b/>
          <w:bCs/>
          <w:color w:val="1F497D"/>
          <w:szCs w:val="24"/>
          <w:lang w:val="es-ES" w:eastAsia="es-ES"/>
        </w:rPr>
        <w:instrText xml:space="preserve"> SEQ Cuadro \* ARABIC </w:instrText>
      </w:r>
      <w:r w:rsidRPr="006C11D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28</w:t>
      </w:r>
      <w:r w:rsidRPr="006C11D9">
        <w:rPr>
          <w:rFonts w:ascii="Book Antiqua" w:eastAsia="Calibri" w:hAnsi="Book Antiqua" w:cs="Arial"/>
          <w:b/>
          <w:bCs/>
          <w:color w:val="1F497D"/>
          <w:szCs w:val="24"/>
          <w:lang w:val="es-ES" w:eastAsia="es-ES"/>
        </w:rPr>
        <w:fldChar w:fldCharType="end"/>
      </w:r>
      <w:r w:rsidRPr="006C11D9">
        <w:rPr>
          <w:rFonts w:ascii="Book Antiqua" w:eastAsia="Calibri" w:hAnsi="Book Antiqua" w:cs="Arial"/>
          <w:b/>
          <w:bCs/>
          <w:color w:val="1F497D"/>
          <w:szCs w:val="24"/>
          <w:lang w:val="es-ES" w:eastAsia="es-ES"/>
        </w:rPr>
        <w:t xml:space="preserve"> </w:t>
      </w:r>
    </w:p>
    <w:p w14:paraId="1CB6E055" w14:textId="3925246E" w:rsidR="006C11D9" w:rsidRDefault="005805D1"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Recursos </w:t>
      </w:r>
      <w:r w:rsidRPr="005805D1">
        <w:rPr>
          <w:rFonts w:ascii="Book Antiqua" w:eastAsia="Calibri" w:hAnsi="Book Antiqua" w:cs="Arial"/>
          <w:b/>
          <w:bCs/>
          <w:color w:val="1F497D"/>
          <w:szCs w:val="24"/>
          <w:lang w:val="es-ES" w:eastAsia="es-ES"/>
        </w:rPr>
        <w:t>de apelación de la materia de Pensiones Alimentarias, ingresados en los Juzgados con competencia en la Materia de Familia a nivel nacional, por tipo de procedimiento, 2021 y 2022</w:t>
      </w:r>
    </w:p>
    <w:tbl>
      <w:tblPr>
        <w:tblW w:w="5000" w:type="pct"/>
        <w:jc w:val="center"/>
        <w:tblCellMar>
          <w:left w:w="70" w:type="dxa"/>
          <w:right w:w="70" w:type="dxa"/>
        </w:tblCellMar>
        <w:tblLook w:val="04A0" w:firstRow="1" w:lastRow="0" w:firstColumn="1" w:lastColumn="0" w:noHBand="0" w:noVBand="1"/>
      </w:tblPr>
      <w:tblGrid>
        <w:gridCol w:w="6690"/>
        <w:gridCol w:w="1069"/>
        <w:gridCol w:w="1069"/>
      </w:tblGrid>
      <w:tr w:rsidR="004D2823" w:rsidRPr="004D2823" w14:paraId="7596B557" w14:textId="77777777" w:rsidTr="004D2823">
        <w:trPr>
          <w:trHeight w:val="288"/>
          <w:tblHeader/>
          <w:jc w:val="center"/>
        </w:trPr>
        <w:tc>
          <w:tcPr>
            <w:tcW w:w="3789"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D97D3DD" w14:textId="77777777" w:rsidR="004D2823" w:rsidRPr="004D2823" w:rsidRDefault="004D2823" w:rsidP="004D2823">
            <w:pPr>
              <w:spacing w:after="0" w:line="276" w:lineRule="auto"/>
              <w:jc w:val="center"/>
              <w:rPr>
                <w:rFonts w:ascii="Book Antiqua" w:eastAsia="Times New Roman" w:hAnsi="Book Antiqua" w:cs="Times New Roman"/>
                <w:b/>
                <w:bCs/>
                <w:color w:val="FFFFFF"/>
                <w:lang w:eastAsia="es-CR"/>
              </w:rPr>
            </w:pPr>
            <w:r w:rsidRPr="004D2823">
              <w:rPr>
                <w:rFonts w:ascii="Book Antiqua" w:eastAsia="Times New Roman" w:hAnsi="Book Antiqua" w:cs="Times New Roman"/>
                <w:b/>
                <w:bCs/>
                <w:color w:val="FFFFFF"/>
                <w:lang w:eastAsia="es-CR"/>
              </w:rPr>
              <w:t xml:space="preserve">Procedimiento </w:t>
            </w:r>
          </w:p>
        </w:tc>
        <w:tc>
          <w:tcPr>
            <w:tcW w:w="605" w:type="pct"/>
            <w:tcBorders>
              <w:top w:val="single" w:sz="4" w:space="0" w:color="auto"/>
              <w:left w:val="nil"/>
              <w:bottom w:val="single" w:sz="4" w:space="0" w:color="auto"/>
              <w:right w:val="single" w:sz="4" w:space="0" w:color="auto"/>
            </w:tcBorders>
            <w:shd w:val="clear" w:color="auto" w:fill="002060"/>
            <w:vAlign w:val="bottom"/>
            <w:hideMark/>
          </w:tcPr>
          <w:p w14:paraId="44A7BBAC" w14:textId="77777777" w:rsidR="004D2823" w:rsidRPr="004D2823" w:rsidRDefault="004D2823" w:rsidP="004D2823">
            <w:pPr>
              <w:spacing w:after="0" w:line="276" w:lineRule="auto"/>
              <w:jc w:val="center"/>
              <w:rPr>
                <w:rFonts w:ascii="Book Antiqua" w:eastAsia="Times New Roman" w:hAnsi="Book Antiqua" w:cs="Times New Roman"/>
                <w:b/>
                <w:bCs/>
                <w:color w:val="FFFFFF"/>
                <w:lang w:eastAsia="es-CR"/>
              </w:rPr>
            </w:pPr>
            <w:r w:rsidRPr="004D2823">
              <w:rPr>
                <w:rFonts w:ascii="Book Antiqua" w:eastAsia="Times New Roman" w:hAnsi="Book Antiqua" w:cs="Times New Roman"/>
                <w:b/>
                <w:bCs/>
                <w:color w:val="FFFFFF"/>
                <w:lang w:eastAsia="es-CR"/>
              </w:rPr>
              <w:t>Cantidad en 2021</w:t>
            </w:r>
          </w:p>
        </w:tc>
        <w:tc>
          <w:tcPr>
            <w:tcW w:w="605" w:type="pct"/>
            <w:tcBorders>
              <w:top w:val="single" w:sz="4" w:space="0" w:color="auto"/>
              <w:left w:val="nil"/>
              <w:bottom w:val="single" w:sz="4" w:space="0" w:color="auto"/>
              <w:right w:val="single" w:sz="4" w:space="0" w:color="auto"/>
            </w:tcBorders>
            <w:shd w:val="clear" w:color="auto" w:fill="002060"/>
          </w:tcPr>
          <w:p w14:paraId="71D78F05" w14:textId="77777777" w:rsidR="004D2823" w:rsidRPr="004D2823" w:rsidRDefault="004D2823" w:rsidP="004D2823">
            <w:pPr>
              <w:spacing w:after="0" w:line="276" w:lineRule="auto"/>
              <w:jc w:val="center"/>
              <w:rPr>
                <w:rFonts w:ascii="Book Antiqua" w:eastAsia="Times New Roman" w:hAnsi="Book Antiqua" w:cs="Times New Roman"/>
                <w:b/>
                <w:bCs/>
                <w:color w:val="FFFFFF"/>
                <w:lang w:eastAsia="es-CR"/>
              </w:rPr>
            </w:pPr>
            <w:r w:rsidRPr="004D2823">
              <w:rPr>
                <w:rFonts w:ascii="Book Antiqua" w:eastAsia="Times New Roman" w:hAnsi="Book Antiqua" w:cs="Times New Roman"/>
                <w:b/>
                <w:bCs/>
                <w:color w:val="FFFFFF"/>
                <w:lang w:eastAsia="es-CR"/>
              </w:rPr>
              <w:t>Cantidad en 2022</w:t>
            </w:r>
          </w:p>
        </w:tc>
      </w:tr>
      <w:tr w:rsidR="004D2823" w:rsidRPr="004D2823" w14:paraId="5FDC97AA"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FFC000"/>
            <w:noWrap/>
            <w:vAlign w:val="center"/>
            <w:hideMark/>
          </w:tcPr>
          <w:p w14:paraId="31B7B4A1"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Fijación Provisional</w:t>
            </w:r>
          </w:p>
        </w:tc>
        <w:tc>
          <w:tcPr>
            <w:tcW w:w="605" w:type="pct"/>
            <w:tcBorders>
              <w:top w:val="nil"/>
              <w:left w:val="nil"/>
              <w:bottom w:val="single" w:sz="4" w:space="0" w:color="auto"/>
              <w:right w:val="single" w:sz="4" w:space="0" w:color="auto"/>
            </w:tcBorders>
            <w:shd w:val="clear" w:color="auto" w:fill="FFC000"/>
            <w:noWrap/>
            <w:vAlign w:val="bottom"/>
            <w:hideMark/>
          </w:tcPr>
          <w:p w14:paraId="6F995F39"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2738</w:t>
            </w:r>
          </w:p>
        </w:tc>
        <w:tc>
          <w:tcPr>
            <w:tcW w:w="605" w:type="pct"/>
            <w:tcBorders>
              <w:top w:val="nil"/>
              <w:left w:val="nil"/>
              <w:bottom w:val="single" w:sz="4" w:space="0" w:color="auto"/>
              <w:right w:val="single" w:sz="4" w:space="0" w:color="auto"/>
            </w:tcBorders>
            <w:shd w:val="clear" w:color="auto" w:fill="FFC000"/>
          </w:tcPr>
          <w:p w14:paraId="69E70CA2"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2280</w:t>
            </w:r>
          </w:p>
        </w:tc>
      </w:tr>
      <w:tr w:rsidR="004D2823" w:rsidRPr="004D2823" w14:paraId="72502F0A"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2CB3356B"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Modificación de Cuota Alimentaria</w:t>
            </w:r>
          </w:p>
        </w:tc>
        <w:tc>
          <w:tcPr>
            <w:tcW w:w="605" w:type="pct"/>
            <w:tcBorders>
              <w:top w:val="nil"/>
              <w:left w:val="nil"/>
              <w:bottom w:val="single" w:sz="4" w:space="0" w:color="auto"/>
              <w:right w:val="single" w:sz="4" w:space="0" w:color="auto"/>
            </w:tcBorders>
            <w:shd w:val="clear" w:color="auto" w:fill="auto"/>
            <w:noWrap/>
            <w:vAlign w:val="bottom"/>
            <w:hideMark/>
          </w:tcPr>
          <w:p w14:paraId="7215097C"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1683</w:t>
            </w:r>
          </w:p>
        </w:tc>
        <w:tc>
          <w:tcPr>
            <w:tcW w:w="605" w:type="pct"/>
            <w:tcBorders>
              <w:top w:val="nil"/>
              <w:left w:val="nil"/>
              <w:bottom w:val="single" w:sz="4" w:space="0" w:color="auto"/>
              <w:right w:val="single" w:sz="4" w:space="0" w:color="auto"/>
            </w:tcBorders>
          </w:tcPr>
          <w:p w14:paraId="2C19BC0E"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1655</w:t>
            </w:r>
          </w:p>
        </w:tc>
      </w:tr>
      <w:tr w:rsidR="004D2823" w:rsidRPr="004D2823" w14:paraId="28A382BE"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09297731"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Fijación Alimentaria Definitiva</w:t>
            </w:r>
          </w:p>
        </w:tc>
        <w:tc>
          <w:tcPr>
            <w:tcW w:w="605" w:type="pct"/>
            <w:tcBorders>
              <w:top w:val="nil"/>
              <w:left w:val="nil"/>
              <w:bottom w:val="single" w:sz="4" w:space="0" w:color="auto"/>
              <w:right w:val="single" w:sz="4" w:space="0" w:color="auto"/>
            </w:tcBorders>
            <w:shd w:val="clear" w:color="auto" w:fill="auto"/>
            <w:noWrap/>
            <w:vAlign w:val="bottom"/>
            <w:hideMark/>
          </w:tcPr>
          <w:p w14:paraId="16CE3D4A"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1275</w:t>
            </w:r>
          </w:p>
        </w:tc>
        <w:tc>
          <w:tcPr>
            <w:tcW w:w="605" w:type="pct"/>
            <w:tcBorders>
              <w:top w:val="nil"/>
              <w:left w:val="nil"/>
              <w:bottom w:val="single" w:sz="4" w:space="0" w:color="auto"/>
              <w:right w:val="single" w:sz="4" w:space="0" w:color="auto"/>
            </w:tcBorders>
          </w:tcPr>
          <w:p w14:paraId="0111F2FD"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1077</w:t>
            </w:r>
          </w:p>
        </w:tc>
      </w:tr>
      <w:tr w:rsidR="004D2823" w:rsidRPr="004D2823" w14:paraId="037300D4"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23DB7AA8"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Otros por Efectos Propios</w:t>
            </w:r>
          </w:p>
        </w:tc>
        <w:tc>
          <w:tcPr>
            <w:tcW w:w="605" w:type="pct"/>
            <w:tcBorders>
              <w:top w:val="nil"/>
              <w:left w:val="nil"/>
              <w:bottom w:val="single" w:sz="4" w:space="0" w:color="auto"/>
              <w:right w:val="single" w:sz="4" w:space="0" w:color="auto"/>
            </w:tcBorders>
            <w:shd w:val="clear" w:color="auto" w:fill="auto"/>
            <w:noWrap/>
            <w:vAlign w:val="bottom"/>
            <w:hideMark/>
          </w:tcPr>
          <w:p w14:paraId="35FD56E3"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366</w:t>
            </w:r>
          </w:p>
        </w:tc>
        <w:tc>
          <w:tcPr>
            <w:tcW w:w="605" w:type="pct"/>
            <w:tcBorders>
              <w:top w:val="nil"/>
              <w:left w:val="nil"/>
              <w:bottom w:val="single" w:sz="4" w:space="0" w:color="auto"/>
              <w:right w:val="single" w:sz="4" w:space="0" w:color="auto"/>
            </w:tcBorders>
          </w:tcPr>
          <w:p w14:paraId="52FB081C"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377</w:t>
            </w:r>
          </w:p>
        </w:tc>
      </w:tr>
      <w:tr w:rsidR="004D2823" w:rsidRPr="004D2823" w14:paraId="68AA963E"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6DF372A5"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Apremio</w:t>
            </w:r>
          </w:p>
        </w:tc>
        <w:tc>
          <w:tcPr>
            <w:tcW w:w="605" w:type="pct"/>
            <w:tcBorders>
              <w:top w:val="nil"/>
              <w:left w:val="nil"/>
              <w:bottom w:val="single" w:sz="4" w:space="0" w:color="auto"/>
              <w:right w:val="single" w:sz="4" w:space="0" w:color="auto"/>
            </w:tcBorders>
            <w:shd w:val="clear" w:color="auto" w:fill="auto"/>
            <w:noWrap/>
            <w:vAlign w:val="bottom"/>
            <w:hideMark/>
          </w:tcPr>
          <w:p w14:paraId="2F821589"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89</w:t>
            </w:r>
          </w:p>
        </w:tc>
        <w:tc>
          <w:tcPr>
            <w:tcW w:w="605" w:type="pct"/>
            <w:tcBorders>
              <w:top w:val="nil"/>
              <w:left w:val="nil"/>
              <w:bottom w:val="single" w:sz="4" w:space="0" w:color="auto"/>
              <w:right w:val="single" w:sz="4" w:space="0" w:color="auto"/>
            </w:tcBorders>
          </w:tcPr>
          <w:p w14:paraId="2C80EA55"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95</w:t>
            </w:r>
          </w:p>
        </w:tc>
      </w:tr>
      <w:tr w:rsidR="004D2823" w:rsidRPr="004D2823" w14:paraId="0F5141BE"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FFC000"/>
            <w:noWrap/>
            <w:vAlign w:val="center"/>
            <w:hideMark/>
          </w:tcPr>
          <w:p w14:paraId="7352C0C8"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Rechazo de Fijación Provisional</w:t>
            </w:r>
          </w:p>
        </w:tc>
        <w:tc>
          <w:tcPr>
            <w:tcW w:w="605" w:type="pct"/>
            <w:tcBorders>
              <w:top w:val="nil"/>
              <w:left w:val="nil"/>
              <w:bottom w:val="single" w:sz="4" w:space="0" w:color="auto"/>
              <w:right w:val="single" w:sz="4" w:space="0" w:color="auto"/>
            </w:tcBorders>
            <w:shd w:val="clear" w:color="auto" w:fill="FFC000"/>
            <w:noWrap/>
            <w:vAlign w:val="bottom"/>
            <w:hideMark/>
          </w:tcPr>
          <w:p w14:paraId="48BAA6F3"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40</w:t>
            </w:r>
          </w:p>
        </w:tc>
        <w:tc>
          <w:tcPr>
            <w:tcW w:w="605" w:type="pct"/>
            <w:tcBorders>
              <w:top w:val="nil"/>
              <w:left w:val="nil"/>
              <w:bottom w:val="single" w:sz="4" w:space="0" w:color="auto"/>
              <w:right w:val="single" w:sz="4" w:space="0" w:color="auto"/>
            </w:tcBorders>
            <w:shd w:val="clear" w:color="auto" w:fill="FFC000"/>
          </w:tcPr>
          <w:p w14:paraId="3BA3A081"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20</w:t>
            </w:r>
          </w:p>
        </w:tc>
      </w:tr>
      <w:tr w:rsidR="004D2823" w:rsidRPr="004D2823" w14:paraId="6E2E70D0"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3B53D770"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Pronunciamiento de Nulidad de Resoluciones y Actuaciones</w:t>
            </w:r>
          </w:p>
        </w:tc>
        <w:tc>
          <w:tcPr>
            <w:tcW w:w="605" w:type="pct"/>
            <w:tcBorders>
              <w:top w:val="nil"/>
              <w:left w:val="nil"/>
              <w:bottom w:val="single" w:sz="4" w:space="0" w:color="auto"/>
              <w:right w:val="single" w:sz="4" w:space="0" w:color="auto"/>
            </w:tcBorders>
            <w:shd w:val="clear" w:color="auto" w:fill="auto"/>
            <w:noWrap/>
            <w:vAlign w:val="bottom"/>
            <w:hideMark/>
          </w:tcPr>
          <w:p w14:paraId="1A7CAD1F"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37</w:t>
            </w:r>
          </w:p>
        </w:tc>
        <w:tc>
          <w:tcPr>
            <w:tcW w:w="605" w:type="pct"/>
            <w:tcBorders>
              <w:top w:val="nil"/>
              <w:left w:val="nil"/>
              <w:bottom w:val="single" w:sz="4" w:space="0" w:color="auto"/>
              <w:right w:val="single" w:sz="4" w:space="0" w:color="auto"/>
            </w:tcBorders>
          </w:tcPr>
          <w:p w14:paraId="3C0A320A"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51</w:t>
            </w:r>
          </w:p>
        </w:tc>
      </w:tr>
      <w:tr w:rsidR="004D2823" w:rsidRPr="004D2823" w14:paraId="4AA8427E"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06AACAD6"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Rechazo de Beneficios</w:t>
            </w:r>
          </w:p>
        </w:tc>
        <w:tc>
          <w:tcPr>
            <w:tcW w:w="605" w:type="pct"/>
            <w:tcBorders>
              <w:top w:val="nil"/>
              <w:left w:val="nil"/>
              <w:bottom w:val="single" w:sz="4" w:space="0" w:color="auto"/>
              <w:right w:val="single" w:sz="4" w:space="0" w:color="auto"/>
            </w:tcBorders>
            <w:shd w:val="clear" w:color="auto" w:fill="auto"/>
            <w:noWrap/>
            <w:vAlign w:val="bottom"/>
            <w:hideMark/>
          </w:tcPr>
          <w:p w14:paraId="61341D2D"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34</w:t>
            </w:r>
          </w:p>
        </w:tc>
        <w:tc>
          <w:tcPr>
            <w:tcW w:w="605" w:type="pct"/>
            <w:tcBorders>
              <w:top w:val="nil"/>
              <w:left w:val="nil"/>
              <w:bottom w:val="single" w:sz="4" w:space="0" w:color="auto"/>
              <w:right w:val="single" w:sz="4" w:space="0" w:color="auto"/>
            </w:tcBorders>
          </w:tcPr>
          <w:p w14:paraId="27503259"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16</w:t>
            </w:r>
          </w:p>
        </w:tc>
      </w:tr>
      <w:tr w:rsidR="004D2823" w:rsidRPr="004D2823" w14:paraId="1D03C805"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340BC486"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Rechazo de Plano y Archivos</w:t>
            </w:r>
          </w:p>
        </w:tc>
        <w:tc>
          <w:tcPr>
            <w:tcW w:w="605" w:type="pct"/>
            <w:tcBorders>
              <w:top w:val="nil"/>
              <w:left w:val="nil"/>
              <w:bottom w:val="single" w:sz="4" w:space="0" w:color="auto"/>
              <w:right w:val="single" w:sz="4" w:space="0" w:color="auto"/>
            </w:tcBorders>
            <w:shd w:val="clear" w:color="auto" w:fill="auto"/>
            <w:noWrap/>
            <w:vAlign w:val="bottom"/>
            <w:hideMark/>
          </w:tcPr>
          <w:p w14:paraId="427F1FF9"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21</w:t>
            </w:r>
          </w:p>
        </w:tc>
        <w:tc>
          <w:tcPr>
            <w:tcW w:w="605" w:type="pct"/>
            <w:tcBorders>
              <w:top w:val="nil"/>
              <w:left w:val="nil"/>
              <w:bottom w:val="single" w:sz="4" w:space="0" w:color="auto"/>
              <w:right w:val="single" w:sz="4" w:space="0" w:color="auto"/>
            </w:tcBorders>
          </w:tcPr>
          <w:p w14:paraId="21FA5E63"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19</w:t>
            </w:r>
          </w:p>
        </w:tc>
      </w:tr>
      <w:tr w:rsidR="004D2823" w:rsidRPr="004D2823" w14:paraId="08A0F1FC"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351D294E"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Ejecución de Sentencia</w:t>
            </w:r>
          </w:p>
        </w:tc>
        <w:tc>
          <w:tcPr>
            <w:tcW w:w="605" w:type="pct"/>
            <w:tcBorders>
              <w:top w:val="nil"/>
              <w:left w:val="nil"/>
              <w:bottom w:val="single" w:sz="4" w:space="0" w:color="auto"/>
              <w:right w:val="single" w:sz="4" w:space="0" w:color="auto"/>
            </w:tcBorders>
            <w:shd w:val="clear" w:color="auto" w:fill="auto"/>
            <w:noWrap/>
            <w:vAlign w:val="bottom"/>
            <w:hideMark/>
          </w:tcPr>
          <w:p w14:paraId="3AC665BC"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17</w:t>
            </w:r>
          </w:p>
        </w:tc>
        <w:tc>
          <w:tcPr>
            <w:tcW w:w="605" w:type="pct"/>
            <w:tcBorders>
              <w:top w:val="nil"/>
              <w:left w:val="nil"/>
              <w:bottom w:val="single" w:sz="4" w:space="0" w:color="auto"/>
              <w:right w:val="single" w:sz="4" w:space="0" w:color="auto"/>
            </w:tcBorders>
          </w:tcPr>
          <w:p w14:paraId="6839B350"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32</w:t>
            </w:r>
          </w:p>
        </w:tc>
      </w:tr>
      <w:tr w:rsidR="004D2823" w:rsidRPr="004D2823" w14:paraId="2DB2E02E"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217015EF"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Incidente de Restitución de Cuotas</w:t>
            </w:r>
          </w:p>
        </w:tc>
        <w:tc>
          <w:tcPr>
            <w:tcW w:w="605" w:type="pct"/>
            <w:tcBorders>
              <w:top w:val="nil"/>
              <w:left w:val="nil"/>
              <w:bottom w:val="single" w:sz="4" w:space="0" w:color="auto"/>
              <w:right w:val="single" w:sz="4" w:space="0" w:color="auto"/>
            </w:tcBorders>
            <w:shd w:val="clear" w:color="auto" w:fill="auto"/>
            <w:noWrap/>
            <w:vAlign w:val="bottom"/>
            <w:hideMark/>
          </w:tcPr>
          <w:p w14:paraId="64062CF1"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11</w:t>
            </w:r>
          </w:p>
        </w:tc>
        <w:tc>
          <w:tcPr>
            <w:tcW w:w="605" w:type="pct"/>
            <w:tcBorders>
              <w:top w:val="nil"/>
              <w:left w:val="nil"/>
              <w:bottom w:val="single" w:sz="4" w:space="0" w:color="auto"/>
              <w:right w:val="single" w:sz="4" w:space="0" w:color="auto"/>
            </w:tcBorders>
          </w:tcPr>
          <w:p w14:paraId="5BF6FF74"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8</w:t>
            </w:r>
          </w:p>
        </w:tc>
      </w:tr>
      <w:tr w:rsidR="004D2823" w:rsidRPr="004D2823" w14:paraId="3600CC85"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hideMark/>
          </w:tcPr>
          <w:p w14:paraId="424F12C9"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Inc. Pensión Alimentaria</w:t>
            </w:r>
          </w:p>
        </w:tc>
        <w:tc>
          <w:tcPr>
            <w:tcW w:w="605" w:type="pct"/>
            <w:tcBorders>
              <w:top w:val="nil"/>
              <w:left w:val="nil"/>
              <w:bottom w:val="single" w:sz="4" w:space="0" w:color="auto"/>
              <w:right w:val="single" w:sz="4" w:space="0" w:color="auto"/>
            </w:tcBorders>
            <w:shd w:val="clear" w:color="auto" w:fill="auto"/>
            <w:noWrap/>
            <w:vAlign w:val="bottom"/>
            <w:hideMark/>
          </w:tcPr>
          <w:p w14:paraId="6E908D32"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w:t>
            </w:r>
          </w:p>
        </w:tc>
        <w:tc>
          <w:tcPr>
            <w:tcW w:w="605" w:type="pct"/>
            <w:tcBorders>
              <w:top w:val="nil"/>
              <w:left w:val="nil"/>
              <w:bottom w:val="single" w:sz="4" w:space="0" w:color="auto"/>
              <w:right w:val="single" w:sz="4" w:space="0" w:color="auto"/>
            </w:tcBorders>
          </w:tcPr>
          <w:p w14:paraId="3A85B1BF"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p>
        </w:tc>
      </w:tr>
      <w:tr w:rsidR="004D2823" w:rsidRPr="004D2823" w14:paraId="07BE250C"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auto"/>
            <w:noWrap/>
            <w:vAlign w:val="center"/>
          </w:tcPr>
          <w:p w14:paraId="57B2E5E1" w14:textId="77777777" w:rsidR="004D2823" w:rsidRPr="004D2823" w:rsidRDefault="004D2823" w:rsidP="004D2823">
            <w:pPr>
              <w:spacing w:after="0" w:line="276" w:lineRule="auto"/>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No clasificado</w:t>
            </w:r>
          </w:p>
        </w:tc>
        <w:tc>
          <w:tcPr>
            <w:tcW w:w="605" w:type="pct"/>
            <w:tcBorders>
              <w:top w:val="nil"/>
              <w:left w:val="nil"/>
              <w:bottom w:val="single" w:sz="4" w:space="0" w:color="auto"/>
              <w:right w:val="single" w:sz="4" w:space="0" w:color="auto"/>
            </w:tcBorders>
            <w:shd w:val="clear" w:color="auto" w:fill="auto"/>
            <w:noWrap/>
            <w:vAlign w:val="bottom"/>
          </w:tcPr>
          <w:p w14:paraId="0529C13C"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w:t>
            </w:r>
          </w:p>
        </w:tc>
        <w:tc>
          <w:tcPr>
            <w:tcW w:w="605" w:type="pct"/>
            <w:tcBorders>
              <w:top w:val="nil"/>
              <w:left w:val="nil"/>
              <w:bottom w:val="single" w:sz="4" w:space="0" w:color="auto"/>
              <w:right w:val="single" w:sz="4" w:space="0" w:color="auto"/>
            </w:tcBorders>
          </w:tcPr>
          <w:p w14:paraId="2DE6BBC4" w14:textId="77777777" w:rsidR="004D2823" w:rsidRPr="004D2823" w:rsidRDefault="004D2823" w:rsidP="004D2823">
            <w:pPr>
              <w:spacing w:after="0" w:line="276" w:lineRule="auto"/>
              <w:jc w:val="center"/>
              <w:rPr>
                <w:rFonts w:ascii="Book Antiqua" w:eastAsia="Times New Roman" w:hAnsi="Book Antiqua" w:cs="Times New Roman"/>
                <w:color w:val="000000"/>
                <w:lang w:eastAsia="es-CR"/>
              </w:rPr>
            </w:pPr>
            <w:r w:rsidRPr="004D2823">
              <w:rPr>
                <w:rFonts w:ascii="Book Antiqua" w:eastAsia="Times New Roman" w:hAnsi="Book Antiqua" w:cs="Times New Roman"/>
                <w:color w:val="000000"/>
                <w:lang w:eastAsia="es-CR"/>
              </w:rPr>
              <w:t>1</w:t>
            </w:r>
          </w:p>
        </w:tc>
      </w:tr>
      <w:tr w:rsidR="004D2823" w:rsidRPr="004D2823" w14:paraId="7A6DC5EA" w14:textId="77777777" w:rsidTr="004D2823">
        <w:trPr>
          <w:trHeight w:val="288"/>
          <w:jc w:val="center"/>
        </w:trPr>
        <w:tc>
          <w:tcPr>
            <w:tcW w:w="3789" w:type="pct"/>
            <w:tcBorders>
              <w:top w:val="nil"/>
              <w:left w:val="single" w:sz="4" w:space="0" w:color="auto"/>
              <w:bottom w:val="single" w:sz="4" w:space="0" w:color="auto"/>
              <w:right w:val="single" w:sz="4" w:space="0" w:color="auto"/>
            </w:tcBorders>
            <w:shd w:val="clear" w:color="auto" w:fill="002060"/>
            <w:noWrap/>
            <w:vAlign w:val="bottom"/>
            <w:hideMark/>
          </w:tcPr>
          <w:p w14:paraId="24A004D8" w14:textId="77777777" w:rsidR="004D2823" w:rsidRPr="004D2823" w:rsidRDefault="004D2823" w:rsidP="004D2823">
            <w:pPr>
              <w:spacing w:after="0" w:line="276" w:lineRule="auto"/>
              <w:jc w:val="center"/>
              <w:rPr>
                <w:rFonts w:ascii="Book Antiqua" w:eastAsia="Times New Roman" w:hAnsi="Book Antiqua" w:cs="Times New Roman"/>
                <w:b/>
                <w:bCs/>
                <w:color w:val="FFFFFF"/>
                <w:lang w:eastAsia="es-CR"/>
              </w:rPr>
            </w:pPr>
            <w:r w:rsidRPr="004D2823">
              <w:rPr>
                <w:rFonts w:ascii="Book Antiqua" w:eastAsia="Times New Roman" w:hAnsi="Book Antiqua" w:cs="Times New Roman"/>
                <w:b/>
                <w:bCs/>
                <w:color w:val="FFFFFF"/>
                <w:lang w:eastAsia="es-CR"/>
              </w:rPr>
              <w:t>Total general</w:t>
            </w:r>
          </w:p>
        </w:tc>
        <w:tc>
          <w:tcPr>
            <w:tcW w:w="605" w:type="pct"/>
            <w:tcBorders>
              <w:top w:val="nil"/>
              <w:left w:val="nil"/>
              <w:bottom w:val="single" w:sz="4" w:space="0" w:color="auto"/>
              <w:right w:val="single" w:sz="4" w:space="0" w:color="auto"/>
            </w:tcBorders>
            <w:shd w:val="clear" w:color="auto" w:fill="002060"/>
            <w:noWrap/>
            <w:vAlign w:val="bottom"/>
            <w:hideMark/>
          </w:tcPr>
          <w:p w14:paraId="29E690E3" w14:textId="77777777" w:rsidR="004D2823" w:rsidRPr="004D2823" w:rsidRDefault="004D2823" w:rsidP="004D2823">
            <w:pPr>
              <w:spacing w:after="0" w:line="276" w:lineRule="auto"/>
              <w:jc w:val="center"/>
              <w:rPr>
                <w:rFonts w:ascii="Book Antiqua" w:eastAsia="Times New Roman" w:hAnsi="Book Antiqua" w:cs="Times New Roman"/>
                <w:b/>
                <w:bCs/>
                <w:color w:val="FFFFFF"/>
                <w:lang w:eastAsia="es-CR"/>
              </w:rPr>
            </w:pPr>
            <w:r w:rsidRPr="004D2823">
              <w:rPr>
                <w:rFonts w:ascii="Book Antiqua" w:eastAsia="Times New Roman" w:hAnsi="Book Antiqua" w:cs="Times New Roman"/>
                <w:b/>
                <w:bCs/>
                <w:color w:val="FFFFFF"/>
                <w:lang w:eastAsia="es-CR"/>
              </w:rPr>
              <w:t>6313</w:t>
            </w:r>
          </w:p>
        </w:tc>
        <w:tc>
          <w:tcPr>
            <w:tcW w:w="605" w:type="pct"/>
            <w:tcBorders>
              <w:top w:val="nil"/>
              <w:left w:val="nil"/>
              <w:bottom w:val="single" w:sz="4" w:space="0" w:color="auto"/>
              <w:right w:val="single" w:sz="4" w:space="0" w:color="auto"/>
            </w:tcBorders>
            <w:shd w:val="clear" w:color="auto" w:fill="002060"/>
          </w:tcPr>
          <w:p w14:paraId="0D5113B5" w14:textId="77777777" w:rsidR="004D2823" w:rsidRPr="004D2823" w:rsidRDefault="004D2823" w:rsidP="004D2823">
            <w:pPr>
              <w:spacing w:after="0" w:line="276" w:lineRule="auto"/>
              <w:jc w:val="center"/>
              <w:rPr>
                <w:rFonts w:ascii="Book Antiqua" w:eastAsia="Times New Roman" w:hAnsi="Book Antiqua" w:cs="Times New Roman"/>
                <w:b/>
                <w:bCs/>
                <w:color w:val="FFFFFF"/>
                <w:lang w:eastAsia="es-CR"/>
              </w:rPr>
            </w:pPr>
            <w:r w:rsidRPr="004D2823">
              <w:rPr>
                <w:rFonts w:ascii="Book Antiqua" w:eastAsia="Times New Roman" w:hAnsi="Book Antiqua" w:cs="Times New Roman"/>
                <w:b/>
                <w:bCs/>
                <w:color w:val="FFFFFF"/>
                <w:lang w:eastAsia="es-CR"/>
              </w:rPr>
              <w:t>5631</w:t>
            </w:r>
          </w:p>
        </w:tc>
      </w:tr>
    </w:tbl>
    <w:p w14:paraId="0125E4A9" w14:textId="37439FAA" w:rsidR="00C319F8" w:rsidRDefault="00AA6DF1" w:rsidP="004D2823">
      <w:pPr>
        <w:spacing w:after="0" w:line="240" w:lineRule="auto"/>
        <w:jc w:val="both"/>
        <w:rPr>
          <w:rFonts w:ascii="Book Antiqua" w:eastAsia="Calibri" w:hAnsi="Book Antiqua" w:cs="Arial"/>
          <w:i/>
          <w:iCs/>
          <w:sz w:val="20"/>
          <w:szCs w:val="20"/>
        </w:rPr>
      </w:pPr>
      <w:r w:rsidRPr="00F53EAA">
        <w:rPr>
          <w:rFonts w:ascii="Book Antiqua" w:eastAsia="Calibri" w:hAnsi="Book Antiqua" w:cs="Arial"/>
          <w:b/>
          <w:bCs/>
          <w:i/>
          <w:iCs/>
          <w:sz w:val="20"/>
          <w:szCs w:val="20"/>
        </w:rPr>
        <w:t>Fuente:</w:t>
      </w:r>
      <w:r w:rsidRPr="00AA6DF1">
        <w:rPr>
          <w:rFonts w:ascii="Book Antiqua" w:eastAsia="Calibri" w:hAnsi="Book Antiqua" w:cs="Arial"/>
          <w:i/>
          <w:iCs/>
          <w:sz w:val="20"/>
          <w:szCs w:val="20"/>
        </w:rPr>
        <w:t xml:space="preserve"> </w:t>
      </w:r>
      <w:r w:rsidR="008F1971">
        <w:rPr>
          <w:rFonts w:ascii="Book Antiqua" w:eastAsia="Calibri" w:hAnsi="Book Antiqua" w:cs="Arial"/>
          <w:i/>
          <w:iCs/>
          <w:sz w:val="20"/>
          <w:szCs w:val="20"/>
        </w:rPr>
        <w:t xml:space="preserve">Subproceso de </w:t>
      </w:r>
      <w:r w:rsidRPr="00AA6DF1">
        <w:rPr>
          <w:rFonts w:ascii="Book Antiqua" w:eastAsia="Calibri" w:hAnsi="Book Antiqua" w:cs="Arial"/>
          <w:i/>
          <w:iCs/>
          <w:sz w:val="20"/>
          <w:szCs w:val="20"/>
        </w:rPr>
        <w:t xml:space="preserve">Modernización Institucional </w:t>
      </w:r>
      <w:r w:rsidR="008F1971">
        <w:rPr>
          <w:rFonts w:ascii="Book Antiqua" w:eastAsia="Calibri" w:hAnsi="Book Antiqua" w:cs="Arial"/>
          <w:i/>
          <w:iCs/>
          <w:sz w:val="20"/>
          <w:szCs w:val="20"/>
        </w:rPr>
        <w:t>con</w:t>
      </w:r>
      <w:r w:rsidRPr="00AA6DF1">
        <w:rPr>
          <w:rFonts w:ascii="Book Antiqua" w:eastAsia="Calibri" w:hAnsi="Book Antiqua" w:cs="Arial"/>
          <w:i/>
          <w:iCs/>
          <w:sz w:val="20"/>
          <w:szCs w:val="20"/>
        </w:rPr>
        <w:t xml:space="preserve"> datos de</w:t>
      </w:r>
      <w:r w:rsidR="008F1971">
        <w:rPr>
          <w:rFonts w:ascii="Book Antiqua" w:eastAsia="Calibri" w:hAnsi="Book Antiqua" w:cs="Arial"/>
          <w:i/>
          <w:iCs/>
          <w:sz w:val="20"/>
          <w:szCs w:val="20"/>
        </w:rPr>
        <w:t>l informe preliminar “</w:t>
      </w:r>
      <w:r w:rsidR="008F1971" w:rsidRPr="008F1971">
        <w:rPr>
          <w:rFonts w:ascii="Book Antiqua" w:eastAsia="Calibri" w:hAnsi="Book Antiqua" w:cs="Arial"/>
          <w:i/>
          <w:iCs/>
          <w:sz w:val="20"/>
          <w:szCs w:val="20"/>
        </w:rPr>
        <w:t>Análisis de modificación de la competencia actual del Juzgado Primero de Familia para limitarlo al conocimiento de una clase de proceso (segunda instancia en Pensiones Alimentarias) a nivel nacional</w:t>
      </w:r>
      <w:r w:rsidR="008F1971">
        <w:rPr>
          <w:rFonts w:ascii="Book Antiqua" w:eastAsia="Calibri" w:hAnsi="Book Antiqua" w:cs="Arial"/>
          <w:i/>
          <w:iCs/>
          <w:sz w:val="20"/>
          <w:szCs w:val="20"/>
        </w:rPr>
        <w:t>”</w:t>
      </w:r>
      <w:r w:rsidRPr="00AA6DF1">
        <w:rPr>
          <w:rFonts w:ascii="Book Antiqua" w:eastAsia="Calibri" w:hAnsi="Book Antiqua" w:cs="Arial"/>
          <w:i/>
          <w:iCs/>
          <w:sz w:val="20"/>
          <w:szCs w:val="20"/>
        </w:rPr>
        <w:t>.</w:t>
      </w:r>
    </w:p>
    <w:p w14:paraId="385105E3" w14:textId="2566D709" w:rsidR="004D2823" w:rsidRPr="00AA6DF1" w:rsidRDefault="004D2823" w:rsidP="004D2823">
      <w:pPr>
        <w:spacing w:after="0" w:line="240" w:lineRule="auto"/>
        <w:jc w:val="both"/>
        <w:rPr>
          <w:rFonts w:ascii="Book Antiqua" w:eastAsia="Calibri" w:hAnsi="Book Antiqua" w:cs="Arial"/>
          <w:i/>
          <w:iCs/>
          <w:sz w:val="20"/>
          <w:szCs w:val="20"/>
        </w:rPr>
      </w:pPr>
      <w:r w:rsidRPr="004D2823">
        <w:rPr>
          <w:rFonts w:ascii="Book Antiqua" w:eastAsia="Calibri" w:hAnsi="Book Antiqua" w:cs="Arial"/>
          <w:b/>
          <w:bCs/>
          <w:i/>
          <w:iCs/>
          <w:sz w:val="20"/>
          <w:szCs w:val="20"/>
        </w:rPr>
        <w:t>Nota:</w:t>
      </w:r>
      <w:r>
        <w:rPr>
          <w:rFonts w:ascii="Book Antiqua" w:eastAsia="Calibri" w:hAnsi="Book Antiqua" w:cs="Arial"/>
          <w:i/>
          <w:iCs/>
          <w:sz w:val="20"/>
          <w:szCs w:val="20"/>
        </w:rPr>
        <w:t xml:space="preserve"> L</w:t>
      </w:r>
      <w:r w:rsidRPr="004D2823">
        <w:rPr>
          <w:rFonts w:ascii="Book Antiqua" w:eastAsia="Calibri" w:hAnsi="Book Antiqua" w:cs="Arial"/>
          <w:i/>
          <w:iCs/>
          <w:sz w:val="20"/>
          <w:szCs w:val="20"/>
        </w:rPr>
        <w:t xml:space="preserve">as </w:t>
      </w:r>
      <w:r w:rsidR="00681EDC" w:rsidRPr="004D2823">
        <w:rPr>
          <w:rFonts w:ascii="Book Antiqua" w:eastAsia="Calibri" w:hAnsi="Book Antiqua" w:cs="Arial"/>
          <w:i/>
          <w:iCs/>
          <w:sz w:val="20"/>
          <w:szCs w:val="20"/>
        </w:rPr>
        <w:t>apelaciones subdivididas</w:t>
      </w:r>
      <w:r w:rsidRPr="004D2823">
        <w:rPr>
          <w:rFonts w:ascii="Book Antiqua" w:eastAsia="Calibri" w:hAnsi="Book Antiqua" w:cs="Arial"/>
          <w:i/>
          <w:iCs/>
          <w:sz w:val="20"/>
          <w:szCs w:val="20"/>
        </w:rPr>
        <w:t xml:space="preserve"> por clase asunto solo re registra desde 2021.</w:t>
      </w:r>
    </w:p>
    <w:p w14:paraId="04897404" w14:textId="40A8E112" w:rsidR="00FD5AFF" w:rsidRDefault="00FD5AFF" w:rsidP="00FD5AFF">
      <w:pPr>
        <w:spacing w:after="0" w:line="276" w:lineRule="auto"/>
        <w:jc w:val="both"/>
        <w:rPr>
          <w:rFonts w:ascii="Book Antiqua" w:eastAsia="Calibri" w:hAnsi="Book Antiqua" w:cs="Arial"/>
          <w:b/>
          <w:bCs/>
          <w:sz w:val="24"/>
          <w:szCs w:val="24"/>
        </w:rPr>
      </w:pPr>
    </w:p>
    <w:p w14:paraId="3B47578D" w14:textId="04D06A9F" w:rsidR="004D2823" w:rsidRPr="004D2823" w:rsidRDefault="004D2823" w:rsidP="004D2823">
      <w:pPr>
        <w:shd w:val="clear" w:color="auto" w:fill="FFFFFF"/>
        <w:spacing w:before="120" w:after="120" w:line="276" w:lineRule="auto"/>
        <w:ind w:right="49"/>
        <w:jc w:val="both"/>
        <w:rPr>
          <w:rFonts w:ascii="Book Antiqua" w:eastAsia="Times New Roman" w:hAnsi="Book Antiqua" w:cs="Times New Roman"/>
          <w:color w:val="000000"/>
          <w:sz w:val="24"/>
          <w:szCs w:val="24"/>
          <w:lang w:eastAsia="es-CR"/>
        </w:rPr>
      </w:pPr>
      <w:r w:rsidRPr="004D2823">
        <w:rPr>
          <w:rFonts w:ascii="Book Antiqua" w:eastAsia="Times New Roman" w:hAnsi="Book Antiqua" w:cs="Times New Roman"/>
          <w:color w:val="000000"/>
          <w:sz w:val="24"/>
          <w:szCs w:val="24"/>
          <w:lang w:eastAsia="es-CR"/>
        </w:rPr>
        <w:t>De los 6</w:t>
      </w:r>
      <w:r>
        <w:rPr>
          <w:rFonts w:ascii="Book Antiqua" w:eastAsia="Times New Roman" w:hAnsi="Book Antiqua" w:cs="Times New Roman"/>
          <w:color w:val="000000"/>
          <w:sz w:val="24"/>
          <w:szCs w:val="24"/>
          <w:lang w:eastAsia="es-CR"/>
        </w:rPr>
        <w:t xml:space="preserve"> </w:t>
      </w:r>
      <w:r w:rsidRPr="004D2823">
        <w:rPr>
          <w:rFonts w:ascii="Book Antiqua" w:eastAsia="Times New Roman" w:hAnsi="Book Antiqua" w:cs="Times New Roman"/>
          <w:color w:val="000000"/>
          <w:sz w:val="24"/>
          <w:szCs w:val="24"/>
          <w:lang w:eastAsia="es-CR"/>
        </w:rPr>
        <w:t xml:space="preserve">313 recursos de apelación </w:t>
      </w:r>
      <w:r w:rsidRPr="004D2823">
        <w:rPr>
          <w:rFonts w:ascii="Book Antiqua" w:eastAsia="Times New Roman" w:hAnsi="Book Antiqua" w:cs="Times New Roman"/>
          <w:color w:val="000000"/>
          <w:sz w:val="24"/>
          <w:szCs w:val="24"/>
          <w:u w:val="single"/>
          <w:lang w:eastAsia="es-CR"/>
        </w:rPr>
        <w:t>ingresados en 2021</w:t>
      </w:r>
      <w:r w:rsidRPr="004D2823">
        <w:rPr>
          <w:rFonts w:ascii="Book Antiqua" w:eastAsia="Times New Roman" w:hAnsi="Book Antiqua" w:cs="Times New Roman"/>
          <w:color w:val="000000"/>
          <w:sz w:val="24"/>
          <w:szCs w:val="24"/>
          <w:lang w:eastAsia="es-CR"/>
        </w:rPr>
        <w:t xml:space="preserve"> a los Juzgados de Familia a nivel nacional, 2</w:t>
      </w:r>
      <w:r>
        <w:rPr>
          <w:rFonts w:ascii="Book Antiqua" w:eastAsia="Times New Roman" w:hAnsi="Book Antiqua" w:cs="Times New Roman"/>
          <w:color w:val="000000"/>
          <w:sz w:val="24"/>
          <w:szCs w:val="24"/>
          <w:lang w:eastAsia="es-CR"/>
        </w:rPr>
        <w:t xml:space="preserve"> </w:t>
      </w:r>
      <w:r w:rsidRPr="004D2823">
        <w:rPr>
          <w:rFonts w:ascii="Book Antiqua" w:eastAsia="Times New Roman" w:hAnsi="Book Antiqua" w:cs="Times New Roman"/>
          <w:color w:val="000000"/>
          <w:sz w:val="24"/>
          <w:szCs w:val="24"/>
          <w:lang w:eastAsia="es-CR"/>
        </w:rPr>
        <w:t xml:space="preserve">778 corresponden a </w:t>
      </w:r>
      <w:r w:rsidRPr="004D2823">
        <w:rPr>
          <w:rFonts w:ascii="Book Antiqua" w:eastAsia="Times New Roman" w:hAnsi="Book Antiqua" w:cs="Times New Roman"/>
          <w:b/>
          <w:bCs/>
          <w:color w:val="000000"/>
          <w:sz w:val="24"/>
          <w:szCs w:val="24"/>
          <w:lang w:eastAsia="es-CR"/>
        </w:rPr>
        <w:t>apelaciones de pensiones o fijaciones provisionales, que</w:t>
      </w:r>
      <w:r w:rsidRPr="004D2823">
        <w:rPr>
          <w:rFonts w:ascii="Book Antiqua" w:eastAsia="Times New Roman" w:hAnsi="Book Antiqua" w:cs="Times New Roman"/>
          <w:color w:val="000000"/>
          <w:sz w:val="24"/>
          <w:szCs w:val="24"/>
          <w:lang w:eastAsia="es-CR"/>
        </w:rPr>
        <w:t xml:space="preserve"> </w:t>
      </w:r>
      <w:r w:rsidRPr="004D2823">
        <w:rPr>
          <w:rFonts w:ascii="Book Antiqua" w:eastAsia="Times New Roman" w:hAnsi="Book Antiqua" w:cs="Times New Roman"/>
          <w:b/>
          <w:bCs/>
          <w:color w:val="000000"/>
          <w:sz w:val="24"/>
          <w:szCs w:val="24"/>
          <w:lang w:eastAsia="es-CR"/>
        </w:rPr>
        <w:t>representó un 44% del ingreso total</w:t>
      </w:r>
      <w:r w:rsidRPr="004D2823">
        <w:rPr>
          <w:rFonts w:ascii="Book Antiqua" w:eastAsia="Times New Roman" w:hAnsi="Book Antiqua" w:cs="Times New Roman"/>
          <w:color w:val="000000"/>
          <w:sz w:val="24"/>
          <w:szCs w:val="24"/>
          <w:lang w:eastAsia="es-CR"/>
        </w:rPr>
        <w:t xml:space="preserve"> en segunda instancia (abarca 2 tipos de apelaciones: contra la fijación provisional o por rechazo de la fijación provisional).</w:t>
      </w:r>
    </w:p>
    <w:p w14:paraId="3AF68B0C" w14:textId="6DED24B8" w:rsidR="004D2823" w:rsidRDefault="004D2823" w:rsidP="004D2823">
      <w:pPr>
        <w:shd w:val="clear" w:color="auto" w:fill="FFFFFF"/>
        <w:spacing w:before="120" w:after="120" w:line="276" w:lineRule="auto"/>
        <w:ind w:right="49"/>
        <w:jc w:val="both"/>
        <w:rPr>
          <w:rFonts w:ascii="Book Antiqua" w:eastAsia="Times New Roman" w:hAnsi="Book Antiqua" w:cs="Times New Roman"/>
          <w:color w:val="000000"/>
          <w:sz w:val="24"/>
          <w:szCs w:val="24"/>
          <w:lang w:eastAsia="es-CR"/>
        </w:rPr>
      </w:pPr>
      <w:r w:rsidRPr="004D2823">
        <w:rPr>
          <w:rFonts w:ascii="Book Antiqua" w:eastAsia="Times New Roman" w:hAnsi="Book Antiqua" w:cs="Times New Roman"/>
          <w:color w:val="000000"/>
          <w:sz w:val="24"/>
          <w:szCs w:val="24"/>
          <w:lang w:eastAsia="es-CR"/>
        </w:rPr>
        <w:t>De los 5</w:t>
      </w:r>
      <w:r>
        <w:rPr>
          <w:rFonts w:ascii="Book Antiqua" w:eastAsia="Times New Roman" w:hAnsi="Book Antiqua" w:cs="Times New Roman"/>
          <w:color w:val="000000"/>
          <w:sz w:val="24"/>
          <w:szCs w:val="24"/>
          <w:lang w:eastAsia="es-CR"/>
        </w:rPr>
        <w:t xml:space="preserve"> </w:t>
      </w:r>
      <w:r w:rsidRPr="004D2823">
        <w:rPr>
          <w:rFonts w:ascii="Book Antiqua" w:eastAsia="Times New Roman" w:hAnsi="Book Antiqua" w:cs="Times New Roman"/>
          <w:color w:val="000000"/>
          <w:sz w:val="24"/>
          <w:szCs w:val="24"/>
          <w:lang w:eastAsia="es-CR"/>
        </w:rPr>
        <w:t>631 recursos de apelación ingresados en 2022 a los Juzgados de Familia a nivel nacional, 2</w:t>
      </w:r>
      <w:r>
        <w:rPr>
          <w:rFonts w:ascii="Book Antiqua" w:eastAsia="Times New Roman" w:hAnsi="Book Antiqua" w:cs="Times New Roman"/>
          <w:color w:val="000000"/>
          <w:sz w:val="24"/>
          <w:szCs w:val="24"/>
          <w:lang w:eastAsia="es-CR"/>
        </w:rPr>
        <w:t xml:space="preserve"> </w:t>
      </w:r>
      <w:r w:rsidRPr="004D2823">
        <w:rPr>
          <w:rFonts w:ascii="Book Antiqua" w:eastAsia="Times New Roman" w:hAnsi="Book Antiqua" w:cs="Times New Roman"/>
          <w:color w:val="000000"/>
          <w:sz w:val="24"/>
          <w:szCs w:val="24"/>
          <w:lang w:eastAsia="es-CR"/>
        </w:rPr>
        <w:t xml:space="preserve">300 corresponden a </w:t>
      </w:r>
      <w:r w:rsidRPr="004D2823">
        <w:rPr>
          <w:rFonts w:ascii="Book Antiqua" w:eastAsia="Times New Roman" w:hAnsi="Book Antiqua" w:cs="Times New Roman"/>
          <w:b/>
          <w:bCs/>
          <w:color w:val="000000"/>
          <w:sz w:val="24"/>
          <w:szCs w:val="24"/>
          <w:lang w:eastAsia="es-CR"/>
        </w:rPr>
        <w:t>apelaciones de pensiones o fijaciones provisionales, que</w:t>
      </w:r>
      <w:r w:rsidRPr="004D2823">
        <w:rPr>
          <w:rFonts w:ascii="Book Antiqua" w:eastAsia="Times New Roman" w:hAnsi="Book Antiqua" w:cs="Times New Roman"/>
          <w:color w:val="000000"/>
          <w:sz w:val="24"/>
          <w:szCs w:val="24"/>
          <w:lang w:eastAsia="es-CR"/>
        </w:rPr>
        <w:t xml:space="preserve"> </w:t>
      </w:r>
      <w:r w:rsidRPr="004D2823">
        <w:rPr>
          <w:rFonts w:ascii="Book Antiqua" w:eastAsia="Times New Roman" w:hAnsi="Book Antiqua" w:cs="Times New Roman"/>
          <w:b/>
          <w:bCs/>
          <w:color w:val="000000"/>
          <w:sz w:val="24"/>
          <w:szCs w:val="24"/>
          <w:lang w:eastAsia="es-CR"/>
        </w:rPr>
        <w:t>representó un 41% del ingreso total</w:t>
      </w:r>
      <w:r w:rsidRPr="004D2823">
        <w:rPr>
          <w:rFonts w:ascii="Book Antiqua" w:eastAsia="Times New Roman" w:hAnsi="Book Antiqua" w:cs="Times New Roman"/>
          <w:color w:val="000000"/>
          <w:sz w:val="24"/>
          <w:szCs w:val="24"/>
          <w:lang w:eastAsia="es-CR"/>
        </w:rPr>
        <w:t xml:space="preserve"> en segunda instancia (abarca 2 tipos de apelaciones: contra la fijación provisional o por rechazo de la fijación provisional). El restante 59% (3</w:t>
      </w:r>
      <w:r>
        <w:rPr>
          <w:rFonts w:ascii="Book Antiqua" w:eastAsia="Times New Roman" w:hAnsi="Book Antiqua" w:cs="Times New Roman"/>
          <w:color w:val="000000"/>
          <w:sz w:val="24"/>
          <w:szCs w:val="24"/>
          <w:lang w:eastAsia="es-CR"/>
        </w:rPr>
        <w:t xml:space="preserve"> </w:t>
      </w:r>
      <w:r w:rsidRPr="004D2823">
        <w:rPr>
          <w:rFonts w:ascii="Book Antiqua" w:eastAsia="Times New Roman" w:hAnsi="Book Antiqua" w:cs="Times New Roman"/>
          <w:color w:val="000000"/>
          <w:sz w:val="24"/>
          <w:szCs w:val="24"/>
          <w:lang w:eastAsia="es-CR"/>
        </w:rPr>
        <w:t>331 casos) corresponde a apelaciones de otro tipo, como, por ejemplo, recursos contra la fijación definitiva de pensión, procesos de modificación de fallo, entre otros.</w:t>
      </w:r>
    </w:p>
    <w:p w14:paraId="59C2F65B" w14:textId="5EB81725" w:rsidR="004D2823" w:rsidRDefault="004D2823" w:rsidP="004D2823">
      <w:pPr>
        <w:shd w:val="clear" w:color="auto" w:fill="FFFFFF"/>
        <w:spacing w:before="120" w:after="120" w:line="276" w:lineRule="auto"/>
        <w:ind w:right="49"/>
        <w:jc w:val="both"/>
        <w:rPr>
          <w:rFonts w:ascii="Book Antiqua" w:eastAsia="Times New Roman" w:hAnsi="Book Antiqua" w:cs="Times New Roman"/>
          <w:color w:val="000000"/>
          <w:sz w:val="24"/>
          <w:szCs w:val="24"/>
          <w:lang w:eastAsia="es-CR"/>
        </w:rPr>
      </w:pPr>
      <w:r>
        <w:rPr>
          <w:rFonts w:ascii="Book Antiqua" w:eastAsia="Times New Roman" w:hAnsi="Book Antiqua" w:cs="Times New Roman"/>
          <w:color w:val="000000"/>
          <w:sz w:val="24"/>
          <w:szCs w:val="24"/>
          <w:lang w:eastAsia="es-CR"/>
        </w:rPr>
        <w:t xml:space="preserve">En el siguiente cuadro, se desglosa </w:t>
      </w:r>
      <w:r w:rsidR="003D6C15">
        <w:rPr>
          <w:rFonts w:ascii="Book Antiqua" w:eastAsia="Times New Roman" w:hAnsi="Book Antiqua" w:cs="Times New Roman"/>
          <w:color w:val="000000"/>
          <w:sz w:val="24"/>
          <w:szCs w:val="24"/>
          <w:lang w:eastAsia="es-CR"/>
        </w:rPr>
        <w:t xml:space="preserve">por Juzgado </w:t>
      </w:r>
      <w:r>
        <w:rPr>
          <w:rFonts w:ascii="Book Antiqua" w:eastAsia="Times New Roman" w:hAnsi="Book Antiqua" w:cs="Times New Roman"/>
          <w:color w:val="000000"/>
          <w:sz w:val="24"/>
          <w:szCs w:val="24"/>
          <w:lang w:eastAsia="es-CR"/>
        </w:rPr>
        <w:t xml:space="preserve">el detalle de los 2 300 </w:t>
      </w:r>
      <w:r w:rsidR="003D6C15">
        <w:rPr>
          <w:rFonts w:ascii="Book Antiqua" w:eastAsia="Times New Roman" w:hAnsi="Book Antiqua" w:cs="Times New Roman"/>
          <w:color w:val="000000"/>
          <w:sz w:val="24"/>
          <w:szCs w:val="24"/>
          <w:lang w:eastAsia="es-CR"/>
        </w:rPr>
        <w:t xml:space="preserve">casos ingresados, </w:t>
      </w:r>
      <w:r w:rsidR="003D6C15" w:rsidRPr="003D6C15">
        <w:rPr>
          <w:rFonts w:ascii="Book Antiqua" w:eastAsia="Times New Roman" w:hAnsi="Book Antiqua" w:cs="Times New Roman"/>
          <w:color w:val="000000"/>
          <w:sz w:val="24"/>
          <w:szCs w:val="24"/>
          <w:lang w:eastAsia="es-CR"/>
        </w:rPr>
        <w:t>los valores mostrados ilustran la cantidad de asuntos en los que perderían competencia cada oficina a partir de la entrada en vigencia del Código Procesal de Familia (CPF-se incluye el dato tanto anual como mensual); a partir del primero de octubre 2024 dada la vacancia de 2 años a la norma, recientemente aprobada por Ley 10315 denominada: “</w:t>
      </w:r>
      <w:r w:rsidR="003D6C15" w:rsidRPr="003D6C15">
        <w:rPr>
          <w:rFonts w:ascii="Book Antiqua" w:eastAsia="Times New Roman" w:hAnsi="Book Antiqua" w:cs="Times New Roman"/>
          <w:i/>
          <w:iCs/>
          <w:color w:val="000000"/>
          <w:sz w:val="24"/>
          <w:szCs w:val="24"/>
          <w:lang w:eastAsia="es-CR"/>
        </w:rPr>
        <w:t>Reforma de la entrada en vigencia de la Ley 9747, Código Procesal de Familia, de 23 de octubre de 2019</w:t>
      </w:r>
      <w:r w:rsidR="003D6C15" w:rsidRPr="003D6C15">
        <w:rPr>
          <w:rFonts w:ascii="Book Antiqua" w:eastAsia="Times New Roman" w:hAnsi="Book Antiqua" w:cs="Times New Roman"/>
          <w:color w:val="000000"/>
          <w:sz w:val="24"/>
          <w:szCs w:val="24"/>
          <w:lang w:eastAsia="es-CR"/>
        </w:rPr>
        <w:t>”:</w:t>
      </w:r>
    </w:p>
    <w:p w14:paraId="575CC646" w14:textId="77777777" w:rsidR="0041384A" w:rsidRPr="004D2823" w:rsidRDefault="0041384A" w:rsidP="004D2823">
      <w:pPr>
        <w:shd w:val="clear" w:color="auto" w:fill="FFFFFF"/>
        <w:spacing w:before="120" w:after="120" w:line="276" w:lineRule="auto"/>
        <w:ind w:right="49"/>
        <w:jc w:val="both"/>
        <w:rPr>
          <w:rFonts w:ascii="Book Antiqua" w:eastAsia="Times New Roman" w:hAnsi="Book Antiqua" w:cs="Times New Roman"/>
          <w:color w:val="000000"/>
          <w:sz w:val="24"/>
          <w:szCs w:val="24"/>
          <w:lang w:eastAsia="es-CR"/>
        </w:rPr>
      </w:pPr>
    </w:p>
    <w:p w14:paraId="35E3F298" w14:textId="77777777" w:rsidR="00B05BE6" w:rsidRDefault="00B05BE6" w:rsidP="00FD5AFF">
      <w:pPr>
        <w:spacing w:after="0" w:line="276" w:lineRule="auto"/>
        <w:jc w:val="both"/>
        <w:rPr>
          <w:rFonts w:ascii="Book Antiqua" w:eastAsia="Calibri" w:hAnsi="Book Antiqua" w:cs="Arial"/>
          <w:b/>
          <w:bCs/>
          <w:sz w:val="24"/>
          <w:szCs w:val="24"/>
        </w:rPr>
      </w:pPr>
    </w:p>
    <w:p w14:paraId="5320BA2E" w14:textId="7F243237" w:rsidR="00200D8B" w:rsidRPr="00EF146D" w:rsidRDefault="00200D8B"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29</w:t>
      </w:r>
      <w:r w:rsidRPr="00EF146D">
        <w:rPr>
          <w:rFonts w:ascii="Book Antiqua" w:eastAsia="Calibri" w:hAnsi="Book Antiqua" w:cs="Arial"/>
          <w:b/>
          <w:bCs/>
          <w:color w:val="1F497D"/>
          <w:szCs w:val="24"/>
          <w:lang w:val="es-ES" w:eastAsia="es-ES"/>
        </w:rPr>
        <w:fldChar w:fldCharType="end"/>
      </w:r>
      <w:r w:rsidRPr="00EF146D">
        <w:rPr>
          <w:rFonts w:ascii="Book Antiqua" w:eastAsia="Calibri" w:hAnsi="Book Antiqua" w:cs="Arial"/>
          <w:b/>
          <w:bCs/>
          <w:color w:val="1F497D"/>
          <w:szCs w:val="24"/>
          <w:lang w:val="es-ES" w:eastAsia="es-ES"/>
        </w:rPr>
        <w:t xml:space="preserve"> </w:t>
      </w:r>
    </w:p>
    <w:p w14:paraId="29934E14" w14:textId="164B05A6" w:rsidR="00200D8B" w:rsidRDefault="00200D8B" w:rsidP="003D6C15">
      <w:pPr>
        <w:keepNext/>
        <w:numPr>
          <w:ilvl w:val="12"/>
          <w:numId w:val="0"/>
        </w:numPr>
        <w:spacing w:after="0" w:line="240" w:lineRule="auto"/>
        <w:jc w:val="center"/>
        <w:rPr>
          <w:rFonts w:ascii="Book Antiqua" w:eastAsia="Calibri" w:hAnsi="Book Antiqua" w:cs="Arial"/>
          <w:b/>
          <w:bCs/>
          <w:i/>
          <w:iCs/>
          <w:color w:val="1F497D"/>
          <w:lang w:val="es-ES" w:eastAsia="es-ES"/>
        </w:rPr>
      </w:pPr>
      <w:r w:rsidRPr="00D970AF">
        <w:rPr>
          <w:rFonts w:ascii="Book Antiqua" w:eastAsia="Calibri" w:hAnsi="Book Antiqua" w:cs="Arial"/>
          <w:b/>
          <w:bCs/>
          <w:i/>
          <w:iCs/>
          <w:color w:val="1F497D"/>
          <w:lang w:val="es-ES" w:eastAsia="es-ES"/>
        </w:rPr>
        <w:t>Cantidad</w:t>
      </w:r>
      <w:r w:rsidR="003D6C15" w:rsidRPr="003D6C15">
        <w:rPr>
          <w:rFonts w:ascii="Book Antiqua" w:eastAsia="Calibri" w:hAnsi="Book Antiqua" w:cs="Arial"/>
          <w:b/>
          <w:bCs/>
          <w:i/>
          <w:iCs/>
          <w:color w:val="1F497D"/>
          <w:lang w:val="es-ES" w:eastAsia="es-ES"/>
        </w:rPr>
        <w:t xml:space="preserve"> de Apelaciones contra provisionales (fijaciones o rechazo de la</w:t>
      </w:r>
      <w:r w:rsidR="003D6C15">
        <w:rPr>
          <w:rFonts w:ascii="Book Antiqua" w:eastAsia="Calibri" w:hAnsi="Book Antiqua" w:cs="Arial"/>
          <w:b/>
          <w:bCs/>
          <w:i/>
          <w:iCs/>
          <w:color w:val="1F497D"/>
          <w:lang w:val="es-ES" w:eastAsia="es-ES"/>
        </w:rPr>
        <w:t xml:space="preserve"> </w:t>
      </w:r>
      <w:r w:rsidR="003D6C15" w:rsidRPr="003D6C15">
        <w:rPr>
          <w:rFonts w:ascii="Book Antiqua" w:eastAsia="Calibri" w:hAnsi="Book Antiqua" w:cs="Arial"/>
          <w:b/>
          <w:bCs/>
          <w:i/>
          <w:iCs/>
          <w:color w:val="1F497D"/>
          <w:lang w:val="es-ES" w:eastAsia="es-ES"/>
        </w:rPr>
        <w:t>fijación) ingresadas en los Juzgados con competencia en materia de Familia, 2022</w:t>
      </w:r>
    </w:p>
    <w:tbl>
      <w:tblPr>
        <w:tblW w:w="9869" w:type="dxa"/>
        <w:jc w:val="center"/>
        <w:tblLayout w:type="fixed"/>
        <w:tblCellMar>
          <w:left w:w="70" w:type="dxa"/>
          <w:right w:w="70" w:type="dxa"/>
        </w:tblCellMar>
        <w:tblLook w:val="04A0" w:firstRow="1" w:lastRow="0" w:firstColumn="1" w:lastColumn="0" w:noHBand="0" w:noVBand="1"/>
      </w:tblPr>
      <w:tblGrid>
        <w:gridCol w:w="6091"/>
        <w:gridCol w:w="1435"/>
        <w:gridCol w:w="2343"/>
      </w:tblGrid>
      <w:tr w:rsidR="003D6C15" w:rsidRPr="003D6C15" w14:paraId="632B883A" w14:textId="77777777" w:rsidTr="003D6C15">
        <w:trPr>
          <w:trHeight w:val="947"/>
          <w:jc w:val="center"/>
        </w:trPr>
        <w:tc>
          <w:tcPr>
            <w:tcW w:w="609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1F9DC8E" w14:textId="77777777" w:rsidR="003D6C15" w:rsidRPr="003D6C15" w:rsidRDefault="003D6C15" w:rsidP="003D6C15">
            <w:pPr>
              <w:spacing w:after="0" w:line="240" w:lineRule="auto"/>
              <w:jc w:val="center"/>
              <w:rPr>
                <w:rFonts w:ascii="Book Antiqua" w:eastAsia="Times New Roman" w:hAnsi="Book Antiqua" w:cs="Arial"/>
                <w:b/>
                <w:bCs/>
                <w:color w:val="FFFFFF"/>
                <w:sz w:val="16"/>
                <w:szCs w:val="16"/>
                <w:lang w:eastAsia="es-CR"/>
              </w:rPr>
            </w:pPr>
            <w:r w:rsidRPr="003D6C15">
              <w:rPr>
                <w:rFonts w:ascii="Book Antiqua" w:eastAsia="Times New Roman" w:hAnsi="Book Antiqua" w:cs="Arial"/>
                <w:b/>
                <w:bCs/>
                <w:color w:val="FFFFFF"/>
                <w:sz w:val="16"/>
                <w:szCs w:val="16"/>
                <w:lang w:eastAsia="es-CR"/>
              </w:rPr>
              <w:t>Juzgado</w:t>
            </w:r>
          </w:p>
        </w:tc>
        <w:tc>
          <w:tcPr>
            <w:tcW w:w="1435" w:type="dxa"/>
            <w:tcBorders>
              <w:top w:val="single" w:sz="4" w:space="0" w:color="auto"/>
              <w:left w:val="nil"/>
              <w:bottom w:val="single" w:sz="4" w:space="0" w:color="auto"/>
              <w:right w:val="single" w:sz="4" w:space="0" w:color="auto"/>
            </w:tcBorders>
            <w:shd w:val="clear" w:color="auto" w:fill="002060"/>
            <w:vAlign w:val="center"/>
            <w:hideMark/>
          </w:tcPr>
          <w:p w14:paraId="698ED4B4" w14:textId="77777777" w:rsidR="003D6C15" w:rsidRPr="003D6C15" w:rsidRDefault="003D6C15" w:rsidP="003D6C15">
            <w:pPr>
              <w:spacing w:after="0" w:line="240" w:lineRule="auto"/>
              <w:jc w:val="center"/>
              <w:rPr>
                <w:rFonts w:ascii="Book Antiqua" w:eastAsia="Times New Roman" w:hAnsi="Book Antiqua" w:cs="Arial"/>
                <w:b/>
                <w:bCs/>
                <w:color w:val="FFFFFF"/>
                <w:sz w:val="16"/>
                <w:szCs w:val="16"/>
                <w:lang w:eastAsia="es-CR"/>
              </w:rPr>
            </w:pPr>
            <w:r w:rsidRPr="003D6C15">
              <w:rPr>
                <w:rFonts w:ascii="Book Antiqua" w:eastAsia="Times New Roman" w:hAnsi="Book Antiqua" w:cs="Arial"/>
                <w:b/>
                <w:bCs/>
                <w:color w:val="FFFFFF"/>
                <w:sz w:val="16"/>
                <w:szCs w:val="16"/>
                <w:lang w:eastAsia="es-CR"/>
              </w:rPr>
              <w:t>Total de asuntos recibidos como segunda instancia de PA (anual)</w:t>
            </w:r>
          </w:p>
        </w:tc>
        <w:tc>
          <w:tcPr>
            <w:tcW w:w="2343" w:type="dxa"/>
            <w:tcBorders>
              <w:top w:val="single" w:sz="4" w:space="0" w:color="auto"/>
              <w:left w:val="nil"/>
              <w:bottom w:val="single" w:sz="4" w:space="0" w:color="auto"/>
              <w:right w:val="single" w:sz="4" w:space="0" w:color="auto"/>
            </w:tcBorders>
            <w:shd w:val="clear" w:color="auto" w:fill="002060"/>
            <w:vAlign w:val="center"/>
            <w:hideMark/>
          </w:tcPr>
          <w:p w14:paraId="2782E22C" w14:textId="77777777" w:rsidR="003D6C15" w:rsidRPr="003D6C15" w:rsidRDefault="003D6C15" w:rsidP="003D6C15">
            <w:pPr>
              <w:spacing w:after="0" w:line="240" w:lineRule="auto"/>
              <w:jc w:val="center"/>
              <w:rPr>
                <w:rFonts w:ascii="Book Antiqua" w:eastAsia="Times New Roman" w:hAnsi="Book Antiqua" w:cs="Arial"/>
                <w:b/>
                <w:bCs/>
                <w:color w:val="FFFFFF"/>
                <w:sz w:val="16"/>
                <w:szCs w:val="16"/>
                <w:lang w:eastAsia="es-CR"/>
              </w:rPr>
            </w:pPr>
            <w:r w:rsidRPr="003D6C15">
              <w:rPr>
                <w:rFonts w:ascii="Book Antiqua" w:eastAsia="Times New Roman" w:hAnsi="Book Antiqua" w:cs="Arial"/>
                <w:b/>
                <w:bCs/>
                <w:color w:val="FFFFFF"/>
                <w:sz w:val="16"/>
                <w:szCs w:val="16"/>
                <w:lang w:eastAsia="es-CR"/>
              </w:rPr>
              <w:t>Asuntos por apelaciones de provisionales en los que perderían competencia con el CPF  (anual)</w:t>
            </w:r>
          </w:p>
        </w:tc>
      </w:tr>
      <w:tr w:rsidR="003D6C15" w:rsidRPr="003D6C15" w14:paraId="09DAF940"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1815F589"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 Cartago</w:t>
            </w:r>
          </w:p>
        </w:tc>
        <w:tc>
          <w:tcPr>
            <w:tcW w:w="1435" w:type="dxa"/>
            <w:tcBorders>
              <w:top w:val="nil"/>
              <w:left w:val="nil"/>
              <w:bottom w:val="single" w:sz="4" w:space="0" w:color="auto"/>
              <w:right w:val="single" w:sz="4" w:space="0" w:color="auto"/>
            </w:tcBorders>
            <w:shd w:val="clear" w:color="auto" w:fill="auto"/>
            <w:noWrap/>
            <w:vAlign w:val="bottom"/>
            <w:hideMark/>
          </w:tcPr>
          <w:p w14:paraId="1D7941CB"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592</w:t>
            </w:r>
          </w:p>
        </w:tc>
        <w:tc>
          <w:tcPr>
            <w:tcW w:w="2343" w:type="dxa"/>
            <w:tcBorders>
              <w:top w:val="nil"/>
              <w:left w:val="nil"/>
              <w:bottom w:val="single" w:sz="4" w:space="0" w:color="auto"/>
              <w:right w:val="single" w:sz="4" w:space="0" w:color="auto"/>
            </w:tcBorders>
            <w:shd w:val="clear" w:color="auto" w:fill="auto"/>
            <w:noWrap/>
            <w:vAlign w:val="bottom"/>
            <w:hideMark/>
          </w:tcPr>
          <w:p w14:paraId="4FDDC4FD"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310</w:t>
            </w:r>
          </w:p>
        </w:tc>
      </w:tr>
      <w:tr w:rsidR="003D6C15" w:rsidRPr="003D6C15" w14:paraId="2257A5D4"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3098CFD6"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Del II Circuito Judicial De San José</w:t>
            </w:r>
          </w:p>
        </w:tc>
        <w:tc>
          <w:tcPr>
            <w:tcW w:w="1435" w:type="dxa"/>
            <w:tcBorders>
              <w:top w:val="nil"/>
              <w:left w:val="nil"/>
              <w:bottom w:val="single" w:sz="4" w:space="0" w:color="auto"/>
              <w:right w:val="single" w:sz="4" w:space="0" w:color="auto"/>
            </w:tcBorders>
            <w:shd w:val="clear" w:color="auto" w:fill="auto"/>
            <w:noWrap/>
            <w:vAlign w:val="bottom"/>
            <w:hideMark/>
          </w:tcPr>
          <w:p w14:paraId="716A186F"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587</w:t>
            </w:r>
          </w:p>
        </w:tc>
        <w:tc>
          <w:tcPr>
            <w:tcW w:w="2343" w:type="dxa"/>
            <w:tcBorders>
              <w:top w:val="nil"/>
              <w:left w:val="nil"/>
              <w:bottom w:val="single" w:sz="4" w:space="0" w:color="auto"/>
              <w:right w:val="single" w:sz="4" w:space="0" w:color="auto"/>
            </w:tcBorders>
            <w:shd w:val="clear" w:color="auto" w:fill="auto"/>
            <w:noWrap/>
            <w:vAlign w:val="bottom"/>
            <w:hideMark/>
          </w:tcPr>
          <w:p w14:paraId="0E385669"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w:t>
            </w:r>
          </w:p>
        </w:tc>
      </w:tr>
      <w:tr w:rsidR="003D6C15" w:rsidRPr="003D6C15" w14:paraId="2ACC8822"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17818BE3"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 Heredia</w:t>
            </w:r>
          </w:p>
        </w:tc>
        <w:tc>
          <w:tcPr>
            <w:tcW w:w="1435" w:type="dxa"/>
            <w:tcBorders>
              <w:top w:val="nil"/>
              <w:left w:val="nil"/>
              <w:bottom w:val="single" w:sz="4" w:space="0" w:color="auto"/>
              <w:right w:val="single" w:sz="4" w:space="0" w:color="auto"/>
            </w:tcBorders>
            <w:shd w:val="clear" w:color="auto" w:fill="auto"/>
            <w:noWrap/>
            <w:vAlign w:val="bottom"/>
            <w:hideMark/>
          </w:tcPr>
          <w:p w14:paraId="5FE03D15"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574</w:t>
            </w:r>
          </w:p>
        </w:tc>
        <w:tc>
          <w:tcPr>
            <w:tcW w:w="2343" w:type="dxa"/>
            <w:tcBorders>
              <w:top w:val="nil"/>
              <w:left w:val="nil"/>
              <w:bottom w:val="single" w:sz="4" w:space="0" w:color="auto"/>
              <w:right w:val="single" w:sz="4" w:space="0" w:color="auto"/>
            </w:tcBorders>
            <w:shd w:val="clear" w:color="auto" w:fill="auto"/>
            <w:noWrap/>
            <w:vAlign w:val="bottom"/>
            <w:hideMark/>
          </w:tcPr>
          <w:p w14:paraId="3894429E"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198</w:t>
            </w:r>
          </w:p>
        </w:tc>
      </w:tr>
      <w:tr w:rsidR="003D6C15" w:rsidRPr="003D6C15" w14:paraId="3936C272"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038F46F0"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Del I Circuito Judicial De Alajuela</w:t>
            </w:r>
          </w:p>
        </w:tc>
        <w:tc>
          <w:tcPr>
            <w:tcW w:w="1435" w:type="dxa"/>
            <w:tcBorders>
              <w:top w:val="nil"/>
              <w:left w:val="nil"/>
              <w:bottom w:val="single" w:sz="4" w:space="0" w:color="auto"/>
              <w:right w:val="single" w:sz="4" w:space="0" w:color="auto"/>
            </w:tcBorders>
            <w:shd w:val="clear" w:color="auto" w:fill="auto"/>
            <w:noWrap/>
            <w:vAlign w:val="bottom"/>
            <w:hideMark/>
          </w:tcPr>
          <w:p w14:paraId="2AA11CB6"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384</w:t>
            </w:r>
          </w:p>
        </w:tc>
        <w:tc>
          <w:tcPr>
            <w:tcW w:w="2343" w:type="dxa"/>
            <w:tcBorders>
              <w:top w:val="nil"/>
              <w:left w:val="nil"/>
              <w:bottom w:val="single" w:sz="4" w:space="0" w:color="auto"/>
              <w:right w:val="single" w:sz="4" w:space="0" w:color="auto"/>
            </w:tcBorders>
            <w:shd w:val="clear" w:color="auto" w:fill="auto"/>
            <w:noWrap/>
            <w:vAlign w:val="bottom"/>
            <w:hideMark/>
          </w:tcPr>
          <w:p w14:paraId="01D73C73"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180</w:t>
            </w:r>
          </w:p>
        </w:tc>
      </w:tr>
      <w:tr w:rsidR="003D6C15" w:rsidRPr="003D6C15" w14:paraId="36BC15B2"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04CE71E0"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Del I Circuito Judicial De La Zona Atlántica</w:t>
            </w:r>
          </w:p>
        </w:tc>
        <w:tc>
          <w:tcPr>
            <w:tcW w:w="1435" w:type="dxa"/>
            <w:tcBorders>
              <w:top w:val="nil"/>
              <w:left w:val="nil"/>
              <w:bottom w:val="single" w:sz="4" w:space="0" w:color="auto"/>
              <w:right w:val="single" w:sz="4" w:space="0" w:color="auto"/>
            </w:tcBorders>
            <w:shd w:val="clear" w:color="auto" w:fill="auto"/>
            <w:noWrap/>
            <w:vAlign w:val="bottom"/>
            <w:hideMark/>
          </w:tcPr>
          <w:p w14:paraId="7EF35C6A"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365</w:t>
            </w:r>
          </w:p>
        </w:tc>
        <w:tc>
          <w:tcPr>
            <w:tcW w:w="2343" w:type="dxa"/>
            <w:tcBorders>
              <w:top w:val="nil"/>
              <w:left w:val="nil"/>
              <w:bottom w:val="single" w:sz="4" w:space="0" w:color="auto"/>
              <w:right w:val="single" w:sz="4" w:space="0" w:color="auto"/>
            </w:tcBorders>
            <w:shd w:val="clear" w:color="auto" w:fill="auto"/>
            <w:noWrap/>
            <w:vAlign w:val="bottom"/>
            <w:hideMark/>
          </w:tcPr>
          <w:p w14:paraId="592D37A2"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235</w:t>
            </w:r>
          </w:p>
        </w:tc>
      </w:tr>
      <w:tr w:rsidR="003D6C15" w:rsidRPr="003D6C15" w14:paraId="5367D3AE"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68993151"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Del II Circuito Judicial De La Zona Atlántica</w:t>
            </w:r>
          </w:p>
        </w:tc>
        <w:tc>
          <w:tcPr>
            <w:tcW w:w="1435" w:type="dxa"/>
            <w:tcBorders>
              <w:top w:val="nil"/>
              <w:left w:val="nil"/>
              <w:bottom w:val="single" w:sz="4" w:space="0" w:color="auto"/>
              <w:right w:val="single" w:sz="4" w:space="0" w:color="auto"/>
            </w:tcBorders>
            <w:shd w:val="clear" w:color="auto" w:fill="auto"/>
            <w:noWrap/>
            <w:vAlign w:val="bottom"/>
            <w:hideMark/>
          </w:tcPr>
          <w:p w14:paraId="5805E098"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288</w:t>
            </w:r>
          </w:p>
        </w:tc>
        <w:tc>
          <w:tcPr>
            <w:tcW w:w="2343" w:type="dxa"/>
            <w:tcBorders>
              <w:top w:val="nil"/>
              <w:left w:val="nil"/>
              <w:bottom w:val="single" w:sz="4" w:space="0" w:color="auto"/>
              <w:right w:val="single" w:sz="4" w:space="0" w:color="auto"/>
            </w:tcBorders>
            <w:shd w:val="clear" w:color="auto" w:fill="auto"/>
            <w:noWrap/>
            <w:vAlign w:val="bottom"/>
            <w:hideMark/>
          </w:tcPr>
          <w:p w14:paraId="7485FDD5"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15</w:t>
            </w:r>
          </w:p>
        </w:tc>
      </w:tr>
      <w:tr w:rsidR="003D6C15" w:rsidRPr="003D6C15" w14:paraId="0783071F"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130AB6D"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Familia Del III Circuito Judicial De San José (Desamparados)</w:t>
            </w:r>
          </w:p>
        </w:tc>
        <w:tc>
          <w:tcPr>
            <w:tcW w:w="1435" w:type="dxa"/>
            <w:tcBorders>
              <w:top w:val="nil"/>
              <w:left w:val="nil"/>
              <w:bottom w:val="single" w:sz="4" w:space="0" w:color="auto"/>
              <w:right w:val="single" w:sz="4" w:space="0" w:color="auto"/>
            </w:tcBorders>
            <w:shd w:val="clear" w:color="auto" w:fill="auto"/>
            <w:noWrap/>
            <w:vAlign w:val="bottom"/>
            <w:hideMark/>
          </w:tcPr>
          <w:p w14:paraId="532D600B"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273</w:t>
            </w:r>
          </w:p>
        </w:tc>
        <w:tc>
          <w:tcPr>
            <w:tcW w:w="2343" w:type="dxa"/>
            <w:tcBorders>
              <w:top w:val="nil"/>
              <w:left w:val="nil"/>
              <w:bottom w:val="single" w:sz="4" w:space="0" w:color="auto"/>
              <w:right w:val="single" w:sz="4" w:space="0" w:color="auto"/>
            </w:tcBorders>
            <w:shd w:val="clear" w:color="auto" w:fill="auto"/>
            <w:noWrap/>
            <w:vAlign w:val="bottom"/>
            <w:hideMark/>
          </w:tcPr>
          <w:p w14:paraId="0ECA71F9"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156</w:t>
            </w:r>
          </w:p>
        </w:tc>
      </w:tr>
      <w:tr w:rsidR="003D6C15" w:rsidRPr="003D6C15" w14:paraId="1737157C"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48B4E370"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 Puntarenas</w:t>
            </w:r>
          </w:p>
        </w:tc>
        <w:tc>
          <w:tcPr>
            <w:tcW w:w="1435" w:type="dxa"/>
            <w:tcBorders>
              <w:top w:val="nil"/>
              <w:left w:val="nil"/>
              <w:bottom w:val="single" w:sz="4" w:space="0" w:color="auto"/>
              <w:right w:val="single" w:sz="4" w:space="0" w:color="auto"/>
            </w:tcBorders>
            <w:shd w:val="clear" w:color="auto" w:fill="auto"/>
            <w:noWrap/>
            <w:vAlign w:val="bottom"/>
            <w:hideMark/>
          </w:tcPr>
          <w:p w14:paraId="5E861BD9"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240</w:t>
            </w:r>
          </w:p>
        </w:tc>
        <w:tc>
          <w:tcPr>
            <w:tcW w:w="2343" w:type="dxa"/>
            <w:tcBorders>
              <w:top w:val="nil"/>
              <w:left w:val="nil"/>
              <w:bottom w:val="single" w:sz="4" w:space="0" w:color="auto"/>
              <w:right w:val="single" w:sz="4" w:space="0" w:color="auto"/>
            </w:tcBorders>
            <w:shd w:val="clear" w:color="auto" w:fill="auto"/>
            <w:noWrap/>
            <w:vAlign w:val="bottom"/>
            <w:hideMark/>
          </w:tcPr>
          <w:p w14:paraId="59E73DB4"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116</w:t>
            </w:r>
          </w:p>
        </w:tc>
      </w:tr>
      <w:tr w:rsidR="003D6C15" w:rsidRPr="003D6C15" w14:paraId="1A4F7B38"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373FE986"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Primero De Familia De San José</w:t>
            </w:r>
          </w:p>
        </w:tc>
        <w:tc>
          <w:tcPr>
            <w:tcW w:w="1435" w:type="dxa"/>
            <w:tcBorders>
              <w:top w:val="nil"/>
              <w:left w:val="nil"/>
              <w:bottom w:val="single" w:sz="4" w:space="0" w:color="auto"/>
              <w:right w:val="single" w:sz="4" w:space="0" w:color="auto"/>
            </w:tcBorders>
            <w:shd w:val="clear" w:color="auto" w:fill="auto"/>
            <w:noWrap/>
            <w:vAlign w:val="bottom"/>
            <w:hideMark/>
          </w:tcPr>
          <w:p w14:paraId="29EE8B5A"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216</w:t>
            </w:r>
          </w:p>
        </w:tc>
        <w:tc>
          <w:tcPr>
            <w:tcW w:w="2343" w:type="dxa"/>
            <w:tcBorders>
              <w:top w:val="nil"/>
              <w:left w:val="nil"/>
              <w:bottom w:val="single" w:sz="4" w:space="0" w:color="auto"/>
              <w:right w:val="single" w:sz="4" w:space="0" w:color="auto"/>
            </w:tcBorders>
            <w:shd w:val="clear" w:color="auto" w:fill="auto"/>
            <w:noWrap/>
            <w:vAlign w:val="bottom"/>
            <w:hideMark/>
          </w:tcPr>
          <w:p w14:paraId="3F64D516"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84</w:t>
            </w:r>
          </w:p>
        </w:tc>
      </w:tr>
      <w:tr w:rsidR="003D6C15" w:rsidRPr="003D6C15" w14:paraId="54446F23"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7636DF18"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Segundo De Familia De San José</w:t>
            </w:r>
          </w:p>
        </w:tc>
        <w:tc>
          <w:tcPr>
            <w:tcW w:w="1435" w:type="dxa"/>
            <w:tcBorders>
              <w:top w:val="nil"/>
              <w:left w:val="nil"/>
              <w:bottom w:val="single" w:sz="4" w:space="0" w:color="auto"/>
              <w:right w:val="single" w:sz="4" w:space="0" w:color="auto"/>
            </w:tcBorders>
            <w:shd w:val="clear" w:color="auto" w:fill="auto"/>
            <w:noWrap/>
            <w:vAlign w:val="bottom"/>
            <w:hideMark/>
          </w:tcPr>
          <w:p w14:paraId="32198E0F"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202</w:t>
            </w:r>
          </w:p>
        </w:tc>
        <w:tc>
          <w:tcPr>
            <w:tcW w:w="2343" w:type="dxa"/>
            <w:tcBorders>
              <w:top w:val="nil"/>
              <w:left w:val="nil"/>
              <w:bottom w:val="single" w:sz="4" w:space="0" w:color="auto"/>
              <w:right w:val="single" w:sz="4" w:space="0" w:color="auto"/>
            </w:tcBorders>
            <w:shd w:val="clear" w:color="auto" w:fill="auto"/>
            <w:noWrap/>
            <w:vAlign w:val="bottom"/>
            <w:hideMark/>
          </w:tcPr>
          <w:p w14:paraId="196BB67C"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77</w:t>
            </w:r>
          </w:p>
        </w:tc>
      </w:tr>
      <w:tr w:rsidR="003D6C15" w:rsidRPr="003D6C15" w14:paraId="0F6CAB89"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6068857A"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De Trabajo Y Familia De Hatillo, San Sebastián Y Alajuelita </w:t>
            </w:r>
          </w:p>
        </w:tc>
        <w:tc>
          <w:tcPr>
            <w:tcW w:w="1435" w:type="dxa"/>
            <w:tcBorders>
              <w:top w:val="nil"/>
              <w:left w:val="nil"/>
              <w:bottom w:val="single" w:sz="4" w:space="0" w:color="auto"/>
              <w:right w:val="single" w:sz="4" w:space="0" w:color="auto"/>
            </w:tcBorders>
            <w:shd w:val="clear" w:color="auto" w:fill="auto"/>
            <w:noWrap/>
            <w:vAlign w:val="bottom"/>
            <w:hideMark/>
          </w:tcPr>
          <w:p w14:paraId="24D58B83"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181</w:t>
            </w:r>
          </w:p>
        </w:tc>
        <w:tc>
          <w:tcPr>
            <w:tcW w:w="2343" w:type="dxa"/>
            <w:tcBorders>
              <w:top w:val="nil"/>
              <w:left w:val="nil"/>
              <w:bottom w:val="single" w:sz="4" w:space="0" w:color="auto"/>
              <w:right w:val="single" w:sz="4" w:space="0" w:color="auto"/>
            </w:tcBorders>
            <w:shd w:val="clear" w:color="auto" w:fill="auto"/>
            <w:noWrap/>
            <w:vAlign w:val="bottom"/>
            <w:hideMark/>
          </w:tcPr>
          <w:p w14:paraId="2F55F389"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82</w:t>
            </w:r>
          </w:p>
        </w:tc>
      </w:tr>
      <w:tr w:rsidR="003D6C15" w:rsidRPr="003D6C15" w14:paraId="73E18972"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6FD554D"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Del I Circuito Judicial De La Zona Sur (Pérez Zeledón)</w:t>
            </w:r>
          </w:p>
        </w:tc>
        <w:tc>
          <w:tcPr>
            <w:tcW w:w="1435" w:type="dxa"/>
            <w:tcBorders>
              <w:top w:val="nil"/>
              <w:left w:val="nil"/>
              <w:bottom w:val="single" w:sz="4" w:space="0" w:color="auto"/>
              <w:right w:val="single" w:sz="4" w:space="0" w:color="auto"/>
            </w:tcBorders>
            <w:shd w:val="clear" w:color="auto" w:fill="auto"/>
            <w:noWrap/>
            <w:vAlign w:val="bottom"/>
            <w:hideMark/>
          </w:tcPr>
          <w:p w14:paraId="4FBE3D18"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174</w:t>
            </w:r>
          </w:p>
        </w:tc>
        <w:tc>
          <w:tcPr>
            <w:tcW w:w="2343" w:type="dxa"/>
            <w:tcBorders>
              <w:top w:val="nil"/>
              <w:left w:val="nil"/>
              <w:bottom w:val="single" w:sz="4" w:space="0" w:color="auto"/>
              <w:right w:val="single" w:sz="4" w:space="0" w:color="auto"/>
            </w:tcBorders>
            <w:shd w:val="clear" w:color="auto" w:fill="auto"/>
            <w:noWrap/>
            <w:vAlign w:val="bottom"/>
            <w:hideMark/>
          </w:tcPr>
          <w:p w14:paraId="503A9E8E"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87</w:t>
            </w:r>
          </w:p>
        </w:tc>
      </w:tr>
      <w:tr w:rsidR="003D6C15" w:rsidRPr="003D6C15" w14:paraId="764DDA89"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2E62CEC7"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De Familia Y Violencia Doméstica Del I Circuito Judicial De Guanacaste (Liberia) </w:t>
            </w:r>
          </w:p>
        </w:tc>
        <w:tc>
          <w:tcPr>
            <w:tcW w:w="1435" w:type="dxa"/>
            <w:tcBorders>
              <w:top w:val="nil"/>
              <w:left w:val="nil"/>
              <w:bottom w:val="single" w:sz="4" w:space="0" w:color="auto"/>
              <w:right w:val="single" w:sz="4" w:space="0" w:color="auto"/>
            </w:tcBorders>
            <w:shd w:val="clear" w:color="auto" w:fill="auto"/>
            <w:noWrap/>
            <w:vAlign w:val="bottom"/>
            <w:hideMark/>
          </w:tcPr>
          <w:p w14:paraId="1FA38595"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161</w:t>
            </w:r>
          </w:p>
        </w:tc>
        <w:tc>
          <w:tcPr>
            <w:tcW w:w="2343" w:type="dxa"/>
            <w:tcBorders>
              <w:top w:val="nil"/>
              <w:left w:val="nil"/>
              <w:bottom w:val="single" w:sz="4" w:space="0" w:color="auto"/>
              <w:right w:val="single" w:sz="4" w:space="0" w:color="auto"/>
            </w:tcBorders>
            <w:shd w:val="clear" w:color="auto" w:fill="auto"/>
            <w:noWrap/>
            <w:vAlign w:val="bottom"/>
            <w:hideMark/>
          </w:tcPr>
          <w:p w14:paraId="5F485E13"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93</w:t>
            </w:r>
          </w:p>
        </w:tc>
      </w:tr>
      <w:tr w:rsidR="003D6C15" w:rsidRPr="003D6C15" w14:paraId="4A77B89A"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23C5BF98"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De Familia Y Violencia Doméstica Del III Circuito Judicial De Alajuela (San Ramón) </w:t>
            </w:r>
          </w:p>
        </w:tc>
        <w:tc>
          <w:tcPr>
            <w:tcW w:w="1435" w:type="dxa"/>
            <w:tcBorders>
              <w:top w:val="nil"/>
              <w:left w:val="nil"/>
              <w:bottom w:val="single" w:sz="4" w:space="0" w:color="auto"/>
              <w:right w:val="single" w:sz="4" w:space="0" w:color="auto"/>
            </w:tcBorders>
            <w:shd w:val="clear" w:color="auto" w:fill="auto"/>
            <w:noWrap/>
            <w:vAlign w:val="bottom"/>
            <w:hideMark/>
          </w:tcPr>
          <w:p w14:paraId="7453ED94"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160</w:t>
            </w:r>
          </w:p>
        </w:tc>
        <w:tc>
          <w:tcPr>
            <w:tcW w:w="2343" w:type="dxa"/>
            <w:tcBorders>
              <w:top w:val="nil"/>
              <w:left w:val="nil"/>
              <w:bottom w:val="single" w:sz="4" w:space="0" w:color="auto"/>
              <w:right w:val="single" w:sz="4" w:space="0" w:color="auto"/>
            </w:tcBorders>
            <w:shd w:val="clear" w:color="auto" w:fill="auto"/>
            <w:noWrap/>
            <w:vAlign w:val="bottom"/>
            <w:hideMark/>
          </w:tcPr>
          <w:p w14:paraId="52CE2BEB"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80</w:t>
            </w:r>
          </w:p>
        </w:tc>
      </w:tr>
      <w:tr w:rsidR="003D6C15" w:rsidRPr="003D6C15" w14:paraId="2C11FE0F"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6DF1CACD"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De Familia Del II Circuito Judicial De Alajuela</w:t>
            </w:r>
          </w:p>
        </w:tc>
        <w:tc>
          <w:tcPr>
            <w:tcW w:w="1435" w:type="dxa"/>
            <w:tcBorders>
              <w:top w:val="nil"/>
              <w:left w:val="nil"/>
              <w:bottom w:val="single" w:sz="4" w:space="0" w:color="auto"/>
              <w:right w:val="single" w:sz="4" w:space="0" w:color="auto"/>
            </w:tcBorders>
            <w:shd w:val="clear" w:color="auto" w:fill="auto"/>
            <w:noWrap/>
            <w:vAlign w:val="bottom"/>
            <w:hideMark/>
          </w:tcPr>
          <w:p w14:paraId="6FFE1906"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147</w:t>
            </w:r>
          </w:p>
        </w:tc>
        <w:tc>
          <w:tcPr>
            <w:tcW w:w="2343" w:type="dxa"/>
            <w:tcBorders>
              <w:top w:val="nil"/>
              <w:left w:val="nil"/>
              <w:bottom w:val="single" w:sz="4" w:space="0" w:color="auto"/>
              <w:right w:val="single" w:sz="4" w:space="0" w:color="auto"/>
            </w:tcBorders>
            <w:shd w:val="clear" w:color="auto" w:fill="auto"/>
            <w:noWrap/>
            <w:vAlign w:val="bottom"/>
            <w:hideMark/>
          </w:tcPr>
          <w:p w14:paraId="0212F372"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100</w:t>
            </w:r>
          </w:p>
        </w:tc>
      </w:tr>
      <w:tr w:rsidR="003D6C15" w:rsidRPr="003D6C15" w14:paraId="42E0C674"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494C4E48"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Civil, Trabajo Y Familia De Puriscal </w:t>
            </w:r>
          </w:p>
        </w:tc>
        <w:tc>
          <w:tcPr>
            <w:tcW w:w="1435" w:type="dxa"/>
            <w:tcBorders>
              <w:top w:val="nil"/>
              <w:left w:val="nil"/>
              <w:bottom w:val="single" w:sz="4" w:space="0" w:color="auto"/>
              <w:right w:val="single" w:sz="4" w:space="0" w:color="auto"/>
            </w:tcBorders>
            <w:shd w:val="clear" w:color="auto" w:fill="auto"/>
            <w:noWrap/>
            <w:vAlign w:val="bottom"/>
            <w:hideMark/>
          </w:tcPr>
          <w:p w14:paraId="0F63FFEB"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136</w:t>
            </w:r>
          </w:p>
        </w:tc>
        <w:tc>
          <w:tcPr>
            <w:tcW w:w="2343" w:type="dxa"/>
            <w:tcBorders>
              <w:top w:val="nil"/>
              <w:left w:val="nil"/>
              <w:bottom w:val="single" w:sz="4" w:space="0" w:color="auto"/>
              <w:right w:val="single" w:sz="4" w:space="0" w:color="auto"/>
            </w:tcBorders>
            <w:shd w:val="clear" w:color="auto" w:fill="auto"/>
            <w:noWrap/>
            <w:vAlign w:val="bottom"/>
            <w:hideMark/>
          </w:tcPr>
          <w:p w14:paraId="0A5D9318"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74</w:t>
            </w:r>
          </w:p>
        </w:tc>
      </w:tr>
      <w:tr w:rsidR="003D6C15" w:rsidRPr="003D6C15" w14:paraId="7897EE59"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442A1599"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De Familia Y Violencia Doméstica Del II Circuito Judicial De La Zona Sur (Corredores) </w:t>
            </w:r>
          </w:p>
        </w:tc>
        <w:tc>
          <w:tcPr>
            <w:tcW w:w="1435" w:type="dxa"/>
            <w:tcBorders>
              <w:top w:val="nil"/>
              <w:left w:val="nil"/>
              <w:bottom w:val="single" w:sz="4" w:space="0" w:color="auto"/>
              <w:right w:val="single" w:sz="4" w:space="0" w:color="auto"/>
            </w:tcBorders>
            <w:shd w:val="clear" w:color="auto" w:fill="auto"/>
            <w:noWrap/>
            <w:vAlign w:val="bottom"/>
            <w:hideMark/>
          </w:tcPr>
          <w:p w14:paraId="1D8B7709"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131</w:t>
            </w:r>
          </w:p>
        </w:tc>
        <w:tc>
          <w:tcPr>
            <w:tcW w:w="2343" w:type="dxa"/>
            <w:tcBorders>
              <w:top w:val="nil"/>
              <w:left w:val="nil"/>
              <w:bottom w:val="single" w:sz="4" w:space="0" w:color="auto"/>
              <w:right w:val="single" w:sz="4" w:space="0" w:color="auto"/>
            </w:tcBorders>
            <w:shd w:val="clear" w:color="auto" w:fill="auto"/>
            <w:noWrap/>
            <w:vAlign w:val="bottom"/>
            <w:hideMark/>
          </w:tcPr>
          <w:p w14:paraId="0A624FB1"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5</w:t>
            </w:r>
          </w:p>
        </w:tc>
      </w:tr>
      <w:tr w:rsidR="003D6C15" w:rsidRPr="003D6C15" w14:paraId="527BA2AC"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779FBD3F"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Familia Y Violencia Doméstica De Santa Cruz</w:t>
            </w:r>
          </w:p>
        </w:tc>
        <w:tc>
          <w:tcPr>
            <w:tcW w:w="1435" w:type="dxa"/>
            <w:tcBorders>
              <w:top w:val="nil"/>
              <w:left w:val="nil"/>
              <w:bottom w:val="single" w:sz="4" w:space="0" w:color="auto"/>
              <w:right w:val="single" w:sz="4" w:space="0" w:color="auto"/>
            </w:tcBorders>
            <w:shd w:val="clear" w:color="auto" w:fill="auto"/>
            <w:noWrap/>
            <w:vAlign w:val="bottom"/>
            <w:hideMark/>
          </w:tcPr>
          <w:p w14:paraId="462C0FE6"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128</w:t>
            </w:r>
          </w:p>
        </w:tc>
        <w:tc>
          <w:tcPr>
            <w:tcW w:w="2343" w:type="dxa"/>
            <w:tcBorders>
              <w:top w:val="nil"/>
              <w:left w:val="nil"/>
              <w:bottom w:val="single" w:sz="4" w:space="0" w:color="auto"/>
              <w:right w:val="single" w:sz="4" w:space="0" w:color="auto"/>
            </w:tcBorders>
            <w:shd w:val="clear" w:color="auto" w:fill="auto"/>
            <w:noWrap/>
            <w:vAlign w:val="bottom"/>
            <w:hideMark/>
          </w:tcPr>
          <w:p w14:paraId="236AC7B1"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67</w:t>
            </w:r>
          </w:p>
        </w:tc>
      </w:tr>
      <w:tr w:rsidR="003D6C15" w:rsidRPr="003D6C15" w14:paraId="22A77265"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6C1C845D"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Familia, Penal Juvenil Y Violencia Doméstica De Turrialba </w:t>
            </w:r>
          </w:p>
        </w:tc>
        <w:tc>
          <w:tcPr>
            <w:tcW w:w="1435" w:type="dxa"/>
            <w:tcBorders>
              <w:top w:val="nil"/>
              <w:left w:val="nil"/>
              <w:bottom w:val="single" w:sz="4" w:space="0" w:color="auto"/>
              <w:right w:val="single" w:sz="4" w:space="0" w:color="auto"/>
            </w:tcBorders>
            <w:shd w:val="clear" w:color="auto" w:fill="auto"/>
            <w:noWrap/>
            <w:vAlign w:val="bottom"/>
            <w:hideMark/>
          </w:tcPr>
          <w:p w14:paraId="1D0EC27F"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116</w:t>
            </w:r>
          </w:p>
        </w:tc>
        <w:tc>
          <w:tcPr>
            <w:tcW w:w="2343" w:type="dxa"/>
            <w:tcBorders>
              <w:top w:val="nil"/>
              <w:left w:val="nil"/>
              <w:bottom w:val="single" w:sz="4" w:space="0" w:color="auto"/>
              <w:right w:val="single" w:sz="4" w:space="0" w:color="auto"/>
            </w:tcBorders>
            <w:shd w:val="clear" w:color="auto" w:fill="auto"/>
            <w:noWrap/>
            <w:vAlign w:val="bottom"/>
            <w:hideMark/>
          </w:tcPr>
          <w:p w14:paraId="5A484C64"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80</w:t>
            </w:r>
          </w:p>
        </w:tc>
      </w:tr>
      <w:tr w:rsidR="003D6C15" w:rsidRPr="003D6C15" w14:paraId="40BA56FC"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0CDC4CE9"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De Familia, Penal Juvenil Y Violencia Doméstica De Cañas </w:t>
            </w:r>
          </w:p>
        </w:tc>
        <w:tc>
          <w:tcPr>
            <w:tcW w:w="1435" w:type="dxa"/>
            <w:tcBorders>
              <w:top w:val="nil"/>
              <w:left w:val="nil"/>
              <w:bottom w:val="single" w:sz="4" w:space="0" w:color="auto"/>
              <w:right w:val="single" w:sz="4" w:space="0" w:color="auto"/>
            </w:tcBorders>
            <w:shd w:val="clear" w:color="auto" w:fill="auto"/>
            <w:noWrap/>
            <w:vAlign w:val="bottom"/>
            <w:hideMark/>
          </w:tcPr>
          <w:p w14:paraId="7A7F2D4E"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106</w:t>
            </w:r>
          </w:p>
        </w:tc>
        <w:tc>
          <w:tcPr>
            <w:tcW w:w="2343" w:type="dxa"/>
            <w:tcBorders>
              <w:top w:val="nil"/>
              <w:left w:val="nil"/>
              <w:bottom w:val="single" w:sz="4" w:space="0" w:color="auto"/>
              <w:right w:val="single" w:sz="4" w:space="0" w:color="auto"/>
            </w:tcBorders>
            <w:shd w:val="clear" w:color="auto" w:fill="auto"/>
            <w:noWrap/>
            <w:vAlign w:val="bottom"/>
            <w:hideMark/>
          </w:tcPr>
          <w:p w14:paraId="7BF9FF0C"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0</w:t>
            </w:r>
          </w:p>
        </w:tc>
      </w:tr>
      <w:tr w:rsidR="003D6C15" w:rsidRPr="003D6C15" w14:paraId="3AA4B26F"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47A7E37A"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De Familia Y Violencia Doméstica Del II Circuito Judicial De Guanacaste (Nicoya) </w:t>
            </w:r>
          </w:p>
        </w:tc>
        <w:tc>
          <w:tcPr>
            <w:tcW w:w="1435" w:type="dxa"/>
            <w:tcBorders>
              <w:top w:val="nil"/>
              <w:left w:val="nil"/>
              <w:bottom w:val="single" w:sz="4" w:space="0" w:color="auto"/>
              <w:right w:val="single" w:sz="4" w:space="0" w:color="auto"/>
            </w:tcBorders>
            <w:shd w:val="clear" w:color="auto" w:fill="auto"/>
            <w:noWrap/>
            <w:vAlign w:val="bottom"/>
            <w:hideMark/>
          </w:tcPr>
          <w:p w14:paraId="0ECEA8AC"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98</w:t>
            </w:r>
          </w:p>
        </w:tc>
        <w:tc>
          <w:tcPr>
            <w:tcW w:w="2343" w:type="dxa"/>
            <w:tcBorders>
              <w:top w:val="nil"/>
              <w:left w:val="nil"/>
              <w:bottom w:val="single" w:sz="4" w:space="0" w:color="auto"/>
              <w:right w:val="single" w:sz="4" w:space="0" w:color="auto"/>
            </w:tcBorders>
            <w:shd w:val="clear" w:color="auto" w:fill="auto"/>
            <w:noWrap/>
            <w:vAlign w:val="bottom"/>
            <w:hideMark/>
          </w:tcPr>
          <w:p w14:paraId="292990CC"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w:t>
            </w:r>
          </w:p>
        </w:tc>
      </w:tr>
      <w:tr w:rsidR="003D6C15" w:rsidRPr="003D6C15" w14:paraId="3E85AD39"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5B5E1B5F"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Civil, Trabajo Y Familia De Osa </w:t>
            </w:r>
          </w:p>
        </w:tc>
        <w:tc>
          <w:tcPr>
            <w:tcW w:w="1435" w:type="dxa"/>
            <w:tcBorders>
              <w:top w:val="nil"/>
              <w:left w:val="nil"/>
              <w:bottom w:val="single" w:sz="4" w:space="0" w:color="auto"/>
              <w:right w:val="single" w:sz="4" w:space="0" w:color="auto"/>
            </w:tcBorders>
            <w:shd w:val="clear" w:color="auto" w:fill="auto"/>
            <w:noWrap/>
            <w:vAlign w:val="bottom"/>
            <w:hideMark/>
          </w:tcPr>
          <w:p w14:paraId="444CFD8D"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97</w:t>
            </w:r>
          </w:p>
        </w:tc>
        <w:tc>
          <w:tcPr>
            <w:tcW w:w="2343" w:type="dxa"/>
            <w:tcBorders>
              <w:top w:val="nil"/>
              <w:left w:val="nil"/>
              <w:bottom w:val="single" w:sz="4" w:space="0" w:color="auto"/>
              <w:right w:val="single" w:sz="4" w:space="0" w:color="auto"/>
            </w:tcBorders>
            <w:shd w:val="clear" w:color="auto" w:fill="auto"/>
            <w:noWrap/>
            <w:vAlign w:val="bottom"/>
            <w:hideMark/>
          </w:tcPr>
          <w:p w14:paraId="58A7F598"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97</w:t>
            </w:r>
          </w:p>
        </w:tc>
      </w:tr>
      <w:tr w:rsidR="003D6C15" w:rsidRPr="003D6C15" w14:paraId="7C9EFFFF"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295337DA"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Civil, Trabajo, Familia, Penal Juvenil Y Violencia Doméstica De Sarapiquí </w:t>
            </w:r>
          </w:p>
        </w:tc>
        <w:tc>
          <w:tcPr>
            <w:tcW w:w="1435" w:type="dxa"/>
            <w:tcBorders>
              <w:top w:val="nil"/>
              <w:left w:val="nil"/>
              <w:bottom w:val="single" w:sz="4" w:space="0" w:color="auto"/>
              <w:right w:val="single" w:sz="4" w:space="0" w:color="auto"/>
            </w:tcBorders>
            <w:shd w:val="clear" w:color="auto" w:fill="auto"/>
            <w:noWrap/>
            <w:vAlign w:val="bottom"/>
            <w:hideMark/>
          </w:tcPr>
          <w:p w14:paraId="78927F5B"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78</w:t>
            </w:r>
          </w:p>
        </w:tc>
        <w:tc>
          <w:tcPr>
            <w:tcW w:w="2343" w:type="dxa"/>
            <w:tcBorders>
              <w:top w:val="nil"/>
              <w:left w:val="nil"/>
              <w:bottom w:val="single" w:sz="4" w:space="0" w:color="auto"/>
              <w:right w:val="single" w:sz="4" w:space="0" w:color="auto"/>
            </w:tcBorders>
            <w:shd w:val="clear" w:color="auto" w:fill="auto"/>
            <w:noWrap/>
            <w:vAlign w:val="bottom"/>
            <w:hideMark/>
          </w:tcPr>
          <w:p w14:paraId="272CCC1B"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27</w:t>
            </w:r>
          </w:p>
        </w:tc>
      </w:tr>
      <w:tr w:rsidR="003D6C15" w:rsidRPr="003D6C15" w14:paraId="5DBECEF9"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7ACFD1D2"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Civil Y Trabajo Del II Circuito Judicial De Alajuela, Sede Upala </w:t>
            </w:r>
          </w:p>
        </w:tc>
        <w:tc>
          <w:tcPr>
            <w:tcW w:w="1435" w:type="dxa"/>
            <w:tcBorders>
              <w:top w:val="nil"/>
              <w:left w:val="nil"/>
              <w:bottom w:val="single" w:sz="4" w:space="0" w:color="auto"/>
              <w:right w:val="single" w:sz="4" w:space="0" w:color="auto"/>
            </w:tcBorders>
            <w:shd w:val="clear" w:color="auto" w:fill="auto"/>
            <w:noWrap/>
            <w:vAlign w:val="bottom"/>
            <w:hideMark/>
          </w:tcPr>
          <w:p w14:paraId="11B14C9E"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66</w:t>
            </w:r>
          </w:p>
        </w:tc>
        <w:tc>
          <w:tcPr>
            <w:tcW w:w="2343" w:type="dxa"/>
            <w:tcBorders>
              <w:top w:val="nil"/>
              <w:left w:val="nil"/>
              <w:bottom w:val="single" w:sz="4" w:space="0" w:color="auto"/>
              <w:right w:val="single" w:sz="4" w:space="0" w:color="auto"/>
            </w:tcBorders>
            <w:shd w:val="clear" w:color="auto" w:fill="auto"/>
            <w:noWrap/>
            <w:vAlign w:val="bottom"/>
            <w:hideMark/>
          </w:tcPr>
          <w:p w14:paraId="59D50F75"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45</w:t>
            </w:r>
          </w:p>
        </w:tc>
      </w:tr>
      <w:tr w:rsidR="003D6C15" w:rsidRPr="003D6C15" w14:paraId="548F612D"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7C170DA1"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Familia, Penal Juvenil Y Violencia Doméstica De Quepos </w:t>
            </w:r>
          </w:p>
        </w:tc>
        <w:tc>
          <w:tcPr>
            <w:tcW w:w="1435" w:type="dxa"/>
            <w:tcBorders>
              <w:top w:val="nil"/>
              <w:left w:val="nil"/>
              <w:bottom w:val="single" w:sz="4" w:space="0" w:color="auto"/>
              <w:right w:val="single" w:sz="4" w:space="0" w:color="auto"/>
            </w:tcBorders>
            <w:shd w:val="clear" w:color="auto" w:fill="auto"/>
            <w:noWrap/>
            <w:vAlign w:val="bottom"/>
            <w:hideMark/>
          </w:tcPr>
          <w:p w14:paraId="1B72DE44"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48</w:t>
            </w:r>
          </w:p>
        </w:tc>
        <w:tc>
          <w:tcPr>
            <w:tcW w:w="2343" w:type="dxa"/>
            <w:tcBorders>
              <w:top w:val="nil"/>
              <w:left w:val="nil"/>
              <w:bottom w:val="single" w:sz="4" w:space="0" w:color="auto"/>
              <w:right w:val="single" w:sz="4" w:space="0" w:color="auto"/>
            </w:tcBorders>
            <w:shd w:val="clear" w:color="auto" w:fill="auto"/>
            <w:noWrap/>
            <w:vAlign w:val="bottom"/>
            <w:hideMark/>
          </w:tcPr>
          <w:p w14:paraId="20C58516"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28</w:t>
            </w:r>
          </w:p>
        </w:tc>
      </w:tr>
      <w:tr w:rsidR="003D6C15" w:rsidRPr="003D6C15" w14:paraId="23D0E408"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1B8FE06E"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 xml:space="preserve">Juzgado De Familia Y Violencia Doméstica De Golfito </w:t>
            </w:r>
          </w:p>
        </w:tc>
        <w:tc>
          <w:tcPr>
            <w:tcW w:w="1435" w:type="dxa"/>
            <w:tcBorders>
              <w:top w:val="nil"/>
              <w:left w:val="nil"/>
              <w:bottom w:val="single" w:sz="4" w:space="0" w:color="auto"/>
              <w:right w:val="single" w:sz="4" w:space="0" w:color="auto"/>
            </w:tcBorders>
            <w:shd w:val="clear" w:color="auto" w:fill="auto"/>
            <w:noWrap/>
            <w:vAlign w:val="bottom"/>
            <w:hideMark/>
          </w:tcPr>
          <w:p w14:paraId="79A190B5"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44</w:t>
            </w:r>
          </w:p>
        </w:tc>
        <w:tc>
          <w:tcPr>
            <w:tcW w:w="2343" w:type="dxa"/>
            <w:tcBorders>
              <w:top w:val="nil"/>
              <w:left w:val="nil"/>
              <w:bottom w:val="single" w:sz="4" w:space="0" w:color="auto"/>
              <w:right w:val="single" w:sz="4" w:space="0" w:color="auto"/>
            </w:tcBorders>
            <w:shd w:val="clear" w:color="auto" w:fill="auto"/>
            <w:noWrap/>
            <w:vAlign w:val="bottom"/>
            <w:hideMark/>
          </w:tcPr>
          <w:p w14:paraId="46396B29"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31</w:t>
            </w:r>
          </w:p>
        </w:tc>
      </w:tr>
      <w:tr w:rsidR="003D6C15" w:rsidRPr="003D6C15" w14:paraId="4956A42D" w14:textId="77777777" w:rsidTr="003D6C15">
        <w:trPr>
          <w:trHeight w:val="330"/>
          <w:jc w:val="center"/>
        </w:trPr>
        <w:tc>
          <w:tcPr>
            <w:tcW w:w="6091" w:type="dxa"/>
            <w:tcBorders>
              <w:top w:val="nil"/>
              <w:left w:val="single" w:sz="4" w:space="0" w:color="auto"/>
              <w:bottom w:val="single" w:sz="4" w:space="0" w:color="auto"/>
              <w:right w:val="single" w:sz="4" w:space="0" w:color="auto"/>
            </w:tcBorders>
            <w:shd w:val="clear" w:color="auto" w:fill="auto"/>
            <w:noWrap/>
            <w:vAlign w:val="bottom"/>
            <w:hideMark/>
          </w:tcPr>
          <w:p w14:paraId="1FC8BC1C" w14:textId="77777777" w:rsidR="003D6C15" w:rsidRPr="003D6C15" w:rsidRDefault="003D6C15" w:rsidP="003D6C15">
            <w:pPr>
              <w:spacing w:after="0" w:line="240" w:lineRule="auto"/>
              <w:jc w:val="both"/>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Juzgado Civil, Trabajo Y Familia De Buenos Aires</w:t>
            </w:r>
          </w:p>
        </w:tc>
        <w:tc>
          <w:tcPr>
            <w:tcW w:w="1435" w:type="dxa"/>
            <w:tcBorders>
              <w:top w:val="nil"/>
              <w:left w:val="nil"/>
              <w:bottom w:val="single" w:sz="4" w:space="0" w:color="auto"/>
              <w:right w:val="single" w:sz="4" w:space="0" w:color="auto"/>
            </w:tcBorders>
            <w:shd w:val="clear" w:color="auto" w:fill="auto"/>
            <w:noWrap/>
            <w:vAlign w:val="bottom"/>
            <w:hideMark/>
          </w:tcPr>
          <w:p w14:paraId="72E5304C"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39</w:t>
            </w:r>
          </w:p>
        </w:tc>
        <w:tc>
          <w:tcPr>
            <w:tcW w:w="2343" w:type="dxa"/>
            <w:tcBorders>
              <w:top w:val="nil"/>
              <w:left w:val="nil"/>
              <w:bottom w:val="single" w:sz="4" w:space="0" w:color="auto"/>
              <w:right w:val="single" w:sz="4" w:space="0" w:color="auto"/>
            </w:tcBorders>
            <w:shd w:val="clear" w:color="auto" w:fill="auto"/>
            <w:noWrap/>
            <w:vAlign w:val="bottom"/>
            <w:hideMark/>
          </w:tcPr>
          <w:p w14:paraId="5D7AC14E" w14:textId="77777777" w:rsidR="003D6C15" w:rsidRPr="003D6C15" w:rsidRDefault="003D6C15" w:rsidP="003D6C15">
            <w:pPr>
              <w:spacing w:after="0" w:line="240" w:lineRule="auto"/>
              <w:jc w:val="center"/>
              <w:rPr>
                <w:rFonts w:ascii="Book Antiqua" w:eastAsia="Times New Roman" w:hAnsi="Book Antiqua" w:cs="Arial"/>
                <w:color w:val="000000"/>
                <w:sz w:val="20"/>
                <w:szCs w:val="20"/>
                <w:lang w:eastAsia="es-CR"/>
              </w:rPr>
            </w:pPr>
            <w:r w:rsidRPr="003D6C15">
              <w:rPr>
                <w:rFonts w:ascii="Book Antiqua" w:eastAsia="Times New Roman" w:hAnsi="Book Antiqua" w:cs="Arial"/>
                <w:color w:val="000000"/>
                <w:sz w:val="20"/>
                <w:szCs w:val="20"/>
                <w:lang w:eastAsia="es-CR"/>
              </w:rPr>
              <w:t>30</w:t>
            </w:r>
          </w:p>
        </w:tc>
      </w:tr>
      <w:tr w:rsidR="003D6C15" w:rsidRPr="003D6C15" w14:paraId="08543EAE" w14:textId="77777777" w:rsidTr="003D6C15">
        <w:trPr>
          <w:trHeight w:val="300"/>
          <w:jc w:val="center"/>
        </w:trPr>
        <w:tc>
          <w:tcPr>
            <w:tcW w:w="6091" w:type="dxa"/>
            <w:tcBorders>
              <w:top w:val="nil"/>
              <w:left w:val="single" w:sz="4" w:space="0" w:color="auto"/>
              <w:bottom w:val="single" w:sz="4" w:space="0" w:color="auto"/>
              <w:right w:val="single" w:sz="4" w:space="0" w:color="auto"/>
            </w:tcBorders>
            <w:shd w:val="clear" w:color="000000" w:fill="BDD7EE"/>
            <w:noWrap/>
            <w:vAlign w:val="bottom"/>
            <w:hideMark/>
          </w:tcPr>
          <w:p w14:paraId="1BE54032" w14:textId="77777777" w:rsidR="003D6C15" w:rsidRPr="003D6C15" w:rsidRDefault="003D6C15" w:rsidP="003D6C15">
            <w:pPr>
              <w:spacing w:after="0" w:line="240" w:lineRule="auto"/>
              <w:rPr>
                <w:rFonts w:ascii="Book Antiqua" w:eastAsia="Times New Roman" w:hAnsi="Book Antiqua" w:cs="Arial"/>
                <w:b/>
                <w:bCs/>
                <w:color w:val="000000"/>
                <w:sz w:val="20"/>
                <w:szCs w:val="20"/>
                <w:lang w:eastAsia="es-CR"/>
              </w:rPr>
            </w:pPr>
            <w:r w:rsidRPr="003D6C15">
              <w:rPr>
                <w:rFonts w:ascii="Book Antiqua" w:eastAsia="Times New Roman" w:hAnsi="Book Antiqua" w:cs="Arial"/>
                <w:b/>
                <w:bCs/>
                <w:color w:val="000000"/>
                <w:sz w:val="20"/>
                <w:szCs w:val="20"/>
                <w:lang w:eastAsia="es-CR"/>
              </w:rPr>
              <w:t>Total general</w:t>
            </w:r>
          </w:p>
        </w:tc>
        <w:tc>
          <w:tcPr>
            <w:tcW w:w="1435" w:type="dxa"/>
            <w:tcBorders>
              <w:top w:val="nil"/>
              <w:left w:val="nil"/>
              <w:bottom w:val="single" w:sz="4" w:space="0" w:color="auto"/>
              <w:right w:val="single" w:sz="4" w:space="0" w:color="auto"/>
            </w:tcBorders>
            <w:shd w:val="clear" w:color="000000" w:fill="BDD7EE"/>
            <w:noWrap/>
            <w:vAlign w:val="bottom"/>
            <w:hideMark/>
          </w:tcPr>
          <w:p w14:paraId="44DC7C94" w14:textId="77777777" w:rsidR="003D6C15" w:rsidRPr="003D6C15" w:rsidRDefault="003D6C15" w:rsidP="003D6C15">
            <w:pPr>
              <w:spacing w:after="0" w:line="240" w:lineRule="auto"/>
              <w:jc w:val="center"/>
              <w:rPr>
                <w:rFonts w:ascii="Book Antiqua" w:eastAsia="Times New Roman" w:hAnsi="Book Antiqua" w:cs="Arial"/>
                <w:b/>
                <w:bCs/>
                <w:color w:val="000000"/>
                <w:sz w:val="20"/>
                <w:szCs w:val="20"/>
                <w:lang w:eastAsia="es-CR"/>
              </w:rPr>
            </w:pPr>
            <w:r w:rsidRPr="003D6C15">
              <w:rPr>
                <w:rFonts w:ascii="Book Antiqua" w:eastAsia="Times New Roman" w:hAnsi="Book Antiqua" w:cs="Arial"/>
                <w:b/>
                <w:bCs/>
                <w:color w:val="000000"/>
                <w:sz w:val="20"/>
                <w:szCs w:val="20"/>
                <w:lang w:eastAsia="es-CR"/>
              </w:rPr>
              <w:t>5631</w:t>
            </w:r>
          </w:p>
        </w:tc>
        <w:tc>
          <w:tcPr>
            <w:tcW w:w="2343" w:type="dxa"/>
            <w:tcBorders>
              <w:top w:val="nil"/>
              <w:left w:val="nil"/>
              <w:bottom w:val="single" w:sz="4" w:space="0" w:color="auto"/>
              <w:right w:val="single" w:sz="4" w:space="0" w:color="auto"/>
            </w:tcBorders>
            <w:shd w:val="clear" w:color="000000" w:fill="BDD7EE"/>
            <w:noWrap/>
            <w:vAlign w:val="bottom"/>
            <w:hideMark/>
          </w:tcPr>
          <w:p w14:paraId="59A41F5E" w14:textId="77777777" w:rsidR="003D6C15" w:rsidRPr="003D6C15" w:rsidRDefault="003D6C15" w:rsidP="003D6C15">
            <w:pPr>
              <w:spacing w:after="0" w:line="240" w:lineRule="auto"/>
              <w:jc w:val="center"/>
              <w:rPr>
                <w:rFonts w:ascii="Book Antiqua" w:eastAsia="Times New Roman" w:hAnsi="Book Antiqua" w:cs="Arial"/>
                <w:b/>
                <w:bCs/>
                <w:color w:val="000000"/>
                <w:sz w:val="20"/>
                <w:szCs w:val="20"/>
                <w:lang w:eastAsia="es-CR"/>
              </w:rPr>
            </w:pPr>
            <w:r w:rsidRPr="003D6C15">
              <w:rPr>
                <w:rFonts w:ascii="Book Antiqua" w:eastAsia="Times New Roman" w:hAnsi="Book Antiqua" w:cs="Arial"/>
                <w:b/>
                <w:bCs/>
                <w:color w:val="000000"/>
                <w:sz w:val="20"/>
                <w:szCs w:val="20"/>
                <w:lang w:eastAsia="es-CR"/>
              </w:rPr>
              <w:t>2300</w:t>
            </w:r>
          </w:p>
        </w:tc>
      </w:tr>
    </w:tbl>
    <w:p w14:paraId="6DB688B6" w14:textId="126798C7" w:rsidR="00200D8B" w:rsidRDefault="0029474E" w:rsidP="003D6C15">
      <w:pPr>
        <w:spacing w:after="0" w:line="240" w:lineRule="auto"/>
        <w:jc w:val="both"/>
        <w:rPr>
          <w:rFonts w:ascii="Book Antiqua" w:eastAsia="Calibri" w:hAnsi="Book Antiqua" w:cs="Arial"/>
          <w:i/>
          <w:iCs/>
        </w:rPr>
      </w:pPr>
      <w:r w:rsidRPr="00F53EAA">
        <w:rPr>
          <w:rFonts w:ascii="Book Antiqua" w:eastAsia="Calibri" w:hAnsi="Book Antiqua" w:cs="Arial"/>
          <w:b/>
          <w:bCs/>
          <w:i/>
          <w:iCs/>
        </w:rPr>
        <w:t>Fuente:</w:t>
      </w:r>
      <w:r w:rsidRPr="00D970AF">
        <w:rPr>
          <w:rFonts w:ascii="Book Antiqua" w:eastAsia="Calibri" w:hAnsi="Book Antiqua" w:cs="Arial"/>
          <w:i/>
          <w:iCs/>
        </w:rPr>
        <w:t xml:space="preserve"> </w:t>
      </w:r>
      <w:r w:rsidR="003D6C15">
        <w:rPr>
          <w:rFonts w:ascii="Book Antiqua" w:eastAsia="Calibri" w:hAnsi="Book Antiqua" w:cs="Arial"/>
          <w:i/>
          <w:iCs/>
          <w:sz w:val="20"/>
          <w:szCs w:val="20"/>
        </w:rPr>
        <w:t xml:space="preserve">Subproceso de </w:t>
      </w:r>
      <w:r w:rsidR="003D6C15" w:rsidRPr="00AA6DF1">
        <w:rPr>
          <w:rFonts w:ascii="Book Antiqua" w:eastAsia="Calibri" w:hAnsi="Book Antiqua" w:cs="Arial"/>
          <w:i/>
          <w:iCs/>
          <w:sz w:val="20"/>
          <w:szCs w:val="20"/>
        </w:rPr>
        <w:t xml:space="preserve">Modernización Institucional </w:t>
      </w:r>
      <w:r w:rsidR="003D6C15">
        <w:rPr>
          <w:rFonts w:ascii="Book Antiqua" w:eastAsia="Calibri" w:hAnsi="Book Antiqua" w:cs="Arial"/>
          <w:i/>
          <w:iCs/>
          <w:sz w:val="20"/>
          <w:szCs w:val="20"/>
        </w:rPr>
        <w:t>con</w:t>
      </w:r>
      <w:r w:rsidR="003D6C15" w:rsidRPr="00AA6DF1">
        <w:rPr>
          <w:rFonts w:ascii="Book Antiqua" w:eastAsia="Calibri" w:hAnsi="Book Antiqua" w:cs="Arial"/>
          <w:i/>
          <w:iCs/>
          <w:sz w:val="20"/>
          <w:szCs w:val="20"/>
        </w:rPr>
        <w:t xml:space="preserve"> datos de</w:t>
      </w:r>
      <w:r w:rsidR="003D6C15">
        <w:rPr>
          <w:rFonts w:ascii="Book Antiqua" w:eastAsia="Calibri" w:hAnsi="Book Antiqua" w:cs="Arial"/>
          <w:i/>
          <w:iCs/>
          <w:sz w:val="20"/>
          <w:szCs w:val="20"/>
        </w:rPr>
        <w:t>l informe preliminar “</w:t>
      </w:r>
      <w:r w:rsidR="003D6C15" w:rsidRPr="008F1971">
        <w:rPr>
          <w:rFonts w:ascii="Book Antiqua" w:eastAsia="Calibri" w:hAnsi="Book Antiqua" w:cs="Arial"/>
          <w:i/>
          <w:iCs/>
          <w:sz w:val="20"/>
          <w:szCs w:val="20"/>
        </w:rPr>
        <w:t>Análisis de modificación de la competencia actual del Juzgado Primero de Familia para limitarlo al conocimiento de una clase de proceso (segunda instancia en Pensiones Alimentarias) a nivel nacional</w:t>
      </w:r>
      <w:r w:rsidR="003D6C15">
        <w:rPr>
          <w:rFonts w:ascii="Book Antiqua" w:eastAsia="Calibri" w:hAnsi="Book Antiqua" w:cs="Arial"/>
          <w:i/>
          <w:iCs/>
          <w:sz w:val="20"/>
          <w:szCs w:val="20"/>
        </w:rPr>
        <w:t>”</w:t>
      </w:r>
      <w:r w:rsidR="003D6C15" w:rsidRPr="00AA6DF1">
        <w:rPr>
          <w:rFonts w:ascii="Book Antiqua" w:eastAsia="Calibri" w:hAnsi="Book Antiqua" w:cs="Arial"/>
          <w:i/>
          <w:iCs/>
          <w:sz w:val="20"/>
          <w:szCs w:val="20"/>
        </w:rPr>
        <w:t>.</w:t>
      </w:r>
    </w:p>
    <w:p w14:paraId="5EC5FCC9" w14:textId="25FFA1A2" w:rsidR="003D6C15" w:rsidRDefault="003D6C15" w:rsidP="00D970AF">
      <w:pPr>
        <w:spacing w:line="276" w:lineRule="auto"/>
        <w:ind w:left="567" w:right="616"/>
        <w:jc w:val="both"/>
        <w:rPr>
          <w:rFonts w:ascii="Book Antiqua" w:eastAsia="Calibri" w:hAnsi="Book Antiqua" w:cs="Arial"/>
          <w:i/>
          <w:iCs/>
        </w:rPr>
      </w:pPr>
    </w:p>
    <w:p w14:paraId="6DAD7028" w14:textId="04620E88" w:rsidR="00886FBD" w:rsidRPr="00886FBD" w:rsidRDefault="00886FBD" w:rsidP="00886FBD">
      <w:pPr>
        <w:shd w:val="clear" w:color="auto" w:fill="FFFFFF"/>
        <w:spacing w:before="120" w:after="120" w:line="276" w:lineRule="auto"/>
        <w:ind w:right="49"/>
        <w:jc w:val="both"/>
        <w:rPr>
          <w:rFonts w:ascii="Book Antiqua" w:eastAsia="Times New Roman" w:hAnsi="Book Antiqua" w:cs="Times New Roman"/>
          <w:color w:val="000000"/>
          <w:sz w:val="24"/>
          <w:szCs w:val="24"/>
          <w:lang w:eastAsia="es-CR"/>
        </w:rPr>
      </w:pPr>
      <w:r w:rsidRPr="00886FBD">
        <w:rPr>
          <w:rFonts w:ascii="Book Antiqua" w:eastAsia="Times New Roman" w:hAnsi="Book Antiqua" w:cs="Times New Roman"/>
          <w:color w:val="000000"/>
          <w:sz w:val="24"/>
          <w:szCs w:val="24"/>
          <w:lang w:eastAsia="es-CR"/>
        </w:rPr>
        <w:t>Considerando lo anterior, siendo que el ingreso anual total en 2022 fue de 5</w:t>
      </w:r>
      <w:r w:rsidR="00EB07EC">
        <w:rPr>
          <w:rFonts w:ascii="Book Antiqua" w:eastAsia="Times New Roman" w:hAnsi="Book Antiqua" w:cs="Times New Roman"/>
          <w:color w:val="000000"/>
          <w:sz w:val="24"/>
          <w:szCs w:val="24"/>
          <w:lang w:eastAsia="es-CR"/>
        </w:rPr>
        <w:t xml:space="preserve"> </w:t>
      </w:r>
      <w:r w:rsidRPr="00886FBD">
        <w:rPr>
          <w:rFonts w:ascii="Book Antiqua" w:eastAsia="Times New Roman" w:hAnsi="Book Antiqua" w:cs="Times New Roman"/>
          <w:color w:val="000000"/>
          <w:sz w:val="24"/>
          <w:szCs w:val="24"/>
          <w:lang w:eastAsia="es-CR"/>
        </w:rPr>
        <w:t>631 recursos. De crearse a partir de 2023 un Juzgado especializado, se toma como proyección de la entrada esos 5</w:t>
      </w:r>
      <w:r w:rsidR="00EB07EC">
        <w:rPr>
          <w:rFonts w:ascii="Book Antiqua" w:eastAsia="Times New Roman" w:hAnsi="Book Antiqua" w:cs="Times New Roman"/>
          <w:color w:val="000000"/>
          <w:sz w:val="24"/>
          <w:szCs w:val="24"/>
          <w:lang w:eastAsia="es-CR"/>
        </w:rPr>
        <w:t xml:space="preserve"> </w:t>
      </w:r>
      <w:r w:rsidRPr="00886FBD">
        <w:rPr>
          <w:rFonts w:ascii="Book Antiqua" w:eastAsia="Times New Roman" w:hAnsi="Book Antiqua" w:cs="Times New Roman"/>
          <w:color w:val="000000"/>
          <w:sz w:val="24"/>
          <w:szCs w:val="24"/>
          <w:lang w:eastAsia="es-CR"/>
        </w:rPr>
        <w:t xml:space="preserve">631 recursos, </w:t>
      </w:r>
      <w:r w:rsidRPr="00886FBD">
        <w:rPr>
          <w:rFonts w:ascii="Book Antiqua" w:eastAsia="Times New Roman" w:hAnsi="Book Antiqua" w:cs="Times New Roman"/>
          <w:b/>
          <w:bCs/>
          <w:color w:val="000000"/>
          <w:sz w:val="24"/>
          <w:szCs w:val="24"/>
          <w:lang w:eastAsia="es-CR"/>
        </w:rPr>
        <w:t>lo que representaría 500 recursos por mes</w:t>
      </w:r>
      <w:r w:rsidRPr="00886FBD">
        <w:rPr>
          <w:rFonts w:ascii="Book Antiqua" w:eastAsia="Times New Roman" w:hAnsi="Book Antiqua" w:cs="Times New Roman"/>
          <w:color w:val="000000"/>
          <w:sz w:val="24"/>
          <w:szCs w:val="24"/>
          <w:lang w:eastAsia="es-CR"/>
        </w:rPr>
        <w:t xml:space="preserve">.  </w:t>
      </w:r>
    </w:p>
    <w:p w14:paraId="31B4AB70" w14:textId="33525AA3" w:rsidR="00886FBD" w:rsidRPr="00886FBD" w:rsidRDefault="00886FBD" w:rsidP="00886FBD">
      <w:pPr>
        <w:shd w:val="clear" w:color="auto" w:fill="FFFFFF"/>
        <w:spacing w:before="120" w:after="120" w:line="276" w:lineRule="auto"/>
        <w:ind w:right="49"/>
        <w:jc w:val="both"/>
        <w:rPr>
          <w:rFonts w:ascii="Book Antiqua" w:eastAsia="Times New Roman" w:hAnsi="Book Antiqua" w:cs="Times New Roman"/>
          <w:b/>
          <w:bCs/>
          <w:color w:val="000000"/>
          <w:sz w:val="24"/>
          <w:szCs w:val="24"/>
          <w:u w:val="single"/>
          <w:lang w:eastAsia="es-CR"/>
        </w:rPr>
      </w:pPr>
      <w:r w:rsidRPr="00886FBD">
        <w:rPr>
          <w:rFonts w:ascii="Book Antiqua" w:eastAsia="Times New Roman" w:hAnsi="Book Antiqua" w:cs="Times New Roman"/>
          <w:color w:val="000000"/>
          <w:sz w:val="24"/>
          <w:szCs w:val="24"/>
          <w:lang w:eastAsia="es-CR"/>
        </w:rPr>
        <w:t>No sería hasta el 1 de octubre 2024, en donde la entrada se vería reducida en 2</w:t>
      </w:r>
      <w:r w:rsidR="00EB07EC">
        <w:rPr>
          <w:rFonts w:ascii="Book Antiqua" w:eastAsia="Times New Roman" w:hAnsi="Book Antiqua" w:cs="Times New Roman"/>
          <w:color w:val="000000"/>
          <w:sz w:val="24"/>
          <w:szCs w:val="24"/>
          <w:lang w:eastAsia="es-CR"/>
        </w:rPr>
        <w:t xml:space="preserve"> </w:t>
      </w:r>
      <w:r w:rsidRPr="00886FBD">
        <w:rPr>
          <w:rFonts w:ascii="Book Antiqua" w:eastAsia="Times New Roman" w:hAnsi="Book Antiqua" w:cs="Times New Roman"/>
          <w:color w:val="000000"/>
          <w:sz w:val="24"/>
          <w:szCs w:val="24"/>
          <w:lang w:eastAsia="es-CR"/>
        </w:rPr>
        <w:t>300 casos al año por la pérdida de competencia (provisionales), se estima entonces que la entrada a partir de octubre 2024 sería de aproximadamente de 3</w:t>
      </w:r>
      <w:r w:rsidR="00EB07EC">
        <w:rPr>
          <w:rFonts w:ascii="Book Antiqua" w:eastAsia="Times New Roman" w:hAnsi="Book Antiqua" w:cs="Times New Roman"/>
          <w:color w:val="000000"/>
          <w:sz w:val="24"/>
          <w:szCs w:val="24"/>
          <w:lang w:eastAsia="es-CR"/>
        </w:rPr>
        <w:t xml:space="preserve"> </w:t>
      </w:r>
      <w:r w:rsidRPr="00886FBD">
        <w:rPr>
          <w:rFonts w:ascii="Book Antiqua" w:eastAsia="Times New Roman" w:hAnsi="Book Antiqua" w:cs="Times New Roman"/>
          <w:color w:val="000000"/>
          <w:sz w:val="24"/>
          <w:szCs w:val="24"/>
          <w:lang w:eastAsia="es-CR"/>
        </w:rPr>
        <w:t>331 recursos (restantes procedimientos: 5</w:t>
      </w:r>
      <w:r w:rsidR="00EB07EC">
        <w:rPr>
          <w:rFonts w:ascii="Book Antiqua" w:eastAsia="Times New Roman" w:hAnsi="Book Antiqua" w:cs="Times New Roman"/>
          <w:color w:val="000000"/>
          <w:sz w:val="24"/>
          <w:szCs w:val="24"/>
          <w:lang w:eastAsia="es-CR"/>
        </w:rPr>
        <w:t xml:space="preserve"> </w:t>
      </w:r>
      <w:r w:rsidRPr="00886FBD">
        <w:rPr>
          <w:rFonts w:ascii="Book Antiqua" w:eastAsia="Times New Roman" w:hAnsi="Book Antiqua" w:cs="Times New Roman"/>
          <w:color w:val="000000"/>
          <w:sz w:val="24"/>
          <w:szCs w:val="24"/>
          <w:lang w:eastAsia="es-CR"/>
        </w:rPr>
        <w:t>631-2</w:t>
      </w:r>
      <w:r w:rsidR="00EB07EC">
        <w:rPr>
          <w:rFonts w:ascii="Book Antiqua" w:eastAsia="Times New Roman" w:hAnsi="Book Antiqua" w:cs="Times New Roman"/>
          <w:color w:val="000000"/>
          <w:sz w:val="24"/>
          <w:szCs w:val="24"/>
          <w:lang w:eastAsia="es-CR"/>
        </w:rPr>
        <w:t xml:space="preserve"> </w:t>
      </w:r>
      <w:r w:rsidRPr="00886FBD">
        <w:rPr>
          <w:rFonts w:ascii="Book Antiqua" w:eastAsia="Times New Roman" w:hAnsi="Book Antiqua" w:cs="Times New Roman"/>
          <w:color w:val="000000"/>
          <w:sz w:val="24"/>
          <w:szCs w:val="24"/>
          <w:lang w:eastAsia="es-CR"/>
        </w:rPr>
        <w:t>300=3</w:t>
      </w:r>
      <w:r w:rsidR="00EB07EC">
        <w:rPr>
          <w:rFonts w:ascii="Book Antiqua" w:eastAsia="Times New Roman" w:hAnsi="Book Antiqua" w:cs="Times New Roman"/>
          <w:color w:val="000000"/>
          <w:sz w:val="24"/>
          <w:szCs w:val="24"/>
          <w:lang w:eastAsia="es-CR"/>
        </w:rPr>
        <w:t xml:space="preserve"> </w:t>
      </w:r>
      <w:r w:rsidRPr="00886FBD">
        <w:rPr>
          <w:rFonts w:ascii="Book Antiqua" w:eastAsia="Times New Roman" w:hAnsi="Book Antiqua" w:cs="Times New Roman"/>
          <w:color w:val="000000"/>
          <w:sz w:val="24"/>
          <w:szCs w:val="24"/>
          <w:lang w:eastAsia="es-CR"/>
        </w:rPr>
        <w:t>331), lo que representaría un</w:t>
      </w:r>
      <w:r w:rsidRPr="00886FBD">
        <w:rPr>
          <w:rFonts w:ascii="Book Antiqua" w:eastAsia="Times New Roman" w:hAnsi="Book Antiqua" w:cs="Times New Roman"/>
          <w:b/>
          <w:bCs/>
          <w:color w:val="000000"/>
          <w:sz w:val="24"/>
          <w:szCs w:val="24"/>
          <w:u w:val="single"/>
          <w:lang w:eastAsia="es-CR"/>
        </w:rPr>
        <w:t xml:space="preserve"> ingreso mensual a nivel nacional de 296 recursos aproximadamente a partir de octubre 2024.  </w:t>
      </w:r>
    </w:p>
    <w:p w14:paraId="7834662E" w14:textId="77777777" w:rsidR="003F1D3D" w:rsidRDefault="003F1D3D" w:rsidP="003F1D3D">
      <w:pPr>
        <w:spacing w:after="0" w:line="276" w:lineRule="auto"/>
        <w:jc w:val="both"/>
        <w:rPr>
          <w:rFonts w:ascii="Book Antiqua" w:eastAsia="Calibri" w:hAnsi="Book Antiqua" w:cs="Arial"/>
          <w:sz w:val="24"/>
          <w:szCs w:val="24"/>
        </w:rPr>
      </w:pPr>
    </w:p>
    <w:p w14:paraId="1CB5F98F" w14:textId="234B7A36" w:rsidR="003F1D3D" w:rsidRPr="003F1D3D" w:rsidRDefault="00456AAF" w:rsidP="003F1D3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w:t>
      </w:r>
      <w:r w:rsidR="003F1D3D">
        <w:rPr>
          <w:rFonts w:ascii="Book Antiqua" w:eastAsia="Calibri" w:hAnsi="Book Antiqua" w:cs="Arial"/>
          <w:sz w:val="24"/>
          <w:szCs w:val="24"/>
        </w:rPr>
        <w:t>e</w:t>
      </w:r>
      <w:r w:rsidR="003F1D3D" w:rsidRPr="003F1D3D">
        <w:rPr>
          <w:rFonts w:ascii="Book Antiqua" w:eastAsia="Calibri" w:hAnsi="Book Antiqua" w:cs="Arial"/>
          <w:sz w:val="24"/>
          <w:szCs w:val="24"/>
        </w:rPr>
        <w:t>l cuadro</w:t>
      </w:r>
      <w:r w:rsidR="003F1D3D">
        <w:rPr>
          <w:rFonts w:ascii="Book Antiqua" w:eastAsia="Calibri" w:hAnsi="Book Antiqua" w:cs="Arial"/>
          <w:sz w:val="24"/>
          <w:szCs w:val="24"/>
        </w:rPr>
        <w:t xml:space="preserve"> se visualiza la carga de trabajo que tendría el Juzgado Especializado en Apelaciones de Pensiones Alimentarias:</w:t>
      </w:r>
    </w:p>
    <w:p w14:paraId="6DA93B90" w14:textId="105EF6EE" w:rsidR="003D6C15" w:rsidRDefault="003D6C15" w:rsidP="00D970AF">
      <w:pPr>
        <w:spacing w:line="276" w:lineRule="auto"/>
        <w:ind w:left="567" w:right="616"/>
        <w:jc w:val="both"/>
        <w:rPr>
          <w:rFonts w:ascii="Book Antiqua" w:eastAsia="Calibri" w:hAnsi="Book Antiqua" w:cs="Arial"/>
          <w:i/>
          <w:iCs/>
        </w:rPr>
      </w:pPr>
    </w:p>
    <w:p w14:paraId="296116DE" w14:textId="2AA7687C" w:rsidR="00F30375" w:rsidRPr="00EF146D" w:rsidRDefault="00F30375"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30</w:t>
      </w:r>
      <w:r w:rsidRPr="00EF146D">
        <w:rPr>
          <w:rFonts w:ascii="Book Antiqua" w:eastAsia="Calibri" w:hAnsi="Book Antiqua" w:cs="Arial"/>
          <w:b/>
          <w:bCs/>
          <w:color w:val="1F497D"/>
          <w:szCs w:val="24"/>
          <w:lang w:val="es-ES" w:eastAsia="es-ES"/>
        </w:rPr>
        <w:fldChar w:fldCharType="end"/>
      </w:r>
      <w:r w:rsidRPr="00EF146D">
        <w:rPr>
          <w:rFonts w:ascii="Book Antiqua" w:eastAsia="Calibri" w:hAnsi="Book Antiqua" w:cs="Arial"/>
          <w:b/>
          <w:bCs/>
          <w:color w:val="1F497D"/>
          <w:szCs w:val="24"/>
          <w:lang w:val="es-ES" w:eastAsia="es-ES"/>
        </w:rPr>
        <w:t xml:space="preserve"> </w:t>
      </w:r>
    </w:p>
    <w:p w14:paraId="5B747C64" w14:textId="07A44C80" w:rsidR="003F1D3D" w:rsidRDefault="00624AF8" w:rsidP="00D970AF">
      <w:pPr>
        <w:keepNext/>
        <w:numPr>
          <w:ilvl w:val="12"/>
          <w:numId w:val="0"/>
        </w:numPr>
        <w:spacing w:after="0" w:line="276" w:lineRule="auto"/>
        <w:ind w:left="567" w:right="616"/>
        <w:jc w:val="center"/>
        <w:rPr>
          <w:rFonts w:ascii="Book Antiqua" w:eastAsia="Calibri" w:hAnsi="Book Antiqua" w:cs="Arial"/>
          <w:b/>
          <w:bCs/>
          <w:i/>
          <w:iCs/>
          <w:color w:val="1F497D"/>
          <w:lang w:val="es-ES" w:eastAsia="es-ES"/>
        </w:rPr>
      </w:pPr>
      <w:r w:rsidRPr="00624AF8">
        <w:rPr>
          <w:rFonts w:ascii="Book Antiqua" w:eastAsia="Calibri" w:hAnsi="Book Antiqua" w:cs="Arial"/>
          <w:b/>
          <w:bCs/>
          <w:i/>
          <w:iCs/>
          <w:color w:val="1F497D"/>
          <w:lang w:val="es-ES" w:eastAsia="es-ES"/>
        </w:rPr>
        <w:t xml:space="preserve">Proyección de Carga de Trabajo </w:t>
      </w:r>
      <w:bookmarkStart w:id="39" w:name="_Hlk128036891"/>
      <w:r w:rsidRPr="00624AF8">
        <w:rPr>
          <w:rFonts w:ascii="Book Antiqua" w:eastAsia="Calibri" w:hAnsi="Book Antiqua" w:cs="Arial"/>
          <w:b/>
          <w:bCs/>
          <w:i/>
          <w:iCs/>
          <w:color w:val="1F497D"/>
          <w:lang w:val="es-ES" w:eastAsia="es-ES"/>
        </w:rPr>
        <w:t>de un Juzgado de Familia especializado para el conocimiento de las Apelaciones de Pensiones Alimentarias, 2023</w:t>
      </w:r>
      <w:bookmarkEnd w:id="39"/>
    </w:p>
    <w:tbl>
      <w:tblPr>
        <w:tblW w:w="9998" w:type="dxa"/>
        <w:jc w:val="center"/>
        <w:tblLayout w:type="fixed"/>
        <w:tblCellMar>
          <w:left w:w="70" w:type="dxa"/>
          <w:right w:w="70" w:type="dxa"/>
        </w:tblCellMar>
        <w:tblLook w:val="04A0" w:firstRow="1" w:lastRow="0" w:firstColumn="1" w:lastColumn="0" w:noHBand="0" w:noVBand="1"/>
      </w:tblPr>
      <w:tblGrid>
        <w:gridCol w:w="7646"/>
        <w:gridCol w:w="2352"/>
      </w:tblGrid>
      <w:tr w:rsidR="00E0708E" w:rsidRPr="00E0708E" w14:paraId="2343E0C2" w14:textId="77777777" w:rsidTr="006D72A9">
        <w:trPr>
          <w:trHeight w:val="482"/>
          <w:jc w:val="center"/>
        </w:trPr>
        <w:tc>
          <w:tcPr>
            <w:tcW w:w="7646"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4A0E59F" w14:textId="77777777" w:rsidR="00E0708E" w:rsidRPr="00E0708E" w:rsidRDefault="00E0708E" w:rsidP="00E0708E">
            <w:pPr>
              <w:spacing w:after="0" w:line="240" w:lineRule="auto"/>
              <w:jc w:val="center"/>
              <w:rPr>
                <w:rFonts w:ascii="Book Antiqua" w:eastAsia="Times New Roman" w:hAnsi="Book Antiqua" w:cs="Arial"/>
                <w:b/>
                <w:bCs/>
                <w:color w:val="FFFFFF"/>
                <w:sz w:val="16"/>
                <w:szCs w:val="16"/>
                <w:lang w:eastAsia="es-CR"/>
              </w:rPr>
            </w:pPr>
            <w:r w:rsidRPr="00E0708E">
              <w:rPr>
                <w:rFonts w:ascii="Book Antiqua" w:eastAsia="Times New Roman" w:hAnsi="Book Antiqua" w:cs="Arial"/>
                <w:b/>
                <w:bCs/>
                <w:color w:val="FFFFFF"/>
                <w:sz w:val="16"/>
                <w:szCs w:val="16"/>
                <w:lang w:eastAsia="es-CR"/>
              </w:rPr>
              <w:t>Juzgado</w:t>
            </w:r>
          </w:p>
        </w:tc>
        <w:tc>
          <w:tcPr>
            <w:tcW w:w="2352"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B95F77A" w14:textId="77777777" w:rsidR="00E0708E" w:rsidRPr="00E0708E" w:rsidRDefault="00E0708E" w:rsidP="00E0708E">
            <w:pPr>
              <w:spacing w:after="0" w:line="240" w:lineRule="auto"/>
              <w:jc w:val="center"/>
              <w:rPr>
                <w:rFonts w:ascii="Book Antiqua" w:eastAsia="Times New Roman" w:hAnsi="Book Antiqua" w:cs="Arial"/>
                <w:b/>
                <w:bCs/>
                <w:color w:val="FFFFFF"/>
                <w:sz w:val="16"/>
                <w:szCs w:val="16"/>
                <w:lang w:eastAsia="es-CR"/>
              </w:rPr>
            </w:pPr>
            <w:r w:rsidRPr="00E0708E">
              <w:rPr>
                <w:rFonts w:ascii="Book Antiqua" w:eastAsia="Times New Roman" w:hAnsi="Book Antiqua" w:cs="Arial"/>
                <w:b/>
                <w:bCs/>
                <w:color w:val="FFFFFF"/>
                <w:sz w:val="16"/>
                <w:szCs w:val="16"/>
                <w:lang w:eastAsia="es-CR"/>
              </w:rPr>
              <w:t xml:space="preserve">Ingreso Mensual Recursos Apelaciones (dato del 2022) </w:t>
            </w:r>
          </w:p>
        </w:tc>
      </w:tr>
      <w:tr w:rsidR="00E0708E" w:rsidRPr="00E0708E" w14:paraId="5E629F35" w14:textId="77777777" w:rsidTr="00612E7C">
        <w:trPr>
          <w:trHeight w:val="450"/>
          <w:jc w:val="center"/>
        </w:trPr>
        <w:tc>
          <w:tcPr>
            <w:tcW w:w="7646"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E12395B" w14:textId="77777777" w:rsidR="00E0708E" w:rsidRPr="00E0708E" w:rsidRDefault="00E0708E" w:rsidP="00E0708E">
            <w:pPr>
              <w:spacing w:after="0" w:line="240" w:lineRule="auto"/>
              <w:rPr>
                <w:rFonts w:ascii="Book Antiqua" w:eastAsia="Times New Roman" w:hAnsi="Book Antiqua" w:cs="Arial"/>
                <w:b/>
                <w:bCs/>
                <w:color w:val="FFFFFF"/>
                <w:sz w:val="16"/>
                <w:szCs w:val="16"/>
                <w:lang w:eastAsia="es-CR"/>
              </w:rPr>
            </w:pPr>
          </w:p>
        </w:tc>
        <w:tc>
          <w:tcPr>
            <w:tcW w:w="2352"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1C2F51D2" w14:textId="77777777" w:rsidR="00E0708E" w:rsidRPr="00E0708E" w:rsidRDefault="00E0708E" w:rsidP="00E0708E">
            <w:pPr>
              <w:spacing w:after="0" w:line="240" w:lineRule="auto"/>
              <w:rPr>
                <w:rFonts w:ascii="Book Antiqua" w:eastAsia="Times New Roman" w:hAnsi="Book Antiqua" w:cs="Arial"/>
                <w:b/>
                <w:bCs/>
                <w:color w:val="FFFFFF"/>
                <w:sz w:val="16"/>
                <w:szCs w:val="16"/>
                <w:lang w:eastAsia="es-CR"/>
              </w:rPr>
            </w:pPr>
          </w:p>
        </w:tc>
      </w:tr>
      <w:tr w:rsidR="00E0708E" w:rsidRPr="00E0708E" w14:paraId="6AA248DD"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08829DC2"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 Cartago</w:t>
            </w:r>
          </w:p>
        </w:tc>
        <w:tc>
          <w:tcPr>
            <w:tcW w:w="2352" w:type="dxa"/>
            <w:tcBorders>
              <w:top w:val="nil"/>
              <w:left w:val="nil"/>
              <w:bottom w:val="single" w:sz="4" w:space="0" w:color="auto"/>
              <w:right w:val="single" w:sz="4" w:space="0" w:color="auto"/>
            </w:tcBorders>
            <w:shd w:val="clear" w:color="auto" w:fill="auto"/>
            <w:noWrap/>
            <w:vAlign w:val="bottom"/>
            <w:hideMark/>
          </w:tcPr>
          <w:p w14:paraId="15EAC55D"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53</w:t>
            </w:r>
          </w:p>
        </w:tc>
      </w:tr>
      <w:tr w:rsidR="00E0708E" w:rsidRPr="00E0708E" w14:paraId="665FC0AB"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6ED23C72"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Del II Circuito Judicial De San José</w:t>
            </w:r>
          </w:p>
        </w:tc>
        <w:tc>
          <w:tcPr>
            <w:tcW w:w="2352" w:type="dxa"/>
            <w:tcBorders>
              <w:top w:val="nil"/>
              <w:left w:val="nil"/>
              <w:bottom w:val="single" w:sz="4" w:space="0" w:color="auto"/>
              <w:right w:val="single" w:sz="4" w:space="0" w:color="auto"/>
            </w:tcBorders>
            <w:shd w:val="clear" w:color="auto" w:fill="auto"/>
            <w:noWrap/>
            <w:vAlign w:val="bottom"/>
            <w:hideMark/>
          </w:tcPr>
          <w:p w14:paraId="1265CC6A"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52</w:t>
            </w:r>
          </w:p>
        </w:tc>
      </w:tr>
      <w:tr w:rsidR="00E0708E" w:rsidRPr="00E0708E" w14:paraId="2239FD45"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026F48E0"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 Heredia</w:t>
            </w:r>
          </w:p>
        </w:tc>
        <w:tc>
          <w:tcPr>
            <w:tcW w:w="2352" w:type="dxa"/>
            <w:tcBorders>
              <w:top w:val="nil"/>
              <w:left w:val="nil"/>
              <w:bottom w:val="single" w:sz="4" w:space="0" w:color="auto"/>
              <w:right w:val="single" w:sz="4" w:space="0" w:color="auto"/>
            </w:tcBorders>
            <w:shd w:val="clear" w:color="auto" w:fill="auto"/>
            <w:noWrap/>
            <w:vAlign w:val="bottom"/>
            <w:hideMark/>
          </w:tcPr>
          <w:p w14:paraId="024B6A4F"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50</w:t>
            </w:r>
          </w:p>
        </w:tc>
      </w:tr>
      <w:tr w:rsidR="00E0708E" w:rsidRPr="00E0708E" w14:paraId="272353F8"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25B5FCC1"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Del I Circuito Judicial De Alajuela</w:t>
            </w:r>
          </w:p>
        </w:tc>
        <w:tc>
          <w:tcPr>
            <w:tcW w:w="2352" w:type="dxa"/>
            <w:tcBorders>
              <w:top w:val="nil"/>
              <w:left w:val="nil"/>
              <w:bottom w:val="single" w:sz="4" w:space="0" w:color="auto"/>
              <w:right w:val="single" w:sz="4" w:space="0" w:color="auto"/>
            </w:tcBorders>
            <w:shd w:val="clear" w:color="auto" w:fill="auto"/>
            <w:noWrap/>
            <w:vAlign w:val="bottom"/>
            <w:hideMark/>
          </w:tcPr>
          <w:p w14:paraId="51AE4F41"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34</w:t>
            </w:r>
          </w:p>
        </w:tc>
      </w:tr>
      <w:tr w:rsidR="00E0708E" w:rsidRPr="00E0708E" w14:paraId="1C80199F"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11592564"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Del I Circuito Judicial De La Zona Atlántica</w:t>
            </w:r>
          </w:p>
        </w:tc>
        <w:tc>
          <w:tcPr>
            <w:tcW w:w="2352" w:type="dxa"/>
            <w:tcBorders>
              <w:top w:val="nil"/>
              <w:left w:val="nil"/>
              <w:bottom w:val="single" w:sz="4" w:space="0" w:color="auto"/>
              <w:right w:val="single" w:sz="4" w:space="0" w:color="auto"/>
            </w:tcBorders>
            <w:shd w:val="clear" w:color="auto" w:fill="auto"/>
            <w:noWrap/>
            <w:vAlign w:val="bottom"/>
            <w:hideMark/>
          </w:tcPr>
          <w:p w14:paraId="23FC2E11"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32</w:t>
            </w:r>
          </w:p>
        </w:tc>
      </w:tr>
      <w:tr w:rsidR="00E0708E" w:rsidRPr="00E0708E" w14:paraId="5852E143"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79639B43"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Del II Circuito Judicial De La Zona Atlántica</w:t>
            </w:r>
          </w:p>
        </w:tc>
        <w:tc>
          <w:tcPr>
            <w:tcW w:w="2352" w:type="dxa"/>
            <w:tcBorders>
              <w:top w:val="nil"/>
              <w:left w:val="nil"/>
              <w:bottom w:val="single" w:sz="4" w:space="0" w:color="auto"/>
              <w:right w:val="single" w:sz="4" w:space="0" w:color="auto"/>
            </w:tcBorders>
            <w:shd w:val="clear" w:color="auto" w:fill="auto"/>
            <w:noWrap/>
            <w:vAlign w:val="bottom"/>
            <w:hideMark/>
          </w:tcPr>
          <w:p w14:paraId="7D484383"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26</w:t>
            </w:r>
          </w:p>
        </w:tc>
      </w:tr>
      <w:tr w:rsidR="00E0708E" w:rsidRPr="00E0708E" w14:paraId="5827B9C9"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7E98BE19"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Familia Del III Circuito Judicial De San José (Desamparados)</w:t>
            </w:r>
          </w:p>
        </w:tc>
        <w:tc>
          <w:tcPr>
            <w:tcW w:w="2352" w:type="dxa"/>
            <w:tcBorders>
              <w:top w:val="nil"/>
              <w:left w:val="nil"/>
              <w:bottom w:val="single" w:sz="4" w:space="0" w:color="auto"/>
              <w:right w:val="single" w:sz="4" w:space="0" w:color="auto"/>
            </w:tcBorders>
            <w:shd w:val="clear" w:color="auto" w:fill="auto"/>
            <w:noWrap/>
            <w:vAlign w:val="bottom"/>
            <w:hideMark/>
          </w:tcPr>
          <w:p w14:paraId="44C1C177"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24</w:t>
            </w:r>
          </w:p>
        </w:tc>
      </w:tr>
      <w:tr w:rsidR="00E0708E" w:rsidRPr="00E0708E" w14:paraId="0C7BD67B"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070F3FC5"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 Puntarenas</w:t>
            </w:r>
          </w:p>
        </w:tc>
        <w:tc>
          <w:tcPr>
            <w:tcW w:w="2352" w:type="dxa"/>
            <w:tcBorders>
              <w:top w:val="nil"/>
              <w:left w:val="nil"/>
              <w:bottom w:val="single" w:sz="4" w:space="0" w:color="auto"/>
              <w:right w:val="single" w:sz="4" w:space="0" w:color="auto"/>
            </w:tcBorders>
            <w:shd w:val="clear" w:color="auto" w:fill="auto"/>
            <w:noWrap/>
            <w:vAlign w:val="bottom"/>
            <w:hideMark/>
          </w:tcPr>
          <w:p w14:paraId="6F0E23AF"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21</w:t>
            </w:r>
          </w:p>
        </w:tc>
      </w:tr>
      <w:tr w:rsidR="00E0708E" w:rsidRPr="00E0708E" w14:paraId="2B177051"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05DFE15D"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Primero De Familia De San José</w:t>
            </w:r>
          </w:p>
        </w:tc>
        <w:tc>
          <w:tcPr>
            <w:tcW w:w="2352" w:type="dxa"/>
            <w:tcBorders>
              <w:top w:val="nil"/>
              <w:left w:val="nil"/>
              <w:bottom w:val="single" w:sz="4" w:space="0" w:color="auto"/>
              <w:right w:val="single" w:sz="4" w:space="0" w:color="auto"/>
            </w:tcBorders>
            <w:shd w:val="clear" w:color="auto" w:fill="auto"/>
            <w:noWrap/>
            <w:vAlign w:val="bottom"/>
            <w:hideMark/>
          </w:tcPr>
          <w:p w14:paraId="78D5547E"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19</w:t>
            </w:r>
          </w:p>
        </w:tc>
      </w:tr>
      <w:tr w:rsidR="00E0708E" w:rsidRPr="00E0708E" w14:paraId="6FC52F5A"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3D3CA7B8"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Segundo De Familia De San José</w:t>
            </w:r>
          </w:p>
        </w:tc>
        <w:tc>
          <w:tcPr>
            <w:tcW w:w="2352" w:type="dxa"/>
            <w:tcBorders>
              <w:top w:val="nil"/>
              <w:left w:val="nil"/>
              <w:bottom w:val="single" w:sz="4" w:space="0" w:color="auto"/>
              <w:right w:val="single" w:sz="4" w:space="0" w:color="auto"/>
            </w:tcBorders>
            <w:shd w:val="clear" w:color="auto" w:fill="auto"/>
            <w:noWrap/>
            <w:vAlign w:val="bottom"/>
            <w:hideMark/>
          </w:tcPr>
          <w:p w14:paraId="5AFB24F2"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18</w:t>
            </w:r>
          </w:p>
        </w:tc>
      </w:tr>
      <w:tr w:rsidR="00E0708E" w:rsidRPr="00E0708E" w14:paraId="3874B5B3"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7AB68EEC"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De Trabajo Y Familia De Hatillo, San Sebastián Y Alajuelita </w:t>
            </w:r>
          </w:p>
        </w:tc>
        <w:tc>
          <w:tcPr>
            <w:tcW w:w="2352" w:type="dxa"/>
            <w:tcBorders>
              <w:top w:val="nil"/>
              <w:left w:val="nil"/>
              <w:bottom w:val="single" w:sz="4" w:space="0" w:color="auto"/>
              <w:right w:val="single" w:sz="4" w:space="0" w:color="auto"/>
            </w:tcBorders>
            <w:shd w:val="clear" w:color="auto" w:fill="auto"/>
            <w:noWrap/>
            <w:vAlign w:val="bottom"/>
            <w:hideMark/>
          </w:tcPr>
          <w:p w14:paraId="4895DE0F"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16</w:t>
            </w:r>
          </w:p>
        </w:tc>
      </w:tr>
      <w:tr w:rsidR="00E0708E" w:rsidRPr="00E0708E" w14:paraId="21BCAE2B"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706B5C1B"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Del I Circuito Judicial De La Zona Sur (Pérez Zeledón)</w:t>
            </w:r>
          </w:p>
        </w:tc>
        <w:tc>
          <w:tcPr>
            <w:tcW w:w="2352" w:type="dxa"/>
            <w:tcBorders>
              <w:top w:val="nil"/>
              <w:left w:val="nil"/>
              <w:bottom w:val="single" w:sz="4" w:space="0" w:color="auto"/>
              <w:right w:val="single" w:sz="4" w:space="0" w:color="auto"/>
            </w:tcBorders>
            <w:shd w:val="clear" w:color="auto" w:fill="auto"/>
            <w:noWrap/>
            <w:vAlign w:val="bottom"/>
            <w:hideMark/>
          </w:tcPr>
          <w:p w14:paraId="61B96DF8"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15</w:t>
            </w:r>
          </w:p>
        </w:tc>
      </w:tr>
      <w:tr w:rsidR="00E0708E" w:rsidRPr="00E0708E" w14:paraId="5D0412E7"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5E7270C0"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De Familia Y Violencia Doméstica Del I Circuito Judicial De Guanacaste (Liberia) </w:t>
            </w:r>
          </w:p>
        </w:tc>
        <w:tc>
          <w:tcPr>
            <w:tcW w:w="2352" w:type="dxa"/>
            <w:tcBorders>
              <w:top w:val="nil"/>
              <w:left w:val="nil"/>
              <w:bottom w:val="single" w:sz="4" w:space="0" w:color="auto"/>
              <w:right w:val="single" w:sz="4" w:space="0" w:color="auto"/>
            </w:tcBorders>
            <w:shd w:val="clear" w:color="auto" w:fill="auto"/>
            <w:noWrap/>
            <w:vAlign w:val="bottom"/>
            <w:hideMark/>
          </w:tcPr>
          <w:p w14:paraId="675C5A60"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14</w:t>
            </w:r>
          </w:p>
        </w:tc>
      </w:tr>
      <w:tr w:rsidR="00E0708E" w:rsidRPr="00E0708E" w14:paraId="47902F1D"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005615B1"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De Familia Y Violencia Doméstica Del III Circuito Judicial De Alajuela (San Ramón) </w:t>
            </w:r>
          </w:p>
        </w:tc>
        <w:tc>
          <w:tcPr>
            <w:tcW w:w="2352" w:type="dxa"/>
            <w:tcBorders>
              <w:top w:val="nil"/>
              <w:left w:val="nil"/>
              <w:bottom w:val="single" w:sz="4" w:space="0" w:color="auto"/>
              <w:right w:val="single" w:sz="4" w:space="0" w:color="auto"/>
            </w:tcBorders>
            <w:shd w:val="clear" w:color="auto" w:fill="auto"/>
            <w:noWrap/>
            <w:vAlign w:val="bottom"/>
            <w:hideMark/>
          </w:tcPr>
          <w:p w14:paraId="018ADEC0"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14</w:t>
            </w:r>
          </w:p>
        </w:tc>
      </w:tr>
      <w:tr w:rsidR="00E0708E" w:rsidRPr="00E0708E" w14:paraId="263ED808"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016C38B4"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De Familia Del II Circuito Judicial De Alajuela</w:t>
            </w:r>
          </w:p>
        </w:tc>
        <w:tc>
          <w:tcPr>
            <w:tcW w:w="2352" w:type="dxa"/>
            <w:tcBorders>
              <w:top w:val="nil"/>
              <w:left w:val="nil"/>
              <w:bottom w:val="single" w:sz="4" w:space="0" w:color="auto"/>
              <w:right w:val="single" w:sz="4" w:space="0" w:color="auto"/>
            </w:tcBorders>
            <w:shd w:val="clear" w:color="auto" w:fill="auto"/>
            <w:noWrap/>
            <w:vAlign w:val="bottom"/>
            <w:hideMark/>
          </w:tcPr>
          <w:p w14:paraId="2FC7FCED"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13</w:t>
            </w:r>
          </w:p>
        </w:tc>
      </w:tr>
      <w:tr w:rsidR="00E0708E" w:rsidRPr="00E0708E" w14:paraId="57F4EB01"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53F27845"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Civil, Trabajo Y Familia De Puriscal </w:t>
            </w:r>
          </w:p>
        </w:tc>
        <w:tc>
          <w:tcPr>
            <w:tcW w:w="2352" w:type="dxa"/>
            <w:tcBorders>
              <w:top w:val="nil"/>
              <w:left w:val="nil"/>
              <w:bottom w:val="single" w:sz="4" w:space="0" w:color="auto"/>
              <w:right w:val="single" w:sz="4" w:space="0" w:color="auto"/>
            </w:tcBorders>
            <w:shd w:val="clear" w:color="auto" w:fill="auto"/>
            <w:noWrap/>
            <w:vAlign w:val="bottom"/>
            <w:hideMark/>
          </w:tcPr>
          <w:p w14:paraId="17FCCA98"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12</w:t>
            </w:r>
          </w:p>
        </w:tc>
      </w:tr>
      <w:tr w:rsidR="00E0708E" w:rsidRPr="00E0708E" w14:paraId="0F0671CF"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69E871A2"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De Familia Y Violencia Doméstica Del II Circuito Judicial De La Zona Sur (Corredores) </w:t>
            </w:r>
          </w:p>
        </w:tc>
        <w:tc>
          <w:tcPr>
            <w:tcW w:w="2352" w:type="dxa"/>
            <w:tcBorders>
              <w:top w:val="nil"/>
              <w:left w:val="nil"/>
              <w:bottom w:val="single" w:sz="4" w:space="0" w:color="auto"/>
              <w:right w:val="single" w:sz="4" w:space="0" w:color="auto"/>
            </w:tcBorders>
            <w:shd w:val="clear" w:color="auto" w:fill="auto"/>
            <w:noWrap/>
            <w:vAlign w:val="bottom"/>
            <w:hideMark/>
          </w:tcPr>
          <w:p w14:paraId="155C3FC0"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12</w:t>
            </w:r>
          </w:p>
        </w:tc>
      </w:tr>
      <w:tr w:rsidR="00E0708E" w:rsidRPr="00E0708E" w14:paraId="0B029322"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0548C980"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Familia Y Violencia Doméstica De Santa Cruz</w:t>
            </w:r>
          </w:p>
        </w:tc>
        <w:tc>
          <w:tcPr>
            <w:tcW w:w="2352" w:type="dxa"/>
            <w:tcBorders>
              <w:top w:val="nil"/>
              <w:left w:val="nil"/>
              <w:bottom w:val="single" w:sz="4" w:space="0" w:color="auto"/>
              <w:right w:val="single" w:sz="4" w:space="0" w:color="auto"/>
            </w:tcBorders>
            <w:shd w:val="clear" w:color="auto" w:fill="auto"/>
            <w:noWrap/>
            <w:vAlign w:val="bottom"/>
            <w:hideMark/>
          </w:tcPr>
          <w:p w14:paraId="5466E8EC"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11</w:t>
            </w:r>
          </w:p>
        </w:tc>
      </w:tr>
      <w:tr w:rsidR="00E0708E" w:rsidRPr="00E0708E" w14:paraId="67DB568B"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7CD33A51"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Familia, Penal Juvenil Y Violencia Doméstica De Turrialba </w:t>
            </w:r>
          </w:p>
        </w:tc>
        <w:tc>
          <w:tcPr>
            <w:tcW w:w="2352" w:type="dxa"/>
            <w:tcBorders>
              <w:top w:val="nil"/>
              <w:left w:val="nil"/>
              <w:bottom w:val="single" w:sz="4" w:space="0" w:color="auto"/>
              <w:right w:val="single" w:sz="4" w:space="0" w:color="auto"/>
            </w:tcBorders>
            <w:shd w:val="clear" w:color="auto" w:fill="auto"/>
            <w:noWrap/>
            <w:vAlign w:val="bottom"/>
            <w:hideMark/>
          </w:tcPr>
          <w:p w14:paraId="4E7133C1"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10</w:t>
            </w:r>
          </w:p>
        </w:tc>
      </w:tr>
      <w:tr w:rsidR="00E0708E" w:rsidRPr="00E0708E" w14:paraId="34D87652"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6493EDC2"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De Familia, Penal Juvenil Y Violencia Doméstica De Cañas </w:t>
            </w:r>
          </w:p>
        </w:tc>
        <w:tc>
          <w:tcPr>
            <w:tcW w:w="2352" w:type="dxa"/>
            <w:tcBorders>
              <w:top w:val="nil"/>
              <w:left w:val="nil"/>
              <w:bottom w:val="single" w:sz="4" w:space="0" w:color="auto"/>
              <w:right w:val="single" w:sz="4" w:space="0" w:color="auto"/>
            </w:tcBorders>
            <w:shd w:val="clear" w:color="auto" w:fill="auto"/>
            <w:noWrap/>
            <w:vAlign w:val="bottom"/>
            <w:hideMark/>
          </w:tcPr>
          <w:p w14:paraId="1A150E76"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9</w:t>
            </w:r>
          </w:p>
        </w:tc>
      </w:tr>
      <w:tr w:rsidR="00E0708E" w:rsidRPr="00E0708E" w14:paraId="73E7DFFE"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6F3FFD21"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De Familia Y Violencia Doméstica Del II Circuito Judicial De Guanacaste (Nicoya) </w:t>
            </w:r>
          </w:p>
        </w:tc>
        <w:tc>
          <w:tcPr>
            <w:tcW w:w="2352" w:type="dxa"/>
            <w:tcBorders>
              <w:top w:val="nil"/>
              <w:left w:val="nil"/>
              <w:bottom w:val="single" w:sz="4" w:space="0" w:color="auto"/>
              <w:right w:val="single" w:sz="4" w:space="0" w:color="auto"/>
            </w:tcBorders>
            <w:shd w:val="clear" w:color="auto" w:fill="auto"/>
            <w:noWrap/>
            <w:vAlign w:val="bottom"/>
            <w:hideMark/>
          </w:tcPr>
          <w:p w14:paraId="04DED6EC"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9</w:t>
            </w:r>
          </w:p>
        </w:tc>
      </w:tr>
      <w:tr w:rsidR="00E0708E" w:rsidRPr="00E0708E" w14:paraId="67E464D0"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2188FF52"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Civil, Trabajo Y Familia De Osa </w:t>
            </w:r>
          </w:p>
        </w:tc>
        <w:tc>
          <w:tcPr>
            <w:tcW w:w="2352" w:type="dxa"/>
            <w:tcBorders>
              <w:top w:val="nil"/>
              <w:left w:val="nil"/>
              <w:bottom w:val="single" w:sz="4" w:space="0" w:color="auto"/>
              <w:right w:val="single" w:sz="4" w:space="0" w:color="auto"/>
            </w:tcBorders>
            <w:shd w:val="clear" w:color="auto" w:fill="auto"/>
            <w:noWrap/>
            <w:vAlign w:val="bottom"/>
            <w:hideMark/>
          </w:tcPr>
          <w:p w14:paraId="1FB7C3EF"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9</w:t>
            </w:r>
          </w:p>
        </w:tc>
      </w:tr>
      <w:tr w:rsidR="00E0708E" w:rsidRPr="00E0708E" w14:paraId="4449F5DB"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3FFC7A38"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Civil, Trabajo, Familia, Penal Juvenil Y Violencia Doméstica De Sarapiquí </w:t>
            </w:r>
          </w:p>
        </w:tc>
        <w:tc>
          <w:tcPr>
            <w:tcW w:w="2352" w:type="dxa"/>
            <w:tcBorders>
              <w:top w:val="nil"/>
              <w:left w:val="nil"/>
              <w:bottom w:val="single" w:sz="4" w:space="0" w:color="auto"/>
              <w:right w:val="single" w:sz="4" w:space="0" w:color="auto"/>
            </w:tcBorders>
            <w:shd w:val="clear" w:color="auto" w:fill="auto"/>
            <w:noWrap/>
            <w:vAlign w:val="bottom"/>
            <w:hideMark/>
          </w:tcPr>
          <w:p w14:paraId="53E99D72"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7</w:t>
            </w:r>
          </w:p>
        </w:tc>
      </w:tr>
      <w:tr w:rsidR="00E0708E" w:rsidRPr="00E0708E" w14:paraId="359AD662"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6469AB6C"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Civil Y Trabajo Del II Circuito Judicial De Alajuela, Sede Upala </w:t>
            </w:r>
          </w:p>
        </w:tc>
        <w:tc>
          <w:tcPr>
            <w:tcW w:w="2352" w:type="dxa"/>
            <w:tcBorders>
              <w:top w:val="nil"/>
              <w:left w:val="nil"/>
              <w:bottom w:val="single" w:sz="4" w:space="0" w:color="auto"/>
              <w:right w:val="single" w:sz="4" w:space="0" w:color="auto"/>
            </w:tcBorders>
            <w:shd w:val="clear" w:color="auto" w:fill="auto"/>
            <w:noWrap/>
            <w:vAlign w:val="bottom"/>
            <w:hideMark/>
          </w:tcPr>
          <w:p w14:paraId="44E23868"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6</w:t>
            </w:r>
          </w:p>
        </w:tc>
      </w:tr>
      <w:tr w:rsidR="00E0708E" w:rsidRPr="00E0708E" w14:paraId="53EE11A6"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101F36F6"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Familia, Penal Juvenil Y Violencia Doméstica De Quepos </w:t>
            </w:r>
          </w:p>
        </w:tc>
        <w:tc>
          <w:tcPr>
            <w:tcW w:w="2352" w:type="dxa"/>
            <w:tcBorders>
              <w:top w:val="nil"/>
              <w:left w:val="nil"/>
              <w:bottom w:val="single" w:sz="4" w:space="0" w:color="auto"/>
              <w:right w:val="single" w:sz="4" w:space="0" w:color="auto"/>
            </w:tcBorders>
            <w:shd w:val="clear" w:color="auto" w:fill="auto"/>
            <w:noWrap/>
            <w:vAlign w:val="bottom"/>
            <w:hideMark/>
          </w:tcPr>
          <w:p w14:paraId="188C282D"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4</w:t>
            </w:r>
          </w:p>
        </w:tc>
      </w:tr>
      <w:tr w:rsidR="00E0708E" w:rsidRPr="00E0708E" w14:paraId="4AB49547"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6F27FC32"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 xml:space="preserve">Juzgado De Familia Y Violencia Doméstica De Golfito </w:t>
            </w:r>
          </w:p>
        </w:tc>
        <w:tc>
          <w:tcPr>
            <w:tcW w:w="2352" w:type="dxa"/>
            <w:tcBorders>
              <w:top w:val="nil"/>
              <w:left w:val="nil"/>
              <w:bottom w:val="single" w:sz="4" w:space="0" w:color="auto"/>
              <w:right w:val="single" w:sz="4" w:space="0" w:color="auto"/>
            </w:tcBorders>
            <w:shd w:val="clear" w:color="auto" w:fill="auto"/>
            <w:noWrap/>
            <w:vAlign w:val="bottom"/>
            <w:hideMark/>
          </w:tcPr>
          <w:p w14:paraId="6C0303C5"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4</w:t>
            </w:r>
          </w:p>
        </w:tc>
      </w:tr>
      <w:tr w:rsidR="00E0708E" w:rsidRPr="00E0708E" w14:paraId="7D04490F" w14:textId="77777777" w:rsidTr="006D72A9">
        <w:trPr>
          <w:trHeight w:val="303"/>
          <w:jc w:val="center"/>
        </w:trPr>
        <w:tc>
          <w:tcPr>
            <w:tcW w:w="7646" w:type="dxa"/>
            <w:tcBorders>
              <w:top w:val="nil"/>
              <w:left w:val="single" w:sz="4" w:space="0" w:color="auto"/>
              <w:bottom w:val="single" w:sz="4" w:space="0" w:color="auto"/>
              <w:right w:val="single" w:sz="4" w:space="0" w:color="auto"/>
            </w:tcBorders>
            <w:shd w:val="clear" w:color="auto" w:fill="auto"/>
            <w:noWrap/>
            <w:vAlign w:val="bottom"/>
            <w:hideMark/>
          </w:tcPr>
          <w:p w14:paraId="0CCF9040" w14:textId="77777777" w:rsidR="00E0708E" w:rsidRPr="00E0708E" w:rsidRDefault="00E0708E" w:rsidP="00E0708E">
            <w:pPr>
              <w:spacing w:after="0" w:line="240" w:lineRule="auto"/>
              <w:jc w:val="both"/>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Juzgado Civil, Trabajo Y Familia De Buenos Aires</w:t>
            </w:r>
          </w:p>
        </w:tc>
        <w:tc>
          <w:tcPr>
            <w:tcW w:w="2352" w:type="dxa"/>
            <w:tcBorders>
              <w:top w:val="nil"/>
              <w:left w:val="nil"/>
              <w:bottom w:val="single" w:sz="4" w:space="0" w:color="auto"/>
              <w:right w:val="single" w:sz="4" w:space="0" w:color="auto"/>
            </w:tcBorders>
            <w:shd w:val="clear" w:color="auto" w:fill="auto"/>
            <w:noWrap/>
            <w:vAlign w:val="bottom"/>
            <w:hideMark/>
          </w:tcPr>
          <w:p w14:paraId="11DD975B" w14:textId="77777777" w:rsidR="00E0708E" w:rsidRPr="00E0708E" w:rsidRDefault="00E0708E" w:rsidP="00E0708E">
            <w:pPr>
              <w:spacing w:after="0" w:line="240" w:lineRule="auto"/>
              <w:jc w:val="center"/>
              <w:rPr>
                <w:rFonts w:ascii="Book Antiqua" w:eastAsia="Times New Roman" w:hAnsi="Book Antiqua" w:cs="Arial"/>
                <w:color w:val="000000"/>
                <w:sz w:val="18"/>
                <w:szCs w:val="18"/>
                <w:lang w:eastAsia="es-CR"/>
              </w:rPr>
            </w:pPr>
            <w:r w:rsidRPr="00E0708E">
              <w:rPr>
                <w:rFonts w:ascii="Book Antiqua" w:eastAsia="Times New Roman" w:hAnsi="Book Antiqua" w:cs="Arial"/>
                <w:color w:val="000000"/>
                <w:sz w:val="18"/>
                <w:szCs w:val="18"/>
                <w:lang w:eastAsia="es-CR"/>
              </w:rPr>
              <w:t>3</w:t>
            </w:r>
          </w:p>
        </w:tc>
      </w:tr>
      <w:tr w:rsidR="00E0708E" w:rsidRPr="00E0708E" w14:paraId="597A9AF2" w14:textId="77777777" w:rsidTr="006D72A9">
        <w:trPr>
          <w:trHeight w:val="275"/>
          <w:jc w:val="center"/>
        </w:trPr>
        <w:tc>
          <w:tcPr>
            <w:tcW w:w="7646" w:type="dxa"/>
            <w:tcBorders>
              <w:top w:val="nil"/>
              <w:left w:val="single" w:sz="4" w:space="0" w:color="auto"/>
              <w:bottom w:val="single" w:sz="4" w:space="0" w:color="auto"/>
              <w:right w:val="single" w:sz="4" w:space="0" w:color="auto"/>
            </w:tcBorders>
            <w:shd w:val="clear" w:color="000000" w:fill="BDD7EE"/>
            <w:noWrap/>
            <w:vAlign w:val="bottom"/>
            <w:hideMark/>
          </w:tcPr>
          <w:p w14:paraId="2873BDD6" w14:textId="77777777" w:rsidR="00E0708E" w:rsidRPr="00E0708E" w:rsidRDefault="00E0708E" w:rsidP="00E0708E">
            <w:pPr>
              <w:spacing w:after="0" w:line="240" w:lineRule="auto"/>
              <w:rPr>
                <w:rFonts w:ascii="Book Antiqua" w:eastAsia="Times New Roman" w:hAnsi="Book Antiqua" w:cs="Arial"/>
                <w:b/>
                <w:bCs/>
                <w:color w:val="000000"/>
                <w:sz w:val="20"/>
                <w:szCs w:val="20"/>
                <w:lang w:eastAsia="es-CR"/>
              </w:rPr>
            </w:pPr>
            <w:r w:rsidRPr="00E0708E">
              <w:rPr>
                <w:rFonts w:ascii="Book Antiqua" w:eastAsia="Times New Roman" w:hAnsi="Book Antiqua" w:cs="Arial"/>
                <w:b/>
                <w:bCs/>
                <w:color w:val="000000"/>
                <w:sz w:val="20"/>
                <w:szCs w:val="20"/>
                <w:lang w:eastAsia="es-CR"/>
              </w:rPr>
              <w:t>Total general</w:t>
            </w:r>
          </w:p>
        </w:tc>
        <w:tc>
          <w:tcPr>
            <w:tcW w:w="2352" w:type="dxa"/>
            <w:tcBorders>
              <w:top w:val="nil"/>
              <w:left w:val="nil"/>
              <w:bottom w:val="single" w:sz="4" w:space="0" w:color="auto"/>
              <w:right w:val="single" w:sz="4" w:space="0" w:color="auto"/>
            </w:tcBorders>
            <w:shd w:val="clear" w:color="000000" w:fill="BDD7EE"/>
            <w:noWrap/>
            <w:vAlign w:val="bottom"/>
            <w:hideMark/>
          </w:tcPr>
          <w:p w14:paraId="7B46781B" w14:textId="77777777" w:rsidR="00E0708E" w:rsidRPr="00E0708E" w:rsidRDefault="00E0708E" w:rsidP="00E0708E">
            <w:pPr>
              <w:spacing w:after="0" w:line="240" w:lineRule="auto"/>
              <w:jc w:val="center"/>
              <w:rPr>
                <w:rFonts w:ascii="Book Antiqua" w:eastAsia="Times New Roman" w:hAnsi="Book Antiqua" w:cs="Arial"/>
                <w:b/>
                <w:bCs/>
                <w:color w:val="000000"/>
                <w:sz w:val="20"/>
                <w:szCs w:val="20"/>
                <w:lang w:eastAsia="es-CR"/>
              </w:rPr>
            </w:pPr>
            <w:r w:rsidRPr="00E0708E">
              <w:rPr>
                <w:rFonts w:ascii="Book Antiqua" w:eastAsia="Times New Roman" w:hAnsi="Book Antiqua" w:cs="Arial"/>
                <w:b/>
                <w:bCs/>
                <w:color w:val="000000"/>
                <w:sz w:val="20"/>
                <w:szCs w:val="20"/>
                <w:lang w:eastAsia="es-CR"/>
              </w:rPr>
              <w:t>500</w:t>
            </w:r>
          </w:p>
        </w:tc>
      </w:tr>
    </w:tbl>
    <w:p w14:paraId="279812AA" w14:textId="2ECD5C87" w:rsidR="00FE54CE" w:rsidRPr="00D970AF" w:rsidRDefault="00FE54CE" w:rsidP="00456AAF">
      <w:pPr>
        <w:spacing w:after="0" w:line="240" w:lineRule="auto"/>
        <w:jc w:val="both"/>
        <w:rPr>
          <w:rFonts w:ascii="Book Antiqua" w:eastAsia="Calibri" w:hAnsi="Book Antiqua" w:cs="Arial"/>
          <w:i/>
          <w:iCs/>
        </w:rPr>
      </w:pPr>
      <w:bookmarkStart w:id="40" w:name="_Hlk95728450"/>
      <w:r w:rsidRPr="00F53EAA">
        <w:rPr>
          <w:rFonts w:ascii="Book Antiqua" w:eastAsia="Calibri" w:hAnsi="Book Antiqua" w:cs="Arial"/>
          <w:b/>
          <w:bCs/>
          <w:i/>
          <w:iCs/>
        </w:rPr>
        <w:t>Fuente:</w:t>
      </w:r>
      <w:r w:rsidRPr="00D970AF">
        <w:rPr>
          <w:rFonts w:ascii="Book Antiqua" w:eastAsia="Calibri" w:hAnsi="Book Antiqua" w:cs="Arial"/>
          <w:i/>
          <w:iCs/>
        </w:rPr>
        <w:t xml:space="preserve"> </w:t>
      </w:r>
      <w:bookmarkStart w:id="41" w:name="_Hlk128036984"/>
      <w:bookmarkEnd w:id="40"/>
      <w:r w:rsidR="003F1D3D">
        <w:rPr>
          <w:rFonts w:ascii="Book Antiqua" w:eastAsia="Calibri" w:hAnsi="Book Antiqua" w:cs="Arial"/>
          <w:i/>
          <w:iCs/>
          <w:sz w:val="20"/>
          <w:szCs w:val="20"/>
        </w:rPr>
        <w:t xml:space="preserve">Subproceso de </w:t>
      </w:r>
      <w:r w:rsidR="003F1D3D" w:rsidRPr="00AA6DF1">
        <w:rPr>
          <w:rFonts w:ascii="Book Antiqua" w:eastAsia="Calibri" w:hAnsi="Book Antiqua" w:cs="Arial"/>
          <w:i/>
          <w:iCs/>
          <w:sz w:val="20"/>
          <w:szCs w:val="20"/>
        </w:rPr>
        <w:t xml:space="preserve">Modernización Institucional </w:t>
      </w:r>
      <w:r w:rsidR="003F1D3D">
        <w:rPr>
          <w:rFonts w:ascii="Book Antiqua" w:eastAsia="Calibri" w:hAnsi="Book Antiqua" w:cs="Arial"/>
          <w:i/>
          <w:iCs/>
          <w:sz w:val="20"/>
          <w:szCs w:val="20"/>
        </w:rPr>
        <w:t>con</w:t>
      </w:r>
      <w:r w:rsidR="003F1D3D" w:rsidRPr="00AA6DF1">
        <w:rPr>
          <w:rFonts w:ascii="Book Antiqua" w:eastAsia="Calibri" w:hAnsi="Book Antiqua" w:cs="Arial"/>
          <w:i/>
          <w:iCs/>
          <w:sz w:val="20"/>
          <w:szCs w:val="20"/>
        </w:rPr>
        <w:t xml:space="preserve"> datos de</w:t>
      </w:r>
      <w:r w:rsidR="003F1D3D">
        <w:rPr>
          <w:rFonts w:ascii="Book Antiqua" w:eastAsia="Calibri" w:hAnsi="Book Antiqua" w:cs="Arial"/>
          <w:i/>
          <w:iCs/>
          <w:sz w:val="20"/>
          <w:szCs w:val="20"/>
        </w:rPr>
        <w:t>l informe preliminar “</w:t>
      </w:r>
      <w:r w:rsidR="003F1D3D" w:rsidRPr="008F1971">
        <w:rPr>
          <w:rFonts w:ascii="Book Antiqua" w:eastAsia="Calibri" w:hAnsi="Book Antiqua" w:cs="Arial"/>
          <w:i/>
          <w:iCs/>
          <w:sz w:val="20"/>
          <w:szCs w:val="20"/>
        </w:rPr>
        <w:t xml:space="preserve">Análisis de </w:t>
      </w:r>
      <w:bookmarkStart w:id="42" w:name="_Hlk128036960"/>
      <w:r w:rsidR="003F1D3D" w:rsidRPr="008F1971">
        <w:rPr>
          <w:rFonts w:ascii="Book Antiqua" w:eastAsia="Calibri" w:hAnsi="Book Antiqua" w:cs="Arial"/>
          <w:i/>
          <w:iCs/>
          <w:sz w:val="20"/>
          <w:szCs w:val="20"/>
        </w:rPr>
        <w:t>modificación de la competencia actual del Juzgado Primero de Familia para limitarlo al conocimiento de una clase de proceso (segunda instancia en Pensiones Alimentarias) a nivel nacional</w:t>
      </w:r>
      <w:r w:rsidR="003F1D3D">
        <w:rPr>
          <w:rFonts w:ascii="Book Antiqua" w:eastAsia="Calibri" w:hAnsi="Book Antiqua" w:cs="Arial"/>
          <w:i/>
          <w:iCs/>
          <w:sz w:val="20"/>
          <w:szCs w:val="20"/>
        </w:rPr>
        <w:t>”</w:t>
      </w:r>
      <w:r w:rsidR="003F1D3D" w:rsidRPr="00AA6DF1">
        <w:rPr>
          <w:rFonts w:ascii="Book Antiqua" w:eastAsia="Calibri" w:hAnsi="Book Antiqua" w:cs="Arial"/>
          <w:i/>
          <w:iCs/>
          <w:sz w:val="20"/>
          <w:szCs w:val="20"/>
        </w:rPr>
        <w:t>.</w:t>
      </w:r>
      <w:bookmarkEnd w:id="41"/>
      <w:bookmarkEnd w:id="42"/>
    </w:p>
    <w:p w14:paraId="18DFFC51" w14:textId="6641C4C9" w:rsidR="00F30375" w:rsidRDefault="00F30375" w:rsidP="00200D8B">
      <w:pPr>
        <w:spacing w:line="276" w:lineRule="auto"/>
        <w:jc w:val="both"/>
        <w:rPr>
          <w:rFonts w:ascii="Book Antiqua" w:eastAsia="Calibri" w:hAnsi="Book Antiqua" w:cs="Arial"/>
          <w:sz w:val="24"/>
          <w:szCs w:val="24"/>
        </w:rPr>
      </w:pPr>
    </w:p>
    <w:p w14:paraId="406F18FA" w14:textId="77777777" w:rsidR="00456AAF" w:rsidRPr="00456AAF" w:rsidRDefault="00456AAF" w:rsidP="00456AAF">
      <w:pPr>
        <w:spacing w:after="0" w:line="276" w:lineRule="auto"/>
        <w:jc w:val="both"/>
        <w:rPr>
          <w:rFonts w:ascii="Book Antiqua" w:eastAsia="Calibri" w:hAnsi="Book Antiqua" w:cs="Arial"/>
          <w:sz w:val="24"/>
          <w:szCs w:val="24"/>
        </w:rPr>
      </w:pPr>
      <w:r w:rsidRPr="00456AAF">
        <w:rPr>
          <w:rFonts w:ascii="Book Antiqua" w:eastAsia="Calibri" w:hAnsi="Book Antiqua" w:cs="Arial"/>
          <w:sz w:val="24"/>
          <w:szCs w:val="24"/>
        </w:rPr>
        <w:t xml:space="preserve">Esos 500 recursos representan la cantidad de asuntos al mes que actualmente se presentan en los Juzgados de Familia y que a partir de la especialización de un despacho en el conocimiento de apelaciones, representaría la entrada mensual que se proyecta en caso de que el comportamiento de entrada se mantenga como hasta la fecha. </w:t>
      </w:r>
    </w:p>
    <w:p w14:paraId="011E0C69" w14:textId="7529D2CA" w:rsidR="00456AAF" w:rsidRDefault="00456AAF" w:rsidP="00456AAF">
      <w:pPr>
        <w:spacing w:after="0" w:line="276" w:lineRule="auto"/>
        <w:jc w:val="both"/>
        <w:rPr>
          <w:rFonts w:ascii="Book Antiqua" w:eastAsia="Calibri" w:hAnsi="Book Antiqua" w:cs="Arial"/>
          <w:sz w:val="24"/>
          <w:szCs w:val="24"/>
        </w:rPr>
      </w:pPr>
      <w:r w:rsidRPr="00456AAF">
        <w:rPr>
          <w:rFonts w:ascii="Book Antiqua" w:eastAsia="Calibri" w:hAnsi="Book Antiqua" w:cs="Arial"/>
          <w:sz w:val="24"/>
          <w:szCs w:val="24"/>
        </w:rPr>
        <w:t xml:space="preserve">La cuota de trabajo actual del personal Juzgador en los planes de Descongestionamiento del Centro de Apoyo, Coordinación y Mejoramiento de la Función Jurisdiccional cuando resuelven en segunda instancia apelaciones de Pensiones Alimentarias, es de mínimo 40 sentencias dictadas por mes por plaza pero en promedio dictan 45 por mes; cuota que conforme a la experiencia y criterio experto de distintas personas Juzgadoras en materia de Familia y el Juez Gestor en la materia de ese Centro, se ajusta a la cantidad de sentencias estimada también que podría resolver una persona Juzgadora de Familia que conozca y trámite únicamente esos asuntos en un eventual Juzgado con esa única competencia, considerando que realizará otras funciones en una oficina especializada y además, el cambio en la complejidad de las resoluciones en segunda instancia que conocerán a partir de la entrada en vigencia de la Ley 9747.   </w:t>
      </w:r>
    </w:p>
    <w:p w14:paraId="60887CDA" w14:textId="6F2A9F91" w:rsidR="00456AAF" w:rsidRDefault="00456AAF" w:rsidP="00456AAF">
      <w:pPr>
        <w:spacing w:after="0" w:line="276" w:lineRule="auto"/>
        <w:jc w:val="both"/>
        <w:rPr>
          <w:rFonts w:ascii="Book Antiqua" w:eastAsia="Calibri" w:hAnsi="Book Antiqua" w:cs="Arial"/>
          <w:sz w:val="24"/>
          <w:szCs w:val="24"/>
        </w:rPr>
      </w:pPr>
    </w:p>
    <w:p w14:paraId="51387EDA" w14:textId="076D1312" w:rsidR="00456AAF" w:rsidRDefault="00456AAF" w:rsidP="00456AAF">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 continuación, se proyecta la carga de trabajo, la cuota y necesidad de recurso humano, para el Juzgado Especializado en Apelaciones de Pensiones Alimentarias.</w:t>
      </w:r>
    </w:p>
    <w:p w14:paraId="7E815554" w14:textId="42B375C5" w:rsidR="000C1B82" w:rsidRDefault="000C1B82" w:rsidP="00456AAF">
      <w:pPr>
        <w:spacing w:after="0" w:line="276" w:lineRule="auto"/>
        <w:jc w:val="both"/>
        <w:rPr>
          <w:rFonts w:ascii="Book Antiqua" w:eastAsia="Calibri" w:hAnsi="Book Antiqua" w:cs="Arial"/>
          <w:sz w:val="24"/>
          <w:szCs w:val="24"/>
        </w:rPr>
      </w:pPr>
    </w:p>
    <w:p w14:paraId="34E635F2" w14:textId="4A57BC1E" w:rsidR="000C1B82" w:rsidRPr="000C1B82" w:rsidRDefault="008D0DA6" w:rsidP="000C1B8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De acuerdo con </w:t>
      </w:r>
      <w:r w:rsidR="000C1B82" w:rsidRPr="000C1B82">
        <w:rPr>
          <w:rFonts w:ascii="Book Antiqua" w:eastAsia="Calibri" w:hAnsi="Book Antiqua" w:cs="Arial"/>
          <w:sz w:val="24"/>
          <w:szCs w:val="24"/>
        </w:rPr>
        <w:t xml:space="preserve">la información </w:t>
      </w:r>
      <w:r>
        <w:rPr>
          <w:rFonts w:ascii="Book Antiqua" w:eastAsia="Calibri" w:hAnsi="Book Antiqua" w:cs="Arial"/>
          <w:sz w:val="24"/>
          <w:szCs w:val="24"/>
        </w:rPr>
        <w:t>d</w:t>
      </w:r>
      <w:r w:rsidR="000C1B82" w:rsidRPr="000C1B82">
        <w:rPr>
          <w:rFonts w:ascii="Book Antiqua" w:eastAsia="Calibri" w:hAnsi="Book Antiqua" w:cs="Arial"/>
          <w:sz w:val="24"/>
          <w:szCs w:val="24"/>
        </w:rPr>
        <w:t xml:space="preserve">el CACMFJ, en el plan de Segunda Instancia de Pensiones de enero a setiembre 2022, </w:t>
      </w:r>
      <w:r w:rsidR="000C1B82">
        <w:rPr>
          <w:rFonts w:ascii="Book Antiqua" w:eastAsia="Calibri" w:hAnsi="Book Antiqua" w:cs="Arial"/>
          <w:sz w:val="24"/>
          <w:szCs w:val="24"/>
        </w:rPr>
        <w:t>se</w:t>
      </w:r>
      <w:r w:rsidR="000C1B82" w:rsidRPr="000C1B82">
        <w:rPr>
          <w:rFonts w:ascii="Book Antiqua" w:eastAsia="Calibri" w:hAnsi="Book Antiqua" w:cs="Arial"/>
          <w:sz w:val="24"/>
          <w:szCs w:val="24"/>
        </w:rPr>
        <w:t xml:space="preserve"> tiene un rendimiento del 114%, es decir, en promedio se dictan 46 sentencias de segunda instancia por mes. Incluso un</w:t>
      </w:r>
      <w:r w:rsidR="000C1B82">
        <w:rPr>
          <w:rFonts w:ascii="Book Antiqua" w:eastAsia="Calibri" w:hAnsi="Book Antiqua" w:cs="Arial"/>
          <w:sz w:val="24"/>
          <w:szCs w:val="24"/>
        </w:rPr>
        <w:t>a</w:t>
      </w:r>
      <w:r w:rsidR="000C1B82" w:rsidRPr="000C1B82">
        <w:rPr>
          <w:rFonts w:ascii="Book Antiqua" w:eastAsia="Calibri" w:hAnsi="Book Antiqua" w:cs="Arial"/>
          <w:sz w:val="24"/>
          <w:szCs w:val="24"/>
        </w:rPr>
        <w:t xml:space="preserve"> de l</w:t>
      </w:r>
      <w:r w:rsidR="000C1B82">
        <w:rPr>
          <w:rFonts w:ascii="Book Antiqua" w:eastAsia="Calibri" w:hAnsi="Book Antiqua" w:cs="Arial"/>
          <w:sz w:val="24"/>
          <w:szCs w:val="24"/>
        </w:rPr>
        <w:t>a</w:t>
      </w:r>
      <w:r w:rsidR="000C1B82" w:rsidRPr="000C1B82">
        <w:rPr>
          <w:rFonts w:ascii="Book Antiqua" w:eastAsia="Calibri" w:hAnsi="Book Antiqua" w:cs="Arial"/>
          <w:sz w:val="24"/>
          <w:szCs w:val="24"/>
        </w:rPr>
        <w:t xml:space="preserve">s </w:t>
      </w:r>
      <w:r w:rsidR="000C1B82">
        <w:rPr>
          <w:rFonts w:ascii="Book Antiqua" w:eastAsia="Calibri" w:hAnsi="Book Antiqua" w:cs="Arial"/>
          <w:sz w:val="24"/>
          <w:szCs w:val="24"/>
        </w:rPr>
        <w:t xml:space="preserve">personas </w:t>
      </w:r>
      <w:r w:rsidR="000C1B82" w:rsidRPr="000C1B82">
        <w:rPr>
          <w:rFonts w:ascii="Book Antiqua" w:eastAsia="Calibri" w:hAnsi="Book Antiqua" w:cs="Arial"/>
          <w:sz w:val="24"/>
          <w:szCs w:val="24"/>
        </w:rPr>
        <w:t>ju</w:t>
      </w:r>
      <w:r w:rsidR="000C1B82">
        <w:rPr>
          <w:rFonts w:ascii="Book Antiqua" w:eastAsia="Calibri" w:hAnsi="Book Antiqua" w:cs="Arial"/>
          <w:sz w:val="24"/>
          <w:szCs w:val="24"/>
        </w:rPr>
        <w:t xml:space="preserve">zgadoras </w:t>
      </w:r>
      <w:r w:rsidR="000C1B82" w:rsidRPr="000C1B82">
        <w:rPr>
          <w:rFonts w:ascii="Book Antiqua" w:eastAsia="Calibri" w:hAnsi="Book Antiqua" w:cs="Arial"/>
          <w:sz w:val="24"/>
          <w:szCs w:val="24"/>
        </w:rPr>
        <w:t>en promedio alcanza a dictar 48 sentencias al mes.</w:t>
      </w:r>
    </w:p>
    <w:p w14:paraId="0BA47237" w14:textId="77777777" w:rsidR="000C1B82" w:rsidRDefault="000C1B82" w:rsidP="000C1B82">
      <w:pPr>
        <w:spacing w:after="0" w:line="276" w:lineRule="auto"/>
        <w:jc w:val="both"/>
        <w:rPr>
          <w:rFonts w:ascii="Book Antiqua" w:eastAsia="Calibri" w:hAnsi="Book Antiqua" w:cs="Arial"/>
          <w:sz w:val="24"/>
          <w:szCs w:val="24"/>
        </w:rPr>
      </w:pPr>
    </w:p>
    <w:p w14:paraId="2E427E75" w14:textId="30AA48B5" w:rsidR="00516E49" w:rsidRDefault="000C1B82" w:rsidP="000C1B8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w:t>
      </w:r>
      <w:r w:rsidRPr="000C1B82">
        <w:rPr>
          <w:rFonts w:ascii="Book Antiqua" w:eastAsia="Calibri" w:hAnsi="Book Antiqua" w:cs="Arial"/>
          <w:sz w:val="24"/>
          <w:szCs w:val="24"/>
        </w:rPr>
        <w:t>ara esta proyección</w:t>
      </w:r>
      <w:r>
        <w:rPr>
          <w:rFonts w:ascii="Book Antiqua" w:eastAsia="Calibri" w:hAnsi="Book Antiqua" w:cs="Arial"/>
          <w:sz w:val="24"/>
          <w:szCs w:val="24"/>
        </w:rPr>
        <w:t>,</w:t>
      </w:r>
      <w:r w:rsidRPr="000C1B82">
        <w:rPr>
          <w:rFonts w:ascii="Book Antiqua" w:eastAsia="Calibri" w:hAnsi="Book Antiqua" w:cs="Arial"/>
          <w:sz w:val="24"/>
          <w:szCs w:val="24"/>
        </w:rPr>
        <w:t xml:space="preserve"> </w:t>
      </w:r>
      <w:r>
        <w:rPr>
          <w:rFonts w:ascii="Book Antiqua" w:eastAsia="Calibri" w:hAnsi="Book Antiqua" w:cs="Arial"/>
          <w:sz w:val="24"/>
          <w:szCs w:val="24"/>
        </w:rPr>
        <w:t>s</w:t>
      </w:r>
      <w:r w:rsidRPr="000C1B82">
        <w:rPr>
          <w:rFonts w:ascii="Book Antiqua" w:eastAsia="Calibri" w:hAnsi="Book Antiqua" w:cs="Arial"/>
          <w:sz w:val="24"/>
          <w:szCs w:val="24"/>
        </w:rPr>
        <w:t>e utilizó la cuota de 45 terminados al mes por plaza recomendada por la Comisión de Familia, Niñez y Adolescencia mediante oficio 85-CJF-2022.</w:t>
      </w:r>
    </w:p>
    <w:p w14:paraId="05E58AF8" w14:textId="7360244D" w:rsidR="009C3F67" w:rsidRPr="00F30375" w:rsidRDefault="009C3F67"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3" w:name="_Hlk95816258"/>
      <w:bookmarkStart w:id="44" w:name="_Hlk95816283"/>
      <w:r w:rsidRPr="00F30375">
        <w:rPr>
          <w:rFonts w:ascii="Book Antiqua" w:eastAsia="Calibri" w:hAnsi="Book Antiqua" w:cs="Arial"/>
          <w:b/>
          <w:bCs/>
          <w:color w:val="1F497D"/>
          <w:szCs w:val="24"/>
          <w:lang w:val="es-ES" w:eastAsia="es-ES"/>
        </w:rPr>
        <w:t xml:space="preserve">Cuadro </w:t>
      </w:r>
      <w:r w:rsidRPr="00F30375">
        <w:rPr>
          <w:rFonts w:ascii="Book Antiqua" w:eastAsia="Calibri" w:hAnsi="Book Antiqua" w:cs="Arial"/>
          <w:b/>
          <w:bCs/>
          <w:color w:val="1F497D"/>
          <w:szCs w:val="24"/>
          <w:lang w:val="es-ES" w:eastAsia="es-ES"/>
        </w:rPr>
        <w:fldChar w:fldCharType="begin"/>
      </w:r>
      <w:r w:rsidRPr="00F30375">
        <w:rPr>
          <w:rFonts w:ascii="Book Antiqua" w:eastAsia="Calibri" w:hAnsi="Book Antiqua" w:cs="Arial"/>
          <w:b/>
          <w:bCs/>
          <w:color w:val="1F497D"/>
          <w:szCs w:val="24"/>
          <w:lang w:val="es-ES" w:eastAsia="es-ES"/>
        </w:rPr>
        <w:instrText xml:space="preserve"> SEQ Cuadro \* ARABIC </w:instrText>
      </w:r>
      <w:r w:rsidRPr="00F303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31</w:t>
      </w:r>
      <w:r w:rsidRPr="00F30375">
        <w:rPr>
          <w:rFonts w:ascii="Book Antiqua" w:eastAsia="Calibri" w:hAnsi="Book Antiqua" w:cs="Arial"/>
          <w:b/>
          <w:bCs/>
          <w:color w:val="1F497D"/>
          <w:szCs w:val="24"/>
          <w:lang w:val="es-ES" w:eastAsia="es-ES"/>
        </w:rPr>
        <w:fldChar w:fldCharType="end"/>
      </w:r>
      <w:bookmarkEnd w:id="43"/>
      <w:r w:rsidRPr="00F30375">
        <w:rPr>
          <w:rFonts w:ascii="Book Antiqua" w:eastAsia="Calibri" w:hAnsi="Book Antiqua" w:cs="Arial"/>
          <w:b/>
          <w:bCs/>
          <w:color w:val="1F497D"/>
          <w:szCs w:val="24"/>
          <w:lang w:val="es-ES" w:eastAsia="es-ES"/>
        </w:rPr>
        <w:t xml:space="preserve"> </w:t>
      </w:r>
    </w:p>
    <w:p w14:paraId="521105B6" w14:textId="68F1A01D" w:rsidR="009C3F67" w:rsidRDefault="000C1B82"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965FC">
        <w:rPr>
          <w:rFonts w:ascii="Book Antiqua" w:eastAsia="Calibri" w:hAnsi="Book Antiqua" w:cs="Arial"/>
          <w:b/>
          <w:bCs/>
          <w:i/>
          <w:iCs/>
          <w:color w:val="1F497D"/>
          <w:szCs w:val="24"/>
          <w:lang w:val="es-ES" w:eastAsia="es-ES"/>
        </w:rPr>
        <w:t>Proyección de la carga de trabajo, cuota y recurso humano</w:t>
      </w:r>
      <w:r w:rsidR="00A965FC" w:rsidRPr="00A965FC">
        <w:rPr>
          <w:rFonts w:ascii="Book Antiqua" w:eastAsia="Calibri" w:hAnsi="Book Antiqua" w:cs="Arial"/>
          <w:b/>
          <w:bCs/>
          <w:i/>
          <w:iCs/>
          <w:color w:val="1F497D"/>
          <w:lang w:val="es-ES" w:eastAsia="es-ES"/>
        </w:rPr>
        <w:t xml:space="preserve"> </w:t>
      </w:r>
      <w:r w:rsidR="00A965FC" w:rsidRPr="00624AF8">
        <w:rPr>
          <w:rFonts w:ascii="Book Antiqua" w:eastAsia="Calibri" w:hAnsi="Book Antiqua" w:cs="Arial"/>
          <w:b/>
          <w:bCs/>
          <w:i/>
          <w:iCs/>
          <w:color w:val="1F497D"/>
          <w:lang w:val="es-ES" w:eastAsia="es-ES"/>
        </w:rPr>
        <w:t>de un Juzgado de Familia especializado para el conocimiento de las Apelaciones de Pensiones Alimentarias, 2023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5"/>
        <w:gridCol w:w="2313"/>
        <w:gridCol w:w="2303"/>
        <w:gridCol w:w="2303"/>
      </w:tblGrid>
      <w:tr w:rsidR="00456AAF" w:rsidRPr="00456AAF" w14:paraId="6BB222A0" w14:textId="77777777" w:rsidTr="00612E7C">
        <w:trPr>
          <w:trHeight w:val="725"/>
          <w:jc w:val="center"/>
        </w:trPr>
        <w:tc>
          <w:tcPr>
            <w:tcW w:w="1875" w:type="dxa"/>
            <w:shd w:val="clear" w:color="auto" w:fill="002060"/>
            <w:vAlign w:val="center"/>
          </w:tcPr>
          <w:p w14:paraId="6D8C06F0" w14:textId="77777777" w:rsidR="00456AAF" w:rsidRPr="00456AAF" w:rsidRDefault="00456AAF" w:rsidP="00456AAF">
            <w:pPr>
              <w:spacing w:before="120" w:after="120" w:line="276" w:lineRule="auto"/>
              <w:ind w:right="49"/>
              <w:jc w:val="center"/>
              <w:rPr>
                <w:rFonts w:ascii="Book Antiqua" w:eastAsia="Times New Roman" w:hAnsi="Book Antiqua" w:cs="Times New Roman"/>
                <w:b/>
                <w:bCs/>
                <w:color w:val="FFFFFF"/>
                <w:lang w:eastAsia="es-CR"/>
              </w:rPr>
            </w:pPr>
            <w:r w:rsidRPr="00456AAF">
              <w:rPr>
                <w:rFonts w:ascii="Book Antiqua" w:eastAsia="Times New Roman" w:hAnsi="Book Antiqua" w:cs="Times New Roman"/>
                <w:b/>
                <w:bCs/>
                <w:color w:val="FFFFFF"/>
                <w:lang w:eastAsia="es-CR"/>
              </w:rPr>
              <w:t>Periodo de análisis</w:t>
            </w:r>
          </w:p>
        </w:tc>
        <w:tc>
          <w:tcPr>
            <w:tcW w:w="2313" w:type="dxa"/>
            <w:shd w:val="clear" w:color="auto" w:fill="002060"/>
            <w:vAlign w:val="center"/>
          </w:tcPr>
          <w:p w14:paraId="2FF30C4A" w14:textId="77777777" w:rsidR="00456AAF" w:rsidRPr="00456AAF" w:rsidRDefault="00456AAF" w:rsidP="00456AAF">
            <w:pPr>
              <w:spacing w:before="120" w:after="120" w:line="276" w:lineRule="auto"/>
              <w:ind w:right="49"/>
              <w:jc w:val="center"/>
              <w:rPr>
                <w:rFonts w:ascii="Book Antiqua" w:eastAsia="Times New Roman" w:hAnsi="Book Antiqua" w:cs="Times New Roman"/>
                <w:b/>
                <w:bCs/>
                <w:color w:val="FFFFFF"/>
                <w:lang w:eastAsia="es-CR"/>
              </w:rPr>
            </w:pPr>
            <w:r w:rsidRPr="00456AAF">
              <w:rPr>
                <w:rFonts w:ascii="Book Antiqua" w:eastAsia="Times New Roman" w:hAnsi="Book Antiqua" w:cs="Times New Roman"/>
                <w:b/>
                <w:bCs/>
                <w:color w:val="FFFFFF"/>
                <w:lang w:eastAsia="es-CR"/>
              </w:rPr>
              <w:t>Carga de trabajo esperada(a)</w:t>
            </w:r>
          </w:p>
        </w:tc>
        <w:tc>
          <w:tcPr>
            <w:tcW w:w="2303" w:type="dxa"/>
            <w:shd w:val="clear" w:color="auto" w:fill="002060"/>
            <w:vAlign w:val="center"/>
          </w:tcPr>
          <w:p w14:paraId="1A2B4A54" w14:textId="77777777" w:rsidR="00456AAF" w:rsidRPr="00456AAF" w:rsidRDefault="00456AAF" w:rsidP="00456AAF">
            <w:pPr>
              <w:spacing w:before="120" w:after="120" w:line="276" w:lineRule="auto"/>
              <w:ind w:right="49"/>
              <w:jc w:val="center"/>
              <w:rPr>
                <w:rFonts w:ascii="Book Antiqua" w:eastAsia="Times New Roman" w:hAnsi="Book Antiqua" w:cs="Times New Roman"/>
                <w:b/>
                <w:bCs/>
                <w:color w:val="FFFFFF"/>
                <w:lang w:eastAsia="es-CR"/>
              </w:rPr>
            </w:pPr>
            <w:r w:rsidRPr="00456AAF">
              <w:rPr>
                <w:rFonts w:ascii="Book Antiqua" w:eastAsia="Times New Roman" w:hAnsi="Book Antiqua" w:cs="Times New Roman"/>
                <w:b/>
                <w:bCs/>
                <w:color w:val="FFFFFF"/>
                <w:lang w:eastAsia="es-CR"/>
              </w:rPr>
              <w:t>Cuota de trabajo en terminados (b)</w:t>
            </w:r>
          </w:p>
        </w:tc>
        <w:tc>
          <w:tcPr>
            <w:tcW w:w="2303" w:type="dxa"/>
            <w:shd w:val="clear" w:color="auto" w:fill="002060"/>
            <w:vAlign w:val="center"/>
          </w:tcPr>
          <w:p w14:paraId="09CF2B05" w14:textId="77777777" w:rsidR="00456AAF" w:rsidRPr="00456AAF" w:rsidRDefault="00456AAF" w:rsidP="00456AAF">
            <w:pPr>
              <w:spacing w:before="120" w:after="120" w:line="276" w:lineRule="auto"/>
              <w:ind w:right="49"/>
              <w:jc w:val="center"/>
              <w:rPr>
                <w:rFonts w:ascii="Book Antiqua" w:eastAsia="Times New Roman" w:hAnsi="Book Antiqua" w:cs="Times New Roman"/>
                <w:b/>
                <w:bCs/>
                <w:color w:val="FFFFFF"/>
                <w:lang w:eastAsia="es-CR"/>
              </w:rPr>
            </w:pPr>
            <w:r w:rsidRPr="00456AAF">
              <w:rPr>
                <w:rFonts w:ascii="Book Antiqua" w:eastAsia="Times New Roman" w:hAnsi="Book Antiqua" w:cs="Times New Roman"/>
                <w:b/>
                <w:bCs/>
                <w:color w:val="FFFFFF"/>
                <w:lang w:eastAsia="es-CR"/>
              </w:rPr>
              <w:t>Cantidad de recurso humano necesario (a/b)</w:t>
            </w:r>
          </w:p>
        </w:tc>
      </w:tr>
      <w:tr w:rsidR="00456AAF" w:rsidRPr="00456AAF" w14:paraId="77B4F21D" w14:textId="77777777" w:rsidTr="000C1B82">
        <w:trPr>
          <w:trHeight w:val="833"/>
          <w:jc w:val="center"/>
        </w:trPr>
        <w:tc>
          <w:tcPr>
            <w:tcW w:w="1875" w:type="dxa"/>
            <w:vAlign w:val="center"/>
          </w:tcPr>
          <w:p w14:paraId="2BE73CBA" w14:textId="77777777" w:rsidR="00456AAF" w:rsidRPr="00456AAF" w:rsidRDefault="00456AAF" w:rsidP="00456AAF">
            <w:pPr>
              <w:spacing w:before="120" w:after="120" w:line="276" w:lineRule="auto"/>
              <w:ind w:right="49"/>
              <w:jc w:val="both"/>
              <w:rPr>
                <w:rFonts w:ascii="Book Antiqua" w:eastAsia="Times New Roman" w:hAnsi="Book Antiqua" w:cs="Times New Roman"/>
                <w:color w:val="000000"/>
                <w:lang w:eastAsia="es-CR"/>
              </w:rPr>
            </w:pPr>
            <w:r w:rsidRPr="00456AAF">
              <w:rPr>
                <w:rFonts w:ascii="Book Antiqua" w:eastAsia="Times New Roman" w:hAnsi="Book Antiqua" w:cs="Times New Roman"/>
                <w:color w:val="000000"/>
                <w:lang w:eastAsia="es-CR"/>
              </w:rPr>
              <w:t>2019-2021</w:t>
            </w:r>
          </w:p>
        </w:tc>
        <w:tc>
          <w:tcPr>
            <w:tcW w:w="2313" w:type="dxa"/>
            <w:shd w:val="clear" w:color="auto" w:fill="auto"/>
            <w:vAlign w:val="center"/>
          </w:tcPr>
          <w:p w14:paraId="611174EC" w14:textId="77777777" w:rsidR="00456AAF" w:rsidRPr="00456AAF" w:rsidRDefault="00456AAF" w:rsidP="00456AAF">
            <w:pPr>
              <w:spacing w:before="120" w:after="120" w:line="276" w:lineRule="auto"/>
              <w:ind w:right="49"/>
              <w:jc w:val="both"/>
              <w:rPr>
                <w:rFonts w:ascii="Book Antiqua" w:eastAsia="Times New Roman" w:hAnsi="Book Antiqua" w:cs="Times New Roman"/>
                <w:color w:val="000000"/>
                <w:lang w:eastAsia="es-CR"/>
              </w:rPr>
            </w:pPr>
            <w:r w:rsidRPr="00456AAF">
              <w:rPr>
                <w:rFonts w:ascii="Book Antiqua" w:eastAsia="Times New Roman" w:hAnsi="Book Antiqua" w:cs="Times New Roman"/>
                <w:color w:val="000000"/>
                <w:lang w:eastAsia="es-CR"/>
              </w:rPr>
              <w:t>560 recursos nuevos por mes</w:t>
            </w:r>
          </w:p>
        </w:tc>
        <w:tc>
          <w:tcPr>
            <w:tcW w:w="2303" w:type="dxa"/>
            <w:vMerge w:val="restart"/>
            <w:shd w:val="clear" w:color="auto" w:fill="auto"/>
            <w:vAlign w:val="center"/>
          </w:tcPr>
          <w:p w14:paraId="75BF7B44" w14:textId="77777777" w:rsidR="00456AAF" w:rsidRPr="00456AAF" w:rsidRDefault="00456AAF" w:rsidP="00456AAF">
            <w:pPr>
              <w:spacing w:before="120" w:after="120" w:line="276" w:lineRule="auto"/>
              <w:ind w:right="49"/>
              <w:jc w:val="center"/>
              <w:rPr>
                <w:rFonts w:ascii="Book Antiqua" w:eastAsia="Times New Roman" w:hAnsi="Book Antiqua" w:cs="Times New Roman"/>
                <w:color w:val="000000"/>
                <w:lang w:eastAsia="es-CR"/>
              </w:rPr>
            </w:pPr>
            <w:r w:rsidRPr="00456AAF">
              <w:rPr>
                <w:rFonts w:ascii="Book Antiqua" w:eastAsia="Times New Roman" w:hAnsi="Book Antiqua" w:cs="Times New Roman"/>
                <w:color w:val="000000"/>
                <w:lang w:eastAsia="es-CR"/>
              </w:rPr>
              <w:t>45</w:t>
            </w:r>
          </w:p>
        </w:tc>
        <w:tc>
          <w:tcPr>
            <w:tcW w:w="2303" w:type="dxa"/>
            <w:shd w:val="clear" w:color="auto" w:fill="auto"/>
            <w:vAlign w:val="center"/>
          </w:tcPr>
          <w:p w14:paraId="4DE8D15E" w14:textId="77777777" w:rsidR="00456AAF" w:rsidRPr="00456AAF" w:rsidRDefault="00456AAF" w:rsidP="00456AAF">
            <w:pPr>
              <w:spacing w:before="120" w:after="120" w:line="276" w:lineRule="auto"/>
              <w:ind w:right="49"/>
              <w:jc w:val="center"/>
              <w:rPr>
                <w:rFonts w:ascii="Book Antiqua" w:eastAsia="Times New Roman" w:hAnsi="Book Antiqua" w:cs="Times New Roman"/>
                <w:color w:val="000000"/>
                <w:lang w:eastAsia="es-CR"/>
              </w:rPr>
            </w:pPr>
            <w:r w:rsidRPr="00456AAF">
              <w:rPr>
                <w:rFonts w:ascii="Book Antiqua" w:eastAsia="Times New Roman" w:hAnsi="Book Antiqua" w:cs="Times New Roman"/>
                <w:color w:val="000000"/>
                <w:lang w:eastAsia="es-CR"/>
              </w:rPr>
              <w:t>12 plazas</w:t>
            </w:r>
          </w:p>
        </w:tc>
      </w:tr>
      <w:tr w:rsidR="00456AAF" w:rsidRPr="00456AAF" w14:paraId="21F874BD" w14:textId="77777777" w:rsidTr="000C1B82">
        <w:trPr>
          <w:trHeight w:val="833"/>
          <w:jc w:val="center"/>
        </w:trPr>
        <w:tc>
          <w:tcPr>
            <w:tcW w:w="1875" w:type="dxa"/>
            <w:vAlign w:val="center"/>
          </w:tcPr>
          <w:p w14:paraId="73B9431C" w14:textId="4DECE54F" w:rsidR="00456AAF" w:rsidRPr="00456AAF" w:rsidRDefault="00456AAF" w:rsidP="00456AAF">
            <w:pPr>
              <w:spacing w:before="120" w:after="120" w:line="276" w:lineRule="auto"/>
              <w:ind w:right="49"/>
              <w:jc w:val="both"/>
              <w:rPr>
                <w:rFonts w:ascii="Book Antiqua" w:eastAsia="Times New Roman" w:hAnsi="Book Antiqua" w:cs="Times New Roman"/>
                <w:color w:val="000000"/>
                <w:lang w:eastAsia="es-CR"/>
              </w:rPr>
            </w:pPr>
            <w:r w:rsidRPr="00456AAF">
              <w:rPr>
                <w:rFonts w:ascii="Book Antiqua" w:eastAsia="Times New Roman" w:hAnsi="Book Antiqua" w:cs="Times New Roman"/>
                <w:color w:val="000000"/>
                <w:lang w:eastAsia="es-CR"/>
              </w:rPr>
              <w:t>2022</w:t>
            </w:r>
          </w:p>
        </w:tc>
        <w:tc>
          <w:tcPr>
            <w:tcW w:w="2313" w:type="dxa"/>
            <w:shd w:val="clear" w:color="auto" w:fill="auto"/>
            <w:vAlign w:val="center"/>
          </w:tcPr>
          <w:p w14:paraId="25507DB0" w14:textId="77777777" w:rsidR="00456AAF" w:rsidRPr="00456AAF" w:rsidRDefault="00456AAF" w:rsidP="00456AAF">
            <w:pPr>
              <w:spacing w:before="120" w:after="120" w:line="276" w:lineRule="auto"/>
              <w:ind w:right="49"/>
              <w:jc w:val="both"/>
              <w:rPr>
                <w:rFonts w:ascii="Book Antiqua" w:eastAsia="Times New Roman" w:hAnsi="Book Antiqua" w:cs="Times New Roman"/>
                <w:color w:val="000000"/>
                <w:lang w:eastAsia="es-CR"/>
              </w:rPr>
            </w:pPr>
            <w:r w:rsidRPr="00456AAF">
              <w:rPr>
                <w:rFonts w:ascii="Book Antiqua" w:eastAsia="Times New Roman" w:hAnsi="Book Antiqua" w:cs="Times New Roman"/>
                <w:color w:val="000000"/>
                <w:lang w:eastAsia="es-CR"/>
              </w:rPr>
              <w:t>500 recursos nuevos por mes</w:t>
            </w:r>
          </w:p>
        </w:tc>
        <w:tc>
          <w:tcPr>
            <w:tcW w:w="2303" w:type="dxa"/>
            <w:vMerge/>
            <w:shd w:val="clear" w:color="auto" w:fill="auto"/>
            <w:vAlign w:val="center"/>
          </w:tcPr>
          <w:p w14:paraId="1BF28DCD" w14:textId="77777777" w:rsidR="00456AAF" w:rsidRPr="00456AAF" w:rsidRDefault="00456AAF" w:rsidP="00456AAF">
            <w:pPr>
              <w:spacing w:before="120" w:after="120" w:line="276" w:lineRule="auto"/>
              <w:ind w:right="49"/>
              <w:jc w:val="center"/>
              <w:rPr>
                <w:rFonts w:ascii="Book Antiqua" w:eastAsia="Times New Roman" w:hAnsi="Book Antiqua" w:cs="Times New Roman"/>
                <w:color w:val="000000"/>
                <w:lang w:eastAsia="es-CR"/>
              </w:rPr>
            </w:pPr>
          </w:p>
        </w:tc>
        <w:tc>
          <w:tcPr>
            <w:tcW w:w="2303" w:type="dxa"/>
            <w:shd w:val="clear" w:color="auto" w:fill="auto"/>
            <w:vAlign w:val="center"/>
          </w:tcPr>
          <w:p w14:paraId="4336A22D" w14:textId="77777777" w:rsidR="00456AAF" w:rsidRPr="00456AAF" w:rsidRDefault="00456AAF" w:rsidP="00456AAF">
            <w:pPr>
              <w:spacing w:before="120" w:after="120" w:line="276" w:lineRule="auto"/>
              <w:ind w:right="49"/>
              <w:jc w:val="center"/>
              <w:rPr>
                <w:rFonts w:ascii="Book Antiqua" w:eastAsia="Times New Roman" w:hAnsi="Book Antiqua" w:cs="Times New Roman"/>
                <w:color w:val="000000"/>
                <w:lang w:eastAsia="es-CR"/>
              </w:rPr>
            </w:pPr>
            <w:r w:rsidRPr="00456AAF">
              <w:rPr>
                <w:rFonts w:ascii="Book Antiqua" w:eastAsia="Times New Roman" w:hAnsi="Book Antiqua" w:cs="Times New Roman"/>
                <w:color w:val="000000"/>
                <w:lang w:eastAsia="es-CR"/>
              </w:rPr>
              <w:t>11 plazas</w:t>
            </w:r>
          </w:p>
        </w:tc>
      </w:tr>
    </w:tbl>
    <w:p w14:paraId="4A363623" w14:textId="4AD016C3" w:rsidR="007668DC" w:rsidRDefault="00135A80" w:rsidP="00A965FC">
      <w:pPr>
        <w:spacing w:after="0" w:line="276" w:lineRule="auto"/>
        <w:jc w:val="both"/>
        <w:rPr>
          <w:rFonts w:ascii="Book Antiqua" w:eastAsia="Calibri" w:hAnsi="Book Antiqua" w:cs="Arial"/>
          <w:i/>
          <w:iCs/>
          <w:sz w:val="20"/>
          <w:szCs w:val="20"/>
        </w:rPr>
      </w:pPr>
      <w:bookmarkStart w:id="45" w:name="_Hlk95816425"/>
      <w:bookmarkEnd w:id="44"/>
      <w:r w:rsidRPr="00F53EAA">
        <w:rPr>
          <w:rFonts w:ascii="Book Antiqua" w:eastAsia="Calibri" w:hAnsi="Book Antiqua" w:cs="Arial"/>
          <w:b/>
          <w:bCs/>
          <w:i/>
          <w:iCs/>
          <w:sz w:val="20"/>
          <w:szCs w:val="20"/>
        </w:rPr>
        <w:t>Fuente:</w:t>
      </w:r>
      <w:r w:rsidRPr="00FE54CE">
        <w:rPr>
          <w:rFonts w:ascii="Book Antiqua" w:eastAsia="Calibri" w:hAnsi="Book Antiqua" w:cs="Arial"/>
          <w:i/>
          <w:iCs/>
          <w:sz w:val="20"/>
          <w:szCs w:val="20"/>
        </w:rPr>
        <w:t xml:space="preserve"> </w:t>
      </w:r>
      <w:bookmarkEnd w:id="45"/>
      <w:r w:rsidR="00A965FC" w:rsidRPr="00A965FC">
        <w:rPr>
          <w:rFonts w:ascii="Book Antiqua" w:eastAsia="Calibri" w:hAnsi="Book Antiqua" w:cs="Arial"/>
          <w:i/>
          <w:iCs/>
          <w:sz w:val="20"/>
          <w:szCs w:val="20"/>
        </w:rPr>
        <w:t>Subproceso de Modernización Institucional con datos del informe preliminar “Análisis de modificación de la competencia actual del Juzgado Primero de Familia para limitarlo al conocimiento de una clase de proceso (segunda instancia en Pensiones Alimentarias) a nivel nacional”.</w:t>
      </w:r>
    </w:p>
    <w:p w14:paraId="7F3A0105" w14:textId="77777777" w:rsidR="000D1E1E" w:rsidRDefault="000D1E1E" w:rsidP="003D0E93">
      <w:pPr>
        <w:spacing w:after="0" w:line="276" w:lineRule="auto"/>
        <w:jc w:val="both"/>
        <w:rPr>
          <w:rFonts w:ascii="Book Antiqua" w:eastAsia="Calibri" w:hAnsi="Book Antiqua" w:cs="Arial"/>
          <w:sz w:val="24"/>
          <w:szCs w:val="24"/>
        </w:rPr>
      </w:pPr>
    </w:p>
    <w:p w14:paraId="236766A6" w14:textId="4C580ABC" w:rsidR="0036617F" w:rsidRDefault="003D0E93" w:rsidP="003D0E93">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w:t>
      </w:r>
      <w:r w:rsidRPr="003D0E93">
        <w:rPr>
          <w:rFonts w:ascii="Book Antiqua" w:eastAsia="Calibri" w:hAnsi="Book Antiqua" w:cs="Arial"/>
          <w:sz w:val="24"/>
          <w:szCs w:val="24"/>
        </w:rPr>
        <w:t>n cuanto a personal de apoyo, en un juzgado que solamente va a conocer apelaciones, la labor se centra en las personas juzgadoras, por lo que el despacho a nivel de apoyo debe asignársele la estructura mínima, para los controles administrativos, nombramientos, permisos, informes, atención del público por eventuales consultas, principalmente telefónicas para consultar por estados de las apelaciones, envío y recepción de correspondencia, correo electrónico oficial del</w:t>
      </w:r>
      <w:r>
        <w:rPr>
          <w:rFonts w:ascii="Book Antiqua" w:eastAsia="Calibri" w:hAnsi="Book Antiqua" w:cs="Arial"/>
          <w:sz w:val="24"/>
          <w:szCs w:val="24"/>
        </w:rPr>
        <w:t xml:space="preserve"> </w:t>
      </w:r>
      <w:r w:rsidRPr="003D0E93">
        <w:rPr>
          <w:rFonts w:ascii="Book Antiqua" w:eastAsia="Calibri" w:hAnsi="Book Antiqua" w:cs="Arial"/>
          <w:sz w:val="24"/>
          <w:szCs w:val="24"/>
        </w:rPr>
        <w:t>despacho, descarga de comprobantes o actas de notificación, recibo y envío por</w:t>
      </w:r>
      <w:r>
        <w:rPr>
          <w:rFonts w:ascii="Book Antiqua" w:eastAsia="Calibri" w:hAnsi="Book Antiqua" w:cs="Arial"/>
          <w:sz w:val="24"/>
          <w:szCs w:val="24"/>
        </w:rPr>
        <w:t xml:space="preserve"> </w:t>
      </w:r>
      <w:r w:rsidRPr="003D0E93">
        <w:rPr>
          <w:rFonts w:ascii="Book Antiqua" w:eastAsia="Calibri" w:hAnsi="Book Antiqua" w:cs="Arial"/>
          <w:sz w:val="24"/>
          <w:szCs w:val="24"/>
        </w:rPr>
        <w:t xml:space="preserve">sistema de itineración de los recursos, entre otras propias de los puestos según el tipo de puesto del manual institucional, por lo que ese recurso de apoyo deberá estar compuesto por 3 plazas: 1 de persona Coordinadora Judicial, 1 de persona Técnica Judicial y 1 de Auxiliar de Servicios Generales. Se incluye inicialmente una plaza de persona técnica judicial que se espera posteriormente se recalifique a persona juzgadora.  </w:t>
      </w:r>
    </w:p>
    <w:p w14:paraId="3AC1445F" w14:textId="0E174A3E" w:rsidR="00471A4D" w:rsidRDefault="00471A4D" w:rsidP="003D0E93">
      <w:pPr>
        <w:spacing w:after="0" w:line="276" w:lineRule="auto"/>
        <w:jc w:val="both"/>
        <w:rPr>
          <w:rFonts w:ascii="Book Antiqua" w:eastAsia="Calibri" w:hAnsi="Book Antiqua" w:cs="Arial"/>
          <w:sz w:val="24"/>
          <w:szCs w:val="24"/>
        </w:rPr>
      </w:pPr>
    </w:p>
    <w:p w14:paraId="2E87E7CB" w14:textId="6CC14D79" w:rsidR="004713FC" w:rsidRDefault="004713FC" w:rsidP="003D0E93">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Una vez realizado el análisis de las cargas de trabajo, cuotas y necesidad de personal, para el Juzgado Especializado en Apelaciones de Pensiones Alimentarias, lo que se propone en el informe preliminar, es un plan de trabajo </w:t>
      </w:r>
      <w:r w:rsidR="00EB0F46">
        <w:rPr>
          <w:rFonts w:ascii="Book Antiqua" w:eastAsia="Calibri" w:hAnsi="Book Antiqua" w:cs="Arial"/>
          <w:sz w:val="24"/>
          <w:szCs w:val="24"/>
        </w:rPr>
        <w:t xml:space="preserve">en 2023 </w:t>
      </w:r>
      <w:r>
        <w:rPr>
          <w:rFonts w:ascii="Book Antiqua" w:eastAsia="Calibri" w:hAnsi="Book Antiqua" w:cs="Arial"/>
          <w:sz w:val="24"/>
          <w:szCs w:val="24"/>
        </w:rPr>
        <w:t xml:space="preserve">y no </w:t>
      </w:r>
      <w:r w:rsidRPr="004713FC">
        <w:rPr>
          <w:rFonts w:ascii="Book Antiqua" w:eastAsia="Calibri" w:hAnsi="Book Antiqua" w:cs="Arial"/>
          <w:sz w:val="24"/>
          <w:szCs w:val="24"/>
        </w:rPr>
        <w:t>crea</w:t>
      </w:r>
      <w:r>
        <w:rPr>
          <w:rFonts w:ascii="Book Antiqua" w:eastAsia="Calibri" w:hAnsi="Book Antiqua" w:cs="Arial"/>
          <w:sz w:val="24"/>
          <w:szCs w:val="24"/>
        </w:rPr>
        <w:t>r</w:t>
      </w:r>
      <w:r w:rsidRPr="004713FC">
        <w:rPr>
          <w:rFonts w:ascii="Book Antiqua" w:eastAsia="Calibri" w:hAnsi="Book Antiqua" w:cs="Arial"/>
          <w:sz w:val="24"/>
          <w:szCs w:val="24"/>
        </w:rPr>
        <w:t xml:space="preserve"> una oficina nueva, por lo que no se</w:t>
      </w:r>
      <w:r w:rsidRPr="004713FC">
        <w:t xml:space="preserve"> </w:t>
      </w:r>
      <w:r w:rsidRPr="004713FC">
        <w:rPr>
          <w:rFonts w:ascii="Book Antiqua" w:eastAsia="Calibri" w:hAnsi="Book Antiqua" w:cs="Arial"/>
          <w:sz w:val="24"/>
          <w:szCs w:val="24"/>
        </w:rPr>
        <w:t>requiere de reforma legal, sino de un acuerdo de Corte Plena para su funcionamiento, salvo disposición distinta</w:t>
      </w:r>
      <w:r>
        <w:rPr>
          <w:rFonts w:ascii="Book Antiqua" w:eastAsia="Calibri" w:hAnsi="Book Antiqua" w:cs="Arial"/>
          <w:sz w:val="24"/>
          <w:szCs w:val="24"/>
        </w:rPr>
        <w:t>.</w:t>
      </w:r>
    </w:p>
    <w:p w14:paraId="29207E90" w14:textId="401C383E" w:rsidR="004713FC" w:rsidRDefault="004713FC" w:rsidP="003D0E93">
      <w:pPr>
        <w:spacing w:after="0" w:line="276" w:lineRule="auto"/>
        <w:jc w:val="both"/>
        <w:rPr>
          <w:rFonts w:ascii="Book Antiqua" w:eastAsia="Calibri" w:hAnsi="Book Antiqua" w:cs="Arial"/>
          <w:sz w:val="24"/>
          <w:szCs w:val="24"/>
        </w:rPr>
      </w:pPr>
    </w:p>
    <w:p w14:paraId="2CABA04B" w14:textId="2F963118" w:rsidR="003541AC" w:rsidRDefault="006B0E72" w:rsidP="00681ED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2024, se requiere mantener el plan de trabajo de enero a setiembre y formalizar la creación de la oficina a partir del 1 de octubre de 2024, con la entrada en vigencia de la Ley 9</w:t>
      </w:r>
      <w:r w:rsidR="00413776">
        <w:rPr>
          <w:rFonts w:ascii="Book Antiqua" w:eastAsia="Calibri" w:hAnsi="Book Antiqua" w:cs="Arial"/>
          <w:sz w:val="24"/>
          <w:szCs w:val="24"/>
        </w:rPr>
        <w:t>747.</w:t>
      </w:r>
      <w:r w:rsidR="001178FF">
        <w:rPr>
          <w:rFonts w:ascii="Book Antiqua" w:eastAsia="Calibri" w:hAnsi="Book Antiqua" w:cs="Arial"/>
          <w:sz w:val="24"/>
          <w:szCs w:val="24"/>
        </w:rPr>
        <w:t xml:space="preserve"> Oficina que requiere para su funcionamiento la creación de 10 plazas de Juez o Jueza 3, </w:t>
      </w:r>
      <w:r w:rsidR="00A67D53">
        <w:rPr>
          <w:rFonts w:ascii="Book Antiqua" w:eastAsia="Calibri" w:hAnsi="Book Antiqua" w:cs="Arial"/>
          <w:sz w:val="24"/>
          <w:szCs w:val="24"/>
        </w:rPr>
        <w:t>con el presupuesto especializado para la implementación de esta ley; el recurso restante lo aporta la institución con recursos ordinarios.</w:t>
      </w:r>
    </w:p>
    <w:p w14:paraId="2FE62B41" w14:textId="77777777" w:rsidR="00681EDC" w:rsidRDefault="00681EDC" w:rsidP="00681EDC">
      <w:pPr>
        <w:spacing w:after="0" w:line="276" w:lineRule="auto"/>
        <w:jc w:val="both"/>
        <w:rPr>
          <w:rFonts w:ascii="Book Antiqua" w:eastAsia="Calibri" w:hAnsi="Book Antiqua" w:cs="Arial"/>
          <w:sz w:val="24"/>
          <w:szCs w:val="24"/>
        </w:rPr>
      </w:pPr>
    </w:p>
    <w:p w14:paraId="577367C0" w14:textId="40AC9F57" w:rsidR="004F137B" w:rsidRPr="004A3198" w:rsidRDefault="004F137B"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Análisis Juzgado de Niñez y Adolescencia</w:t>
      </w:r>
    </w:p>
    <w:p w14:paraId="27F9274F" w14:textId="77777777" w:rsidR="004A3198" w:rsidRDefault="004A3198" w:rsidP="00D07F56">
      <w:pPr>
        <w:spacing w:after="0" w:line="276" w:lineRule="auto"/>
        <w:jc w:val="both"/>
        <w:rPr>
          <w:rFonts w:ascii="Book Antiqua" w:eastAsia="Calibri" w:hAnsi="Book Antiqua" w:cs="Arial"/>
          <w:sz w:val="24"/>
          <w:szCs w:val="24"/>
        </w:rPr>
      </w:pPr>
    </w:p>
    <w:p w14:paraId="6D3559C1" w14:textId="3969974F" w:rsidR="00D07F56" w:rsidRPr="00D07F56" w:rsidRDefault="00D07F56" w:rsidP="00D07F56">
      <w:pPr>
        <w:spacing w:after="0" w:line="276" w:lineRule="auto"/>
        <w:jc w:val="both"/>
        <w:rPr>
          <w:rFonts w:ascii="Book Antiqua" w:eastAsia="Calibri" w:hAnsi="Book Antiqua" w:cs="Arial"/>
          <w:sz w:val="24"/>
          <w:szCs w:val="24"/>
        </w:rPr>
      </w:pPr>
      <w:r w:rsidRPr="00D07F56">
        <w:rPr>
          <w:rFonts w:ascii="Book Antiqua" w:eastAsia="Calibri" w:hAnsi="Book Antiqua" w:cs="Arial"/>
          <w:sz w:val="24"/>
          <w:szCs w:val="24"/>
        </w:rPr>
        <w:t>Un caso especial de los juzgados especializados es el de Niñez y Adolescencia, el cual con el CPF se adiciona a la Ley 7333, Ley Orgánica del Poder Judicial el artículo 106 bis</w:t>
      </w:r>
      <w:r w:rsidR="004F137B">
        <w:rPr>
          <w:rFonts w:ascii="Book Antiqua" w:eastAsia="Calibri" w:hAnsi="Book Antiqua" w:cs="Arial"/>
          <w:sz w:val="24"/>
          <w:szCs w:val="24"/>
        </w:rPr>
        <w:t xml:space="preserve"> donde se modifica el nombre a Juzgado de Niñez y Adolescencia únicamente y dispone</w:t>
      </w:r>
      <w:r w:rsidRPr="00D07F56">
        <w:rPr>
          <w:rFonts w:ascii="Book Antiqua" w:eastAsia="Calibri" w:hAnsi="Book Antiqua" w:cs="Arial"/>
          <w:sz w:val="24"/>
          <w:szCs w:val="24"/>
        </w:rPr>
        <w:t>:</w:t>
      </w:r>
    </w:p>
    <w:p w14:paraId="1890EE0F" w14:textId="1858411D" w:rsidR="00FE54CE" w:rsidRDefault="00FE54CE" w:rsidP="00200D8B">
      <w:pPr>
        <w:spacing w:line="276" w:lineRule="auto"/>
        <w:jc w:val="both"/>
        <w:rPr>
          <w:rFonts w:ascii="Book Antiqua" w:eastAsia="Calibri" w:hAnsi="Book Antiqua" w:cs="Arial"/>
          <w:sz w:val="24"/>
          <w:szCs w:val="24"/>
        </w:rPr>
      </w:pPr>
    </w:p>
    <w:p w14:paraId="72A9EA39"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“Artículo 106 bis- Juzgados de Niñez y Adolescencia</w:t>
      </w:r>
    </w:p>
    <w:p w14:paraId="7B8B7E98"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Los juzgados de Niñez y Adolescencia conocerán de:</w:t>
      </w:r>
    </w:p>
    <w:p w14:paraId="31849105"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45BC33C6"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391382">
        <w:rPr>
          <w:rFonts w:ascii="Book Antiqua" w:eastAsia="Calibri" w:hAnsi="Book Antiqua" w:cs="Arial"/>
          <w:i/>
          <w:iCs/>
          <w:sz w:val="24"/>
          <w:szCs w:val="24"/>
        </w:rPr>
        <w:t>2) Las diligencias de protección cautelar referidas a personas menores de edad.</w:t>
      </w:r>
    </w:p>
    <w:p w14:paraId="601B0D4B"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3) Los procesos relativos a la adopción de personas menores de edad y su oposición.</w:t>
      </w:r>
    </w:p>
    <w:p w14:paraId="08D9D256"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4) Los asuntos de petición unilateral de nombramiento de personas depositarias para personas menores de edad y de nombramiento de personas tutoras para personas menores de edad.</w:t>
      </w:r>
    </w:p>
    <w:p w14:paraId="2766E9C9"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5) La diligencia de comunicación que establece el artículo 32 de la Ley N.º 7739, Código de la Niñez y la Adolescencia, de 6 de enero de 1998.</w:t>
      </w:r>
    </w:p>
    <w:p w14:paraId="322394DE"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6) Los procedimientos de restitución internacional de personas menores de edad, de adopción internacional y los demás de aplicación de convenios internacionales relativos a materia de niñez y adolescencia.</w:t>
      </w:r>
    </w:p>
    <w:p w14:paraId="1A12E21E"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Los procedimientos establecidos en el inciso 6) deberán ser conocidos, exclusivamente, en los juzgados de Niñez y Adolescencia del Primer Circuito Judicial de San José.</w:t>
      </w:r>
    </w:p>
    <w:p w14:paraId="617947BA" w14:textId="77777777" w:rsidR="00D07F56" w:rsidRPr="00D07F56" w:rsidRDefault="00D07F56" w:rsidP="00D07F56">
      <w:pPr>
        <w:spacing w:after="0" w:line="276" w:lineRule="auto"/>
        <w:ind w:left="567" w:right="616"/>
        <w:jc w:val="both"/>
        <w:rPr>
          <w:rFonts w:ascii="Book Antiqua" w:eastAsia="Calibri" w:hAnsi="Book Antiqua" w:cs="Arial"/>
          <w:sz w:val="24"/>
          <w:szCs w:val="24"/>
        </w:rPr>
      </w:pPr>
      <w:r w:rsidRPr="00D07F56">
        <w:rPr>
          <w:rFonts w:ascii="Book Antiqua" w:eastAsia="Calibri" w:hAnsi="Book Antiqua" w:cs="Arial"/>
          <w:i/>
          <w:iCs/>
          <w:sz w:val="24"/>
          <w:szCs w:val="24"/>
        </w:rPr>
        <w:t>En los lugares en los cuales no exista este despacho, la competencia de estas materias corresponderá al Juzgado de Familia.”.</w:t>
      </w:r>
    </w:p>
    <w:p w14:paraId="0D454A04" w14:textId="77777777" w:rsidR="00EB6D85" w:rsidRDefault="00EB6D85" w:rsidP="00D07F56">
      <w:pPr>
        <w:spacing w:after="0" w:line="276" w:lineRule="auto"/>
        <w:jc w:val="both"/>
        <w:rPr>
          <w:rFonts w:ascii="Book Antiqua" w:eastAsia="Calibri" w:hAnsi="Book Antiqua" w:cs="Arial"/>
          <w:sz w:val="24"/>
          <w:szCs w:val="24"/>
        </w:rPr>
      </w:pPr>
    </w:p>
    <w:p w14:paraId="29F16159" w14:textId="22DE8F36" w:rsidR="00D07F56" w:rsidRPr="00D07F56" w:rsidRDefault="00D07F56" w:rsidP="00D07F56">
      <w:pPr>
        <w:spacing w:after="0" w:line="276" w:lineRule="auto"/>
        <w:jc w:val="both"/>
        <w:rPr>
          <w:rFonts w:ascii="Book Antiqua" w:eastAsia="Calibri" w:hAnsi="Book Antiqua" w:cs="Arial"/>
          <w:sz w:val="24"/>
          <w:szCs w:val="24"/>
        </w:rPr>
      </w:pPr>
      <w:r w:rsidRPr="00D07F56">
        <w:rPr>
          <w:rFonts w:ascii="Book Antiqua" w:eastAsia="Calibri" w:hAnsi="Book Antiqua" w:cs="Arial"/>
          <w:sz w:val="24"/>
          <w:szCs w:val="24"/>
        </w:rPr>
        <w:t>El impacto directo esperado del CPF, en el Juzgado de Niñez y Adolescencia se espera que sea mínimo, ya que este despacho a diferencia de los demás despachos especializados no tendría casos que se estarían desjudicializando, a excepción de las adopciones de personas mayores de edad, pero que actualmente no se registran específicamente en los datos estadísticos diferenciando el tipo de persona involucrada (mayor o menor de edad), lo que limita la posibilidad de utilizar datos específicos de ese segmento de población para estimar el impacto.</w:t>
      </w:r>
    </w:p>
    <w:p w14:paraId="2C30593E" w14:textId="77777777" w:rsidR="00D07F56" w:rsidRPr="00D07F56" w:rsidRDefault="00D07F56" w:rsidP="00D07F56">
      <w:pPr>
        <w:spacing w:after="0" w:line="276" w:lineRule="auto"/>
        <w:jc w:val="both"/>
        <w:rPr>
          <w:rFonts w:ascii="Book Antiqua" w:eastAsia="Calibri" w:hAnsi="Book Antiqua" w:cs="Arial"/>
          <w:sz w:val="24"/>
          <w:szCs w:val="24"/>
        </w:rPr>
      </w:pPr>
    </w:p>
    <w:p w14:paraId="55DC650E" w14:textId="7DE31F3A" w:rsidR="00D07F56" w:rsidRPr="00D07F56" w:rsidRDefault="00D07F56" w:rsidP="00D07F56">
      <w:pPr>
        <w:spacing w:after="0" w:line="276" w:lineRule="auto"/>
        <w:jc w:val="both"/>
        <w:rPr>
          <w:rFonts w:ascii="Book Antiqua" w:eastAsia="Calibri" w:hAnsi="Book Antiqua" w:cs="Arial"/>
          <w:sz w:val="24"/>
          <w:szCs w:val="24"/>
        </w:rPr>
      </w:pPr>
      <w:r w:rsidRPr="00A620B5">
        <w:rPr>
          <w:rFonts w:ascii="Book Antiqua" w:eastAsia="Calibri" w:hAnsi="Book Antiqua" w:cs="Arial"/>
          <w:sz w:val="24"/>
          <w:szCs w:val="24"/>
        </w:rPr>
        <w:t>En el siguiente gráfico se detalla el</w:t>
      </w:r>
      <w:r w:rsidRPr="00D07F56">
        <w:rPr>
          <w:rFonts w:ascii="Book Antiqua" w:eastAsia="Calibri" w:hAnsi="Book Antiqua" w:cs="Arial"/>
          <w:sz w:val="24"/>
          <w:szCs w:val="24"/>
        </w:rPr>
        <w:t xml:space="preserve"> circulante por fase en asuntos principales del Juzgado </w:t>
      </w:r>
      <w:r w:rsidR="00EB6D85">
        <w:rPr>
          <w:rFonts w:ascii="Book Antiqua" w:eastAsia="Calibri" w:hAnsi="Book Antiqua" w:cs="Arial"/>
          <w:sz w:val="24"/>
          <w:szCs w:val="24"/>
        </w:rPr>
        <w:t xml:space="preserve">de </w:t>
      </w:r>
      <w:r w:rsidRPr="00D07F56">
        <w:rPr>
          <w:rFonts w:ascii="Book Antiqua" w:eastAsia="Calibri" w:hAnsi="Book Antiqua" w:cs="Arial"/>
          <w:sz w:val="24"/>
          <w:szCs w:val="24"/>
        </w:rPr>
        <w:t>Niñez y Adolescencia, durante el periodo del 201</w:t>
      </w:r>
      <w:r w:rsidR="00EB6D85">
        <w:rPr>
          <w:rFonts w:ascii="Book Antiqua" w:eastAsia="Calibri" w:hAnsi="Book Antiqua" w:cs="Arial"/>
          <w:sz w:val="24"/>
          <w:szCs w:val="24"/>
        </w:rPr>
        <w:t>7</w:t>
      </w:r>
      <w:r w:rsidRPr="00D07F56">
        <w:rPr>
          <w:rFonts w:ascii="Book Antiqua" w:eastAsia="Calibri" w:hAnsi="Book Antiqua" w:cs="Arial"/>
          <w:sz w:val="24"/>
          <w:szCs w:val="24"/>
        </w:rPr>
        <w:t xml:space="preserve"> al 20</w:t>
      </w:r>
      <w:r w:rsidR="00EB6D85">
        <w:rPr>
          <w:rFonts w:ascii="Book Antiqua" w:eastAsia="Calibri" w:hAnsi="Book Antiqua" w:cs="Arial"/>
          <w:sz w:val="24"/>
          <w:szCs w:val="24"/>
        </w:rPr>
        <w:t>2</w:t>
      </w:r>
      <w:r w:rsidR="00F53EAA">
        <w:rPr>
          <w:rFonts w:ascii="Book Antiqua" w:eastAsia="Calibri" w:hAnsi="Book Antiqua" w:cs="Arial"/>
          <w:sz w:val="24"/>
          <w:szCs w:val="24"/>
        </w:rPr>
        <w:t>2</w:t>
      </w:r>
      <w:r w:rsidRPr="00D07F56">
        <w:rPr>
          <w:rFonts w:ascii="Book Antiqua" w:eastAsia="Calibri" w:hAnsi="Book Antiqua" w:cs="Arial"/>
          <w:sz w:val="24"/>
          <w:szCs w:val="24"/>
        </w:rPr>
        <w:t>.</w:t>
      </w:r>
    </w:p>
    <w:p w14:paraId="0CC6ADA9" w14:textId="77777777" w:rsidR="00D07F56" w:rsidRDefault="00D07F56" w:rsidP="00200D8B">
      <w:pPr>
        <w:spacing w:line="276" w:lineRule="auto"/>
        <w:jc w:val="both"/>
        <w:rPr>
          <w:rFonts w:ascii="Book Antiqua" w:eastAsia="Calibri" w:hAnsi="Book Antiqua" w:cs="Arial"/>
          <w:sz w:val="24"/>
          <w:szCs w:val="24"/>
        </w:rPr>
      </w:pPr>
    </w:p>
    <w:p w14:paraId="7274BE2D" w14:textId="2E4AFD77"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 xml:space="preserve">Cuadro </w:t>
      </w:r>
      <w:r w:rsidRPr="00EB6D85">
        <w:rPr>
          <w:rFonts w:ascii="Book Antiqua" w:eastAsia="Calibri" w:hAnsi="Book Antiqua" w:cs="Arial"/>
          <w:b/>
          <w:bCs/>
          <w:color w:val="1F497D"/>
          <w:szCs w:val="24"/>
          <w:lang w:val="es-ES" w:eastAsia="es-ES"/>
        </w:rPr>
        <w:fldChar w:fldCharType="begin"/>
      </w:r>
      <w:r w:rsidRPr="00EB6D85">
        <w:rPr>
          <w:rFonts w:ascii="Book Antiqua" w:eastAsia="Calibri" w:hAnsi="Book Antiqua" w:cs="Arial"/>
          <w:b/>
          <w:bCs/>
          <w:color w:val="1F497D"/>
          <w:szCs w:val="24"/>
          <w:lang w:val="es-ES" w:eastAsia="es-ES"/>
        </w:rPr>
        <w:instrText xml:space="preserve"> SEQ Cuadro \* ARABIC </w:instrText>
      </w:r>
      <w:r w:rsidRPr="00EB6D85">
        <w:rPr>
          <w:rFonts w:ascii="Book Antiqua" w:eastAsia="Calibri" w:hAnsi="Book Antiqua" w:cs="Arial"/>
          <w:b/>
          <w:bCs/>
          <w:color w:val="1F497D"/>
          <w:szCs w:val="24"/>
          <w:lang w:val="es-ES" w:eastAsia="es-ES"/>
        </w:rPr>
        <w:fldChar w:fldCharType="separate"/>
      </w:r>
      <w:r w:rsidR="00F14A3F">
        <w:rPr>
          <w:rFonts w:ascii="Book Antiqua" w:eastAsia="Calibri" w:hAnsi="Book Antiqua" w:cs="Arial"/>
          <w:b/>
          <w:bCs/>
          <w:noProof/>
          <w:color w:val="1F497D"/>
          <w:szCs w:val="24"/>
          <w:lang w:val="es-ES" w:eastAsia="es-ES"/>
        </w:rPr>
        <w:t>33</w:t>
      </w:r>
      <w:r w:rsidRPr="00EB6D85">
        <w:rPr>
          <w:rFonts w:ascii="Book Antiqua" w:eastAsia="Calibri" w:hAnsi="Book Antiqua" w:cs="Arial"/>
          <w:b/>
          <w:bCs/>
          <w:color w:val="1F497D"/>
          <w:szCs w:val="24"/>
          <w:lang w:val="es-ES" w:eastAsia="es-ES"/>
        </w:rPr>
        <w:fldChar w:fldCharType="end"/>
      </w:r>
      <w:r w:rsidRPr="00EB6D85">
        <w:rPr>
          <w:rFonts w:ascii="Book Antiqua" w:eastAsia="Calibri" w:hAnsi="Book Antiqua" w:cs="Arial"/>
          <w:b/>
          <w:bCs/>
          <w:color w:val="1F497D"/>
          <w:szCs w:val="24"/>
          <w:lang w:val="es-ES" w:eastAsia="es-ES"/>
        </w:rPr>
        <w:t xml:space="preserve"> </w:t>
      </w:r>
    </w:p>
    <w:p w14:paraId="03B0B365" w14:textId="77777777"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 xml:space="preserve">Movimiento histórico del circulante por fase en el </w:t>
      </w:r>
    </w:p>
    <w:p w14:paraId="2CDEE4A9" w14:textId="0E59D3BF" w:rsid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Juzgado de Niñez y Adolescencia, del 201</w:t>
      </w:r>
      <w:r>
        <w:rPr>
          <w:rFonts w:ascii="Book Antiqua" w:eastAsia="Calibri" w:hAnsi="Book Antiqua" w:cs="Arial"/>
          <w:b/>
          <w:bCs/>
          <w:color w:val="1F497D"/>
          <w:szCs w:val="24"/>
          <w:lang w:val="es-ES" w:eastAsia="es-ES"/>
        </w:rPr>
        <w:t>7</w:t>
      </w:r>
      <w:r w:rsidRPr="00EB6D85">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00F53EAA">
        <w:rPr>
          <w:rFonts w:ascii="Book Antiqua" w:eastAsia="Calibri" w:hAnsi="Book Antiqua" w:cs="Arial"/>
          <w:b/>
          <w:bCs/>
          <w:color w:val="1F497D"/>
          <w:szCs w:val="24"/>
          <w:lang w:val="es-ES" w:eastAsia="es-ES"/>
        </w:rPr>
        <w:t>2</w:t>
      </w:r>
    </w:p>
    <w:tbl>
      <w:tblPr>
        <w:tblW w:w="6660" w:type="dxa"/>
        <w:jc w:val="center"/>
        <w:tblCellMar>
          <w:left w:w="70" w:type="dxa"/>
          <w:right w:w="70" w:type="dxa"/>
        </w:tblCellMar>
        <w:tblLook w:val="04A0" w:firstRow="1" w:lastRow="0" w:firstColumn="1" w:lastColumn="0" w:noHBand="0" w:noVBand="1"/>
      </w:tblPr>
      <w:tblGrid>
        <w:gridCol w:w="1360"/>
        <w:gridCol w:w="700"/>
        <w:gridCol w:w="700"/>
        <w:gridCol w:w="660"/>
        <w:gridCol w:w="620"/>
        <w:gridCol w:w="740"/>
        <w:gridCol w:w="680"/>
        <w:gridCol w:w="1200"/>
      </w:tblGrid>
      <w:tr w:rsidR="00B80C7B" w:rsidRPr="00B80C7B" w14:paraId="7E0F641F" w14:textId="77777777" w:rsidTr="00B80C7B">
        <w:trPr>
          <w:trHeight w:val="300"/>
          <w:jc w:val="center"/>
        </w:trPr>
        <w:tc>
          <w:tcPr>
            <w:tcW w:w="136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3025E372"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Fase</w:t>
            </w:r>
          </w:p>
        </w:tc>
        <w:tc>
          <w:tcPr>
            <w:tcW w:w="700" w:type="dxa"/>
            <w:tcBorders>
              <w:top w:val="single" w:sz="8" w:space="0" w:color="auto"/>
              <w:left w:val="nil"/>
              <w:bottom w:val="single" w:sz="8" w:space="0" w:color="auto"/>
              <w:right w:val="single" w:sz="8" w:space="0" w:color="auto"/>
            </w:tcBorders>
            <w:shd w:val="clear" w:color="000000" w:fill="002060"/>
            <w:vAlign w:val="center"/>
            <w:hideMark/>
          </w:tcPr>
          <w:p w14:paraId="38934968"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2017</w:t>
            </w:r>
          </w:p>
        </w:tc>
        <w:tc>
          <w:tcPr>
            <w:tcW w:w="700" w:type="dxa"/>
            <w:tcBorders>
              <w:top w:val="single" w:sz="8" w:space="0" w:color="auto"/>
              <w:left w:val="nil"/>
              <w:bottom w:val="single" w:sz="8" w:space="0" w:color="auto"/>
              <w:right w:val="single" w:sz="8" w:space="0" w:color="auto"/>
            </w:tcBorders>
            <w:shd w:val="clear" w:color="000000" w:fill="002060"/>
            <w:vAlign w:val="center"/>
            <w:hideMark/>
          </w:tcPr>
          <w:p w14:paraId="0573EF14"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2018</w:t>
            </w:r>
          </w:p>
        </w:tc>
        <w:tc>
          <w:tcPr>
            <w:tcW w:w="660" w:type="dxa"/>
            <w:tcBorders>
              <w:top w:val="single" w:sz="8" w:space="0" w:color="auto"/>
              <w:left w:val="nil"/>
              <w:bottom w:val="single" w:sz="8" w:space="0" w:color="auto"/>
              <w:right w:val="single" w:sz="8" w:space="0" w:color="auto"/>
            </w:tcBorders>
            <w:shd w:val="clear" w:color="000000" w:fill="002060"/>
            <w:vAlign w:val="center"/>
            <w:hideMark/>
          </w:tcPr>
          <w:p w14:paraId="4BA79301"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2019</w:t>
            </w:r>
          </w:p>
        </w:tc>
        <w:tc>
          <w:tcPr>
            <w:tcW w:w="620" w:type="dxa"/>
            <w:tcBorders>
              <w:top w:val="single" w:sz="8" w:space="0" w:color="auto"/>
              <w:left w:val="nil"/>
              <w:bottom w:val="single" w:sz="8" w:space="0" w:color="auto"/>
              <w:right w:val="single" w:sz="8" w:space="0" w:color="auto"/>
            </w:tcBorders>
            <w:shd w:val="clear" w:color="000000" w:fill="002060"/>
            <w:vAlign w:val="center"/>
            <w:hideMark/>
          </w:tcPr>
          <w:p w14:paraId="76BF64CD"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2020</w:t>
            </w:r>
          </w:p>
        </w:tc>
        <w:tc>
          <w:tcPr>
            <w:tcW w:w="740" w:type="dxa"/>
            <w:tcBorders>
              <w:top w:val="single" w:sz="8" w:space="0" w:color="auto"/>
              <w:left w:val="nil"/>
              <w:bottom w:val="single" w:sz="8" w:space="0" w:color="auto"/>
              <w:right w:val="single" w:sz="8" w:space="0" w:color="auto"/>
            </w:tcBorders>
            <w:shd w:val="clear" w:color="000000" w:fill="002060"/>
            <w:vAlign w:val="center"/>
            <w:hideMark/>
          </w:tcPr>
          <w:p w14:paraId="278B0BB4"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2021</w:t>
            </w:r>
          </w:p>
        </w:tc>
        <w:tc>
          <w:tcPr>
            <w:tcW w:w="680" w:type="dxa"/>
            <w:tcBorders>
              <w:top w:val="single" w:sz="8" w:space="0" w:color="auto"/>
              <w:left w:val="nil"/>
              <w:bottom w:val="single" w:sz="8" w:space="0" w:color="auto"/>
              <w:right w:val="single" w:sz="8" w:space="0" w:color="auto"/>
            </w:tcBorders>
            <w:shd w:val="clear" w:color="000000" w:fill="002060"/>
            <w:vAlign w:val="center"/>
            <w:hideMark/>
          </w:tcPr>
          <w:p w14:paraId="1C4CBC5A"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2022</w:t>
            </w:r>
          </w:p>
        </w:tc>
        <w:tc>
          <w:tcPr>
            <w:tcW w:w="1200" w:type="dxa"/>
            <w:tcBorders>
              <w:top w:val="single" w:sz="8" w:space="0" w:color="auto"/>
              <w:left w:val="nil"/>
              <w:bottom w:val="single" w:sz="8" w:space="0" w:color="auto"/>
              <w:right w:val="single" w:sz="8" w:space="0" w:color="auto"/>
            </w:tcBorders>
            <w:shd w:val="clear" w:color="000000" w:fill="002060"/>
            <w:vAlign w:val="center"/>
            <w:hideMark/>
          </w:tcPr>
          <w:p w14:paraId="46E298DE"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Porcentaje</w:t>
            </w:r>
          </w:p>
        </w:tc>
      </w:tr>
      <w:tr w:rsidR="00B80C7B" w:rsidRPr="00B80C7B" w14:paraId="357BBDA3" w14:textId="77777777" w:rsidTr="00B80C7B">
        <w:trPr>
          <w:trHeight w:val="300"/>
          <w:jc w:val="center"/>
        </w:trPr>
        <w:tc>
          <w:tcPr>
            <w:tcW w:w="1360" w:type="dxa"/>
            <w:tcBorders>
              <w:top w:val="nil"/>
              <w:left w:val="single" w:sz="8" w:space="0" w:color="auto"/>
              <w:bottom w:val="single" w:sz="8" w:space="0" w:color="auto"/>
              <w:right w:val="single" w:sz="8" w:space="0" w:color="auto"/>
            </w:tcBorders>
            <w:shd w:val="clear" w:color="000000" w:fill="FFFFFF"/>
            <w:noWrap/>
            <w:vAlign w:val="center"/>
            <w:hideMark/>
          </w:tcPr>
          <w:p w14:paraId="2F80F38C" w14:textId="77777777" w:rsidR="00B80C7B" w:rsidRPr="00B80C7B" w:rsidRDefault="00B80C7B" w:rsidP="00B80C7B">
            <w:pPr>
              <w:spacing w:after="0" w:line="240" w:lineRule="auto"/>
              <w:jc w:val="both"/>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Demanda</w:t>
            </w:r>
          </w:p>
        </w:tc>
        <w:tc>
          <w:tcPr>
            <w:tcW w:w="700" w:type="dxa"/>
            <w:tcBorders>
              <w:top w:val="nil"/>
              <w:left w:val="nil"/>
              <w:bottom w:val="single" w:sz="8" w:space="0" w:color="auto"/>
              <w:right w:val="single" w:sz="8" w:space="0" w:color="auto"/>
            </w:tcBorders>
            <w:shd w:val="clear" w:color="000000" w:fill="FFFFFF"/>
            <w:noWrap/>
            <w:vAlign w:val="center"/>
            <w:hideMark/>
          </w:tcPr>
          <w:p w14:paraId="010C0620"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483</w:t>
            </w:r>
          </w:p>
        </w:tc>
        <w:tc>
          <w:tcPr>
            <w:tcW w:w="700" w:type="dxa"/>
            <w:tcBorders>
              <w:top w:val="nil"/>
              <w:left w:val="nil"/>
              <w:bottom w:val="single" w:sz="8" w:space="0" w:color="auto"/>
              <w:right w:val="single" w:sz="8" w:space="0" w:color="auto"/>
            </w:tcBorders>
            <w:shd w:val="clear" w:color="000000" w:fill="FFFFFF"/>
            <w:noWrap/>
            <w:vAlign w:val="center"/>
            <w:hideMark/>
          </w:tcPr>
          <w:p w14:paraId="455398F2"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598</w:t>
            </w:r>
          </w:p>
        </w:tc>
        <w:tc>
          <w:tcPr>
            <w:tcW w:w="660" w:type="dxa"/>
            <w:tcBorders>
              <w:top w:val="nil"/>
              <w:left w:val="nil"/>
              <w:bottom w:val="single" w:sz="8" w:space="0" w:color="auto"/>
              <w:right w:val="single" w:sz="8" w:space="0" w:color="auto"/>
            </w:tcBorders>
            <w:shd w:val="clear" w:color="000000" w:fill="FFFFFF"/>
            <w:noWrap/>
            <w:vAlign w:val="center"/>
            <w:hideMark/>
          </w:tcPr>
          <w:p w14:paraId="331F52E8"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724</w:t>
            </w:r>
          </w:p>
        </w:tc>
        <w:tc>
          <w:tcPr>
            <w:tcW w:w="620" w:type="dxa"/>
            <w:tcBorders>
              <w:top w:val="nil"/>
              <w:left w:val="nil"/>
              <w:bottom w:val="single" w:sz="8" w:space="0" w:color="auto"/>
              <w:right w:val="single" w:sz="8" w:space="0" w:color="auto"/>
            </w:tcBorders>
            <w:shd w:val="clear" w:color="000000" w:fill="FFFFFF"/>
            <w:noWrap/>
            <w:vAlign w:val="center"/>
            <w:hideMark/>
          </w:tcPr>
          <w:p w14:paraId="53BC6F2A"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539</w:t>
            </w:r>
          </w:p>
        </w:tc>
        <w:tc>
          <w:tcPr>
            <w:tcW w:w="740" w:type="dxa"/>
            <w:tcBorders>
              <w:top w:val="nil"/>
              <w:left w:val="nil"/>
              <w:bottom w:val="single" w:sz="8" w:space="0" w:color="auto"/>
              <w:right w:val="single" w:sz="8" w:space="0" w:color="auto"/>
            </w:tcBorders>
            <w:shd w:val="clear" w:color="000000" w:fill="FFFFFF"/>
            <w:noWrap/>
            <w:vAlign w:val="center"/>
            <w:hideMark/>
          </w:tcPr>
          <w:p w14:paraId="7F0172C6"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 603</w:t>
            </w:r>
          </w:p>
        </w:tc>
        <w:tc>
          <w:tcPr>
            <w:tcW w:w="680" w:type="dxa"/>
            <w:tcBorders>
              <w:top w:val="nil"/>
              <w:left w:val="nil"/>
              <w:bottom w:val="single" w:sz="8" w:space="0" w:color="auto"/>
              <w:right w:val="single" w:sz="8" w:space="0" w:color="auto"/>
            </w:tcBorders>
            <w:shd w:val="clear" w:color="000000" w:fill="FFFFFF"/>
            <w:noWrap/>
            <w:vAlign w:val="center"/>
            <w:hideMark/>
          </w:tcPr>
          <w:p w14:paraId="759D11EF"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385</w:t>
            </w:r>
          </w:p>
        </w:tc>
        <w:tc>
          <w:tcPr>
            <w:tcW w:w="1200" w:type="dxa"/>
            <w:tcBorders>
              <w:top w:val="nil"/>
              <w:left w:val="nil"/>
              <w:bottom w:val="single" w:sz="8" w:space="0" w:color="auto"/>
              <w:right w:val="single" w:sz="8" w:space="0" w:color="auto"/>
            </w:tcBorders>
            <w:shd w:val="clear" w:color="000000" w:fill="F2F2F2"/>
            <w:noWrap/>
            <w:vAlign w:val="center"/>
            <w:hideMark/>
          </w:tcPr>
          <w:p w14:paraId="25C5EF58" w14:textId="77777777" w:rsidR="00B80C7B" w:rsidRPr="00B80C7B" w:rsidRDefault="00B80C7B" w:rsidP="00B80C7B">
            <w:pPr>
              <w:spacing w:after="0" w:line="240" w:lineRule="auto"/>
              <w:jc w:val="center"/>
              <w:rPr>
                <w:rFonts w:ascii="Book Antiqua" w:eastAsia="Times New Roman" w:hAnsi="Book Antiqua" w:cs="Calibri"/>
                <w:b/>
                <w:bCs/>
                <w:color w:val="000000"/>
                <w:sz w:val="20"/>
                <w:szCs w:val="20"/>
                <w:lang w:eastAsia="es-CR"/>
              </w:rPr>
            </w:pPr>
            <w:r w:rsidRPr="00B80C7B">
              <w:rPr>
                <w:rFonts w:ascii="Book Antiqua" w:eastAsia="Times New Roman" w:hAnsi="Book Antiqua" w:cs="Calibri"/>
                <w:b/>
                <w:bCs/>
                <w:color w:val="000000"/>
                <w:sz w:val="20"/>
                <w:szCs w:val="20"/>
                <w:lang w:eastAsia="es-CR"/>
              </w:rPr>
              <w:t>23%</w:t>
            </w:r>
          </w:p>
        </w:tc>
      </w:tr>
      <w:tr w:rsidR="00B80C7B" w:rsidRPr="00B80C7B" w14:paraId="474D9F59" w14:textId="77777777" w:rsidTr="00B80C7B">
        <w:trPr>
          <w:trHeight w:val="300"/>
          <w:jc w:val="center"/>
        </w:trPr>
        <w:tc>
          <w:tcPr>
            <w:tcW w:w="1360" w:type="dxa"/>
            <w:tcBorders>
              <w:top w:val="nil"/>
              <w:left w:val="single" w:sz="8" w:space="0" w:color="auto"/>
              <w:bottom w:val="single" w:sz="8" w:space="0" w:color="auto"/>
              <w:right w:val="single" w:sz="8" w:space="0" w:color="auto"/>
            </w:tcBorders>
            <w:shd w:val="clear" w:color="000000" w:fill="FFFFFF"/>
            <w:noWrap/>
            <w:vAlign w:val="center"/>
            <w:hideMark/>
          </w:tcPr>
          <w:p w14:paraId="6726F8AB" w14:textId="77777777" w:rsidR="00B80C7B" w:rsidRPr="00B80C7B" w:rsidRDefault="00B80C7B" w:rsidP="00B80C7B">
            <w:pPr>
              <w:spacing w:after="0" w:line="240" w:lineRule="auto"/>
              <w:jc w:val="both"/>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Demostrativa</w:t>
            </w:r>
          </w:p>
        </w:tc>
        <w:tc>
          <w:tcPr>
            <w:tcW w:w="700" w:type="dxa"/>
            <w:tcBorders>
              <w:top w:val="nil"/>
              <w:left w:val="nil"/>
              <w:bottom w:val="single" w:sz="8" w:space="0" w:color="auto"/>
              <w:right w:val="single" w:sz="8" w:space="0" w:color="auto"/>
            </w:tcBorders>
            <w:shd w:val="clear" w:color="000000" w:fill="FFFFFF"/>
            <w:noWrap/>
            <w:vAlign w:val="center"/>
            <w:hideMark/>
          </w:tcPr>
          <w:p w14:paraId="5D1EABE2"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310</w:t>
            </w:r>
          </w:p>
        </w:tc>
        <w:tc>
          <w:tcPr>
            <w:tcW w:w="700" w:type="dxa"/>
            <w:tcBorders>
              <w:top w:val="nil"/>
              <w:left w:val="nil"/>
              <w:bottom w:val="single" w:sz="8" w:space="0" w:color="auto"/>
              <w:right w:val="single" w:sz="8" w:space="0" w:color="auto"/>
            </w:tcBorders>
            <w:shd w:val="clear" w:color="000000" w:fill="FFFFFF"/>
            <w:noWrap/>
            <w:vAlign w:val="center"/>
            <w:hideMark/>
          </w:tcPr>
          <w:p w14:paraId="7CB4EF4A"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354</w:t>
            </w:r>
          </w:p>
        </w:tc>
        <w:tc>
          <w:tcPr>
            <w:tcW w:w="660" w:type="dxa"/>
            <w:tcBorders>
              <w:top w:val="nil"/>
              <w:left w:val="nil"/>
              <w:bottom w:val="single" w:sz="8" w:space="0" w:color="auto"/>
              <w:right w:val="single" w:sz="8" w:space="0" w:color="auto"/>
            </w:tcBorders>
            <w:shd w:val="clear" w:color="000000" w:fill="FFFFFF"/>
            <w:noWrap/>
            <w:vAlign w:val="center"/>
            <w:hideMark/>
          </w:tcPr>
          <w:p w14:paraId="444CE331"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400</w:t>
            </w:r>
          </w:p>
        </w:tc>
        <w:tc>
          <w:tcPr>
            <w:tcW w:w="620" w:type="dxa"/>
            <w:tcBorders>
              <w:top w:val="nil"/>
              <w:left w:val="nil"/>
              <w:bottom w:val="single" w:sz="8" w:space="0" w:color="auto"/>
              <w:right w:val="single" w:sz="8" w:space="0" w:color="auto"/>
            </w:tcBorders>
            <w:shd w:val="clear" w:color="000000" w:fill="FFFFFF"/>
            <w:noWrap/>
            <w:vAlign w:val="center"/>
            <w:hideMark/>
          </w:tcPr>
          <w:p w14:paraId="54B4ABA3"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585</w:t>
            </w:r>
          </w:p>
        </w:tc>
        <w:tc>
          <w:tcPr>
            <w:tcW w:w="740" w:type="dxa"/>
            <w:tcBorders>
              <w:top w:val="nil"/>
              <w:left w:val="nil"/>
              <w:bottom w:val="single" w:sz="8" w:space="0" w:color="auto"/>
              <w:right w:val="single" w:sz="8" w:space="0" w:color="auto"/>
            </w:tcBorders>
            <w:shd w:val="clear" w:color="000000" w:fill="FFFFFF"/>
            <w:noWrap/>
            <w:vAlign w:val="center"/>
            <w:hideMark/>
          </w:tcPr>
          <w:p w14:paraId="32296814"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823 </w:t>
            </w:r>
          </w:p>
        </w:tc>
        <w:tc>
          <w:tcPr>
            <w:tcW w:w="680" w:type="dxa"/>
            <w:tcBorders>
              <w:top w:val="nil"/>
              <w:left w:val="nil"/>
              <w:bottom w:val="single" w:sz="8" w:space="0" w:color="auto"/>
              <w:right w:val="single" w:sz="8" w:space="0" w:color="auto"/>
            </w:tcBorders>
            <w:shd w:val="clear" w:color="000000" w:fill="FFFFFF"/>
            <w:noWrap/>
            <w:vAlign w:val="center"/>
            <w:hideMark/>
          </w:tcPr>
          <w:p w14:paraId="798A9543"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1201</w:t>
            </w:r>
          </w:p>
        </w:tc>
        <w:tc>
          <w:tcPr>
            <w:tcW w:w="1200" w:type="dxa"/>
            <w:tcBorders>
              <w:top w:val="nil"/>
              <w:left w:val="nil"/>
              <w:bottom w:val="single" w:sz="8" w:space="0" w:color="auto"/>
              <w:right w:val="single" w:sz="8" w:space="0" w:color="auto"/>
            </w:tcBorders>
            <w:shd w:val="clear" w:color="000000" w:fill="F2F2F2"/>
            <w:noWrap/>
            <w:vAlign w:val="center"/>
            <w:hideMark/>
          </w:tcPr>
          <w:p w14:paraId="548D2EEA" w14:textId="77777777" w:rsidR="00B80C7B" w:rsidRPr="00B80C7B" w:rsidRDefault="00B80C7B" w:rsidP="00B80C7B">
            <w:pPr>
              <w:spacing w:after="0" w:line="240" w:lineRule="auto"/>
              <w:jc w:val="center"/>
              <w:rPr>
                <w:rFonts w:ascii="Book Antiqua" w:eastAsia="Times New Roman" w:hAnsi="Book Antiqua" w:cs="Calibri"/>
                <w:b/>
                <w:bCs/>
                <w:color w:val="000000"/>
                <w:sz w:val="20"/>
                <w:szCs w:val="20"/>
                <w:lang w:eastAsia="es-CR"/>
              </w:rPr>
            </w:pPr>
            <w:r w:rsidRPr="00B80C7B">
              <w:rPr>
                <w:rFonts w:ascii="Book Antiqua" w:eastAsia="Times New Roman" w:hAnsi="Book Antiqua" w:cs="Calibri"/>
                <w:b/>
                <w:bCs/>
                <w:color w:val="000000"/>
                <w:sz w:val="20"/>
                <w:szCs w:val="20"/>
                <w:lang w:eastAsia="es-CR"/>
              </w:rPr>
              <w:t>72%</w:t>
            </w:r>
          </w:p>
        </w:tc>
      </w:tr>
      <w:tr w:rsidR="00B80C7B" w:rsidRPr="00B80C7B" w14:paraId="2D065D9B" w14:textId="77777777" w:rsidTr="00B80C7B">
        <w:trPr>
          <w:trHeight w:val="300"/>
          <w:jc w:val="center"/>
        </w:trPr>
        <w:tc>
          <w:tcPr>
            <w:tcW w:w="1360" w:type="dxa"/>
            <w:tcBorders>
              <w:top w:val="nil"/>
              <w:left w:val="single" w:sz="8" w:space="0" w:color="auto"/>
              <w:bottom w:val="single" w:sz="8" w:space="0" w:color="auto"/>
              <w:right w:val="single" w:sz="8" w:space="0" w:color="auto"/>
            </w:tcBorders>
            <w:shd w:val="clear" w:color="000000" w:fill="FFFFFF"/>
            <w:noWrap/>
            <w:vAlign w:val="center"/>
            <w:hideMark/>
          </w:tcPr>
          <w:p w14:paraId="07E6F918" w14:textId="77777777" w:rsidR="00B80C7B" w:rsidRPr="00B80C7B" w:rsidRDefault="00B80C7B" w:rsidP="00B80C7B">
            <w:pPr>
              <w:spacing w:after="0" w:line="240" w:lineRule="auto"/>
              <w:jc w:val="both"/>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Conclusiva</w:t>
            </w:r>
          </w:p>
        </w:tc>
        <w:tc>
          <w:tcPr>
            <w:tcW w:w="700" w:type="dxa"/>
            <w:tcBorders>
              <w:top w:val="nil"/>
              <w:left w:val="nil"/>
              <w:bottom w:val="single" w:sz="8" w:space="0" w:color="auto"/>
              <w:right w:val="single" w:sz="8" w:space="0" w:color="auto"/>
            </w:tcBorders>
            <w:shd w:val="clear" w:color="000000" w:fill="FFFFFF"/>
            <w:noWrap/>
            <w:vAlign w:val="center"/>
            <w:hideMark/>
          </w:tcPr>
          <w:p w14:paraId="42EEC671"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47</w:t>
            </w:r>
          </w:p>
        </w:tc>
        <w:tc>
          <w:tcPr>
            <w:tcW w:w="700" w:type="dxa"/>
            <w:tcBorders>
              <w:top w:val="nil"/>
              <w:left w:val="nil"/>
              <w:bottom w:val="single" w:sz="8" w:space="0" w:color="auto"/>
              <w:right w:val="single" w:sz="8" w:space="0" w:color="auto"/>
            </w:tcBorders>
            <w:shd w:val="clear" w:color="000000" w:fill="FFFFFF"/>
            <w:noWrap/>
            <w:vAlign w:val="center"/>
            <w:hideMark/>
          </w:tcPr>
          <w:p w14:paraId="5D3FA3C8"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46</w:t>
            </w:r>
          </w:p>
        </w:tc>
        <w:tc>
          <w:tcPr>
            <w:tcW w:w="660" w:type="dxa"/>
            <w:tcBorders>
              <w:top w:val="nil"/>
              <w:left w:val="nil"/>
              <w:bottom w:val="single" w:sz="8" w:space="0" w:color="auto"/>
              <w:right w:val="single" w:sz="8" w:space="0" w:color="auto"/>
            </w:tcBorders>
            <w:shd w:val="clear" w:color="000000" w:fill="FFFFFF"/>
            <w:noWrap/>
            <w:vAlign w:val="center"/>
            <w:hideMark/>
          </w:tcPr>
          <w:p w14:paraId="6D7B1B7A"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79</w:t>
            </w:r>
          </w:p>
        </w:tc>
        <w:tc>
          <w:tcPr>
            <w:tcW w:w="620" w:type="dxa"/>
            <w:tcBorders>
              <w:top w:val="nil"/>
              <w:left w:val="nil"/>
              <w:bottom w:val="single" w:sz="8" w:space="0" w:color="auto"/>
              <w:right w:val="single" w:sz="8" w:space="0" w:color="auto"/>
            </w:tcBorders>
            <w:shd w:val="clear" w:color="000000" w:fill="FFFFFF"/>
            <w:noWrap/>
            <w:vAlign w:val="center"/>
            <w:hideMark/>
          </w:tcPr>
          <w:p w14:paraId="26D9FFC6"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56</w:t>
            </w:r>
          </w:p>
        </w:tc>
        <w:tc>
          <w:tcPr>
            <w:tcW w:w="740" w:type="dxa"/>
            <w:tcBorders>
              <w:top w:val="nil"/>
              <w:left w:val="nil"/>
              <w:bottom w:val="single" w:sz="8" w:space="0" w:color="auto"/>
              <w:right w:val="single" w:sz="8" w:space="0" w:color="auto"/>
            </w:tcBorders>
            <w:shd w:val="clear" w:color="000000" w:fill="FFFFFF"/>
            <w:noWrap/>
            <w:vAlign w:val="center"/>
            <w:hideMark/>
          </w:tcPr>
          <w:p w14:paraId="14360A80"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 96</w:t>
            </w:r>
          </w:p>
        </w:tc>
        <w:tc>
          <w:tcPr>
            <w:tcW w:w="680" w:type="dxa"/>
            <w:tcBorders>
              <w:top w:val="nil"/>
              <w:left w:val="nil"/>
              <w:bottom w:val="single" w:sz="8" w:space="0" w:color="auto"/>
              <w:right w:val="single" w:sz="8" w:space="0" w:color="auto"/>
            </w:tcBorders>
            <w:shd w:val="clear" w:color="000000" w:fill="FFFFFF"/>
            <w:noWrap/>
            <w:vAlign w:val="center"/>
            <w:hideMark/>
          </w:tcPr>
          <w:p w14:paraId="783D937C"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71</w:t>
            </w:r>
          </w:p>
        </w:tc>
        <w:tc>
          <w:tcPr>
            <w:tcW w:w="1200" w:type="dxa"/>
            <w:tcBorders>
              <w:top w:val="nil"/>
              <w:left w:val="nil"/>
              <w:bottom w:val="single" w:sz="8" w:space="0" w:color="auto"/>
              <w:right w:val="single" w:sz="8" w:space="0" w:color="auto"/>
            </w:tcBorders>
            <w:shd w:val="clear" w:color="000000" w:fill="F2F2F2"/>
            <w:noWrap/>
            <w:vAlign w:val="center"/>
            <w:hideMark/>
          </w:tcPr>
          <w:p w14:paraId="6D4FE4B8" w14:textId="77777777" w:rsidR="00B80C7B" w:rsidRPr="00B80C7B" w:rsidRDefault="00B80C7B" w:rsidP="00B80C7B">
            <w:pPr>
              <w:spacing w:after="0" w:line="240" w:lineRule="auto"/>
              <w:jc w:val="center"/>
              <w:rPr>
                <w:rFonts w:ascii="Book Antiqua" w:eastAsia="Times New Roman" w:hAnsi="Book Antiqua" w:cs="Calibri"/>
                <w:b/>
                <w:bCs/>
                <w:color w:val="000000"/>
                <w:sz w:val="20"/>
                <w:szCs w:val="20"/>
                <w:lang w:eastAsia="es-CR"/>
              </w:rPr>
            </w:pPr>
            <w:r w:rsidRPr="00B80C7B">
              <w:rPr>
                <w:rFonts w:ascii="Book Antiqua" w:eastAsia="Times New Roman" w:hAnsi="Book Antiqua" w:cs="Calibri"/>
                <w:b/>
                <w:bCs/>
                <w:color w:val="000000"/>
                <w:sz w:val="20"/>
                <w:szCs w:val="20"/>
                <w:lang w:eastAsia="es-CR"/>
              </w:rPr>
              <w:t>4%</w:t>
            </w:r>
          </w:p>
        </w:tc>
      </w:tr>
      <w:tr w:rsidR="00B80C7B" w:rsidRPr="00B80C7B" w14:paraId="4C20076F" w14:textId="77777777" w:rsidTr="00B80C7B">
        <w:trPr>
          <w:trHeight w:val="300"/>
          <w:jc w:val="center"/>
        </w:trPr>
        <w:tc>
          <w:tcPr>
            <w:tcW w:w="1360" w:type="dxa"/>
            <w:tcBorders>
              <w:top w:val="nil"/>
              <w:left w:val="single" w:sz="8" w:space="0" w:color="auto"/>
              <w:bottom w:val="single" w:sz="8" w:space="0" w:color="auto"/>
              <w:right w:val="single" w:sz="8" w:space="0" w:color="auto"/>
            </w:tcBorders>
            <w:shd w:val="clear" w:color="000000" w:fill="FFFFFF"/>
            <w:noWrap/>
            <w:vAlign w:val="center"/>
            <w:hideMark/>
          </w:tcPr>
          <w:p w14:paraId="6841D966" w14:textId="77777777" w:rsidR="00B80C7B" w:rsidRPr="00B80C7B" w:rsidRDefault="00B80C7B" w:rsidP="00B80C7B">
            <w:pPr>
              <w:spacing w:after="0" w:line="240" w:lineRule="auto"/>
              <w:jc w:val="both"/>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Ejecución</w:t>
            </w:r>
          </w:p>
        </w:tc>
        <w:tc>
          <w:tcPr>
            <w:tcW w:w="700" w:type="dxa"/>
            <w:tcBorders>
              <w:top w:val="nil"/>
              <w:left w:val="nil"/>
              <w:bottom w:val="single" w:sz="8" w:space="0" w:color="auto"/>
              <w:right w:val="single" w:sz="8" w:space="0" w:color="auto"/>
            </w:tcBorders>
            <w:shd w:val="clear" w:color="000000" w:fill="FFFFFF"/>
            <w:noWrap/>
            <w:vAlign w:val="center"/>
            <w:hideMark/>
          </w:tcPr>
          <w:p w14:paraId="413E12F1"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0</w:t>
            </w:r>
          </w:p>
        </w:tc>
        <w:tc>
          <w:tcPr>
            <w:tcW w:w="700" w:type="dxa"/>
            <w:tcBorders>
              <w:top w:val="nil"/>
              <w:left w:val="nil"/>
              <w:bottom w:val="single" w:sz="8" w:space="0" w:color="auto"/>
              <w:right w:val="single" w:sz="8" w:space="0" w:color="auto"/>
            </w:tcBorders>
            <w:shd w:val="clear" w:color="000000" w:fill="FFFFFF"/>
            <w:noWrap/>
            <w:vAlign w:val="center"/>
            <w:hideMark/>
          </w:tcPr>
          <w:p w14:paraId="05698F2E"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0</w:t>
            </w:r>
          </w:p>
        </w:tc>
        <w:tc>
          <w:tcPr>
            <w:tcW w:w="660" w:type="dxa"/>
            <w:tcBorders>
              <w:top w:val="nil"/>
              <w:left w:val="nil"/>
              <w:bottom w:val="single" w:sz="8" w:space="0" w:color="auto"/>
              <w:right w:val="single" w:sz="8" w:space="0" w:color="auto"/>
            </w:tcBorders>
            <w:shd w:val="clear" w:color="000000" w:fill="FFFFFF"/>
            <w:noWrap/>
            <w:vAlign w:val="center"/>
            <w:hideMark/>
          </w:tcPr>
          <w:p w14:paraId="3DA69334"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0</w:t>
            </w:r>
          </w:p>
        </w:tc>
        <w:tc>
          <w:tcPr>
            <w:tcW w:w="620" w:type="dxa"/>
            <w:tcBorders>
              <w:top w:val="nil"/>
              <w:left w:val="nil"/>
              <w:bottom w:val="single" w:sz="8" w:space="0" w:color="auto"/>
              <w:right w:val="single" w:sz="8" w:space="0" w:color="auto"/>
            </w:tcBorders>
            <w:shd w:val="clear" w:color="000000" w:fill="FFFFFF"/>
            <w:noWrap/>
            <w:vAlign w:val="center"/>
            <w:hideMark/>
          </w:tcPr>
          <w:p w14:paraId="3A6A1446"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1</w:t>
            </w:r>
          </w:p>
        </w:tc>
        <w:tc>
          <w:tcPr>
            <w:tcW w:w="740" w:type="dxa"/>
            <w:tcBorders>
              <w:top w:val="nil"/>
              <w:left w:val="nil"/>
              <w:bottom w:val="single" w:sz="8" w:space="0" w:color="auto"/>
              <w:right w:val="single" w:sz="8" w:space="0" w:color="auto"/>
            </w:tcBorders>
            <w:shd w:val="clear" w:color="000000" w:fill="FFFFFF"/>
            <w:noWrap/>
            <w:vAlign w:val="center"/>
            <w:hideMark/>
          </w:tcPr>
          <w:p w14:paraId="129887DE"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 0</w:t>
            </w:r>
          </w:p>
        </w:tc>
        <w:tc>
          <w:tcPr>
            <w:tcW w:w="680" w:type="dxa"/>
            <w:tcBorders>
              <w:top w:val="nil"/>
              <w:left w:val="nil"/>
              <w:bottom w:val="single" w:sz="8" w:space="0" w:color="auto"/>
              <w:right w:val="single" w:sz="8" w:space="0" w:color="auto"/>
            </w:tcBorders>
            <w:shd w:val="clear" w:color="000000" w:fill="FFFFFF"/>
            <w:noWrap/>
            <w:vAlign w:val="center"/>
            <w:hideMark/>
          </w:tcPr>
          <w:p w14:paraId="00A0F93D" w14:textId="7A3CF102" w:rsidR="00B80C7B" w:rsidRPr="00B80C7B" w:rsidRDefault="00201FFB" w:rsidP="00B80C7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0</w:t>
            </w:r>
          </w:p>
        </w:tc>
        <w:tc>
          <w:tcPr>
            <w:tcW w:w="1200" w:type="dxa"/>
            <w:tcBorders>
              <w:top w:val="nil"/>
              <w:left w:val="nil"/>
              <w:bottom w:val="single" w:sz="8" w:space="0" w:color="auto"/>
              <w:right w:val="single" w:sz="8" w:space="0" w:color="auto"/>
            </w:tcBorders>
            <w:shd w:val="clear" w:color="000000" w:fill="F2F2F2"/>
            <w:noWrap/>
            <w:vAlign w:val="center"/>
            <w:hideMark/>
          </w:tcPr>
          <w:p w14:paraId="3A86455E" w14:textId="77777777" w:rsidR="00B80C7B" w:rsidRPr="00B80C7B" w:rsidRDefault="00B80C7B" w:rsidP="00B80C7B">
            <w:pPr>
              <w:spacing w:after="0" w:line="240" w:lineRule="auto"/>
              <w:jc w:val="center"/>
              <w:rPr>
                <w:rFonts w:ascii="Book Antiqua" w:eastAsia="Times New Roman" w:hAnsi="Book Antiqua" w:cs="Calibri"/>
                <w:b/>
                <w:bCs/>
                <w:color w:val="000000"/>
                <w:sz w:val="20"/>
                <w:szCs w:val="20"/>
                <w:lang w:eastAsia="es-CR"/>
              </w:rPr>
            </w:pPr>
            <w:r w:rsidRPr="00B80C7B">
              <w:rPr>
                <w:rFonts w:ascii="Book Antiqua" w:eastAsia="Times New Roman" w:hAnsi="Book Antiqua" w:cs="Calibri"/>
                <w:b/>
                <w:bCs/>
                <w:color w:val="000000"/>
                <w:sz w:val="20"/>
                <w:szCs w:val="20"/>
                <w:lang w:eastAsia="es-CR"/>
              </w:rPr>
              <w:t>0%</w:t>
            </w:r>
          </w:p>
        </w:tc>
      </w:tr>
      <w:tr w:rsidR="00B80C7B" w:rsidRPr="00B80C7B" w14:paraId="5BB65312" w14:textId="77777777" w:rsidTr="00B80C7B">
        <w:trPr>
          <w:trHeight w:val="300"/>
          <w:jc w:val="center"/>
        </w:trPr>
        <w:tc>
          <w:tcPr>
            <w:tcW w:w="1360" w:type="dxa"/>
            <w:tcBorders>
              <w:top w:val="nil"/>
              <w:left w:val="single" w:sz="8" w:space="0" w:color="auto"/>
              <w:bottom w:val="single" w:sz="8" w:space="0" w:color="auto"/>
              <w:right w:val="single" w:sz="8" w:space="0" w:color="auto"/>
            </w:tcBorders>
            <w:shd w:val="clear" w:color="000000" w:fill="FFFFFF"/>
            <w:noWrap/>
            <w:vAlign w:val="center"/>
            <w:hideMark/>
          </w:tcPr>
          <w:p w14:paraId="03C9FBEE" w14:textId="77777777" w:rsidR="00B80C7B" w:rsidRPr="00B80C7B" w:rsidRDefault="00B80C7B" w:rsidP="00B80C7B">
            <w:pPr>
              <w:spacing w:after="0" w:line="240" w:lineRule="auto"/>
              <w:jc w:val="both"/>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Sin Fase</w:t>
            </w:r>
          </w:p>
        </w:tc>
        <w:tc>
          <w:tcPr>
            <w:tcW w:w="700" w:type="dxa"/>
            <w:tcBorders>
              <w:top w:val="nil"/>
              <w:left w:val="nil"/>
              <w:bottom w:val="single" w:sz="8" w:space="0" w:color="auto"/>
              <w:right w:val="single" w:sz="8" w:space="0" w:color="auto"/>
            </w:tcBorders>
            <w:shd w:val="clear" w:color="000000" w:fill="FFFFFF"/>
            <w:noWrap/>
            <w:vAlign w:val="center"/>
            <w:hideMark/>
          </w:tcPr>
          <w:p w14:paraId="76D27B53" w14:textId="74DCD46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 </w:t>
            </w:r>
            <w:r>
              <w:rPr>
                <w:rFonts w:ascii="Book Antiqua" w:eastAsia="Times New Roman" w:hAnsi="Book Antiqua" w:cs="Calibri"/>
                <w:color w:val="000000"/>
                <w:sz w:val="20"/>
                <w:szCs w:val="20"/>
                <w:lang w:eastAsia="es-CR"/>
              </w:rPr>
              <w:t>0</w:t>
            </w:r>
          </w:p>
        </w:tc>
        <w:tc>
          <w:tcPr>
            <w:tcW w:w="700" w:type="dxa"/>
            <w:tcBorders>
              <w:top w:val="nil"/>
              <w:left w:val="nil"/>
              <w:bottom w:val="single" w:sz="8" w:space="0" w:color="auto"/>
              <w:right w:val="single" w:sz="8" w:space="0" w:color="auto"/>
            </w:tcBorders>
            <w:shd w:val="clear" w:color="000000" w:fill="FFFFFF"/>
            <w:noWrap/>
            <w:vAlign w:val="center"/>
            <w:hideMark/>
          </w:tcPr>
          <w:p w14:paraId="03D22341" w14:textId="56CD6F46"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0</w:t>
            </w:r>
            <w:r w:rsidRPr="00B80C7B">
              <w:rPr>
                <w:rFonts w:ascii="Book Antiqua" w:eastAsia="Times New Roman" w:hAnsi="Book Antiqua" w:cs="Calibri"/>
                <w:color w:val="000000"/>
                <w:sz w:val="20"/>
                <w:szCs w:val="20"/>
                <w:lang w:eastAsia="es-CR"/>
              </w:rPr>
              <w:t> </w:t>
            </w:r>
          </w:p>
        </w:tc>
        <w:tc>
          <w:tcPr>
            <w:tcW w:w="660" w:type="dxa"/>
            <w:tcBorders>
              <w:top w:val="nil"/>
              <w:left w:val="nil"/>
              <w:bottom w:val="single" w:sz="8" w:space="0" w:color="auto"/>
              <w:right w:val="single" w:sz="8" w:space="0" w:color="auto"/>
            </w:tcBorders>
            <w:shd w:val="clear" w:color="000000" w:fill="FFFFFF"/>
            <w:noWrap/>
            <w:vAlign w:val="center"/>
            <w:hideMark/>
          </w:tcPr>
          <w:p w14:paraId="2F9F3115" w14:textId="2232B403"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0</w:t>
            </w:r>
            <w:r w:rsidRPr="00B80C7B">
              <w:rPr>
                <w:rFonts w:ascii="Book Antiqua" w:eastAsia="Times New Roman" w:hAnsi="Book Antiqua" w:cs="Calibri"/>
                <w:color w:val="000000"/>
                <w:sz w:val="20"/>
                <w:szCs w:val="20"/>
                <w:lang w:eastAsia="es-CR"/>
              </w:rPr>
              <w:t> </w:t>
            </w:r>
          </w:p>
        </w:tc>
        <w:tc>
          <w:tcPr>
            <w:tcW w:w="620" w:type="dxa"/>
            <w:tcBorders>
              <w:top w:val="nil"/>
              <w:left w:val="nil"/>
              <w:bottom w:val="single" w:sz="8" w:space="0" w:color="auto"/>
              <w:right w:val="single" w:sz="8" w:space="0" w:color="auto"/>
            </w:tcBorders>
            <w:shd w:val="clear" w:color="000000" w:fill="FFFFFF"/>
            <w:noWrap/>
            <w:vAlign w:val="center"/>
            <w:hideMark/>
          </w:tcPr>
          <w:p w14:paraId="092ABC83"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6</w:t>
            </w:r>
          </w:p>
        </w:tc>
        <w:tc>
          <w:tcPr>
            <w:tcW w:w="740" w:type="dxa"/>
            <w:tcBorders>
              <w:top w:val="nil"/>
              <w:left w:val="nil"/>
              <w:bottom w:val="single" w:sz="8" w:space="0" w:color="auto"/>
              <w:right w:val="single" w:sz="8" w:space="0" w:color="auto"/>
            </w:tcBorders>
            <w:shd w:val="clear" w:color="000000" w:fill="FFFFFF"/>
            <w:noWrap/>
            <w:vAlign w:val="center"/>
            <w:hideMark/>
          </w:tcPr>
          <w:p w14:paraId="478EA4D0" w14:textId="77777777" w:rsidR="00B80C7B" w:rsidRPr="00B80C7B" w:rsidRDefault="00B80C7B" w:rsidP="00B80C7B">
            <w:pPr>
              <w:spacing w:after="0" w:line="240" w:lineRule="auto"/>
              <w:jc w:val="center"/>
              <w:rPr>
                <w:rFonts w:ascii="Book Antiqua" w:eastAsia="Times New Roman" w:hAnsi="Book Antiqua" w:cs="Calibri"/>
                <w:color w:val="000000"/>
                <w:sz w:val="20"/>
                <w:szCs w:val="20"/>
                <w:lang w:eastAsia="es-CR"/>
              </w:rPr>
            </w:pPr>
            <w:r w:rsidRPr="00B80C7B">
              <w:rPr>
                <w:rFonts w:ascii="Book Antiqua" w:eastAsia="Times New Roman" w:hAnsi="Book Antiqua" w:cs="Calibri"/>
                <w:color w:val="000000"/>
                <w:sz w:val="20"/>
                <w:szCs w:val="20"/>
                <w:lang w:eastAsia="es-CR"/>
              </w:rPr>
              <w:t> 7</w:t>
            </w:r>
          </w:p>
        </w:tc>
        <w:tc>
          <w:tcPr>
            <w:tcW w:w="680" w:type="dxa"/>
            <w:tcBorders>
              <w:top w:val="nil"/>
              <w:left w:val="nil"/>
              <w:bottom w:val="single" w:sz="8" w:space="0" w:color="auto"/>
              <w:right w:val="single" w:sz="8" w:space="0" w:color="auto"/>
            </w:tcBorders>
            <w:shd w:val="clear" w:color="000000" w:fill="FFFFFF"/>
            <w:noWrap/>
            <w:vAlign w:val="center"/>
            <w:hideMark/>
          </w:tcPr>
          <w:p w14:paraId="46559462" w14:textId="2FA30ABE" w:rsidR="00B80C7B" w:rsidRPr="00B80C7B" w:rsidRDefault="00201FFB" w:rsidP="00B80C7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1200" w:type="dxa"/>
            <w:tcBorders>
              <w:top w:val="nil"/>
              <w:left w:val="nil"/>
              <w:bottom w:val="single" w:sz="8" w:space="0" w:color="auto"/>
              <w:right w:val="single" w:sz="8" w:space="0" w:color="auto"/>
            </w:tcBorders>
            <w:shd w:val="clear" w:color="000000" w:fill="F2F2F2"/>
            <w:noWrap/>
            <w:vAlign w:val="center"/>
            <w:hideMark/>
          </w:tcPr>
          <w:p w14:paraId="5C2A3EC1" w14:textId="77777777" w:rsidR="00B80C7B" w:rsidRPr="00B80C7B" w:rsidRDefault="00B80C7B" w:rsidP="00B80C7B">
            <w:pPr>
              <w:spacing w:after="0" w:line="240" w:lineRule="auto"/>
              <w:jc w:val="center"/>
              <w:rPr>
                <w:rFonts w:ascii="Book Antiqua" w:eastAsia="Times New Roman" w:hAnsi="Book Antiqua" w:cs="Calibri"/>
                <w:b/>
                <w:bCs/>
                <w:color w:val="000000"/>
                <w:sz w:val="20"/>
                <w:szCs w:val="20"/>
                <w:lang w:eastAsia="es-CR"/>
              </w:rPr>
            </w:pPr>
            <w:r w:rsidRPr="00B80C7B">
              <w:rPr>
                <w:rFonts w:ascii="Book Antiqua" w:eastAsia="Times New Roman" w:hAnsi="Book Antiqua" w:cs="Calibri"/>
                <w:b/>
                <w:bCs/>
                <w:color w:val="000000"/>
                <w:sz w:val="20"/>
                <w:szCs w:val="20"/>
                <w:lang w:eastAsia="es-CR"/>
              </w:rPr>
              <w:t>0%</w:t>
            </w:r>
          </w:p>
        </w:tc>
      </w:tr>
      <w:tr w:rsidR="00B80C7B" w:rsidRPr="00B80C7B" w14:paraId="10472BFC" w14:textId="77777777" w:rsidTr="00B80C7B">
        <w:trPr>
          <w:trHeight w:val="300"/>
          <w:jc w:val="center"/>
        </w:trPr>
        <w:tc>
          <w:tcPr>
            <w:tcW w:w="1360" w:type="dxa"/>
            <w:tcBorders>
              <w:top w:val="nil"/>
              <w:left w:val="single" w:sz="8" w:space="0" w:color="auto"/>
              <w:bottom w:val="single" w:sz="8" w:space="0" w:color="auto"/>
              <w:right w:val="single" w:sz="8" w:space="0" w:color="auto"/>
            </w:tcBorders>
            <w:shd w:val="clear" w:color="000000" w:fill="808080"/>
            <w:noWrap/>
            <w:vAlign w:val="center"/>
            <w:hideMark/>
          </w:tcPr>
          <w:p w14:paraId="7C9DB506" w14:textId="77777777" w:rsidR="00B80C7B" w:rsidRPr="00B80C7B" w:rsidRDefault="00B80C7B" w:rsidP="00B80C7B">
            <w:pPr>
              <w:spacing w:after="0" w:line="240" w:lineRule="auto"/>
              <w:jc w:val="right"/>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 xml:space="preserve">Total </w:t>
            </w:r>
          </w:p>
        </w:tc>
        <w:tc>
          <w:tcPr>
            <w:tcW w:w="700" w:type="dxa"/>
            <w:tcBorders>
              <w:top w:val="nil"/>
              <w:left w:val="nil"/>
              <w:bottom w:val="single" w:sz="8" w:space="0" w:color="auto"/>
              <w:right w:val="single" w:sz="8" w:space="0" w:color="auto"/>
            </w:tcBorders>
            <w:shd w:val="clear" w:color="000000" w:fill="808080"/>
            <w:noWrap/>
            <w:vAlign w:val="center"/>
            <w:hideMark/>
          </w:tcPr>
          <w:p w14:paraId="49369F11"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840</w:t>
            </w:r>
          </w:p>
        </w:tc>
        <w:tc>
          <w:tcPr>
            <w:tcW w:w="700" w:type="dxa"/>
            <w:tcBorders>
              <w:top w:val="nil"/>
              <w:left w:val="nil"/>
              <w:bottom w:val="single" w:sz="8" w:space="0" w:color="auto"/>
              <w:right w:val="single" w:sz="8" w:space="0" w:color="auto"/>
            </w:tcBorders>
            <w:shd w:val="clear" w:color="000000" w:fill="808080"/>
            <w:noWrap/>
            <w:vAlign w:val="center"/>
            <w:hideMark/>
          </w:tcPr>
          <w:p w14:paraId="4F811AA1"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998</w:t>
            </w:r>
          </w:p>
        </w:tc>
        <w:tc>
          <w:tcPr>
            <w:tcW w:w="660" w:type="dxa"/>
            <w:tcBorders>
              <w:top w:val="nil"/>
              <w:left w:val="nil"/>
              <w:bottom w:val="single" w:sz="8" w:space="0" w:color="auto"/>
              <w:right w:val="single" w:sz="8" w:space="0" w:color="auto"/>
            </w:tcBorders>
            <w:shd w:val="clear" w:color="000000" w:fill="808080"/>
            <w:noWrap/>
            <w:vAlign w:val="center"/>
            <w:hideMark/>
          </w:tcPr>
          <w:p w14:paraId="26E768F5"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1203</w:t>
            </w:r>
          </w:p>
        </w:tc>
        <w:tc>
          <w:tcPr>
            <w:tcW w:w="620" w:type="dxa"/>
            <w:tcBorders>
              <w:top w:val="nil"/>
              <w:left w:val="nil"/>
              <w:bottom w:val="single" w:sz="8" w:space="0" w:color="auto"/>
              <w:right w:val="single" w:sz="8" w:space="0" w:color="auto"/>
            </w:tcBorders>
            <w:shd w:val="clear" w:color="000000" w:fill="808080"/>
            <w:noWrap/>
            <w:vAlign w:val="center"/>
            <w:hideMark/>
          </w:tcPr>
          <w:p w14:paraId="16B24A03"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1187</w:t>
            </w:r>
          </w:p>
        </w:tc>
        <w:tc>
          <w:tcPr>
            <w:tcW w:w="740" w:type="dxa"/>
            <w:tcBorders>
              <w:top w:val="nil"/>
              <w:left w:val="nil"/>
              <w:bottom w:val="single" w:sz="8" w:space="0" w:color="auto"/>
              <w:right w:val="single" w:sz="8" w:space="0" w:color="auto"/>
            </w:tcBorders>
            <w:shd w:val="clear" w:color="000000" w:fill="808080"/>
            <w:noWrap/>
            <w:vAlign w:val="center"/>
            <w:hideMark/>
          </w:tcPr>
          <w:p w14:paraId="50CE01BF"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1529</w:t>
            </w:r>
          </w:p>
        </w:tc>
        <w:tc>
          <w:tcPr>
            <w:tcW w:w="680" w:type="dxa"/>
            <w:tcBorders>
              <w:top w:val="nil"/>
              <w:left w:val="nil"/>
              <w:bottom w:val="single" w:sz="8" w:space="0" w:color="auto"/>
              <w:right w:val="single" w:sz="8" w:space="0" w:color="auto"/>
            </w:tcBorders>
            <w:shd w:val="clear" w:color="000000" w:fill="808080"/>
            <w:noWrap/>
            <w:vAlign w:val="center"/>
            <w:hideMark/>
          </w:tcPr>
          <w:p w14:paraId="0A25E01F" w14:textId="418A52C3"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16</w:t>
            </w:r>
            <w:r w:rsidR="00201FFB">
              <w:rPr>
                <w:rFonts w:ascii="Book Antiqua" w:eastAsia="Times New Roman" w:hAnsi="Book Antiqua" w:cs="Calibri"/>
                <w:b/>
                <w:bCs/>
                <w:color w:val="FFFFFF"/>
                <w:sz w:val="20"/>
                <w:szCs w:val="20"/>
                <w:lang w:eastAsia="es-CR"/>
              </w:rPr>
              <w:t>59</w:t>
            </w:r>
          </w:p>
        </w:tc>
        <w:tc>
          <w:tcPr>
            <w:tcW w:w="1200" w:type="dxa"/>
            <w:tcBorders>
              <w:top w:val="nil"/>
              <w:left w:val="nil"/>
              <w:bottom w:val="single" w:sz="8" w:space="0" w:color="auto"/>
              <w:right w:val="single" w:sz="8" w:space="0" w:color="auto"/>
            </w:tcBorders>
            <w:shd w:val="clear" w:color="000000" w:fill="808080"/>
            <w:noWrap/>
            <w:vAlign w:val="center"/>
            <w:hideMark/>
          </w:tcPr>
          <w:p w14:paraId="6A13AFAB" w14:textId="77777777" w:rsidR="00B80C7B" w:rsidRPr="00B80C7B" w:rsidRDefault="00B80C7B" w:rsidP="00B80C7B">
            <w:pPr>
              <w:spacing w:after="0" w:line="240" w:lineRule="auto"/>
              <w:jc w:val="center"/>
              <w:rPr>
                <w:rFonts w:ascii="Book Antiqua" w:eastAsia="Times New Roman" w:hAnsi="Book Antiqua" w:cs="Calibri"/>
                <w:b/>
                <w:bCs/>
                <w:color w:val="FFFFFF"/>
                <w:sz w:val="20"/>
                <w:szCs w:val="20"/>
                <w:lang w:eastAsia="es-CR"/>
              </w:rPr>
            </w:pPr>
            <w:r w:rsidRPr="00B80C7B">
              <w:rPr>
                <w:rFonts w:ascii="Book Antiqua" w:eastAsia="Times New Roman" w:hAnsi="Book Antiqua" w:cs="Calibri"/>
                <w:b/>
                <w:bCs/>
                <w:color w:val="FFFFFF"/>
                <w:sz w:val="20"/>
                <w:szCs w:val="20"/>
                <w:lang w:eastAsia="es-CR"/>
              </w:rPr>
              <w:t>100%</w:t>
            </w:r>
          </w:p>
        </w:tc>
      </w:tr>
    </w:tbl>
    <w:p w14:paraId="1B0AB48D" w14:textId="77777777" w:rsidR="00B80C7B" w:rsidRDefault="00B80C7B" w:rsidP="00ED239D">
      <w:pPr>
        <w:pStyle w:val="Fuentes"/>
      </w:pPr>
      <w:r>
        <w:rPr>
          <w:b/>
          <w:bCs w:val="0"/>
        </w:rPr>
        <w:t xml:space="preserve">                     </w:t>
      </w:r>
      <w:r w:rsidR="00ED239D" w:rsidRPr="00F53EAA">
        <w:rPr>
          <w:b/>
          <w:bCs w:val="0"/>
        </w:rPr>
        <w:t>Fuente:</w:t>
      </w:r>
      <w:r w:rsidR="00ED239D" w:rsidRPr="00546055">
        <w:t xml:space="preserve"> Subproceso de Modernización Institucional, con datos del Subproceso de </w:t>
      </w:r>
    </w:p>
    <w:p w14:paraId="303F5CBF" w14:textId="0842D3E9" w:rsidR="00ED239D" w:rsidRPr="00406BBA" w:rsidRDefault="00B80C7B" w:rsidP="00ED239D">
      <w:pPr>
        <w:pStyle w:val="Fuentes"/>
      </w:pPr>
      <w:r>
        <w:t xml:space="preserve">                    </w:t>
      </w:r>
      <w:r w:rsidR="00ED239D" w:rsidRPr="00546055">
        <w:t>Estadística 201</w:t>
      </w:r>
      <w:r w:rsidR="00ED239D">
        <w:t>7</w:t>
      </w:r>
      <w:r w:rsidR="00ED239D" w:rsidRPr="00546055">
        <w:t xml:space="preserve"> al 20</w:t>
      </w:r>
      <w:r w:rsidR="00ED239D">
        <w:t>2</w:t>
      </w:r>
      <w:r>
        <w:t>2 y consulta del Balance General Interactivo del 23/2/2023</w:t>
      </w:r>
      <w:r w:rsidR="00ED239D" w:rsidRPr="00546055">
        <w:t xml:space="preserve">. </w:t>
      </w:r>
    </w:p>
    <w:p w14:paraId="120F648A" w14:textId="77777777" w:rsidR="00E35FB0" w:rsidRDefault="00E35FB0" w:rsidP="00ED239D">
      <w:pPr>
        <w:spacing w:after="0" w:line="276" w:lineRule="auto"/>
        <w:jc w:val="both"/>
        <w:rPr>
          <w:rFonts w:ascii="Book Antiqua" w:eastAsia="Calibri" w:hAnsi="Book Antiqua" w:cs="Arial"/>
          <w:sz w:val="24"/>
          <w:szCs w:val="24"/>
        </w:rPr>
      </w:pPr>
    </w:p>
    <w:p w14:paraId="798DF3D5" w14:textId="77777777" w:rsidR="00B80C7B" w:rsidRDefault="00E35FB0" w:rsidP="00B80C7B">
      <w:pPr>
        <w:spacing w:after="0" w:line="276" w:lineRule="auto"/>
        <w:jc w:val="both"/>
        <w:rPr>
          <w:rFonts w:ascii="Book Antiqua" w:eastAsia="Calibri" w:hAnsi="Book Antiqua" w:cs="Arial"/>
          <w:sz w:val="24"/>
          <w:szCs w:val="24"/>
        </w:rPr>
      </w:pPr>
      <w:r w:rsidRPr="00E35FB0">
        <w:rPr>
          <w:rFonts w:ascii="Book Antiqua" w:eastAsia="Calibri" w:hAnsi="Book Antiqua" w:cs="Arial"/>
          <w:sz w:val="24"/>
          <w:szCs w:val="24"/>
        </w:rPr>
        <w:t xml:space="preserve">Como se observa en el cuadro anterior, durante los últimos años, se ha dado un crecimiento paulatino en el circulante, pasando de </w:t>
      </w:r>
      <w:r>
        <w:rPr>
          <w:rFonts w:ascii="Book Antiqua" w:eastAsia="Calibri" w:hAnsi="Book Antiqua" w:cs="Arial"/>
          <w:sz w:val="24"/>
          <w:szCs w:val="24"/>
        </w:rPr>
        <w:t>8</w:t>
      </w:r>
      <w:r w:rsidRPr="00E35FB0">
        <w:rPr>
          <w:rFonts w:ascii="Book Antiqua" w:eastAsia="Calibri" w:hAnsi="Book Antiqua" w:cs="Arial"/>
          <w:sz w:val="24"/>
          <w:szCs w:val="24"/>
        </w:rPr>
        <w:t>4</w:t>
      </w:r>
      <w:r>
        <w:rPr>
          <w:rFonts w:ascii="Book Antiqua" w:eastAsia="Calibri" w:hAnsi="Book Antiqua" w:cs="Arial"/>
          <w:sz w:val="24"/>
          <w:szCs w:val="24"/>
        </w:rPr>
        <w:t>0</w:t>
      </w:r>
      <w:r w:rsidRPr="00E35FB0">
        <w:rPr>
          <w:rFonts w:ascii="Book Antiqua" w:eastAsia="Calibri" w:hAnsi="Book Antiqua" w:cs="Arial"/>
          <w:sz w:val="24"/>
          <w:szCs w:val="24"/>
        </w:rPr>
        <w:t xml:space="preserve"> asuntos al finalizar </w:t>
      </w:r>
      <w:r>
        <w:rPr>
          <w:rFonts w:ascii="Book Antiqua" w:eastAsia="Calibri" w:hAnsi="Book Antiqua" w:cs="Arial"/>
          <w:sz w:val="24"/>
          <w:szCs w:val="24"/>
        </w:rPr>
        <w:t>2017</w:t>
      </w:r>
      <w:r w:rsidRPr="00E35FB0">
        <w:rPr>
          <w:rFonts w:ascii="Book Antiqua" w:eastAsia="Calibri" w:hAnsi="Book Antiqua" w:cs="Arial"/>
          <w:sz w:val="24"/>
          <w:szCs w:val="24"/>
        </w:rPr>
        <w:t xml:space="preserve"> a </w:t>
      </w:r>
    </w:p>
    <w:p w14:paraId="2430F9ED" w14:textId="7D015CA7" w:rsidR="00ED239D" w:rsidRPr="00ED239D" w:rsidRDefault="00E35FB0" w:rsidP="00ED239D">
      <w:pPr>
        <w:spacing w:after="0" w:line="276" w:lineRule="auto"/>
        <w:jc w:val="both"/>
        <w:rPr>
          <w:rFonts w:ascii="Book Antiqua" w:eastAsia="Calibri" w:hAnsi="Book Antiqua" w:cs="Arial"/>
          <w:sz w:val="24"/>
          <w:szCs w:val="24"/>
        </w:rPr>
      </w:pPr>
      <w:r w:rsidRPr="00E35FB0">
        <w:rPr>
          <w:rFonts w:ascii="Book Antiqua" w:eastAsia="Calibri" w:hAnsi="Book Antiqua" w:cs="Arial"/>
          <w:sz w:val="24"/>
          <w:szCs w:val="24"/>
        </w:rPr>
        <w:t>1</w:t>
      </w:r>
      <w:r>
        <w:rPr>
          <w:rFonts w:ascii="Book Antiqua" w:eastAsia="Calibri" w:hAnsi="Book Antiqua" w:cs="Arial"/>
          <w:sz w:val="24"/>
          <w:szCs w:val="24"/>
        </w:rPr>
        <w:t xml:space="preserve"> </w:t>
      </w:r>
      <w:r w:rsidR="00B80C7B">
        <w:rPr>
          <w:rFonts w:ascii="Book Antiqua" w:eastAsia="Calibri" w:hAnsi="Book Antiqua" w:cs="Arial"/>
          <w:sz w:val="24"/>
          <w:szCs w:val="24"/>
        </w:rPr>
        <w:t>6</w:t>
      </w:r>
      <w:r w:rsidR="00201FFB">
        <w:rPr>
          <w:rFonts w:ascii="Book Antiqua" w:eastAsia="Calibri" w:hAnsi="Book Antiqua" w:cs="Arial"/>
          <w:sz w:val="24"/>
          <w:szCs w:val="24"/>
        </w:rPr>
        <w:t>59</w:t>
      </w:r>
      <w:r w:rsidRPr="00E35FB0">
        <w:rPr>
          <w:rFonts w:ascii="Book Antiqua" w:eastAsia="Calibri" w:hAnsi="Book Antiqua" w:cs="Arial"/>
          <w:sz w:val="24"/>
          <w:szCs w:val="24"/>
        </w:rPr>
        <w:t xml:space="preserve"> al finalizar 20</w:t>
      </w:r>
      <w:r>
        <w:rPr>
          <w:rFonts w:ascii="Book Antiqua" w:eastAsia="Calibri" w:hAnsi="Book Antiqua" w:cs="Arial"/>
          <w:sz w:val="24"/>
          <w:szCs w:val="24"/>
        </w:rPr>
        <w:t>2</w:t>
      </w:r>
      <w:r w:rsidR="00B80C7B">
        <w:rPr>
          <w:rFonts w:ascii="Book Antiqua" w:eastAsia="Calibri" w:hAnsi="Book Antiqua" w:cs="Arial"/>
          <w:sz w:val="24"/>
          <w:szCs w:val="24"/>
        </w:rPr>
        <w:t>2</w:t>
      </w:r>
      <w:r w:rsidRPr="00E35FB0">
        <w:rPr>
          <w:rFonts w:ascii="Book Antiqua" w:eastAsia="Calibri" w:hAnsi="Book Antiqua" w:cs="Arial"/>
          <w:sz w:val="24"/>
          <w:szCs w:val="24"/>
        </w:rPr>
        <w:t xml:space="preserve"> (incremento del 5</w:t>
      </w:r>
      <w:r w:rsidR="00B35D95">
        <w:rPr>
          <w:rFonts w:ascii="Book Antiqua" w:eastAsia="Calibri" w:hAnsi="Book Antiqua" w:cs="Arial"/>
          <w:sz w:val="24"/>
          <w:szCs w:val="24"/>
        </w:rPr>
        <w:t>1</w:t>
      </w:r>
      <w:r w:rsidRPr="00E35FB0">
        <w:rPr>
          <w:rFonts w:ascii="Book Antiqua" w:eastAsia="Calibri" w:hAnsi="Book Antiqua" w:cs="Arial"/>
          <w:sz w:val="24"/>
          <w:szCs w:val="24"/>
        </w:rPr>
        <w:t xml:space="preserve">%). </w:t>
      </w:r>
      <w:r w:rsidR="00B35D95">
        <w:rPr>
          <w:rFonts w:ascii="Book Antiqua" w:eastAsia="Calibri" w:hAnsi="Book Antiqua" w:cs="Arial"/>
          <w:sz w:val="24"/>
          <w:szCs w:val="24"/>
        </w:rPr>
        <w:t xml:space="preserve">Al comparar el </w:t>
      </w:r>
      <w:r w:rsidR="001367ED">
        <w:rPr>
          <w:rFonts w:ascii="Book Antiqua" w:eastAsia="Calibri" w:hAnsi="Book Antiqua" w:cs="Arial"/>
          <w:sz w:val="24"/>
          <w:szCs w:val="24"/>
        </w:rPr>
        <w:t>20</w:t>
      </w:r>
      <w:r w:rsidR="001D5B68">
        <w:rPr>
          <w:rFonts w:ascii="Book Antiqua" w:eastAsia="Calibri" w:hAnsi="Book Antiqua" w:cs="Arial"/>
          <w:sz w:val="24"/>
          <w:szCs w:val="24"/>
        </w:rPr>
        <w:t xml:space="preserve">20 </w:t>
      </w:r>
      <w:r w:rsidR="00B35D95">
        <w:rPr>
          <w:rFonts w:ascii="Book Antiqua" w:eastAsia="Calibri" w:hAnsi="Book Antiqua" w:cs="Arial"/>
          <w:sz w:val="24"/>
          <w:szCs w:val="24"/>
        </w:rPr>
        <w:t xml:space="preserve">con el 2021, se tiene un aumento de 342 </w:t>
      </w:r>
      <w:r w:rsidR="001367ED">
        <w:rPr>
          <w:rFonts w:ascii="Book Antiqua" w:eastAsia="Calibri" w:hAnsi="Book Antiqua" w:cs="Arial"/>
          <w:sz w:val="24"/>
          <w:szCs w:val="24"/>
        </w:rPr>
        <w:t>asuntos</w:t>
      </w:r>
      <w:r w:rsidR="00B35D95">
        <w:rPr>
          <w:rFonts w:ascii="Book Antiqua" w:eastAsia="Calibri" w:hAnsi="Book Antiqua" w:cs="Arial"/>
          <w:sz w:val="24"/>
          <w:szCs w:val="24"/>
        </w:rPr>
        <w:t>, situación que se pudo ver afectada por la pandemia del COVID-19.</w:t>
      </w:r>
    </w:p>
    <w:p w14:paraId="05F0CC92" w14:textId="77777777" w:rsidR="00ED239D" w:rsidRPr="00ED239D" w:rsidRDefault="00ED239D" w:rsidP="00ED239D">
      <w:pPr>
        <w:spacing w:after="0" w:line="276" w:lineRule="auto"/>
        <w:jc w:val="both"/>
        <w:rPr>
          <w:rFonts w:ascii="Book Antiqua" w:eastAsia="Calibri" w:hAnsi="Book Antiqua" w:cs="Arial"/>
          <w:sz w:val="24"/>
          <w:szCs w:val="24"/>
        </w:rPr>
      </w:pPr>
    </w:p>
    <w:p w14:paraId="1C26390F" w14:textId="7A97E61B" w:rsidR="00ED239D" w:rsidRPr="00ED239D" w:rsidRDefault="00ED239D" w:rsidP="00ED239D">
      <w:pPr>
        <w:spacing w:after="0" w:line="276" w:lineRule="auto"/>
        <w:jc w:val="both"/>
        <w:rPr>
          <w:rFonts w:ascii="Book Antiqua" w:eastAsia="Calibri" w:hAnsi="Book Antiqua" w:cs="Arial"/>
          <w:sz w:val="24"/>
          <w:szCs w:val="24"/>
        </w:rPr>
      </w:pPr>
      <w:r w:rsidRPr="00ED239D">
        <w:rPr>
          <w:rFonts w:ascii="Book Antiqua" w:eastAsia="Calibri" w:hAnsi="Book Antiqua" w:cs="Arial"/>
          <w:sz w:val="24"/>
          <w:szCs w:val="24"/>
        </w:rPr>
        <w:t>Al graficar en conjunto la entrada total de casos (entrados+ testimonio de piezas + reentrados), los terminados totales (terminados + inactivos) y el circulante en trámite al finalizar el periodo de 201</w:t>
      </w:r>
      <w:r w:rsidR="001367ED">
        <w:rPr>
          <w:rFonts w:ascii="Book Antiqua" w:eastAsia="Calibri" w:hAnsi="Book Antiqua" w:cs="Arial"/>
          <w:sz w:val="24"/>
          <w:szCs w:val="24"/>
        </w:rPr>
        <w:t>7</w:t>
      </w:r>
      <w:r w:rsidRPr="00ED239D">
        <w:rPr>
          <w:rFonts w:ascii="Book Antiqua" w:eastAsia="Calibri" w:hAnsi="Book Antiqua" w:cs="Arial"/>
          <w:sz w:val="24"/>
          <w:szCs w:val="24"/>
        </w:rPr>
        <w:t xml:space="preserve"> a 20</w:t>
      </w:r>
      <w:r w:rsidR="001367ED">
        <w:rPr>
          <w:rFonts w:ascii="Book Antiqua" w:eastAsia="Calibri" w:hAnsi="Book Antiqua" w:cs="Arial"/>
          <w:sz w:val="24"/>
          <w:szCs w:val="24"/>
        </w:rPr>
        <w:t>2</w:t>
      </w:r>
      <w:r w:rsidR="00B35D95">
        <w:rPr>
          <w:rFonts w:ascii="Book Antiqua" w:eastAsia="Calibri" w:hAnsi="Book Antiqua" w:cs="Arial"/>
          <w:sz w:val="24"/>
          <w:szCs w:val="24"/>
        </w:rPr>
        <w:t>2</w:t>
      </w:r>
      <w:r w:rsidRPr="00ED239D">
        <w:rPr>
          <w:rFonts w:ascii="Book Antiqua" w:eastAsia="Calibri" w:hAnsi="Book Antiqua" w:cs="Arial"/>
          <w:sz w:val="24"/>
          <w:szCs w:val="24"/>
        </w:rPr>
        <w:t xml:space="preserve"> se obtiene que en el año 201</w:t>
      </w:r>
      <w:r w:rsidR="00355630">
        <w:rPr>
          <w:rFonts w:ascii="Book Antiqua" w:eastAsia="Calibri" w:hAnsi="Book Antiqua" w:cs="Arial"/>
          <w:sz w:val="24"/>
          <w:szCs w:val="24"/>
        </w:rPr>
        <w:t>9</w:t>
      </w:r>
      <w:r w:rsidRPr="00ED239D">
        <w:rPr>
          <w:rFonts w:ascii="Book Antiqua" w:eastAsia="Calibri" w:hAnsi="Book Antiqua" w:cs="Arial"/>
          <w:sz w:val="24"/>
          <w:szCs w:val="24"/>
        </w:rPr>
        <w:t xml:space="preserve"> se registra una mayor cantidad de casos entrados con 1</w:t>
      </w:r>
      <w:r w:rsidR="00355630" w:rsidRPr="00355630">
        <w:rPr>
          <w:rFonts w:ascii="Book Antiqua" w:eastAsia="Calibri" w:hAnsi="Book Antiqua" w:cs="Arial"/>
          <w:sz w:val="24"/>
          <w:szCs w:val="24"/>
        </w:rPr>
        <w:t xml:space="preserve"> </w:t>
      </w:r>
      <w:r w:rsidRPr="00ED239D">
        <w:rPr>
          <w:rFonts w:ascii="Book Antiqua" w:eastAsia="Calibri" w:hAnsi="Book Antiqua" w:cs="Arial"/>
          <w:sz w:val="24"/>
          <w:szCs w:val="24"/>
        </w:rPr>
        <w:t>1</w:t>
      </w:r>
      <w:r w:rsidR="00355630" w:rsidRPr="00355630">
        <w:rPr>
          <w:rFonts w:ascii="Book Antiqua" w:eastAsia="Calibri" w:hAnsi="Book Antiqua" w:cs="Arial"/>
          <w:sz w:val="24"/>
          <w:szCs w:val="24"/>
        </w:rPr>
        <w:t>8</w:t>
      </w:r>
      <w:r w:rsidRPr="00ED239D">
        <w:rPr>
          <w:rFonts w:ascii="Book Antiqua" w:eastAsia="Calibri" w:hAnsi="Book Antiqua" w:cs="Arial"/>
          <w:sz w:val="24"/>
          <w:szCs w:val="24"/>
        </w:rPr>
        <w:t xml:space="preserve">9 y </w:t>
      </w:r>
      <w:r w:rsidR="00355630" w:rsidRPr="00355630">
        <w:rPr>
          <w:rFonts w:ascii="Book Antiqua" w:eastAsia="Calibri" w:hAnsi="Book Antiqua" w:cs="Arial"/>
          <w:sz w:val="24"/>
          <w:szCs w:val="24"/>
        </w:rPr>
        <w:t>para el 202</w:t>
      </w:r>
      <w:r w:rsidR="00B35D95">
        <w:rPr>
          <w:rFonts w:ascii="Book Antiqua" w:eastAsia="Calibri" w:hAnsi="Book Antiqua" w:cs="Arial"/>
          <w:sz w:val="24"/>
          <w:szCs w:val="24"/>
        </w:rPr>
        <w:t>2</w:t>
      </w:r>
      <w:r w:rsidR="00355630" w:rsidRPr="00355630">
        <w:rPr>
          <w:rFonts w:ascii="Book Antiqua" w:eastAsia="Calibri" w:hAnsi="Book Antiqua" w:cs="Arial"/>
          <w:sz w:val="24"/>
          <w:szCs w:val="24"/>
        </w:rPr>
        <w:t xml:space="preserve"> el </w:t>
      </w:r>
      <w:r w:rsidRPr="00ED239D">
        <w:rPr>
          <w:rFonts w:ascii="Book Antiqua" w:eastAsia="Calibri" w:hAnsi="Book Antiqua" w:cs="Arial"/>
          <w:sz w:val="24"/>
          <w:szCs w:val="24"/>
        </w:rPr>
        <w:t>circulante en trámite más alto de los últimos años con 1</w:t>
      </w:r>
      <w:r w:rsidR="00355630" w:rsidRPr="00355630">
        <w:rPr>
          <w:rFonts w:ascii="Book Antiqua" w:eastAsia="Calibri" w:hAnsi="Book Antiqua" w:cs="Arial"/>
          <w:sz w:val="24"/>
          <w:szCs w:val="24"/>
        </w:rPr>
        <w:t xml:space="preserve"> </w:t>
      </w:r>
      <w:r w:rsidR="00B35D95">
        <w:rPr>
          <w:rFonts w:ascii="Book Antiqua" w:eastAsia="Calibri" w:hAnsi="Book Antiqua" w:cs="Arial"/>
          <w:sz w:val="24"/>
          <w:szCs w:val="24"/>
        </w:rPr>
        <w:t>6</w:t>
      </w:r>
      <w:r w:rsidR="00201FFB">
        <w:rPr>
          <w:rFonts w:ascii="Book Antiqua" w:eastAsia="Calibri" w:hAnsi="Book Antiqua" w:cs="Arial"/>
          <w:sz w:val="24"/>
          <w:szCs w:val="24"/>
        </w:rPr>
        <w:t>59</w:t>
      </w:r>
      <w:r w:rsidRPr="00ED239D">
        <w:rPr>
          <w:rFonts w:ascii="Book Antiqua" w:eastAsia="Calibri" w:hAnsi="Book Antiqua" w:cs="Arial"/>
          <w:sz w:val="24"/>
          <w:szCs w:val="24"/>
        </w:rPr>
        <w:t xml:space="preserve"> expedientes. La cantidad de terminados se mant</w:t>
      </w:r>
      <w:r w:rsidR="00355630">
        <w:rPr>
          <w:rFonts w:ascii="Book Antiqua" w:eastAsia="Calibri" w:hAnsi="Book Antiqua" w:cs="Arial"/>
          <w:sz w:val="24"/>
          <w:szCs w:val="24"/>
        </w:rPr>
        <w:t xml:space="preserve">uvo </w:t>
      </w:r>
      <w:r w:rsidRPr="00ED239D">
        <w:rPr>
          <w:rFonts w:ascii="Book Antiqua" w:eastAsia="Calibri" w:hAnsi="Book Antiqua" w:cs="Arial"/>
          <w:sz w:val="24"/>
          <w:szCs w:val="24"/>
        </w:rPr>
        <w:t xml:space="preserve">en crecimiento desde </w:t>
      </w:r>
      <w:r w:rsidRPr="009B574F">
        <w:rPr>
          <w:rFonts w:ascii="Book Antiqua" w:eastAsia="Calibri" w:hAnsi="Book Antiqua" w:cs="Arial"/>
          <w:sz w:val="24"/>
          <w:szCs w:val="24"/>
        </w:rPr>
        <w:t>el 2017</w:t>
      </w:r>
      <w:r w:rsidR="00355630" w:rsidRPr="009B574F">
        <w:rPr>
          <w:rFonts w:ascii="Book Antiqua" w:eastAsia="Calibri" w:hAnsi="Book Antiqua" w:cs="Arial"/>
          <w:sz w:val="24"/>
          <w:szCs w:val="24"/>
        </w:rPr>
        <w:t xml:space="preserve"> al 2020</w:t>
      </w:r>
      <w:r w:rsidRPr="009B574F">
        <w:rPr>
          <w:rFonts w:ascii="Book Antiqua" w:eastAsia="Calibri" w:hAnsi="Book Antiqua" w:cs="Arial"/>
          <w:sz w:val="24"/>
          <w:szCs w:val="24"/>
        </w:rPr>
        <w:t xml:space="preserve">, </w:t>
      </w:r>
      <w:r w:rsidR="00355630" w:rsidRPr="009B574F">
        <w:rPr>
          <w:rFonts w:ascii="Book Antiqua" w:eastAsia="Calibri" w:hAnsi="Book Antiqua" w:cs="Arial"/>
          <w:sz w:val="24"/>
          <w:szCs w:val="24"/>
        </w:rPr>
        <w:t xml:space="preserve">y disminuye </w:t>
      </w:r>
      <w:r w:rsidRPr="009B574F">
        <w:rPr>
          <w:rFonts w:ascii="Book Antiqua" w:eastAsia="Calibri" w:hAnsi="Book Antiqua" w:cs="Arial"/>
          <w:sz w:val="24"/>
          <w:szCs w:val="24"/>
        </w:rPr>
        <w:t>en 20</w:t>
      </w:r>
      <w:r w:rsidR="00355630" w:rsidRPr="009B574F">
        <w:rPr>
          <w:rFonts w:ascii="Book Antiqua" w:eastAsia="Calibri" w:hAnsi="Book Antiqua" w:cs="Arial"/>
          <w:sz w:val="24"/>
          <w:szCs w:val="24"/>
        </w:rPr>
        <w:t>2</w:t>
      </w:r>
      <w:r w:rsidRPr="009B574F">
        <w:rPr>
          <w:rFonts w:ascii="Book Antiqua" w:eastAsia="Calibri" w:hAnsi="Book Antiqua" w:cs="Arial"/>
          <w:sz w:val="24"/>
          <w:szCs w:val="24"/>
        </w:rPr>
        <w:t xml:space="preserve">1 una cantidad </w:t>
      </w:r>
      <w:r w:rsidR="00BD34DF" w:rsidRPr="009B574F">
        <w:rPr>
          <w:rFonts w:ascii="Book Antiqua" w:eastAsia="Calibri" w:hAnsi="Book Antiqua" w:cs="Arial"/>
          <w:sz w:val="24"/>
          <w:szCs w:val="24"/>
        </w:rPr>
        <w:t>2</w:t>
      </w:r>
      <w:r w:rsidR="009B574F" w:rsidRPr="009B574F">
        <w:rPr>
          <w:rFonts w:ascii="Book Antiqua" w:eastAsia="Calibri" w:hAnsi="Book Antiqua" w:cs="Arial"/>
          <w:sz w:val="24"/>
          <w:szCs w:val="24"/>
        </w:rPr>
        <w:t>9</w:t>
      </w:r>
      <w:r w:rsidR="00BD34DF" w:rsidRPr="009B574F">
        <w:rPr>
          <w:rFonts w:ascii="Book Antiqua" w:eastAsia="Calibri" w:hAnsi="Book Antiqua" w:cs="Arial"/>
          <w:sz w:val="24"/>
          <w:szCs w:val="24"/>
        </w:rPr>
        <w:t xml:space="preserve">6 asuntos en comparación con el </w:t>
      </w:r>
      <w:r w:rsidRPr="009B574F">
        <w:rPr>
          <w:rFonts w:ascii="Book Antiqua" w:eastAsia="Calibri" w:hAnsi="Book Antiqua" w:cs="Arial"/>
          <w:sz w:val="24"/>
          <w:szCs w:val="24"/>
        </w:rPr>
        <w:t>20</w:t>
      </w:r>
      <w:r w:rsidR="009B574F" w:rsidRPr="009B574F">
        <w:rPr>
          <w:rFonts w:ascii="Book Antiqua" w:eastAsia="Calibri" w:hAnsi="Book Antiqua" w:cs="Arial"/>
          <w:sz w:val="24"/>
          <w:szCs w:val="24"/>
        </w:rPr>
        <w:t>20</w:t>
      </w:r>
      <w:r w:rsidRPr="009B574F">
        <w:rPr>
          <w:rFonts w:ascii="Book Antiqua" w:eastAsia="Calibri" w:hAnsi="Book Antiqua" w:cs="Arial"/>
          <w:sz w:val="24"/>
          <w:szCs w:val="24"/>
        </w:rPr>
        <w:t xml:space="preserve">, </w:t>
      </w:r>
      <w:r w:rsidR="009B574F" w:rsidRPr="009B574F">
        <w:rPr>
          <w:rFonts w:ascii="Book Antiqua" w:eastAsia="Calibri" w:hAnsi="Book Antiqua" w:cs="Arial"/>
          <w:sz w:val="24"/>
          <w:szCs w:val="24"/>
        </w:rPr>
        <w:t xml:space="preserve">pero para el 2022 aumenta en 218 casos en relación son su antecesor el 2021, </w:t>
      </w:r>
      <w:r w:rsidRPr="009B574F">
        <w:rPr>
          <w:rFonts w:ascii="Book Antiqua" w:eastAsia="Calibri" w:hAnsi="Book Antiqua" w:cs="Arial"/>
          <w:sz w:val="24"/>
          <w:szCs w:val="24"/>
        </w:rPr>
        <w:t>como se muestra</w:t>
      </w:r>
      <w:r w:rsidRPr="00ED239D">
        <w:rPr>
          <w:rFonts w:ascii="Book Antiqua" w:eastAsia="Calibri" w:hAnsi="Book Antiqua" w:cs="Arial"/>
          <w:sz w:val="24"/>
          <w:szCs w:val="24"/>
        </w:rPr>
        <w:t xml:space="preserve"> en el siguiente gráfico.</w:t>
      </w:r>
    </w:p>
    <w:p w14:paraId="0FD01C54" w14:textId="3DDB84FA" w:rsidR="00F30375" w:rsidRDefault="00F30375" w:rsidP="00200D8B">
      <w:pPr>
        <w:spacing w:line="276" w:lineRule="auto"/>
        <w:jc w:val="both"/>
        <w:rPr>
          <w:rFonts w:ascii="Book Antiqua" w:eastAsia="Calibri" w:hAnsi="Book Antiqua" w:cs="Arial"/>
          <w:sz w:val="24"/>
          <w:szCs w:val="24"/>
        </w:rPr>
      </w:pPr>
    </w:p>
    <w:p w14:paraId="2BCA3452" w14:textId="7031160B"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 xml:space="preserve">Gráfico </w:t>
      </w:r>
      <w:r w:rsidRPr="00ED239D">
        <w:rPr>
          <w:rFonts w:ascii="Book Antiqua" w:eastAsia="Calibri" w:hAnsi="Book Antiqua" w:cs="Arial"/>
          <w:b/>
          <w:bCs/>
          <w:color w:val="1F497D"/>
          <w:szCs w:val="24"/>
          <w:lang w:val="es-ES" w:eastAsia="es-ES"/>
        </w:rPr>
        <w:fldChar w:fldCharType="begin"/>
      </w:r>
      <w:r w:rsidRPr="00ED239D">
        <w:rPr>
          <w:rFonts w:ascii="Book Antiqua" w:eastAsia="Calibri" w:hAnsi="Book Antiqua" w:cs="Arial"/>
          <w:b/>
          <w:bCs/>
          <w:color w:val="1F497D"/>
          <w:szCs w:val="24"/>
          <w:lang w:val="es-ES" w:eastAsia="es-ES"/>
        </w:rPr>
        <w:instrText xml:space="preserve"> SEQ Gráfico \* ARABIC </w:instrText>
      </w:r>
      <w:r w:rsidRPr="00ED239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8</w:t>
      </w:r>
      <w:r w:rsidRPr="00ED239D">
        <w:rPr>
          <w:rFonts w:ascii="Book Antiqua" w:eastAsia="Calibri" w:hAnsi="Book Antiqua" w:cs="Arial"/>
          <w:b/>
          <w:bCs/>
          <w:color w:val="1F497D"/>
          <w:szCs w:val="24"/>
          <w:lang w:val="es-ES" w:eastAsia="es-ES"/>
        </w:rPr>
        <w:fldChar w:fldCharType="end"/>
      </w:r>
      <w:r w:rsidRPr="00ED239D">
        <w:rPr>
          <w:rFonts w:ascii="Book Antiqua" w:eastAsia="Calibri" w:hAnsi="Book Antiqua" w:cs="Arial"/>
          <w:b/>
          <w:bCs/>
          <w:color w:val="1F497D"/>
          <w:szCs w:val="24"/>
          <w:lang w:val="es-ES" w:eastAsia="es-ES"/>
        </w:rPr>
        <w:t xml:space="preserve"> </w:t>
      </w:r>
    </w:p>
    <w:p w14:paraId="0745E8C3" w14:textId="77164E1A"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Entrad</w:t>
      </w:r>
      <w:r w:rsidR="00F53EAA">
        <w:rPr>
          <w:rFonts w:ascii="Book Antiqua" w:eastAsia="Calibri" w:hAnsi="Book Antiqua" w:cs="Arial"/>
          <w:b/>
          <w:bCs/>
          <w:color w:val="1F497D"/>
          <w:szCs w:val="24"/>
          <w:lang w:val="es-ES" w:eastAsia="es-ES"/>
        </w:rPr>
        <w:t>a</w:t>
      </w:r>
      <w:r w:rsidRPr="00ED239D">
        <w:rPr>
          <w:rFonts w:ascii="Book Antiqua" w:eastAsia="Calibri" w:hAnsi="Book Antiqua" w:cs="Arial"/>
          <w:b/>
          <w:bCs/>
          <w:color w:val="1F497D"/>
          <w:szCs w:val="24"/>
          <w:lang w:val="es-ES" w:eastAsia="es-ES"/>
        </w:rPr>
        <w:t xml:space="preserve"> total, terminado total y circulante</w:t>
      </w:r>
      <w:r w:rsidR="0061120C">
        <w:rPr>
          <w:rFonts w:ascii="Book Antiqua" w:eastAsia="Calibri" w:hAnsi="Book Antiqua" w:cs="Arial"/>
          <w:b/>
          <w:bCs/>
          <w:color w:val="1F497D"/>
          <w:szCs w:val="24"/>
          <w:lang w:val="es-ES" w:eastAsia="es-ES"/>
        </w:rPr>
        <w:t xml:space="preserve"> del</w:t>
      </w:r>
      <w:r w:rsidRPr="00ED239D">
        <w:rPr>
          <w:rFonts w:ascii="Book Antiqua" w:eastAsia="Calibri" w:hAnsi="Book Antiqua" w:cs="Arial"/>
          <w:b/>
          <w:bCs/>
          <w:color w:val="1F497D"/>
          <w:szCs w:val="24"/>
          <w:lang w:val="es-ES" w:eastAsia="es-ES"/>
        </w:rPr>
        <w:t xml:space="preserve"> </w:t>
      </w:r>
    </w:p>
    <w:p w14:paraId="1FFF3272" w14:textId="33C8D9EC"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Juzgado de Niñez y Adolescencia, del 201</w:t>
      </w:r>
      <w:r>
        <w:rPr>
          <w:rFonts w:ascii="Book Antiqua" w:eastAsia="Calibri" w:hAnsi="Book Antiqua" w:cs="Arial"/>
          <w:b/>
          <w:bCs/>
          <w:color w:val="1F497D"/>
          <w:szCs w:val="24"/>
          <w:lang w:val="es-ES" w:eastAsia="es-ES"/>
        </w:rPr>
        <w:t>7</w:t>
      </w:r>
      <w:r w:rsidRPr="00ED239D">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00F53EAA">
        <w:rPr>
          <w:rFonts w:ascii="Book Antiqua" w:eastAsia="Calibri" w:hAnsi="Book Antiqua" w:cs="Arial"/>
          <w:b/>
          <w:bCs/>
          <w:color w:val="1F497D"/>
          <w:szCs w:val="24"/>
          <w:lang w:val="es-ES" w:eastAsia="es-ES"/>
        </w:rPr>
        <w:t>2</w:t>
      </w:r>
      <w:r w:rsidRPr="00ED239D">
        <w:rPr>
          <w:rFonts w:ascii="Book Antiqua" w:eastAsia="Calibri" w:hAnsi="Book Antiqua" w:cs="Arial"/>
          <w:b/>
          <w:bCs/>
          <w:color w:val="1F497D"/>
          <w:szCs w:val="24"/>
          <w:lang w:val="es-ES" w:eastAsia="es-ES"/>
        </w:rPr>
        <w:t xml:space="preserve"> </w:t>
      </w:r>
    </w:p>
    <w:p w14:paraId="201DF03B" w14:textId="75B039A3" w:rsidR="00C319F8" w:rsidRPr="00355630" w:rsidRDefault="00201FFB" w:rsidP="0061120C">
      <w:pPr>
        <w:spacing w:after="0" w:line="240" w:lineRule="auto"/>
        <w:jc w:val="center"/>
        <w:rPr>
          <w:rFonts w:ascii="Book Antiqua" w:hAnsi="Book Antiqua"/>
          <w:bCs/>
          <w:i/>
          <w:sz w:val="20"/>
          <w:szCs w:val="20"/>
        </w:rPr>
      </w:pPr>
      <w:r>
        <w:rPr>
          <w:noProof/>
        </w:rPr>
        <w:drawing>
          <wp:inline distT="0" distB="0" distL="0" distR="0" wp14:anchorId="04A02A97" wp14:editId="0B1D9361">
            <wp:extent cx="5207000" cy="2736850"/>
            <wp:effectExtent l="0" t="0" r="12700" b="6350"/>
            <wp:docPr id="38" name="Gráfico 38">
              <a:extLst xmlns:a="http://schemas.openxmlformats.org/drawingml/2006/main">
                <a:ext uri="{FF2B5EF4-FFF2-40B4-BE49-F238E27FC236}">
                  <a16:creationId xmlns:a16="http://schemas.microsoft.com/office/drawing/2014/main" id="{E9BE2764-65CE-2041-08CF-77AD5E6346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2B9680A" w14:textId="77777777" w:rsidR="0061120C" w:rsidRDefault="00355630" w:rsidP="0061120C">
      <w:pPr>
        <w:pStyle w:val="Fuentes"/>
      </w:pPr>
      <w:r w:rsidRPr="00355630">
        <w:t xml:space="preserve">      </w:t>
      </w:r>
      <w:r w:rsidR="0061120C" w:rsidRPr="00F53EAA">
        <w:rPr>
          <w:b/>
          <w:bCs w:val="0"/>
        </w:rPr>
        <w:t>Fuente:</w:t>
      </w:r>
      <w:r w:rsidR="0061120C" w:rsidRPr="00546055">
        <w:t xml:space="preserve"> Subproceso de Modernización Institucional, con datos del Subproceso de Estadística 201</w:t>
      </w:r>
      <w:r w:rsidR="0061120C">
        <w:t>7</w:t>
      </w:r>
      <w:r w:rsidR="0061120C" w:rsidRPr="00546055">
        <w:t xml:space="preserve"> al </w:t>
      </w:r>
    </w:p>
    <w:p w14:paraId="55A563CF" w14:textId="268EEA8D" w:rsidR="0061120C" w:rsidRPr="00406BBA" w:rsidRDefault="0061120C" w:rsidP="0061120C">
      <w:pPr>
        <w:pStyle w:val="Fuentes"/>
      </w:pPr>
      <w:r>
        <w:t xml:space="preserve">     </w:t>
      </w:r>
      <w:r w:rsidRPr="00546055">
        <w:t>20</w:t>
      </w:r>
      <w:r>
        <w:t>22 y consulta del Balance General Interactivo del 23/2/2023</w:t>
      </w:r>
      <w:r w:rsidRPr="00546055">
        <w:t xml:space="preserve">. </w:t>
      </w:r>
    </w:p>
    <w:p w14:paraId="10078F43" w14:textId="44F2E5D9" w:rsidR="00355630" w:rsidRDefault="00355630" w:rsidP="0061120C">
      <w:pPr>
        <w:spacing w:after="0" w:line="276" w:lineRule="auto"/>
        <w:jc w:val="both"/>
        <w:rPr>
          <w:rFonts w:ascii="Book Antiqua" w:eastAsia="Calibri" w:hAnsi="Book Antiqua" w:cs="Arial"/>
          <w:sz w:val="24"/>
          <w:szCs w:val="24"/>
        </w:rPr>
      </w:pPr>
    </w:p>
    <w:p w14:paraId="29B0F55B" w14:textId="2A789941" w:rsidR="00AA0DF4" w:rsidRPr="00AA0DF4" w:rsidRDefault="00AA0DF4" w:rsidP="00AA0DF4">
      <w:pPr>
        <w:spacing w:after="0" w:line="276" w:lineRule="auto"/>
        <w:jc w:val="both"/>
        <w:rPr>
          <w:rFonts w:ascii="Book Antiqua" w:eastAsia="Calibri" w:hAnsi="Book Antiqua" w:cs="Arial"/>
          <w:sz w:val="24"/>
          <w:szCs w:val="24"/>
        </w:rPr>
      </w:pPr>
      <w:r w:rsidRPr="00AA0DF4">
        <w:rPr>
          <w:rFonts w:ascii="Book Antiqua" w:eastAsia="Calibri" w:hAnsi="Book Antiqua" w:cs="Arial"/>
          <w:sz w:val="24"/>
          <w:szCs w:val="24"/>
        </w:rPr>
        <w:t>El Juzgado de Niñez y Adolescencia registra una entrada promedio de 9</w:t>
      </w:r>
      <w:r w:rsidR="009B574F">
        <w:rPr>
          <w:rFonts w:ascii="Book Antiqua" w:eastAsia="Calibri" w:hAnsi="Book Antiqua" w:cs="Arial"/>
          <w:sz w:val="24"/>
          <w:szCs w:val="24"/>
        </w:rPr>
        <w:t>9</w:t>
      </w:r>
      <w:r w:rsidRPr="00AA0DF4">
        <w:rPr>
          <w:rFonts w:ascii="Book Antiqua" w:eastAsia="Calibri" w:hAnsi="Book Antiqua" w:cs="Arial"/>
          <w:sz w:val="24"/>
          <w:szCs w:val="24"/>
        </w:rPr>
        <w:t xml:space="preserve"> casos al mes y de </w:t>
      </w:r>
      <w:r w:rsidR="00E57F67">
        <w:rPr>
          <w:rFonts w:ascii="Book Antiqua" w:eastAsia="Calibri" w:hAnsi="Book Antiqua" w:cs="Arial"/>
          <w:sz w:val="24"/>
          <w:szCs w:val="24"/>
        </w:rPr>
        <w:t>8</w:t>
      </w:r>
      <w:r w:rsidR="007E627E">
        <w:rPr>
          <w:rFonts w:ascii="Book Antiqua" w:eastAsia="Calibri" w:hAnsi="Book Antiqua" w:cs="Arial"/>
          <w:sz w:val="24"/>
          <w:szCs w:val="24"/>
        </w:rPr>
        <w:t>2</w:t>
      </w:r>
      <w:r w:rsidRPr="00AA0DF4">
        <w:rPr>
          <w:rFonts w:ascii="Book Antiqua" w:eastAsia="Calibri" w:hAnsi="Book Antiqua" w:cs="Arial"/>
          <w:sz w:val="24"/>
          <w:szCs w:val="24"/>
        </w:rPr>
        <w:t xml:space="preserve"> terminados de 20</w:t>
      </w:r>
      <w:r>
        <w:rPr>
          <w:rFonts w:ascii="Book Antiqua" w:eastAsia="Calibri" w:hAnsi="Book Antiqua" w:cs="Arial"/>
          <w:sz w:val="24"/>
          <w:szCs w:val="24"/>
        </w:rPr>
        <w:t>17</w:t>
      </w:r>
      <w:r w:rsidRPr="00AA0DF4">
        <w:rPr>
          <w:rFonts w:ascii="Book Antiqua" w:eastAsia="Calibri" w:hAnsi="Book Antiqua" w:cs="Arial"/>
          <w:sz w:val="24"/>
          <w:szCs w:val="24"/>
        </w:rPr>
        <w:t xml:space="preserve"> a 20</w:t>
      </w:r>
      <w:r>
        <w:rPr>
          <w:rFonts w:ascii="Book Antiqua" w:eastAsia="Calibri" w:hAnsi="Book Antiqua" w:cs="Arial"/>
          <w:sz w:val="24"/>
          <w:szCs w:val="24"/>
        </w:rPr>
        <w:t>2</w:t>
      </w:r>
      <w:r w:rsidR="007E627E">
        <w:rPr>
          <w:rFonts w:ascii="Book Antiqua" w:eastAsia="Calibri" w:hAnsi="Book Antiqua" w:cs="Arial"/>
          <w:sz w:val="24"/>
          <w:szCs w:val="24"/>
        </w:rPr>
        <w:t>2</w:t>
      </w:r>
      <w:r w:rsidRPr="00AA0DF4">
        <w:rPr>
          <w:rFonts w:ascii="Book Antiqua" w:eastAsia="Calibri" w:hAnsi="Book Antiqua" w:cs="Arial"/>
          <w:sz w:val="24"/>
          <w:szCs w:val="24"/>
        </w:rPr>
        <w:t>, para una carga de trabajo de 4</w:t>
      </w:r>
      <w:r w:rsidR="00E57F67">
        <w:rPr>
          <w:rFonts w:ascii="Book Antiqua" w:eastAsia="Calibri" w:hAnsi="Book Antiqua" w:cs="Arial"/>
          <w:sz w:val="24"/>
          <w:szCs w:val="24"/>
        </w:rPr>
        <w:t>9</w:t>
      </w:r>
      <w:r w:rsidRPr="00AA0DF4">
        <w:rPr>
          <w:rFonts w:ascii="Book Antiqua" w:eastAsia="Calibri" w:hAnsi="Book Antiqua" w:cs="Arial"/>
          <w:sz w:val="24"/>
          <w:szCs w:val="24"/>
        </w:rPr>
        <w:t xml:space="preserve"> casos por persona juzgadora y 2</w:t>
      </w:r>
      <w:r w:rsidR="000330F0">
        <w:rPr>
          <w:rFonts w:ascii="Book Antiqua" w:eastAsia="Calibri" w:hAnsi="Book Antiqua" w:cs="Arial"/>
          <w:sz w:val="24"/>
          <w:szCs w:val="24"/>
        </w:rPr>
        <w:t>5</w:t>
      </w:r>
      <w:r w:rsidRPr="00AA0DF4">
        <w:rPr>
          <w:rFonts w:ascii="Book Antiqua" w:eastAsia="Calibri" w:hAnsi="Book Antiqua" w:cs="Arial"/>
          <w:sz w:val="24"/>
          <w:szCs w:val="24"/>
        </w:rPr>
        <w:t xml:space="preserve"> por persona técnica judicial</w:t>
      </w:r>
      <w:r w:rsidR="00CC60D5">
        <w:rPr>
          <w:rFonts w:ascii="Book Antiqua" w:eastAsia="Calibri" w:hAnsi="Book Antiqua" w:cs="Arial"/>
          <w:sz w:val="24"/>
          <w:szCs w:val="24"/>
        </w:rPr>
        <w:t>. Sin embargo esta oficina cont</w:t>
      </w:r>
      <w:r w:rsidR="0077411C">
        <w:rPr>
          <w:rFonts w:ascii="Book Antiqua" w:eastAsia="Calibri" w:hAnsi="Book Antiqua" w:cs="Arial"/>
          <w:sz w:val="24"/>
          <w:szCs w:val="24"/>
        </w:rPr>
        <w:t>ó</w:t>
      </w:r>
      <w:r w:rsidR="00CC60D5">
        <w:rPr>
          <w:rFonts w:ascii="Book Antiqua" w:eastAsia="Calibri" w:hAnsi="Book Antiqua" w:cs="Arial"/>
          <w:sz w:val="24"/>
          <w:szCs w:val="24"/>
        </w:rPr>
        <w:t xml:space="preserve"> con un recurso adicional de persona </w:t>
      </w:r>
      <w:r w:rsidR="007E627E">
        <w:rPr>
          <w:rFonts w:ascii="Book Antiqua" w:eastAsia="Calibri" w:hAnsi="Book Antiqua" w:cs="Arial"/>
          <w:sz w:val="24"/>
          <w:szCs w:val="24"/>
        </w:rPr>
        <w:t>J</w:t>
      </w:r>
      <w:r w:rsidR="00CC60D5">
        <w:rPr>
          <w:rFonts w:ascii="Book Antiqua" w:eastAsia="Calibri" w:hAnsi="Book Antiqua" w:cs="Arial"/>
          <w:sz w:val="24"/>
          <w:szCs w:val="24"/>
        </w:rPr>
        <w:t xml:space="preserve">uzgadora y de Técnica o Técnico Judicial del CACMFJ por aproximadamente de </w:t>
      </w:r>
      <w:r w:rsidR="00CC60D5" w:rsidRPr="00A70A3E">
        <w:rPr>
          <w:rFonts w:ascii="Book Antiqua" w:eastAsia="Calibri" w:hAnsi="Book Antiqua" w:cs="Arial"/>
          <w:sz w:val="24"/>
          <w:szCs w:val="24"/>
        </w:rPr>
        <w:t>2018 a 202</w:t>
      </w:r>
      <w:r w:rsidR="00A70A3E">
        <w:rPr>
          <w:rFonts w:ascii="Book Antiqua" w:eastAsia="Calibri" w:hAnsi="Book Antiqua" w:cs="Arial"/>
          <w:sz w:val="24"/>
          <w:szCs w:val="24"/>
        </w:rPr>
        <w:t>1</w:t>
      </w:r>
      <w:r w:rsidR="007E627E">
        <w:rPr>
          <w:rFonts w:ascii="Book Antiqua" w:eastAsia="Calibri" w:hAnsi="Book Antiqua" w:cs="Arial"/>
          <w:sz w:val="24"/>
          <w:szCs w:val="24"/>
        </w:rPr>
        <w:t>,</w:t>
      </w:r>
      <w:r w:rsidR="003065CD">
        <w:rPr>
          <w:rFonts w:ascii="Book Antiqua" w:eastAsia="Calibri" w:hAnsi="Book Antiqua" w:cs="Arial"/>
          <w:sz w:val="24"/>
          <w:szCs w:val="24"/>
        </w:rPr>
        <w:t xml:space="preserve"> </w:t>
      </w:r>
      <w:r w:rsidR="00106DFC">
        <w:rPr>
          <w:rFonts w:ascii="Book Antiqua" w:eastAsia="Calibri" w:hAnsi="Book Antiqua" w:cs="Arial"/>
          <w:sz w:val="24"/>
          <w:szCs w:val="24"/>
        </w:rPr>
        <w:t>periodo</w:t>
      </w:r>
      <w:r w:rsidR="003065CD">
        <w:rPr>
          <w:rFonts w:ascii="Book Antiqua" w:eastAsia="Calibri" w:hAnsi="Book Antiqua" w:cs="Arial"/>
          <w:sz w:val="24"/>
          <w:szCs w:val="24"/>
        </w:rPr>
        <w:t xml:space="preserve"> en que conforme al gráfico anterior, se visualiza fue cuando se report</w:t>
      </w:r>
      <w:r w:rsidR="000A7A5A">
        <w:rPr>
          <w:rFonts w:ascii="Book Antiqua" w:eastAsia="Calibri" w:hAnsi="Book Antiqua" w:cs="Arial"/>
          <w:sz w:val="24"/>
          <w:szCs w:val="24"/>
        </w:rPr>
        <w:t>a</w:t>
      </w:r>
      <w:r w:rsidR="003065CD">
        <w:rPr>
          <w:rFonts w:ascii="Book Antiqua" w:eastAsia="Calibri" w:hAnsi="Book Antiqua" w:cs="Arial"/>
          <w:sz w:val="24"/>
          <w:szCs w:val="24"/>
        </w:rPr>
        <w:t xml:space="preserve"> el incremento en la cantidad de terminados de la oficina</w:t>
      </w:r>
      <w:r w:rsidR="00E34D0E" w:rsidRPr="001D0C10">
        <w:rPr>
          <w:rFonts w:ascii="Book Antiqua" w:eastAsia="Calibri" w:hAnsi="Book Antiqua" w:cs="Arial"/>
          <w:sz w:val="24"/>
          <w:szCs w:val="24"/>
        </w:rPr>
        <w:t xml:space="preserve">, según </w:t>
      </w:r>
      <w:r w:rsidR="00A30B02" w:rsidRPr="001D0C10">
        <w:rPr>
          <w:rFonts w:ascii="Book Antiqua" w:eastAsia="Calibri" w:hAnsi="Book Antiqua" w:cs="Arial"/>
          <w:sz w:val="24"/>
          <w:szCs w:val="24"/>
        </w:rPr>
        <w:t>in</w:t>
      </w:r>
      <w:r w:rsidR="000A7A5A">
        <w:rPr>
          <w:rFonts w:ascii="Book Antiqua" w:eastAsia="Calibri" w:hAnsi="Book Antiqua" w:cs="Arial"/>
          <w:sz w:val="24"/>
          <w:szCs w:val="24"/>
        </w:rPr>
        <w:t>forma</w:t>
      </w:r>
      <w:r w:rsidR="00A30B02" w:rsidRPr="001D0C10">
        <w:rPr>
          <w:rFonts w:ascii="Book Antiqua" w:eastAsia="Calibri" w:hAnsi="Book Antiqua" w:cs="Arial"/>
          <w:sz w:val="24"/>
          <w:szCs w:val="24"/>
        </w:rPr>
        <w:t>ción</w:t>
      </w:r>
      <w:r w:rsidR="00E34D0E" w:rsidRPr="001D0C10">
        <w:rPr>
          <w:rFonts w:ascii="Book Antiqua" w:eastAsia="Calibri" w:hAnsi="Book Antiqua" w:cs="Arial"/>
          <w:sz w:val="24"/>
          <w:szCs w:val="24"/>
        </w:rPr>
        <w:t xml:space="preserve"> aportada por el Juzgado, el apoyo inicialmente se encargó de resolver asuntos en circulante específicamente de procesos </w:t>
      </w:r>
      <w:r w:rsidR="000A7A5A">
        <w:rPr>
          <w:rFonts w:ascii="Book Antiqua" w:eastAsia="Calibri" w:hAnsi="Book Antiqua" w:cs="Arial"/>
          <w:sz w:val="24"/>
          <w:szCs w:val="24"/>
        </w:rPr>
        <w:t xml:space="preserve">de </w:t>
      </w:r>
      <w:r w:rsidR="00E34D0E" w:rsidRPr="001D0C10">
        <w:rPr>
          <w:rFonts w:ascii="Book Antiqua" w:eastAsia="Calibri" w:hAnsi="Book Antiqua" w:cs="Arial"/>
          <w:sz w:val="24"/>
          <w:szCs w:val="24"/>
        </w:rPr>
        <w:t>conflictos entre progenitores y el P</w:t>
      </w:r>
      <w:r w:rsidR="001C68C9">
        <w:rPr>
          <w:rFonts w:ascii="Book Antiqua" w:eastAsia="Calibri" w:hAnsi="Book Antiqua" w:cs="Arial"/>
          <w:sz w:val="24"/>
          <w:szCs w:val="24"/>
        </w:rPr>
        <w:t>ANI (procesos de filiación)</w:t>
      </w:r>
      <w:r w:rsidR="00E34D0E" w:rsidRPr="001D0C10">
        <w:rPr>
          <w:rFonts w:ascii="Book Antiqua" w:eastAsia="Calibri" w:hAnsi="Book Antiqua" w:cs="Arial"/>
          <w:sz w:val="24"/>
          <w:szCs w:val="24"/>
        </w:rPr>
        <w:t xml:space="preserve">, alrededor de 150 expedientes, y posteriormente </w:t>
      </w:r>
      <w:r w:rsidR="0077411C" w:rsidRPr="001D0C10">
        <w:rPr>
          <w:rFonts w:ascii="Book Antiqua" w:eastAsia="Calibri" w:hAnsi="Book Antiqua" w:cs="Arial"/>
          <w:sz w:val="24"/>
          <w:szCs w:val="24"/>
        </w:rPr>
        <w:t>colaboró</w:t>
      </w:r>
      <w:r w:rsidR="00E34D0E" w:rsidRPr="001D0C10">
        <w:rPr>
          <w:rFonts w:ascii="Book Antiqua" w:eastAsia="Calibri" w:hAnsi="Book Antiqua" w:cs="Arial"/>
          <w:sz w:val="24"/>
          <w:szCs w:val="24"/>
        </w:rPr>
        <w:t xml:space="preserve"> con la celebración de audiencias (2 diarias)</w:t>
      </w:r>
      <w:r w:rsidR="0077411C" w:rsidRPr="001D0C10">
        <w:rPr>
          <w:rFonts w:ascii="Book Antiqua" w:eastAsia="Calibri" w:hAnsi="Book Antiqua" w:cs="Arial"/>
          <w:sz w:val="24"/>
          <w:szCs w:val="24"/>
        </w:rPr>
        <w:t xml:space="preserve"> con la técnica supernumeraria, quién además d</w:t>
      </w:r>
      <w:r w:rsidR="000A7A5A">
        <w:rPr>
          <w:rFonts w:ascii="Book Antiqua" w:eastAsia="Calibri" w:hAnsi="Book Antiqua" w:cs="Arial"/>
          <w:sz w:val="24"/>
          <w:szCs w:val="24"/>
        </w:rPr>
        <w:t>io</w:t>
      </w:r>
      <w:r w:rsidR="0077411C" w:rsidRPr="001D0C10">
        <w:rPr>
          <w:rFonts w:ascii="Book Antiqua" w:eastAsia="Calibri" w:hAnsi="Book Antiqua" w:cs="Arial"/>
          <w:sz w:val="24"/>
          <w:szCs w:val="24"/>
        </w:rPr>
        <w:t xml:space="preserve"> apoyo a la </w:t>
      </w:r>
      <w:r w:rsidR="0077411C" w:rsidRPr="001D0C10">
        <w:rPr>
          <w:rFonts w:ascii="Book Antiqua" w:eastAsia="Calibri" w:hAnsi="Book Antiqua" w:cs="Arial"/>
          <w:i/>
          <w:iCs/>
          <w:sz w:val="24"/>
          <w:szCs w:val="24"/>
        </w:rPr>
        <w:t>“Jueza 2</w:t>
      </w:r>
      <w:r w:rsidR="0077411C" w:rsidRPr="001D0C10">
        <w:rPr>
          <w:rFonts w:ascii="Book Antiqua" w:eastAsia="Calibri" w:hAnsi="Book Antiqua" w:cs="Arial"/>
          <w:sz w:val="24"/>
          <w:szCs w:val="24"/>
        </w:rPr>
        <w:t>”</w:t>
      </w:r>
      <w:r w:rsidR="00E34D0E" w:rsidRPr="001D0C10">
        <w:rPr>
          <w:rFonts w:ascii="Book Antiqua" w:eastAsia="Calibri" w:hAnsi="Book Antiqua" w:cs="Arial"/>
          <w:sz w:val="24"/>
          <w:szCs w:val="24"/>
        </w:rPr>
        <w:t>.</w:t>
      </w:r>
      <w:r w:rsidR="00A30B02" w:rsidRPr="00A70A3E">
        <w:rPr>
          <w:rFonts w:ascii="Book Antiqua" w:eastAsia="Calibri" w:hAnsi="Book Antiqua" w:cs="Arial"/>
          <w:sz w:val="24"/>
          <w:szCs w:val="24"/>
        </w:rPr>
        <w:t xml:space="preserve"> Consultado al CACMFJ sobre el per</w:t>
      </w:r>
      <w:r w:rsidR="00106DFC">
        <w:rPr>
          <w:rFonts w:ascii="Book Antiqua" w:eastAsia="Calibri" w:hAnsi="Book Antiqua" w:cs="Arial"/>
          <w:sz w:val="24"/>
          <w:szCs w:val="24"/>
        </w:rPr>
        <w:t>í</w:t>
      </w:r>
      <w:r w:rsidR="00A30B02" w:rsidRPr="00A70A3E">
        <w:rPr>
          <w:rFonts w:ascii="Book Antiqua" w:eastAsia="Calibri" w:hAnsi="Book Antiqua" w:cs="Arial"/>
          <w:sz w:val="24"/>
          <w:szCs w:val="24"/>
        </w:rPr>
        <w:t xml:space="preserve">odo exacto del apoyo indican </w:t>
      </w:r>
      <w:r w:rsidR="00A30B02" w:rsidRPr="001D0C10">
        <w:rPr>
          <w:rFonts w:ascii="Book Antiqua" w:eastAsia="Calibri" w:hAnsi="Book Antiqua" w:cs="Arial"/>
          <w:i/>
          <w:iCs/>
        </w:rPr>
        <w:t>“e</w:t>
      </w:r>
      <w:r w:rsidR="00A30B02" w:rsidRPr="001D0C10">
        <w:rPr>
          <w:rFonts w:ascii="Book Antiqua" w:hAnsi="Book Antiqua" w:cs="Segoe UI"/>
          <w:i/>
          <w:iCs/>
          <w:color w:val="242424"/>
          <w:shd w:val="clear" w:color="auto" w:fill="FFFFFF"/>
        </w:rPr>
        <w:t>l recurso de técnico se asignó desde 23 de marzo del 2018 hasta el 7 de mayo del 2021</w:t>
      </w:r>
      <w:r w:rsidR="00A30B02" w:rsidRPr="001D0C10">
        <w:rPr>
          <w:rFonts w:ascii="Book Antiqua" w:eastAsia="Calibri" w:hAnsi="Book Antiqua" w:cs="Arial"/>
          <w:i/>
          <w:iCs/>
        </w:rPr>
        <w:t>”</w:t>
      </w:r>
      <w:r w:rsidR="003065CD">
        <w:rPr>
          <w:rFonts w:ascii="Book Antiqua" w:eastAsia="Calibri" w:hAnsi="Book Antiqua" w:cs="Arial"/>
          <w:i/>
          <w:iCs/>
        </w:rPr>
        <w:t xml:space="preserve"> </w:t>
      </w:r>
      <w:r w:rsidR="003065CD" w:rsidRPr="001D0C10">
        <w:rPr>
          <w:rFonts w:ascii="Book Antiqua" w:eastAsia="Calibri" w:hAnsi="Book Antiqua" w:cs="Arial"/>
          <w:sz w:val="24"/>
          <w:szCs w:val="24"/>
        </w:rPr>
        <w:t xml:space="preserve">y en cuanto a la persona juzgadora </w:t>
      </w:r>
      <w:r w:rsidR="003065CD">
        <w:rPr>
          <w:rFonts w:ascii="Book Antiqua" w:eastAsia="Calibri" w:hAnsi="Book Antiqua" w:cs="Arial"/>
          <w:i/>
          <w:iCs/>
        </w:rPr>
        <w:t>“y</w:t>
      </w:r>
      <w:r w:rsidR="003065CD" w:rsidRPr="003065CD">
        <w:rPr>
          <w:rFonts w:ascii="Book Antiqua" w:eastAsia="Calibri" w:hAnsi="Book Antiqua" w:cs="Arial"/>
          <w:i/>
          <w:iCs/>
        </w:rPr>
        <w:t xml:space="preserve"> el recurso de juez se asignó desde mayo del 2018 hasta el 30 de abril de 2021</w:t>
      </w:r>
      <w:r w:rsidR="003065CD">
        <w:rPr>
          <w:rFonts w:ascii="Book Antiqua" w:eastAsia="Calibri" w:hAnsi="Book Antiqua" w:cs="Arial"/>
          <w:i/>
          <w:iCs/>
        </w:rPr>
        <w:t>”.</w:t>
      </w:r>
    </w:p>
    <w:p w14:paraId="04C15AC3" w14:textId="5873A3A2" w:rsidR="00AA0DF4" w:rsidRDefault="00AA0DF4" w:rsidP="00AA0DF4">
      <w:pPr>
        <w:spacing w:after="0" w:line="276" w:lineRule="auto"/>
        <w:jc w:val="both"/>
        <w:rPr>
          <w:rFonts w:ascii="Book Antiqua" w:eastAsia="Calibri" w:hAnsi="Book Antiqua" w:cs="Arial"/>
          <w:sz w:val="24"/>
          <w:szCs w:val="24"/>
        </w:rPr>
      </w:pPr>
    </w:p>
    <w:p w14:paraId="5E53628A" w14:textId="125C7EF0" w:rsidR="000330F0" w:rsidRP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34</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3FF83647" w14:textId="102A82BF" w:rsid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Carga de trabajo Juzgado de Niñez y Adolescencia</w:t>
      </w:r>
    </w:p>
    <w:tbl>
      <w:tblPr>
        <w:tblW w:w="10880" w:type="dxa"/>
        <w:jc w:val="center"/>
        <w:tblCellMar>
          <w:left w:w="70" w:type="dxa"/>
          <w:right w:w="70" w:type="dxa"/>
        </w:tblCellMar>
        <w:tblLook w:val="04A0" w:firstRow="1" w:lastRow="0" w:firstColumn="1" w:lastColumn="0" w:noHBand="0" w:noVBand="1"/>
      </w:tblPr>
      <w:tblGrid>
        <w:gridCol w:w="3180"/>
        <w:gridCol w:w="1200"/>
        <w:gridCol w:w="1240"/>
        <w:gridCol w:w="1190"/>
        <w:gridCol w:w="860"/>
        <w:gridCol w:w="1050"/>
        <w:gridCol w:w="960"/>
        <w:gridCol w:w="1200"/>
      </w:tblGrid>
      <w:tr w:rsidR="00FE4581" w:rsidRPr="00FE4581" w14:paraId="6199209A" w14:textId="77777777" w:rsidTr="00FE4581">
        <w:trPr>
          <w:trHeight w:val="570"/>
          <w:jc w:val="center"/>
        </w:trPr>
        <w:tc>
          <w:tcPr>
            <w:tcW w:w="31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FB049A8"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Despacho</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90663B5"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Promedio mensual Entrada 2017-2022</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52C0101"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Promedio mensual Terminados 2017-2022</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42F4C91"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Circulante en trámite al 31 diciembre-2022</w:t>
            </w:r>
          </w:p>
        </w:tc>
        <w:tc>
          <w:tcPr>
            <w:tcW w:w="1940" w:type="dxa"/>
            <w:gridSpan w:val="2"/>
            <w:tcBorders>
              <w:top w:val="single" w:sz="8" w:space="0" w:color="auto"/>
              <w:left w:val="nil"/>
              <w:bottom w:val="single" w:sz="8" w:space="0" w:color="auto"/>
              <w:right w:val="single" w:sz="8" w:space="0" w:color="000000"/>
            </w:tcBorders>
            <w:shd w:val="clear" w:color="000000" w:fill="002060"/>
            <w:vAlign w:val="center"/>
            <w:hideMark/>
          </w:tcPr>
          <w:p w14:paraId="35994246"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Recurso Humano</w:t>
            </w:r>
          </w:p>
        </w:tc>
        <w:tc>
          <w:tcPr>
            <w:tcW w:w="2160" w:type="dxa"/>
            <w:gridSpan w:val="2"/>
            <w:tcBorders>
              <w:top w:val="single" w:sz="8" w:space="0" w:color="auto"/>
              <w:left w:val="nil"/>
              <w:bottom w:val="single" w:sz="8" w:space="0" w:color="auto"/>
              <w:right w:val="single" w:sz="8" w:space="0" w:color="000000"/>
            </w:tcBorders>
            <w:shd w:val="clear" w:color="000000" w:fill="002060"/>
            <w:vAlign w:val="center"/>
            <w:hideMark/>
          </w:tcPr>
          <w:p w14:paraId="53904AF9"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Carga de trabajo</w:t>
            </w:r>
          </w:p>
        </w:tc>
      </w:tr>
      <w:tr w:rsidR="00FE4581" w:rsidRPr="00FE4581" w14:paraId="5054118D" w14:textId="77777777" w:rsidTr="00FE4581">
        <w:trPr>
          <w:trHeight w:val="790"/>
          <w:jc w:val="center"/>
        </w:trPr>
        <w:tc>
          <w:tcPr>
            <w:tcW w:w="3180" w:type="dxa"/>
            <w:vMerge/>
            <w:tcBorders>
              <w:top w:val="single" w:sz="8" w:space="0" w:color="auto"/>
              <w:left w:val="single" w:sz="8" w:space="0" w:color="auto"/>
              <w:bottom w:val="single" w:sz="8" w:space="0" w:color="000000"/>
              <w:right w:val="single" w:sz="8" w:space="0" w:color="auto"/>
            </w:tcBorders>
            <w:vAlign w:val="center"/>
            <w:hideMark/>
          </w:tcPr>
          <w:p w14:paraId="4A848E3C" w14:textId="77777777" w:rsidR="00FE4581" w:rsidRPr="00FE4581" w:rsidRDefault="00FE4581" w:rsidP="00FE4581">
            <w:pPr>
              <w:spacing w:after="0" w:line="240" w:lineRule="auto"/>
              <w:rPr>
                <w:rFonts w:ascii="Book Antiqua" w:eastAsia="Times New Roman" w:hAnsi="Book Antiqua" w:cs="Calibri"/>
                <w:b/>
                <w:bCs/>
                <w:color w:val="FFFFFF"/>
                <w:sz w:val="20"/>
                <w:szCs w:val="20"/>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5A5168EA" w14:textId="77777777" w:rsidR="00FE4581" w:rsidRPr="00FE4581" w:rsidRDefault="00FE4581" w:rsidP="00FE4581">
            <w:pPr>
              <w:spacing w:after="0" w:line="240" w:lineRule="auto"/>
              <w:rPr>
                <w:rFonts w:ascii="Book Antiqua" w:eastAsia="Times New Roman" w:hAnsi="Book Antiqua" w:cs="Calibri"/>
                <w:b/>
                <w:bCs/>
                <w:color w:val="FFFFFF"/>
                <w:sz w:val="20"/>
                <w:szCs w:val="20"/>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0032C00A" w14:textId="77777777" w:rsidR="00FE4581" w:rsidRPr="00FE4581" w:rsidRDefault="00FE4581" w:rsidP="00FE4581">
            <w:pPr>
              <w:spacing w:after="0" w:line="240" w:lineRule="auto"/>
              <w:rPr>
                <w:rFonts w:ascii="Book Antiqua" w:eastAsia="Times New Roman" w:hAnsi="Book Antiqua" w:cs="Calibri"/>
                <w:b/>
                <w:bCs/>
                <w:color w:val="FFFFFF"/>
                <w:sz w:val="20"/>
                <w:szCs w:val="20"/>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35FDE9BE" w14:textId="77777777" w:rsidR="00FE4581" w:rsidRPr="00FE4581" w:rsidRDefault="00FE4581" w:rsidP="00FE4581">
            <w:pPr>
              <w:spacing w:after="0" w:line="240" w:lineRule="auto"/>
              <w:rPr>
                <w:rFonts w:ascii="Book Antiqua" w:eastAsia="Times New Roman" w:hAnsi="Book Antiqua" w:cs="Calibri"/>
                <w:b/>
                <w:bCs/>
                <w:color w:val="FFFFFF"/>
                <w:sz w:val="20"/>
                <w:szCs w:val="20"/>
                <w:lang w:eastAsia="es-CR"/>
              </w:rPr>
            </w:pPr>
          </w:p>
        </w:tc>
        <w:tc>
          <w:tcPr>
            <w:tcW w:w="860" w:type="dxa"/>
            <w:tcBorders>
              <w:top w:val="nil"/>
              <w:left w:val="nil"/>
              <w:bottom w:val="single" w:sz="8" w:space="0" w:color="auto"/>
              <w:right w:val="single" w:sz="8" w:space="0" w:color="auto"/>
            </w:tcBorders>
            <w:shd w:val="clear" w:color="000000" w:fill="002060"/>
            <w:vAlign w:val="center"/>
            <w:hideMark/>
          </w:tcPr>
          <w:p w14:paraId="68FCFB02"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Jueza o Juez</w:t>
            </w:r>
          </w:p>
        </w:tc>
        <w:tc>
          <w:tcPr>
            <w:tcW w:w="1080" w:type="dxa"/>
            <w:tcBorders>
              <w:top w:val="nil"/>
              <w:left w:val="nil"/>
              <w:bottom w:val="single" w:sz="8" w:space="0" w:color="auto"/>
              <w:right w:val="single" w:sz="8" w:space="0" w:color="auto"/>
            </w:tcBorders>
            <w:shd w:val="clear" w:color="000000" w:fill="002060"/>
            <w:vAlign w:val="center"/>
            <w:hideMark/>
          </w:tcPr>
          <w:p w14:paraId="4C3673E9"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Técnica o Técnico de Trámite</w:t>
            </w:r>
          </w:p>
        </w:tc>
        <w:tc>
          <w:tcPr>
            <w:tcW w:w="960" w:type="dxa"/>
            <w:tcBorders>
              <w:top w:val="nil"/>
              <w:left w:val="nil"/>
              <w:bottom w:val="single" w:sz="8" w:space="0" w:color="auto"/>
              <w:right w:val="single" w:sz="8" w:space="0" w:color="auto"/>
            </w:tcBorders>
            <w:shd w:val="clear" w:color="000000" w:fill="002060"/>
            <w:vAlign w:val="center"/>
            <w:hideMark/>
          </w:tcPr>
          <w:p w14:paraId="600998F8"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Jueza o Juez</w:t>
            </w:r>
          </w:p>
        </w:tc>
        <w:tc>
          <w:tcPr>
            <w:tcW w:w="1200" w:type="dxa"/>
            <w:tcBorders>
              <w:top w:val="nil"/>
              <w:left w:val="nil"/>
              <w:bottom w:val="single" w:sz="8" w:space="0" w:color="auto"/>
              <w:right w:val="single" w:sz="8" w:space="0" w:color="auto"/>
            </w:tcBorders>
            <w:shd w:val="clear" w:color="000000" w:fill="002060"/>
            <w:vAlign w:val="center"/>
            <w:hideMark/>
          </w:tcPr>
          <w:p w14:paraId="6B3E4E70" w14:textId="77777777" w:rsidR="00FE4581" w:rsidRPr="00FE4581" w:rsidRDefault="00FE4581" w:rsidP="00FE4581">
            <w:pPr>
              <w:spacing w:after="0" w:line="240" w:lineRule="auto"/>
              <w:jc w:val="center"/>
              <w:rPr>
                <w:rFonts w:ascii="Book Antiqua" w:eastAsia="Times New Roman" w:hAnsi="Book Antiqua" w:cs="Calibri"/>
                <w:b/>
                <w:bCs/>
                <w:color w:val="FFFFFF"/>
                <w:sz w:val="20"/>
                <w:szCs w:val="20"/>
                <w:lang w:eastAsia="es-CR"/>
              </w:rPr>
            </w:pPr>
            <w:r w:rsidRPr="00FE4581">
              <w:rPr>
                <w:rFonts w:ascii="Book Antiqua" w:eastAsia="Times New Roman" w:hAnsi="Book Antiqua" w:cs="Calibri"/>
                <w:b/>
                <w:bCs/>
                <w:color w:val="FFFFFF"/>
                <w:sz w:val="20"/>
                <w:szCs w:val="20"/>
                <w:lang w:eastAsia="es-CR"/>
              </w:rPr>
              <w:t>Técnica o Técnico de Trámite</w:t>
            </w:r>
          </w:p>
        </w:tc>
      </w:tr>
      <w:tr w:rsidR="00FE4581" w:rsidRPr="00FE4581" w14:paraId="45DD832E" w14:textId="77777777" w:rsidTr="00FE4581">
        <w:trPr>
          <w:trHeight w:val="300"/>
          <w:jc w:val="center"/>
        </w:trPr>
        <w:tc>
          <w:tcPr>
            <w:tcW w:w="3180" w:type="dxa"/>
            <w:tcBorders>
              <w:top w:val="nil"/>
              <w:left w:val="single" w:sz="8" w:space="0" w:color="auto"/>
              <w:bottom w:val="single" w:sz="8" w:space="0" w:color="auto"/>
              <w:right w:val="single" w:sz="8" w:space="0" w:color="auto"/>
            </w:tcBorders>
            <w:shd w:val="clear" w:color="auto" w:fill="auto"/>
            <w:noWrap/>
            <w:vAlign w:val="center"/>
            <w:hideMark/>
          </w:tcPr>
          <w:p w14:paraId="44323998" w14:textId="77777777" w:rsidR="00FE4581" w:rsidRPr="00FE4581" w:rsidRDefault="00FE4581" w:rsidP="00FE4581">
            <w:pPr>
              <w:spacing w:after="0" w:line="240" w:lineRule="auto"/>
              <w:rPr>
                <w:rFonts w:ascii="Book Antiqua" w:eastAsia="Times New Roman" w:hAnsi="Book Antiqua" w:cs="Calibri"/>
                <w:b/>
                <w:bCs/>
                <w:color w:val="000000"/>
                <w:sz w:val="20"/>
                <w:szCs w:val="20"/>
                <w:lang w:eastAsia="es-CR"/>
              </w:rPr>
            </w:pPr>
            <w:r w:rsidRPr="00FE4581">
              <w:rPr>
                <w:rFonts w:ascii="Book Antiqua" w:eastAsia="Times New Roman" w:hAnsi="Book Antiqua" w:cs="Calibri"/>
                <w:b/>
                <w:bCs/>
                <w:color w:val="000000"/>
                <w:sz w:val="20"/>
                <w:szCs w:val="20"/>
                <w:lang w:eastAsia="es-CR"/>
              </w:rPr>
              <w:t>Juzgado de Niñez y Adolescencia</w:t>
            </w:r>
          </w:p>
        </w:tc>
        <w:tc>
          <w:tcPr>
            <w:tcW w:w="1200" w:type="dxa"/>
            <w:tcBorders>
              <w:top w:val="nil"/>
              <w:left w:val="nil"/>
              <w:bottom w:val="single" w:sz="8" w:space="0" w:color="auto"/>
              <w:right w:val="single" w:sz="8" w:space="0" w:color="auto"/>
            </w:tcBorders>
            <w:shd w:val="clear" w:color="auto" w:fill="auto"/>
            <w:noWrap/>
            <w:vAlign w:val="center"/>
            <w:hideMark/>
          </w:tcPr>
          <w:p w14:paraId="55D86139" w14:textId="77777777" w:rsidR="00FE4581" w:rsidRPr="00FE4581" w:rsidRDefault="00FE4581" w:rsidP="00FE4581">
            <w:pPr>
              <w:spacing w:after="0" w:line="240" w:lineRule="auto"/>
              <w:jc w:val="center"/>
              <w:rPr>
                <w:rFonts w:ascii="Book Antiqua" w:eastAsia="Times New Roman" w:hAnsi="Book Antiqua" w:cs="Calibri"/>
                <w:color w:val="000000"/>
                <w:sz w:val="20"/>
                <w:szCs w:val="20"/>
                <w:lang w:eastAsia="es-CR"/>
              </w:rPr>
            </w:pPr>
            <w:r w:rsidRPr="00FE4581">
              <w:rPr>
                <w:rFonts w:ascii="Book Antiqua" w:eastAsia="Times New Roman" w:hAnsi="Book Antiqua" w:cs="Calibri"/>
                <w:color w:val="000000"/>
                <w:sz w:val="20"/>
                <w:szCs w:val="20"/>
                <w:lang w:eastAsia="es-CR"/>
              </w:rPr>
              <w:t>99</w:t>
            </w:r>
          </w:p>
        </w:tc>
        <w:tc>
          <w:tcPr>
            <w:tcW w:w="1200" w:type="dxa"/>
            <w:tcBorders>
              <w:top w:val="nil"/>
              <w:left w:val="nil"/>
              <w:bottom w:val="single" w:sz="8" w:space="0" w:color="auto"/>
              <w:right w:val="single" w:sz="8" w:space="0" w:color="auto"/>
            </w:tcBorders>
            <w:shd w:val="clear" w:color="auto" w:fill="auto"/>
            <w:vAlign w:val="center"/>
            <w:hideMark/>
          </w:tcPr>
          <w:p w14:paraId="69169BD9" w14:textId="77777777" w:rsidR="00FE4581" w:rsidRPr="00FE4581" w:rsidRDefault="00FE4581" w:rsidP="00FE4581">
            <w:pPr>
              <w:spacing w:after="0" w:line="240" w:lineRule="auto"/>
              <w:jc w:val="center"/>
              <w:rPr>
                <w:rFonts w:ascii="Book Antiqua" w:eastAsia="Times New Roman" w:hAnsi="Book Antiqua" w:cs="Calibri"/>
                <w:color w:val="000000"/>
                <w:sz w:val="20"/>
                <w:szCs w:val="20"/>
                <w:lang w:eastAsia="es-CR"/>
              </w:rPr>
            </w:pPr>
            <w:r w:rsidRPr="00FE4581">
              <w:rPr>
                <w:rFonts w:ascii="Book Antiqua" w:eastAsia="Times New Roman" w:hAnsi="Book Antiqua" w:cs="Calibri"/>
                <w:color w:val="000000"/>
                <w:sz w:val="20"/>
                <w:szCs w:val="20"/>
                <w:lang w:eastAsia="es-CR"/>
              </w:rPr>
              <w:t>82</w:t>
            </w:r>
          </w:p>
        </w:tc>
        <w:tc>
          <w:tcPr>
            <w:tcW w:w="1200" w:type="dxa"/>
            <w:tcBorders>
              <w:top w:val="nil"/>
              <w:left w:val="nil"/>
              <w:bottom w:val="single" w:sz="8" w:space="0" w:color="auto"/>
              <w:right w:val="single" w:sz="8" w:space="0" w:color="auto"/>
            </w:tcBorders>
            <w:shd w:val="clear" w:color="auto" w:fill="auto"/>
            <w:vAlign w:val="center"/>
            <w:hideMark/>
          </w:tcPr>
          <w:p w14:paraId="2365D35D" w14:textId="4ACF911B" w:rsidR="00FE4581" w:rsidRPr="00FE4581" w:rsidRDefault="00FE4581" w:rsidP="00FE4581">
            <w:pPr>
              <w:spacing w:after="0" w:line="240" w:lineRule="auto"/>
              <w:jc w:val="center"/>
              <w:rPr>
                <w:rFonts w:ascii="Book Antiqua" w:eastAsia="Times New Roman" w:hAnsi="Book Antiqua" w:cs="Calibri"/>
                <w:color w:val="000000"/>
                <w:sz w:val="20"/>
                <w:szCs w:val="20"/>
                <w:lang w:eastAsia="es-CR"/>
              </w:rPr>
            </w:pPr>
            <w:r w:rsidRPr="00FE4581">
              <w:rPr>
                <w:rFonts w:ascii="Book Antiqua" w:eastAsia="Times New Roman" w:hAnsi="Book Antiqua" w:cs="Calibri"/>
                <w:color w:val="000000"/>
                <w:sz w:val="20"/>
                <w:szCs w:val="20"/>
                <w:lang w:eastAsia="es-CR"/>
              </w:rPr>
              <w:t>16</w:t>
            </w:r>
            <w:r w:rsidR="00201FFB">
              <w:rPr>
                <w:rFonts w:ascii="Book Antiqua" w:eastAsia="Times New Roman" w:hAnsi="Book Antiqua" w:cs="Calibri"/>
                <w:color w:val="000000"/>
                <w:sz w:val="20"/>
                <w:szCs w:val="20"/>
                <w:lang w:eastAsia="es-CR"/>
              </w:rPr>
              <w:t>59</w:t>
            </w:r>
          </w:p>
        </w:tc>
        <w:tc>
          <w:tcPr>
            <w:tcW w:w="860" w:type="dxa"/>
            <w:tcBorders>
              <w:top w:val="nil"/>
              <w:left w:val="nil"/>
              <w:bottom w:val="single" w:sz="8" w:space="0" w:color="auto"/>
              <w:right w:val="single" w:sz="8" w:space="0" w:color="auto"/>
            </w:tcBorders>
            <w:shd w:val="clear" w:color="auto" w:fill="auto"/>
            <w:noWrap/>
            <w:vAlign w:val="center"/>
            <w:hideMark/>
          </w:tcPr>
          <w:p w14:paraId="146A501C" w14:textId="77777777" w:rsidR="00FE4581" w:rsidRPr="00FE4581" w:rsidRDefault="00FE4581" w:rsidP="00FE4581">
            <w:pPr>
              <w:spacing w:after="0" w:line="240" w:lineRule="auto"/>
              <w:jc w:val="center"/>
              <w:rPr>
                <w:rFonts w:ascii="Book Antiqua" w:eastAsia="Times New Roman" w:hAnsi="Book Antiqua" w:cs="Calibri"/>
                <w:color w:val="000000"/>
                <w:sz w:val="20"/>
                <w:szCs w:val="20"/>
                <w:lang w:eastAsia="es-CR"/>
              </w:rPr>
            </w:pPr>
            <w:r w:rsidRPr="00FE4581">
              <w:rPr>
                <w:rFonts w:ascii="Book Antiqua" w:eastAsia="Times New Roman" w:hAnsi="Book Antiqua" w:cs="Calibri"/>
                <w:color w:val="000000"/>
                <w:sz w:val="20"/>
                <w:szCs w:val="20"/>
                <w:lang w:eastAsia="es-CR"/>
              </w:rPr>
              <w:t>2</w:t>
            </w:r>
          </w:p>
        </w:tc>
        <w:tc>
          <w:tcPr>
            <w:tcW w:w="1080" w:type="dxa"/>
            <w:tcBorders>
              <w:top w:val="nil"/>
              <w:left w:val="nil"/>
              <w:bottom w:val="single" w:sz="8" w:space="0" w:color="auto"/>
              <w:right w:val="single" w:sz="8" w:space="0" w:color="auto"/>
            </w:tcBorders>
            <w:shd w:val="clear" w:color="auto" w:fill="auto"/>
            <w:vAlign w:val="center"/>
            <w:hideMark/>
          </w:tcPr>
          <w:p w14:paraId="4D8FF3EC" w14:textId="77777777" w:rsidR="00FE4581" w:rsidRPr="00FE4581" w:rsidRDefault="00FE4581" w:rsidP="00FE4581">
            <w:pPr>
              <w:spacing w:after="0" w:line="240" w:lineRule="auto"/>
              <w:jc w:val="center"/>
              <w:rPr>
                <w:rFonts w:ascii="Book Antiqua" w:eastAsia="Times New Roman" w:hAnsi="Book Antiqua" w:cs="Calibri"/>
                <w:color w:val="000000"/>
                <w:sz w:val="20"/>
                <w:szCs w:val="20"/>
                <w:lang w:eastAsia="es-CR"/>
              </w:rPr>
            </w:pPr>
            <w:r w:rsidRPr="00FE4581">
              <w:rPr>
                <w:rFonts w:ascii="Book Antiqua" w:eastAsia="Times New Roman" w:hAnsi="Book Antiqua" w:cs="Calibri"/>
                <w:color w:val="000000"/>
                <w:sz w:val="20"/>
                <w:szCs w:val="20"/>
                <w:lang w:eastAsia="es-CR"/>
              </w:rPr>
              <w:t>4</w:t>
            </w:r>
          </w:p>
        </w:tc>
        <w:tc>
          <w:tcPr>
            <w:tcW w:w="960" w:type="dxa"/>
            <w:tcBorders>
              <w:top w:val="nil"/>
              <w:left w:val="nil"/>
              <w:bottom w:val="single" w:sz="8" w:space="0" w:color="auto"/>
              <w:right w:val="single" w:sz="8" w:space="0" w:color="auto"/>
            </w:tcBorders>
            <w:shd w:val="clear" w:color="auto" w:fill="auto"/>
            <w:noWrap/>
            <w:vAlign w:val="center"/>
            <w:hideMark/>
          </w:tcPr>
          <w:p w14:paraId="268D95F4" w14:textId="77777777" w:rsidR="00FE4581" w:rsidRPr="00FE4581" w:rsidRDefault="00FE4581" w:rsidP="00FE4581">
            <w:pPr>
              <w:spacing w:after="0" w:line="240" w:lineRule="auto"/>
              <w:jc w:val="center"/>
              <w:rPr>
                <w:rFonts w:ascii="Book Antiqua" w:eastAsia="Times New Roman" w:hAnsi="Book Antiqua" w:cs="Calibri"/>
                <w:color w:val="000000"/>
                <w:sz w:val="20"/>
                <w:szCs w:val="20"/>
                <w:lang w:eastAsia="es-CR"/>
              </w:rPr>
            </w:pPr>
            <w:r w:rsidRPr="00FE4581">
              <w:rPr>
                <w:rFonts w:ascii="Book Antiqua" w:eastAsia="Times New Roman" w:hAnsi="Book Antiqua" w:cs="Calibri"/>
                <w:color w:val="000000"/>
                <w:sz w:val="20"/>
                <w:szCs w:val="20"/>
                <w:lang w:eastAsia="es-CR"/>
              </w:rPr>
              <w:t>49</w:t>
            </w:r>
          </w:p>
        </w:tc>
        <w:tc>
          <w:tcPr>
            <w:tcW w:w="1200" w:type="dxa"/>
            <w:tcBorders>
              <w:top w:val="nil"/>
              <w:left w:val="nil"/>
              <w:bottom w:val="single" w:sz="8" w:space="0" w:color="auto"/>
              <w:right w:val="single" w:sz="8" w:space="0" w:color="auto"/>
            </w:tcBorders>
            <w:shd w:val="clear" w:color="auto" w:fill="auto"/>
            <w:noWrap/>
            <w:vAlign w:val="center"/>
            <w:hideMark/>
          </w:tcPr>
          <w:p w14:paraId="20BE76BA" w14:textId="77777777" w:rsidR="00FE4581" w:rsidRPr="00FE4581" w:rsidRDefault="00FE4581" w:rsidP="00FE4581">
            <w:pPr>
              <w:spacing w:after="0" w:line="240" w:lineRule="auto"/>
              <w:jc w:val="center"/>
              <w:rPr>
                <w:rFonts w:ascii="Book Antiqua" w:eastAsia="Times New Roman" w:hAnsi="Book Antiqua" w:cs="Calibri"/>
                <w:color w:val="000000"/>
                <w:sz w:val="20"/>
                <w:szCs w:val="20"/>
                <w:lang w:eastAsia="es-CR"/>
              </w:rPr>
            </w:pPr>
            <w:r w:rsidRPr="00FE4581">
              <w:rPr>
                <w:rFonts w:ascii="Book Antiqua" w:eastAsia="Times New Roman" w:hAnsi="Book Antiqua" w:cs="Calibri"/>
                <w:color w:val="000000"/>
                <w:sz w:val="20"/>
                <w:szCs w:val="20"/>
                <w:lang w:eastAsia="es-CR"/>
              </w:rPr>
              <w:t>25</w:t>
            </w:r>
          </w:p>
        </w:tc>
      </w:tr>
    </w:tbl>
    <w:p w14:paraId="3E3A77D0" w14:textId="77777777" w:rsidR="00FE4581" w:rsidRPr="00FE4581" w:rsidRDefault="000330F0" w:rsidP="00FE4581">
      <w:pPr>
        <w:spacing w:after="0" w:line="240" w:lineRule="auto"/>
        <w:jc w:val="both"/>
        <w:rPr>
          <w:rFonts w:ascii="Book Antiqua" w:eastAsia="Calibri" w:hAnsi="Book Antiqua" w:cs="Arial"/>
          <w:i/>
          <w:iCs/>
          <w:sz w:val="20"/>
          <w:szCs w:val="20"/>
        </w:rPr>
      </w:pPr>
      <w:r w:rsidRPr="00F53EAA">
        <w:rPr>
          <w:rFonts w:ascii="Book Antiqua" w:eastAsia="Calibri" w:hAnsi="Book Antiqua" w:cs="Arial"/>
          <w:b/>
          <w:bCs/>
          <w:i/>
          <w:iCs/>
          <w:sz w:val="20"/>
          <w:szCs w:val="20"/>
        </w:rPr>
        <w:t>Fuente:</w:t>
      </w:r>
      <w:r w:rsidRPr="000330F0">
        <w:rPr>
          <w:rFonts w:ascii="Book Antiqua" w:eastAsia="Calibri" w:hAnsi="Book Antiqua" w:cs="Arial"/>
          <w:i/>
          <w:iCs/>
          <w:sz w:val="20"/>
          <w:szCs w:val="20"/>
        </w:rPr>
        <w:t xml:space="preserve"> </w:t>
      </w:r>
      <w:r w:rsidR="00FE4581" w:rsidRPr="00FE4581">
        <w:rPr>
          <w:rFonts w:ascii="Book Antiqua" w:eastAsia="Calibri" w:hAnsi="Book Antiqua" w:cs="Arial"/>
          <w:i/>
          <w:iCs/>
          <w:sz w:val="20"/>
          <w:szCs w:val="20"/>
        </w:rPr>
        <w:t xml:space="preserve">Subproceso de Modernización Institucional, con datos del Subproceso de Estadística 2017 al </w:t>
      </w:r>
    </w:p>
    <w:p w14:paraId="7B2AFCEC" w14:textId="641345B8" w:rsidR="00AA0DF4" w:rsidRPr="000330F0" w:rsidRDefault="00FE4581" w:rsidP="00FE4581">
      <w:pPr>
        <w:spacing w:after="0" w:line="240" w:lineRule="auto"/>
        <w:jc w:val="both"/>
        <w:rPr>
          <w:rFonts w:ascii="Book Antiqua" w:eastAsia="Calibri" w:hAnsi="Book Antiqua" w:cs="Arial"/>
          <w:i/>
          <w:iCs/>
          <w:sz w:val="20"/>
          <w:szCs w:val="20"/>
        </w:rPr>
      </w:pPr>
      <w:r w:rsidRPr="00FE4581">
        <w:rPr>
          <w:rFonts w:ascii="Book Antiqua" w:eastAsia="Calibri" w:hAnsi="Book Antiqua" w:cs="Arial"/>
          <w:i/>
          <w:iCs/>
          <w:sz w:val="20"/>
          <w:szCs w:val="20"/>
        </w:rPr>
        <w:t xml:space="preserve">     2022 y consulta del Balance General Interactivo del 23/2/2023</w:t>
      </w:r>
      <w:r w:rsidR="000330F0" w:rsidRPr="000330F0">
        <w:rPr>
          <w:rFonts w:ascii="Book Antiqua" w:eastAsia="Calibri" w:hAnsi="Book Antiqua" w:cs="Arial"/>
          <w:i/>
          <w:iCs/>
          <w:sz w:val="20"/>
          <w:szCs w:val="20"/>
        </w:rPr>
        <w:t>.</w:t>
      </w:r>
    </w:p>
    <w:p w14:paraId="1D11DCBC" w14:textId="7C5764F7" w:rsidR="00AA0DF4" w:rsidRDefault="00AA0DF4" w:rsidP="00FE4581">
      <w:pPr>
        <w:spacing w:after="0" w:line="240" w:lineRule="auto"/>
        <w:jc w:val="both"/>
        <w:rPr>
          <w:rFonts w:ascii="Book Antiqua" w:eastAsia="Calibri" w:hAnsi="Book Antiqua" w:cs="Arial"/>
          <w:sz w:val="24"/>
          <w:szCs w:val="24"/>
        </w:rPr>
      </w:pPr>
    </w:p>
    <w:p w14:paraId="1344829F" w14:textId="1D20557C" w:rsidR="000330F0" w:rsidRPr="000330F0" w:rsidRDefault="000330F0" w:rsidP="00CC60D5">
      <w:pPr>
        <w:spacing w:after="0" w:line="276" w:lineRule="auto"/>
        <w:jc w:val="both"/>
        <w:rPr>
          <w:rFonts w:ascii="Book Antiqua" w:eastAsia="Calibri" w:hAnsi="Book Antiqua" w:cs="Arial"/>
          <w:sz w:val="24"/>
          <w:szCs w:val="24"/>
        </w:rPr>
      </w:pPr>
      <w:r w:rsidRPr="0049531D">
        <w:rPr>
          <w:rFonts w:ascii="Book Antiqua" w:eastAsia="Calibri" w:hAnsi="Book Antiqua" w:cs="Arial"/>
          <w:sz w:val="24"/>
          <w:szCs w:val="24"/>
        </w:rPr>
        <w:t xml:space="preserve">En relación con </w:t>
      </w:r>
      <w:r w:rsidR="00B5660F" w:rsidRPr="0049531D">
        <w:rPr>
          <w:rFonts w:ascii="Book Antiqua" w:eastAsia="Calibri" w:hAnsi="Book Antiqua" w:cs="Arial"/>
          <w:sz w:val="24"/>
          <w:szCs w:val="24"/>
        </w:rPr>
        <w:t xml:space="preserve">la </w:t>
      </w:r>
      <w:r w:rsidRPr="0049531D">
        <w:rPr>
          <w:rFonts w:ascii="Book Antiqua" w:eastAsia="Calibri" w:hAnsi="Book Antiqua" w:cs="Arial"/>
          <w:sz w:val="24"/>
          <w:szCs w:val="24"/>
        </w:rPr>
        <w:t xml:space="preserve">carga de trabajo </w:t>
      </w:r>
      <w:r w:rsidR="00EB1DD8">
        <w:rPr>
          <w:rFonts w:ascii="Book Antiqua" w:eastAsia="Calibri" w:hAnsi="Book Antiqua" w:cs="Arial"/>
          <w:sz w:val="24"/>
          <w:szCs w:val="24"/>
        </w:rPr>
        <w:t xml:space="preserve">calculada </w:t>
      </w:r>
      <w:r w:rsidRPr="0049531D">
        <w:rPr>
          <w:rFonts w:ascii="Book Antiqua" w:eastAsia="Calibri" w:hAnsi="Book Antiqua" w:cs="Arial"/>
          <w:sz w:val="24"/>
          <w:szCs w:val="24"/>
        </w:rPr>
        <w:t>por persona juzgadora</w:t>
      </w:r>
      <w:r w:rsidR="00A70A3E" w:rsidRPr="0049531D">
        <w:rPr>
          <w:rFonts w:ascii="Book Antiqua" w:eastAsia="Calibri" w:hAnsi="Book Antiqua" w:cs="Arial"/>
          <w:sz w:val="24"/>
          <w:szCs w:val="24"/>
        </w:rPr>
        <w:t xml:space="preserve">, </w:t>
      </w:r>
      <w:r w:rsidR="00EB1DD8">
        <w:rPr>
          <w:rFonts w:ascii="Book Antiqua" w:eastAsia="Calibri" w:hAnsi="Book Antiqua" w:cs="Arial"/>
          <w:sz w:val="24"/>
          <w:szCs w:val="24"/>
        </w:rPr>
        <w:t xml:space="preserve">la cual </w:t>
      </w:r>
      <w:r w:rsidR="00A70A3E" w:rsidRPr="0049531D">
        <w:rPr>
          <w:rFonts w:ascii="Book Antiqua" w:eastAsia="Calibri" w:hAnsi="Book Antiqua" w:cs="Arial"/>
          <w:sz w:val="24"/>
          <w:szCs w:val="24"/>
        </w:rPr>
        <w:t>se realizó entre el personal titular</w:t>
      </w:r>
      <w:r w:rsidR="00EB1DD8">
        <w:rPr>
          <w:rFonts w:ascii="Book Antiqua" w:eastAsia="Calibri" w:hAnsi="Book Antiqua" w:cs="Arial"/>
          <w:sz w:val="24"/>
          <w:szCs w:val="24"/>
        </w:rPr>
        <w:t xml:space="preserve"> (2)</w:t>
      </w:r>
      <w:r w:rsidR="00A70A3E" w:rsidRPr="0049531D">
        <w:rPr>
          <w:rFonts w:ascii="Book Antiqua" w:eastAsia="Calibri" w:hAnsi="Book Antiqua" w:cs="Arial"/>
          <w:sz w:val="24"/>
          <w:szCs w:val="24"/>
        </w:rPr>
        <w:t>, se reitera que por aproximadamente 3 años contaron con apoyo adicional del CACMFJ.  E</w:t>
      </w:r>
      <w:r w:rsidRPr="0049531D">
        <w:rPr>
          <w:rFonts w:ascii="Book Antiqua" w:eastAsia="Calibri" w:hAnsi="Book Antiqua" w:cs="Arial"/>
          <w:sz w:val="24"/>
          <w:szCs w:val="24"/>
        </w:rPr>
        <w:t>ste despacho registra 4</w:t>
      </w:r>
      <w:r w:rsidR="00B5660F" w:rsidRPr="0049531D">
        <w:rPr>
          <w:rFonts w:ascii="Book Antiqua" w:eastAsia="Calibri" w:hAnsi="Book Antiqua" w:cs="Arial"/>
          <w:sz w:val="24"/>
          <w:szCs w:val="24"/>
        </w:rPr>
        <w:t>9</w:t>
      </w:r>
      <w:r w:rsidRPr="0049531D">
        <w:rPr>
          <w:rFonts w:ascii="Book Antiqua" w:eastAsia="Calibri" w:hAnsi="Book Antiqua" w:cs="Arial"/>
          <w:sz w:val="24"/>
          <w:szCs w:val="24"/>
        </w:rPr>
        <w:t xml:space="preserve"> casos entrados al mes</w:t>
      </w:r>
      <w:r w:rsidR="008F237A">
        <w:rPr>
          <w:rFonts w:ascii="Book Antiqua" w:eastAsia="Calibri" w:hAnsi="Book Antiqua" w:cs="Arial"/>
          <w:sz w:val="24"/>
          <w:szCs w:val="24"/>
        </w:rPr>
        <w:t xml:space="preserve"> por Juez o Jueza</w:t>
      </w:r>
      <w:r w:rsidRPr="0049531D">
        <w:rPr>
          <w:rFonts w:ascii="Book Antiqua" w:eastAsia="Calibri" w:hAnsi="Book Antiqua" w:cs="Arial"/>
          <w:sz w:val="24"/>
          <w:szCs w:val="24"/>
        </w:rPr>
        <w:t xml:space="preserve">, lo que representa una </w:t>
      </w:r>
      <w:r w:rsidRPr="002221CC">
        <w:rPr>
          <w:rFonts w:ascii="Book Antiqua" w:eastAsia="Calibri" w:hAnsi="Book Antiqua" w:cs="Arial"/>
          <w:sz w:val="24"/>
          <w:szCs w:val="24"/>
        </w:rPr>
        <w:t xml:space="preserve">carga de trabajo </w:t>
      </w:r>
      <w:r w:rsidR="00045B73" w:rsidRPr="002221CC">
        <w:rPr>
          <w:rFonts w:ascii="Book Antiqua" w:eastAsia="Calibri" w:hAnsi="Book Antiqua" w:cs="Arial"/>
          <w:sz w:val="24"/>
          <w:szCs w:val="24"/>
        </w:rPr>
        <w:t>3</w:t>
      </w:r>
      <w:r w:rsidR="002221CC" w:rsidRPr="002221CC">
        <w:rPr>
          <w:rFonts w:ascii="Book Antiqua" w:eastAsia="Calibri" w:hAnsi="Book Antiqua" w:cs="Arial"/>
          <w:sz w:val="24"/>
          <w:szCs w:val="24"/>
        </w:rPr>
        <w:t>3</w:t>
      </w:r>
      <w:r w:rsidRPr="002221CC">
        <w:rPr>
          <w:rFonts w:ascii="Book Antiqua" w:eastAsia="Calibri" w:hAnsi="Book Antiqua" w:cs="Arial"/>
          <w:sz w:val="24"/>
          <w:szCs w:val="24"/>
        </w:rPr>
        <w:t xml:space="preserve">% inferior al promedio nacional </w:t>
      </w:r>
      <w:r w:rsidR="00D57E9D" w:rsidRPr="002221CC">
        <w:rPr>
          <w:rFonts w:ascii="Book Antiqua" w:eastAsia="Calibri" w:hAnsi="Book Antiqua" w:cs="Arial"/>
          <w:sz w:val="24"/>
          <w:szCs w:val="24"/>
        </w:rPr>
        <w:t xml:space="preserve">en despachos especializados </w:t>
      </w:r>
      <w:r w:rsidRPr="002221CC">
        <w:rPr>
          <w:rFonts w:ascii="Book Antiqua" w:eastAsia="Calibri" w:hAnsi="Book Antiqua" w:cs="Arial"/>
          <w:sz w:val="24"/>
          <w:szCs w:val="24"/>
        </w:rPr>
        <w:t xml:space="preserve">y en el caso de las personas </w:t>
      </w:r>
      <w:r w:rsidR="00B5660F" w:rsidRPr="002221CC">
        <w:rPr>
          <w:rFonts w:ascii="Book Antiqua" w:eastAsia="Calibri" w:hAnsi="Book Antiqua" w:cs="Arial"/>
          <w:sz w:val="24"/>
          <w:szCs w:val="24"/>
        </w:rPr>
        <w:t>técnicas</w:t>
      </w:r>
      <w:r w:rsidRPr="002221CC">
        <w:rPr>
          <w:rFonts w:ascii="Book Antiqua" w:eastAsia="Calibri" w:hAnsi="Book Antiqua" w:cs="Arial"/>
          <w:sz w:val="24"/>
          <w:szCs w:val="24"/>
        </w:rPr>
        <w:t xml:space="preserve"> 2</w:t>
      </w:r>
      <w:r w:rsidR="00B5660F" w:rsidRPr="002221CC">
        <w:rPr>
          <w:rFonts w:ascii="Book Antiqua" w:eastAsia="Calibri" w:hAnsi="Book Antiqua" w:cs="Arial"/>
          <w:sz w:val="24"/>
          <w:szCs w:val="24"/>
        </w:rPr>
        <w:t>5</w:t>
      </w:r>
      <w:r w:rsidRPr="002221CC">
        <w:rPr>
          <w:rFonts w:ascii="Book Antiqua" w:eastAsia="Calibri" w:hAnsi="Book Antiqua" w:cs="Arial"/>
          <w:sz w:val="24"/>
          <w:szCs w:val="24"/>
        </w:rPr>
        <w:t xml:space="preserve"> casos, un </w:t>
      </w:r>
      <w:r w:rsidR="00045B73" w:rsidRPr="002221CC">
        <w:rPr>
          <w:rFonts w:ascii="Book Antiqua" w:eastAsia="Calibri" w:hAnsi="Book Antiqua" w:cs="Arial"/>
          <w:sz w:val="24"/>
          <w:szCs w:val="24"/>
        </w:rPr>
        <w:t>4</w:t>
      </w:r>
      <w:r w:rsidR="002221CC" w:rsidRPr="002221CC">
        <w:rPr>
          <w:rFonts w:ascii="Book Antiqua" w:eastAsia="Calibri" w:hAnsi="Book Antiqua" w:cs="Arial"/>
          <w:sz w:val="24"/>
          <w:szCs w:val="24"/>
        </w:rPr>
        <w:t>6</w:t>
      </w:r>
      <w:r w:rsidRPr="002221CC">
        <w:rPr>
          <w:rFonts w:ascii="Book Antiqua" w:eastAsia="Calibri" w:hAnsi="Book Antiqua" w:cs="Arial"/>
          <w:sz w:val="24"/>
          <w:szCs w:val="24"/>
        </w:rPr>
        <w:t xml:space="preserve">% inferior a la carga promedio de las personas </w:t>
      </w:r>
      <w:r w:rsidR="00B5660F" w:rsidRPr="002221CC">
        <w:rPr>
          <w:rFonts w:ascii="Book Antiqua" w:eastAsia="Calibri" w:hAnsi="Book Antiqua" w:cs="Arial"/>
          <w:sz w:val="24"/>
          <w:szCs w:val="24"/>
        </w:rPr>
        <w:t>técnicas</w:t>
      </w:r>
      <w:r w:rsidRPr="002221CC">
        <w:rPr>
          <w:rFonts w:ascii="Book Antiqua" w:eastAsia="Calibri" w:hAnsi="Book Antiqua" w:cs="Arial"/>
          <w:sz w:val="24"/>
          <w:szCs w:val="24"/>
        </w:rPr>
        <w:t xml:space="preserve"> en otros despachos de Familia Especializados</w:t>
      </w:r>
      <w:r w:rsidR="00CC60D5" w:rsidRPr="002221CC">
        <w:rPr>
          <w:rFonts w:ascii="Book Antiqua" w:eastAsia="Calibri" w:hAnsi="Book Antiqua" w:cs="Arial"/>
          <w:sz w:val="24"/>
          <w:szCs w:val="24"/>
        </w:rPr>
        <w:t xml:space="preserve"> </w:t>
      </w:r>
      <w:r w:rsidR="0049531D" w:rsidRPr="002221CC">
        <w:rPr>
          <w:rFonts w:ascii="Book Antiqua" w:eastAsia="Calibri" w:hAnsi="Book Antiqua" w:cs="Arial"/>
          <w:sz w:val="24"/>
          <w:szCs w:val="24"/>
        </w:rPr>
        <w:t>y</w:t>
      </w:r>
      <w:r w:rsidR="00CC60D5" w:rsidRPr="002221CC">
        <w:rPr>
          <w:rFonts w:ascii="Book Antiqua" w:eastAsia="Calibri" w:hAnsi="Book Antiqua" w:cs="Arial"/>
          <w:sz w:val="24"/>
          <w:szCs w:val="24"/>
        </w:rPr>
        <w:t xml:space="preserve"> por la particularidad de estos procesos</w:t>
      </w:r>
      <w:r w:rsidR="00CC60D5" w:rsidRPr="0049531D">
        <w:rPr>
          <w:rFonts w:ascii="Book Antiqua" w:eastAsia="Calibri" w:hAnsi="Book Antiqua" w:cs="Arial"/>
          <w:sz w:val="24"/>
          <w:szCs w:val="24"/>
        </w:rPr>
        <w:t>,</w:t>
      </w:r>
      <w:r w:rsidR="0049531D" w:rsidRPr="0049531D">
        <w:rPr>
          <w:rFonts w:ascii="Book Antiqua" w:eastAsia="Calibri" w:hAnsi="Book Antiqua" w:cs="Arial"/>
          <w:sz w:val="24"/>
          <w:szCs w:val="24"/>
        </w:rPr>
        <w:t xml:space="preserve"> tratándose de </w:t>
      </w:r>
      <w:r w:rsidR="0049531D" w:rsidRPr="001D0C10">
        <w:rPr>
          <w:rFonts w:ascii="Book Antiqua" w:hAnsi="Book Antiqua" w:cs="Segoe UI"/>
          <w:color w:val="242424"/>
          <w:sz w:val="24"/>
          <w:szCs w:val="24"/>
          <w:shd w:val="clear" w:color="auto" w:fill="FFFFFF"/>
        </w:rPr>
        <w:t>personas menores de edad, una población vulnerable, incluso en riesgo social y familiar, se requiere de procesos resueltos en la menor cantidad de tiempo posible</w:t>
      </w:r>
      <w:r w:rsidR="003A26CE">
        <w:rPr>
          <w:rFonts w:ascii="Book Antiqua" w:hAnsi="Book Antiqua" w:cs="Segoe UI"/>
          <w:color w:val="242424"/>
          <w:sz w:val="24"/>
          <w:szCs w:val="24"/>
          <w:shd w:val="clear" w:color="auto" w:fill="FFFFFF"/>
        </w:rPr>
        <w:t>;</w:t>
      </w:r>
      <w:r w:rsidR="0049531D" w:rsidRPr="001D0C10">
        <w:rPr>
          <w:rFonts w:ascii="Book Antiqua" w:hAnsi="Book Antiqua" w:cs="Segoe UI"/>
          <w:color w:val="242424"/>
          <w:sz w:val="24"/>
          <w:szCs w:val="24"/>
          <w:shd w:val="clear" w:color="auto" w:fill="FFFFFF"/>
        </w:rPr>
        <w:t xml:space="preserve"> pero analizando </w:t>
      </w:r>
      <w:r w:rsidR="00CC60D5" w:rsidRPr="0049531D">
        <w:rPr>
          <w:rFonts w:ascii="Book Antiqua" w:eastAsia="Calibri" w:hAnsi="Book Antiqua" w:cs="Arial"/>
          <w:sz w:val="24"/>
          <w:szCs w:val="24"/>
        </w:rPr>
        <w:t>la duración de los asuntos,</w:t>
      </w:r>
      <w:r w:rsidR="00A70A3E" w:rsidRPr="0049531D">
        <w:rPr>
          <w:rFonts w:ascii="Book Antiqua" w:eastAsia="Calibri" w:hAnsi="Book Antiqua" w:cs="Arial"/>
          <w:sz w:val="24"/>
          <w:szCs w:val="24"/>
        </w:rPr>
        <w:t xml:space="preserve"> </w:t>
      </w:r>
      <w:r w:rsidR="0049531D" w:rsidRPr="0049531D">
        <w:rPr>
          <w:rFonts w:ascii="Book Antiqua" w:eastAsia="Calibri" w:hAnsi="Book Antiqua" w:cs="Arial"/>
          <w:sz w:val="24"/>
          <w:szCs w:val="24"/>
        </w:rPr>
        <w:t>como se observar</w:t>
      </w:r>
      <w:r w:rsidR="0049531D">
        <w:rPr>
          <w:rFonts w:ascii="Book Antiqua" w:eastAsia="Calibri" w:hAnsi="Book Antiqua" w:cs="Arial"/>
          <w:sz w:val="24"/>
          <w:szCs w:val="24"/>
        </w:rPr>
        <w:t>á</w:t>
      </w:r>
      <w:r w:rsidR="0049531D" w:rsidRPr="0049531D">
        <w:rPr>
          <w:rFonts w:ascii="Book Antiqua" w:eastAsia="Calibri" w:hAnsi="Book Antiqua" w:cs="Arial"/>
          <w:sz w:val="24"/>
          <w:szCs w:val="24"/>
        </w:rPr>
        <w:t xml:space="preserve"> en el siguiente cuadro, </w:t>
      </w:r>
      <w:r w:rsidR="00106DFC">
        <w:rPr>
          <w:rFonts w:ascii="Book Antiqua" w:eastAsia="Calibri" w:hAnsi="Book Antiqua" w:cs="Arial"/>
          <w:sz w:val="24"/>
          <w:szCs w:val="24"/>
        </w:rPr>
        <w:t xml:space="preserve">se gistro una clase de asunto con una duración de </w:t>
      </w:r>
      <w:r w:rsidR="00A70A3E" w:rsidRPr="00524F9E">
        <w:rPr>
          <w:rFonts w:ascii="Book Antiqua" w:eastAsia="Calibri" w:hAnsi="Book Antiqua" w:cs="Arial"/>
          <w:sz w:val="24"/>
          <w:szCs w:val="24"/>
        </w:rPr>
        <w:t>1</w:t>
      </w:r>
      <w:r w:rsidR="00524F9E" w:rsidRPr="00524F9E">
        <w:rPr>
          <w:rFonts w:ascii="Book Antiqua" w:eastAsia="Calibri" w:hAnsi="Book Antiqua" w:cs="Arial"/>
          <w:sz w:val="24"/>
          <w:szCs w:val="24"/>
        </w:rPr>
        <w:t>38</w:t>
      </w:r>
      <w:r w:rsidR="00524F9E">
        <w:rPr>
          <w:rFonts w:ascii="Book Antiqua" w:eastAsia="Calibri" w:hAnsi="Book Antiqua" w:cs="Arial"/>
          <w:sz w:val="24"/>
          <w:szCs w:val="24"/>
        </w:rPr>
        <w:t>,70</w:t>
      </w:r>
      <w:r w:rsidR="00A70A3E" w:rsidRPr="00524F9E">
        <w:rPr>
          <w:rFonts w:ascii="Book Antiqua" w:eastAsia="Calibri" w:hAnsi="Book Antiqua" w:cs="Arial"/>
          <w:sz w:val="24"/>
          <w:szCs w:val="24"/>
        </w:rPr>
        <w:t xml:space="preserve"> meses en trámite</w:t>
      </w:r>
      <w:r w:rsidR="00524F9E">
        <w:rPr>
          <w:rFonts w:ascii="Book Antiqua" w:eastAsia="Calibri" w:hAnsi="Book Antiqua" w:cs="Arial"/>
          <w:sz w:val="24"/>
          <w:szCs w:val="24"/>
        </w:rPr>
        <w:t xml:space="preserve"> y s</w:t>
      </w:r>
      <w:r w:rsidRPr="000330F0">
        <w:rPr>
          <w:rFonts w:ascii="Book Antiqua" w:eastAsia="Calibri" w:hAnsi="Book Antiqua" w:cs="Arial"/>
          <w:sz w:val="24"/>
          <w:szCs w:val="24"/>
        </w:rPr>
        <w:t>e registr</w:t>
      </w:r>
      <w:r w:rsidR="00A70A3E">
        <w:rPr>
          <w:rFonts w:ascii="Book Antiqua" w:eastAsia="Calibri" w:hAnsi="Book Antiqua" w:cs="Arial"/>
          <w:sz w:val="24"/>
          <w:szCs w:val="24"/>
        </w:rPr>
        <w:t>ó</w:t>
      </w:r>
      <w:r w:rsidRPr="000330F0">
        <w:rPr>
          <w:rFonts w:ascii="Book Antiqua" w:eastAsia="Calibri" w:hAnsi="Book Antiqua" w:cs="Arial"/>
          <w:sz w:val="24"/>
          <w:szCs w:val="24"/>
        </w:rPr>
        <w:t xml:space="preserve"> una duración promedio por proceso </w:t>
      </w:r>
      <w:r w:rsidRPr="00524F9E">
        <w:rPr>
          <w:rFonts w:ascii="Book Antiqua" w:eastAsia="Calibri" w:hAnsi="Book Antiqua" w:cs="Arial"/>
          <w:sz w:val="24"/>
          <w:szCs w:val="24"/>
        </w:rPr>
        <w:t xml:space="preserve">de </w:t>
      </w:r>
      <w:r w:rsidR="008A028D" w:rsidRPr="00524F9E">
        <w:rPr>
          <w:rFonts w:ascii="Book Antiqua" w:eastAsia="Calibri" w:hAnsi="Book Antiqua" w:cs="Arial"/>
          <w:sz w:val="24"/>
          <w:szCs w:val="24"/>
        </w:rPr>
        <w:t>20</w:t>
      </w:r>
      <w:r w:rsidRPr="00524F9E">
        <w:rPr>
          <w:rFonts w:ascii="Book Antiqua" w:eastAsia="Calibri" w:hAnsi="Book Antiqua" w:cs="Arial"/>
          <w:sz w:val="24"/>
          <w:szCs w:val="24"/>
        </w:rPr>
        <w:t xml:space="preserve"> meses</w:t>
      </w:r>
      <w:r w:rsidRPr="008A028D">
        <w:rPr>
          <w:rFonts w:ascii="Book Antiqua" w:eastAsia="Calibri" w:hAnsi="Book Antiqua" w:cs="Arial"/>
          <w:sz w:val="24"/>
          <w:szCs w:val="24"/>
        </w:rPr>
        <w:t xml:space="preserve">, de los cuales el proceso de Adopción </w:t>
      </w:r>
      <w:r w:rsidR="00524F9E">
        <w:rPr>
          <w:rFonts w:ascii="Book Antiqua" w:eastAsia="Calibri" w:hAnsi="Book Antiqua" w:cs="Arial"/>
          <w:sz w:val="24"/>
          <w:szCs w:val="24"/>
        </w:rPr>
        <w:t xml:space="preserve">Internacional </w:t>
      </w:r>
      <w:r w:rsidR="003A26CE">
        <w:rPr>
          <w:rFonts w:ascii="Book Antiqua" w:eastAsia="Calibri" w:hAnsi="Book Antiqua" w:cs="Arial"/>
          <w:sz w:val="24"/>
          <w:szCs w:val="24"/>
        </w:rPr>
        <w:t xml:space="preserve">es el que </w:t>
      </w:r>
      <w:r w:rsidRPr="008A028D">
        <w:rPr>
          <w:rFonts w:ascii="Book Antiqua" w:eastAsia="Calibri" w:hAnsi="Book Antiqua" w:cs="Arial"/>
          <w:sz w:val="24"/>
          <w:szCs w:val="24"/>
        </w:rPr>
        <w:t xml:space="preserve">registra </w:t>
      </w:r>
      <w:r w:rsidR="003A26CE">
        <w:rPr>
          <w:rFonts w:ascii="Book Antiqua" w:eastAsia="Calibri" w:hAnsi="Book Antiqua" w:cs="Arial"/>
          <w:sz w:val="24"/>
          <w:szCs w:val="24"/>
        </w:rPr>
        <w:t>l</w:t>
      </w:r>
      <w:r w:rsidRPr="008A028D">
        <w:rPr>
          <w:rFonts w:ascii="Book Antiqua" w:eastAsia="Calibri" w:hAnsi="Book Antiqua" w:cs="Arial"/>
          <w:sz w:val="24"/>
          <w:szCs w:val="24"/>
        </w:rPr>
        <w:t>a duración de 1</w:t>
      </w:r>
      <w:r w:rsidR="00524F9E">
        <w:rPr>
          <w:rFonts w:ascii="Book Antiqua" w:eastAsia="Calibri" w:hAnsi="Book Antiqua" w:cs="Arial"/>
          <w:sz w:val="24"/>
          <w:szCs w:val="24"/>
        </w:rPr>
        <w:t>38,70</w:t>
      </w:r>
      <w:r w:rsidRPr="008A028D">
        <w:rPr>
          <w:rFonts w:ascii="Book Antiqua" w:eastAsia="Calibri" w:hAnsi="Book Antiqua" w:cs="Arial"/>
          <w:sz w:val="24"/>
          <w:szCs w:val="24"/>
        </w:rPr>
        <w:t xml:space="preserve"> meses</w:t>
      </w:r>
      <w:r w:rsidR="00524F9E">
        <w:rPr>
          <w:rFonts w:ascii="Book Antiqua" w:eastAsia="Calibri" w:hAnsi="Book Antiqua" w:cs="Arial"/>
          <w:sz w:val="24"/>
          <w:szCs w:val="24"/>
        </w:rPr>
        <w:t>,</w:t>
      </w:r>
      <w:r w:rsidRPr="008A028D">
        <w:rPr>
          <w:rFonts w:ascii="Book Antiqua" w:eastAsia="Calibri" w:hAnsi="Book Antiqua" w:cs="Arial"/>
          <w:sz w:val="24"/>
          <w:szCs w:val="24"/>
        </w:rPr>
        <w:t xml:space="preserve"> siendo el más extenso</w:t>
      </w:r>
      <w:r w:rsidRPr="000330F0">
        <w:rPr>
          <w:rFonts w:ascii="Book Antiqua" w:eastAsia="Calibri" w:hAnsi="Book Antiqua" w:cs="Arial"/>
          <w:sz w:val="24"/>
          <w:szCs w:val="24"/>
        </w:rPr>
        <w:t>.</w:t>
      </w:r>
    </w:p>
    <w:p w14:paraId="4653CF53" w14:textId="77777777" w:rsidR="000330F0" w:rsidRPr="000330F0" w:rsidRDefault="000330F0" w:rsidP="000330F0">
      <w:pPr>
        <w:spacing w:after="0" w:line="276" w:lineRule="auto"/>
        <w:jc w:val="both"/>
        <w:rPr>
          <w:rFonts w:ascii="Book Antiqua" w:eastAsia="Calibri" w:hAnsi="Book Antiqua" w:cs="Arial"/>
          <w:sz w:val="24"/>
          <w:szCs w:val="24"/>
        </w:rPr>
      </w:pPr>
    </w:p>
    <w:p w14:paraId="18457A85" w14:textId="47A41586" w:rsidR="000330F0" w:rsidRDefault="000330F0" w:rsidP="000330F0">
      <w:pPr>
        <w:spacing w:after="0" w:line="276" w:lineRule="auto"/>
        <w:jc w:val="both"/>
        <w:rPr>
          <w:rFonts w:ascii="Book Antiqua" w:eastAsia="Calibri" w:hAnsi="Book Antiqua" w:cs="Arial"/>
          <w:sz w:val="24"/>
          <w:szCs w:val="24"/>
        </w:rPr>
      </w:pPr>
      <w:r w:rsidRPr="00AF2C7A">
        <w:rPr>
          <w:rFonts w:ascii="Book Antiqua" w:eastAsia="Calibri" w:hAnsi="Book Antiqua" w:cs="Arial"/>
          <w:sz w:val="24"/>
          <w:szCs w:val="24"/>
        </w:rPr>
        <w:t>El Depósito Judicial es el proceso que más veces se completó en 20</w:t>
      </w:r>
      <w:r w:rsidR="003D0892">
        <w:rPr>
          <w:rFonts w:ascii="Book Antiqua" w:eastAsia="Calibri" w:hAnsi="Book Antiqua" w:cs="Arial"/>
          <w:sz w:val="24"/>
          <w:szCs w:val="24"/>
        </w:rPr>
        <w:t>22</w:t>
      </w:r>
      <w:r w:rsidRPr="00AF2C7A">
        <w:rPr>
          <w:rFonts w:ascii="Book Antiqua" w:eastAsia="Calibri" w:hAnsi="Book Antiqua" w:cs="Arial"/>
          <w:sz w:val="24"/>
          <w:szCs w:val="24"/>
        </w:rPr>
        <w:t xml:space="preserve"> (</w:t>
      </w:r>
      <w:r w:rsidR="003D0892">
        <w:rPr>
          <w:rFonts w:ascii="Book Antiqua" w:eastAsia="Calibri" w:hAnsi="Book Antiqua" w:cs="Arial"/>
          <w:sz w:val="24"/>
          <w:szCs w:val="24"/>
        </w:rPr>
        <w:t>365</w:t>
      </w:r>
      <w:r w:rsidRPr="00AF2C7A">
        <w:rPr>
          <w:rFonts w:ascii="Book Antiqua" w:eastAsia="Calibri" w:hAnsi="Book Antiqua" w:cs="Arial"/>
          <w:sz w:val="24"/>
          <w:szCs w:val="24"/>
        </w:rPr>
        <w:t xml:space="preserve"> casos), </w:t>
      </w:r>
      <w:r w:rsidR="003A26CE">
        <w:rPr>
          <w:rFonts w:ascii="Book Antiqua" w:eastAsia="Calibri" w:hAnsi="Book Antiqua" w:cs="Arial"/>
          <w:sz w:val="24"/>
          <w:szCs w:val="24"/>
        </w:rPr>
        <w:t xml:space="preserve">y una duración de 14, 11 meses, </w:t>
      </w:r>
      <w:r w:rsidRPr="00AF2C7A">
        <w:rPr>
          <w:rFonts w:ascii="Book Antiqua" w:eastAsia="Calibri" w:hAnsi="Book Antiqua" w:cs="Arial"/>
          <w:sz w:val="24"/>
          <w:szCs w:val="24"/>
        </w:rPr>
        <w:t>seguido</w:t>
      </w:r>
      <w:r w:rsidR="00045B73" w:rsidRPr="00AF2C7A">
        <w:rPr>
          <w:rFonts w:ascii="Book Antiqua" w:eastAsia="Calibri" w:hAnsi="Book Antiqua" w:cs="Arial"/>
          <w:sz w:val="24"/>
          <w:szCs w:val="24"/>
        </w:rPr>
        <w:t xml:space="preserve"> de</w:t>
      </w:r>
      <w:r w:rsidRPr="00AF2C7A">
        <w:rPr>
          <w:rFonts w:ascii="Book Antiqua" w:eastAsia="Calibri" w:hAnsi="Book Antiqua" w:cs="Arial"/>
          <w:sz w:val="24"/>
          <w:szCs w:val="24"/>
        </w:rPr>
        <w:t xml:space="preserve"> la Declaratoria Judicial Abandono con 1</w:t>
      </w:r>
      <w:r w:rsidR="0098623A">
        <w:rPr>
          <w:rFonts w:ascii="Book Antiqua" w:eastAsia="Calibri" w:hAnsi="Book Antiqua" w:cs="Arial"/>
          <w:sz w:val="24"/>
          <w:szCs w:val="24"/>
        </w:rPr>
        <w:t>23</w:t>
      </w:r>
      <w:r w:rsidRPr="00AF2C7A">
        <w:rPr>
          <w:rFonts w:ascii="Book Antiqua" w:eastAsia="Calibri" w:hAnsi="Book Antiqua" w:cs="Arial"/>
          <w:sz w:val="24"/>
          <w:szCs w:val="24"/>
        </w:rPr>
        <w:t xml:space="preserve"> casos </w:t>
      </w:r>
      <w:r w:rsidR="003A26CE">
        <w:rPr>
          <w:rFonts w:ascii="Book Antiqua" w:eastAsia="Calibri" w:hAnsi="Book Antiqua" w:cs="Arial"/>
          <w:sz w:val="24"/>
          <w:szCs w:val="24"/>
        </w:rPr>
        <w:t xml:space="preserve">y 32,98 meses de duración, </w:t>
      </w:r>
      <w:r w:rsidRPr="00AF2C7A">
        <w:rPr>
          <w:rFonts w:ascii="Book Antiqua" w:eastAsia="Calibri" w:hAnsi="Book Antiqua" w:cs="Arial"/>
          <w:sz w:val="24"/>
          <w:szCs w:val="24"/>
        </w:rPr>
        <w:t>y la Adopción Nacional con 10</w:t>
      </w:r>
      <w:r w:rsidR="004B0B52">
        <w:rPr>
          <w:rFonts w:ascii="Book Antiqua" w:eastAsia="Calibri" w:hAnsi="Book Antiqua" w:cs="Arial"/>
          <w:sz w:val="24"/>
          <w:szCs w:val="24"/>
        </w:rPr>
        <w:t>2</w:t>
      </w:r>
      <w:r w:rsidRPr="00AF2C7A">
        <w:rPr>
          <w:rFonts w:ascii="Book Antiqua" w:eastAsia="Calibri" w:hAnsi="Book Antiqua" w:cs="Arial"/>
          <w:sz w:val="24"/>
          <w:szCs w:val="24"/>
        </w:rPr>
        <w:t xml:space="preserve"> casos</w:t>
      </w:r>
      <w:r w:rsidR="003A26CE">
        <w:rPr>
          <w:rFonts w:ascii="Book Antiqua" w:eastAsia="Calibri" w:hAnsi="Book Antiqua" w:cs="Arial"/>
          <w:sz w:val="24"/>
          <w:szCs w:val="24"/>
        </w:rPr>
        <w:t xml:space="preserve"> y 10,37 meses</w:t>
      </w:r>
      <w:r w:rsidRPr="00AF2C7A">
        <w:rPr>
          <w:rFonts w:ascii="Book Antiqua" w:eastAsia="Calibri" w:hAnsi="Book Antiqua" w:cs="Arial"/>
          <w:sz w:val="24"/>
          <w:szCs w:val="24"/>
        </w:rPr>
        <w:t>, como se muestra en el siguiente cuadro:</w:t>
      </w:r>
    </w:p>
    <w:p w14:paraId="7CDA91C3" w14:textId="77777777" w:rsidR="003A26CE" w:rsidRDefault="003A26CE" w:rsidP="000330F0">
      <w:pPr>
        <w:spacing w:after="0" w:line="276" w:lineRule="auto"/>
        <w:jc w:val="both"/>
        <w:rPr>
          <w:rFonts w:ascii="Book Antiqua" w:eastAsia="Calibri" w:hAnsi="Book Antiqua" w:cs="Arial"/>
          <w:sz w:val="24"/>
          <w:szCs w:val="24"/>
        </w:rPr>
      </w:pPr>
    </w:p>
    <w:p w14:paraId="219CC215" w14:textId="77777777" w:rsidR="000330F0" w:rsidRPr="000330F0" w:rsidRDefault="000330F0" w:rsidP="000330F0">
      <w:pPr>
        <w:spacing w:after="0" w:line="276" w:lineRule="auto"/>
        <w:jc w:val="both"/>
        <w:rPr>
          <w:rFonts w:ascii="Book Antiqua" w:eastAsia="Calibri" w:hAnsi="Book Antiqua" w:cs="Arial"/>
          <w:sz w:val="24"/>
          <w:szCs w:val="24"/>
        </w:rPr>
      </w:pPr>
    </w:p>
    <w:p w14:paraId="493365BA" w14:textId="017E83C6" w:rsidR="000330F0" w:rsidRPr="008548BD"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548BD">
        <w:rPr>
          <w:rFonts w:ascii="Book Antiqua" w:eastAsia="Calibri" w:hAnsi="Book Antiqua" w:cs="Arial"/>
          <w:b/>
          <w:bCs/>
          <w:color w:val="1F497D"/>
          <w:szCs w:val="24"/>
          <w:lang w:val="es-ES" w:eastAsia="es-ES"/>
        </w:rPr>
        <w:t xml:space="preserve">Cuadro </w:t>
      </w:r>
      <w:r w:rsidRPr="008548BD">
        <w:rPr>
          <w:rFonts w:ascii="Book Antiqua" w:eastAsia="Calibri" w:hAnsi="Book Antiqua" w:cs="Arial"/>
          <w:b/>
          <w:bCs/>
          <w:color w:val="1F497D"/>
          <w:szCs w:val="24"/>
          <w:lang w:val="es-ES" w:eastAsia="es-ES"/>
        </w:rPr>
        <w:fldChar w:fldCharType="begin"/>
      </w:r>
      <w:r w:rsidRPr="008548BD">
        <w:rPr>
          <w:rFonts w:ascii="Book Antiqua" w:eastAsia="Calibri" w:hAnsi="Book Antiqua" w:cs="Arial"/>
          <w:b/>
          <w:bCs/>
          <w:color w:val="1F497D"/>
          <w:szCs w:val="24"/>
          <w:lang w:val="es-ES" w:eastAsia="es-ES"/>
        </w:rPr>
        <w:instrText xml:space="preserve"> SEQ Cuadro \* ARABIC </w:instrText>
      </w:r>
      <w:r w:rsidRPr="008548B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35</w:t>
      </w:r>
      <w:r w:rsidRPr="008548BD">
        <w:rPr>
          <w:rFonts w:ascii="Book Antiqua" w:eastAsia="Calibri" w:hAnsi="Book Antiqua" w:cs="Arial"/>
          <w:b/>
          <w:bCs/>
          <w:color w:val="1F497D"/>
          <w:szCs w:val="24"/>
          <w:lang w:val="es-ES" w:eastAsia="es-ES"/>
        </w:rPr>
        <w:fldChar w:fldCharType="end"/>
      </w:r>
      <w:r w:rsidRPr="008548BD">
        <w:rPr>
          <w:rFonts w:ascii="Book Antiqua" w:eastAsia="Calibri" w:hAnsi="Book Antiqua" w:cs="Arial"/>
          <w:b/>
          <w:bCs/>
          <w:color w:val="1F497D"/>
          <w:szCs w:val="24"/>
          <w:lang w:val="es-ES" w:eastAsia="es-ES"/>
        </w:rPr>
        <w:t xml:space="preserve"> </w:t>
      </w:r>
    </w:p>
    <w:p w14:paraId="53D25AAC" w14:textId="79E6CCC4" w:rsid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548BD">
        <w:rPr>
          <w:rFonts w:ascii="Book Antiqua" w:eastAsia="Calibri" w:hAnsi="Book Antiqua" w:cs="Arial"/>
          <w:b/>
          <w:bCs/>
          <w:color w:val="1F497D"/>
          <w:szCs w:val="24"/>
          <w:lang w:val="es-ES" w:eastAsia="es-ES"/>
        </w:rPr>
        <w:t xml:space="preserve">Duración promedio de casos del Juzgado de Niñez y Adolescencia </w:t>
      </w:r>
      <w:r w:rsidR="008F237A">
        <w:rPr>
          <w:rFonts w:ascii="Book Antiqua" w:eastAsia="Calibri" w:hAnsi="Book Antiqua" w:cs="Arial"/>
          <w:b/>
          <w:bCs/>
          <w:color w:val="1F497D"/>
          <w:szCs w:val="24"/>
          <w:lang w:val="es-ES" w:eastAsia="es-ES"/>
        </w:rPr>
        <w:t>2022</w:t>
      </w:r>
    </w:p>
    <w:tbl>
      <w:tblPr>
        <w:tblW w:w="9180" w:type="dxa"/>
        <w:tblCellMar>
          <w:left w:w="70" w:type="dxa"/>
          <w:right w:w="70" w:type="dxa"/>
        </w:tblCellMar>
        <w:tblLook w:val="04A0" w:firstRow="1" w:lastRow="0" w:firstColumn="1" w:lastColumn="0" w:noHBand="0" w:noVBand="1"/>
      </w:tblPr>
      <w:tblGrid>
        <w:gridCol w:w="6660"/>
        <w:gridCol w:w="1260"/>
        <w:gridCol w:w="1260"/>
      </w:tblGrid>
      <w:tr w:rsidR="00212CC6" w:rsidRPr="00212CC6" w14:paraId="35079FB3" w14:textId="77777777" w:rsidTr="00212CC6">
        <w:trPr>
          <w:trHeight w:val="1050"/>
        </w:trPr>
        <w:tc>
          <w:tcPr>
            <w:tcW w:w="666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79EC66E7"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Tipo de proceso</w:t>
            </w:r>
          </w:p>
        </w:tc>
        <w:tc>
          <w:tcPr>
            <w:tcW w:w="1260" w:type="dxa"/>
            <w:tcBorders>
              <w:top w:val="single" w:sz="8" w:space="0" w:color="auto"/>
              <w:left w:val="nil"/>
              <w:bottom w:val="single" w:sz="8" w:space="0" w:color="auto"/>
              <w:right w:val="single" w:sz="8" w:space="0" w:color="auto"/>
            </w:tcBorders>
            <w:shd w:val="clear" w:color="000000" w:fill="002060"/>
            <w:vAlign w:val="center"/>
            <w:hideMark/>
          </w:tcPr>
          <w:p w14:paraId="7D34A2C0"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Cantidad de casos terminados 2022</w:t>
            </w:r>
          </w:p>
        </w:tc>
        <w:tc>
          <w:tcPr>
            <w:tcW w:w="1260" w:type="dxa"/>
            <w:tcBorders>
              <w:top w:val="single" w:sz="8" w:space="0" w:color="auto"/>
              <w:left w:val="nil"/>
              <w:bottom w:val="single" w:sz="8" w:space="0" w:color="auto"/>
              <w:right w:val="single" w:sz="8" w:space="0" w:color="auto"/>
            </w:tcBorders>
            <w:shd w:val="clear" w:color="000000" w:fill="002060"/>
            <w:vAlign w:val="center"/>
            <w:hideMark/>
          </w:tcPr>
          <w:p w14:paraId="6754A33F"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Duración promedio (meses)</w:t>
            </w:r>
          </w:p>
        </w:tc>
      </w:tr>
      <w:tr w:rsidR="00212CC6" w:rsidRPr="00212CC6" w14:paraId="50379C9C" w14:textId="77777777" w:rsidTr="00212CC6">
        <w:trPr>
          <w:trHeight w:val="300"/>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00865A84"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Adopción Internacional</w:t>
            </w:r>
          </w:p>
        </w:tc>
        <w:tc>
          <w:tcPr>
            <w:tcW w:w="1260" w:type="dxa"/>
            <w:tcBorders>
              <w:top w:val="nil"/>
              <w:left w:val="nil"/>
              <w:bottom w:val="single" w:sz="8" w:space="0" w:color="auto"/>
              <w:right w:val="single" w:sz="8" w:space="0" w:color="auto"/>
            </w:tcBorders>
            <w:shd w:val="clear" w:color="auto" w:fill="auto"/>
            <w:noWrap/>
            <w:vAlign w:val="center"/>
            <w:hideMark/>
          </w:tcPr>
          <w:p w14:paraId="3D4B2E2E"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single" w:sz="8" w:space="0" w:color="auto"/>
              <w:right w:val="single" w:sz="8" w:space="0" w:color="auto"/>
            </w:tcBorders>
            <w:shd w:val="clear" w:color="auto" w:fill="auto"/>
            <w:noWrap/>
            <w:vAlign w:val="center"/>
            <w:hideMark/>
          </w:tcPr>
          <w:p w14:paraId="08376558"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138,70</w:t>
            </w:r>
          </w:p>
        </w:tc>
      </w:tr>
      <w:tr w:rsidR="00212CC6" w:rsidRPr="00212CC6" w14:paraId="442A1C74" w14:textId="77777777" w:rsidTr="00212CC6">
        <w:trPr>
          <w:trHeight w:val="300"/>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007FFCFE"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Especial Protec. Niñez Y La Adoles.</w:t>
            </w:r>
          </w:p>
        </w:tc>
        <w:tc>
          <w:tcPr>
            <w:tcW w:w="1260" w:type="dxa"/>
            <w:tcBorders>
              <w:top w:val="nil"/>
              <w:left w:val="nil"/>
              <w:bottom w:val="single" w:sz="8" w:space="0" w:color="auto"/>
              <w:right w:val="single" w:sz="8" w:space="0" w:color="auto"/>
            </w:tcBorders>
            <w:shd w:val="clear" w:color="auto" w:fill="auto"/>
            <w:noWrap/>
            <w:vAlign w:val="center"/>
            <w:hideMark/>
          </w:tcPr>
          <w:p w14:paraId="49195A77"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single" w:sz="8" w:space="0" w:color="auto"/>
              <w:right w:val="single" w:sz="8" w:space="0" w:color="auto"/>
            </w:tcBorders>
            <w:shd w:val="clear" w:color="auto" w:fill="auto"/>
            <w:noWrap/>
            <w:vAlign w:val="center"/>
            <w:hideMark/>
          </w:tcPr>
          <w:p w14:paraId="6CB057ED"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108,53</w:t>
            </w:r>
          </w:p>
        </w:tc>
      </w:tr>
      <w:tr w:rsidR="00212CC6" w:rsidRPr="00212CC6" w14:paraId="08DC2FD2" w14:textId="77777777" w:rsidTr="00212CC6">
        <w:trPr>
          <w:trHeight w:val="300"/>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1E9263A3"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Act. Jud. No Cont. Diligencias De Utilidad Y Necesidad</w:t>
            </w:r>
          </w:p>
        </w:tc>
        <w:tc>
          <w:tcPr>
            <w:tcW w:w="1260" w:type="dxa"/>
            <w:tcBorders>
              <w:top w:val="nil"/>
              <w:left w:val="nil"/>
              <w:bottom w:val="single" w:sz="8" w:space="0" w:color="auto"/>
              <w:right w:val="single" w:sz="8" w:space="0" w:color="auto"/>
            </w:tcBorders>
            <w:shd w:val="clear" w:color="auto" w:fill="auto"/>
            <w:noWrap/>
            <w:vAlign w:val="center"/>
            <w:hideMark/>
          </w:tcPr>
          <w:p w14:paraId="7105215B"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single" w:sz="8" w:space="0" w:color="auto"/>
              <w:right w:val="single" w:sz="8" w:space="0" w:color="auto"/>
            </w:tcBorders>
            <w:shd w:val="clear" w:color="auto" w:fill="auto"/>
            <w:noWrap/>
            <w:vAlign w:val="center"/>
            <w:hideMark/>
          </w:tcPr>
          <w:p w14:paraId="6CDD824A"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104,80</w:t>
            </w:r>
          </w:p>
        </w:tc>
      </w:tr>
      <w:tr w:rsidR="00212CC6" w:rsidRPr="00212CC6" w14:paraId="42E93B08" w14:textId="77777777" w:rsidTr="00212CC6">
        <w:trPr>
          <w:trHeight w:val="300"/>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0223442A"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Declaratoria De Paternidad / Maternidad</w:t>
            </w:r>
          </w:p>
        </w:tc>
        <w:tc>
          <w:tcPr>
            <w:tcW w:w="1260" w:type="dxa"/>
            <w:tcBorders>
              <w:top w:val="nil"/>
              <w:left w:val="nil"/>
              <w:bottom w:val="single" w:sz="8" w:space="0" w:color="auto"/>
              <w:right w:val="single" w:sz="8" w:space="0" w:color="auto"/>
            </w:tcBorders>
            <w:shd w:val="clear" w:color="auto" w:fill="auto"/>
            <w:noWrap/>
            <w:vAlign w:val="center"/>
            <w:hideMark/>
          </w:tcPr>
          <w:p w14:paraId="1DFAAD91"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2</w:t>
            </w:r>
          </w:p>
        </w:tc>
        <w:tc>
          <w:tcPr>
            <w:tcW w:w="1260" w:type="dxa"/>
            <w:tcBorders>
              <w:top w:val="nil"/>
              <w:left w:val="nil"/>
              <w:bottom w:val="single" w:sz="8" w:space="0" w:color="auto"/>
              <w:right w:val="single" w:sz="8" w:space="0" w:color="auto"/>
            </w:tcBorders>
            <w:shd w:val="clear" w:color="auto" w:fill="auto"/>
            <w:noWrap/>
            <w:vAlign w:val="center"/>
            <w:hideMark/>
          </w:tcPr>
          <w:p w14:paraId="34E150E5"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40,95</w:t>
            </w:r>
          </w:p>
        </w:tc>
      </w:tr>
      <w:tr w:rsidR="00212CC6" w:rsidRPr="00212CC6" w14:paraId="3C7DB83B" w14:textId="77777777" w:rsidTr="00212CC6">
        <w:trPr>
          <w:trHeight w:val="300"/>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088A7395"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Declaratoria Judicial De Abandono De Persona Menor De Edad</w:t>
            </w:r>
          </w:p>
        </w:tc>
        <w:tc>
          <w:tcPr>
            <w:tcW w:w="1260" w:type="dxa"/>
            <w:tcBorders>
              <w:top w:val="nil"/>
              <w:left w:val="nil"/>
              <w:bottom w:val="single" w:sz="8" w:space="0" w:color="auto"/>
              <w:right w:val="single" w:sz="8" w:space="0" w:color="auto"/>
            </w:tcBorders>
            <w:shd w:val="clear" w:color="auto" w:fill="auto"/>
            <w:noWrap/>
            <w:vAlign w:val="center"/>
            <w:hideMark/>
          </w:tcPr>
          <w:p w14:paraId="4280CE28"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123</w:t>
            </w:r>
          </w:p>
        </w:tc>
        <w:tc>
          <w:tcPr>
            <w:tcW w:w="1260" w:type="dxa"/>
            <w:tcBorders>
              <w:top w:val="nil"/>
              <w:left w:val="nil"/>
              <w:bottom w:val="single" w:sz="8" w:space="0" w:color="auto"/>
              <w:right w:val="single" w:sz="8" w:space="0" w:color="auto"/>
            </w:tcBorders>
            <w:shd w:val="clear" w:color="auto" w:fill="auto"/>
            <w:noWrap/>
            <w:vAlign w:val="center"/>
            <w:hideMark/>
          </w:tcPr>
          <w:p w14:paraId="6271A2C1"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32,98</w:t>
            </w:r>
          </w:p>
        </w:tc>
      </w:tr>
      <w:tr w:rsidR="00212CC6" w:rsidRPr="00212CC6" w14:paraId="4A4FA475" w14:textId="77777777" w:rsidTr="00212CC6">
        <w:trPr>
          <w:trHeight w:val="300"/>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3E117B69"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Depósito Judicial Con Oposición</w:t>
            </w:r>
          </w:p>
        </w:tc>
        <w:tc>
          <w:tcPr>
            <w:tcW w:w="1260" w:type="dxa"/>
            <w:tcBorders>
              <w:top w:val="nil"/>
              <w:left w:val="nil"/>
              <w:bottom w:val="single" w:sz="8" w:space="0" w:color="auto"/>
              <w:right w:val="single" w:sz="8" w:space="0" w:color="auto"/>
            </w:tcBorders>
            <w:shd w:val="clear" w:color="auto" w:fill="auto"/>
            <w:noWrap/>
            <w:vAlign w:val="center"/>
            <w:hideMark/>
          </w:tcPr>
          <w:p w14:paraId="3FB84C07"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26</w:t>
            </w:r>
          </w:p>
        </w:tc>
        <w:tc>
          <w:tcPr>
            <w:tcW w:w="1260" w:type="dxa"/>
            <w:tcBorders>
              <w:top w:val="nil"/>
              <w:left w:val="nil"/>
              <w:bottom w:val="single" w:sz="8" w:space="0" w:color="auto"/>
              <w:right w:val="single" w:sz="8" w:space="0" w:color="auto"/>
            </w:tcBorders>
            <w:shd w:val="clear" w:color="auto" w:fill="auto"/>
            <w:noWrap/>
            <w:vAlign w:val="center"/>
            <w:hideMark/>
          </w:tcPr>
          <w:p w14:paraId="1C497D11"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32,27</w:t>
            </w:r>
          </w:p>
        </w:tc>
      </w:tr>
      <w:tr w:rsidR="00212CC6" w:rsidRPr="00212CC6" w14:paraId="756BF351"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6C64E794"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Suspensión De Responsabilidad Parental</w:t>
            </w:r>
          </w:p>
        </w:tc>
        <w:tc>
          <w:tcPr>
            <w:tcW w:w="1260" w:type="dxa"/>
            <w:tcBorders>
              <w:top w:val="nil"/>
              <w:left w:val="nil"/>
              <w:bottom w:val="single" w:sz="8" w:space="0" w:color="auto"/>
              <w:right w:val="single" w:sz="8" w:space="0" w:color="auto"/>
            </w:tcBorders>
            <w:shd w:val="clear" w:color="auto" w:fill="auto"/>
            <w:noWrap/>
            <w:vAlign w:val="center"/>
            <w:hideMark/>
          </w:tcPr>
          <w:p w14:paraId="7615191D"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77</w:t>
            </w:r>
          </w:p>
        </w:tc>
        <w:tc>
          <w:tcPr>
            <w:tcW w:w="1260" w:type="dxa"/>
            <w:tcBorders>
              <w:top w:val="nil"/>
              <w:left w:val="nil"/>
              <w:bottom w:val="single" w:sz="8" w:space="0" w:color="auto"/>
              <w:right w:val="single" w:sz="8" w:space="0" w:color="auto"/>
            </w:tcBorders>
            <w:shd w:val="clear" w:color="auto" w:fill="auto"/>
            <w:noWrap/>
            <w:vAlign w:val="center"/>
            <w:hideMark/>
          </w:tcPr>
          <w:p w14:paraId="22717396"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26,99</w:t>
            </w:r>
          </w:p>
        </w:tc>
      </w:tr>
      <w:tr w:rsidR="00212CC6" w:rsidRPr="00212CC6" w14:paraId="3634930D"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4962629C"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Recuperación De Responsabilidad Parental</w:t>
            </w:r>
          </w:p>
        </w:tc>
        <w:tc>
          <w:tcPr>
            <w:tcW w:w="1260" w:type="dxa"/>
            <w:tcBorders>
              <w:top w:val="nil"/>
              <w:left w:val="nil"/>
              <w:bottom w:val="single" w:sz="8" w:space="0" w:color="auto"/>
              <w:right w:val="single" w:sz="8" w:space="0" w:color="auto"/>
            </w:tcBorders>
            <w:shd w:val="clear" w:color="auto" w:fill="auto"/>
            <w:noWrap/>
            <w:vAlign w:val="center"/>
            <w:hideMark/>
          </w:tcPr>
          <w:p w14:paraId="5E6DE1FF"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4</w:t>
            </w:r>
          </w:p>
        </w:tc>
        <w:tc>
          <w:tcPr>
            <w:tcW w:w="1260" w:type="dxa"/>
            <w:tcBorders>
              <w:top w:val="nil"/>
              <w:left w:val="nil"/>
              <w:bottom w:val="single" w:sz="8" w:space="0" w:color="auto"/>
              <w:right w:val="single" w:sz="8" w:space="0" w:color="auto"/>
            </w:tcBorders>
            <w:shd w:val="clear" w:color="auto" w:fill="auto"/>
            <w:noWrap/>
            <w:vAlign w:val="center"/>
            <w:hideMark/>
          </w:tcPr>
          <w:p w14:paraId="3883DFFC"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23,91</w:t>
            </w:r>
          </w:p>
        </w:tc>
      </w:tr>
      <w:tr w:rsidR="00212CC6" w:rsidRPr="00212CC6" w14:paraId="77DD54D6"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19FA1EA9"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Tutela</w:t>
            </w:r>
          </w:p>
        </w:tc>
        <w:tc>
          <w:tcPr>
            <w:tcW w:w="1260" w:type="dxa"/>
            <w:tcBorders>
              <w:top w:val="nil"/>
              <w:left w:val="nil"/>
              <w:bottom w:val="single" w:sz="8" w:space="0" w:color="auto"/>
              <w:right w:val="single" w:sz="8" w:space="0" w:color="auto"/>
            </w:tcBorders>
            <w:shd w:val="clear" w:color="auto" w:fill="auto"/>
            <w:noWrap/>
            <w:vAlign w:val="center"/>
            <w:hideMark/>
          </w:tcPr>
          <w:p w14:paraId="2B76F111"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9</w:t>
            </w:r>
          </w:p>
        </w:tc>
        <w:tc>
          <w:tcPr>
            <w:tcW w:w="1260" w:type="dxa"/>
            <w:tcBorders>
              <w:top w:val="nil"/>
              <w:left w:val="nil"/>
              <w:bottom w:val="single" w:sz="8" w:space="0" w:color="auto"/>
              <w:right w:val="single" w:sz="8" w:space="0" w:color="auto"/>
            </w:tcBorders>
            <w:shd w:val="clear" w:color="auto" w:fill="auto"/>
            <w:noWrap/>
            <w:vAlign w:val="center"/>
            <w:hideMark/>
          </w:tcPr>
          <w:p w14:paraId="0D0AF172"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15,96</w:t>
            </w:r>
          </w:p>
        </w:tc>
      </w:tr>
      <w:tr w:rsidR="00212CC6" w:rsidRPr="00212CC6" w14:paraId="3B4A6E23"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010C9F51" w14:textId="5406E4DA"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Interrelación Familiar (Régimen De Visitas)</w:t>
            </w:r>
          </w:p>
        </w:tc>
        <w:tc>
          <w:tcPr>
            <w:tcW w:w="1260" w:type="dxa"/>
            <w:tcBorders>
              <w:top w:val="nil"/>
              <w:left w:val="nil"/>
              <w:bottom w:val="single" w:sz="8" w:space="0" w:color="auto"/>
              <w:right w:val="single" w:sz="8" w:space="0" w:color="auto"/>
            </w:tcBorders>
            <w:shd w:val="clear" w:color="auto" w:fill="auto"/>
            <w:noWrap/>
            <w:vAlign w:val="center"/>
            <w:hideMark/>
          </w:tcPr>
          <w:p w14:paraId="5C48866B"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45</w:t>
            </w:r>
          </w:p>
        </w:tc>
        <w:tc>
          <w:tcPr>
            <w:tcW w:w="1260" w:type="dxa"/>
            <w:tcBorders>
              <w:top w:val="nil"/>
              <w:left w:val="nil"/>
              <w:bottom w:val="single" w:sz="8" w:space="0" w:color="auto"/>
              <w:right w:val="single" w:sz="8" w:space="0" w:color="auto"/>
            </w:tcBorders>
            <w:shd w:val="clear" w:color="auto" w:fill="auto"/>
            <w:noWrap/>
            <w:vAlign w:val="center"/>
            <w:hideMark/>
          </w:tcPr>
          <w:p w14:paraId="6559A637"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15,95</w:t>
            </w:r>
          </w:p>
        </w:tc>
      </w:tr>
      <w:tr w:rsidR="00212CC6" w:rsidRPr="00212CC6" w14:paraId="2A064F1A"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31700C9B"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Utilidad Y Necesidad</w:t>
            </w:r>
          </w:p>
        </w:tc>
        <w:tc>
          <w:tcPr>
            <w:tcW w:w="1260" w:type="dxa"/>
            <w:tcBorders>
              <w:top w:val="nil"/>
              <w:left w:val="nil"/>
              <w:bottom w:val="single" w:sz="8" w:space="0" w:color="auto"/>
              <w:right w:val="single" w:sz="8" w:space="0" w:color="auto"/>
            </w:tcBorders>
            <w:shd w:val="clear" w:color="auto" w:fill="auto"/>
            <w:noWrap/>
            <w:vAlign w:val="center"/>
            <w:hideMark/>
          </w:tcPr>
          <w:p w14:paraId="32A0729F"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62</w:t>
            </w:r>
          </w:p>
        </w:tc>
        <w:tc>
          <w:tcPr>
            <w:tcW w:w="1260" w:type="dxa"/>
            <w:tcBorders>
              <w:top w:val="nil"/>
              <w:left w:val="nil"/>
              <w:bottom w:val="single" w:sz="8" w:space="0" w:color="auto"/>
              <w:right w:val="single" w:sz="8" w:space="0" w:color="auto"/>
            </w:tcBorders>
            <w:shd w:val="clear" w:color="auto" w:fill="auto"/>
            <w:noWrap/>
            <w:vAlign w:val="center"/>
            <w:hideMark/>
          </w:tcPr>
          <w:p w14:paraId="505A0F35"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15,39</w:t>
            </w:r>
          </w:p>
        </w:tc>
      </w:tr>
      <w:tr w:rsidR="00212CC6" w:rsidRPr="00212CC6" w14:paraId="6207A10D"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4F157308"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Depósito Judicial</w:t>
            </w:r>
          </w:p>
        </w:tc>
        <w:tc>
          <w:tcPr>
            <w:tcW w:w="1260" w:type="dxa"/>
            <w:tcBorders>
              <w:top w:val="nil"/>
              <w:left w:val="nil"/>
              <w:bottom w:val="single" w:sz="8" w:space="0" w:color="auto"/>
              <w:right w:val="single" w:sz="8" w:space="0" w:color="auto"/>
            </w:tcBorders>
            <w:shd w:val="clear" w:color="auto" w:fill="auto"/>
            <w:noWrap/>
            <w:vAlign w:val="center"/>
            <w:hideMark/>
          </w:tcPr>
          <w:p w14:paraId="04EAEAE7"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365</w:t>
            </w:r>
          </w:p>
        </w:tc>
        <w:tc>
          <w:tcPr>
            <w:tcW w:w="1260" w:type="dxa"/>
            <w:tcBorders>
              <w:top w:val="nil"/>
              <w:left w:val="nil"/>
              <w:bottom w:val="single" w:sz="8" w:space="0" w:color="auto"/>
              <w:right w:val="single" w:sz="8" w:space="0" w:color="auto"/>
            </w:tcBorders>
            <w:shd w:val="clear" w:color="auto" w:fill="auto"/>
            <w:noWrap/>
            <w:vAlign w:val="center"/>
            <w:hideMark/>
          </w:tcPr>
          <w:p w14:paraId="43425019"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14,11</w:t>
            </w:r>
          </w:p>
        </w:tc>
      </w:tr>
      <w:tr w:rsidR="00212CC6" w:rsidRPr="00212CC6" w14:paraId="3913D5A0"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59BA64FC"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Incompetencia</w:t>
            </w:r>
          </w:p>
        </w:tc>
        <w:tc>
          <w:tcPr>
            <w:tcW w:w="1260" w:type="dxa"/>
            <w:tcBorders>
              <w:top w:val="nil"/>
              <w:left w:val="nil"/>
              <w:bottom w:val="single" w:sz="8" w:space="0" w:color="auto"/>
              <w:right w:val="single" w:sz="8" w:space="0" w:color="auto"/>
            </w:tcBorders>
            <w:shd w:val="clear" w:color="auto" w:fill="auto"/>
            <w:noWrap/>
            <w:vAlign w:val="center"/>
            <w:hideMark/>
          </w:tcPr>
          <w:p w14:paraId="5EC0FBA6"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3</w:t>
            </w:r>
          </w:p>
        </w:tc>
        <w:tc>
          <w:tcPr>
            <w:tcW w:w="1260" w:type="dxa"/>
            <w:tcBorders>
              <w:top w:val="nil"/>
              <w:left w:val="nil"/>
              <w:bottom w:val="single" w:sz="8" w:space="0" w:color="auto"/>
              <w:right w:val="single" w:sz="8" w:space="0" w:color="auto"/>
            </w:tcBorders>
            <w:shd w:val="clear" w:color="auto" w:fill="auto"/>
            <w:noWrap/>
            <w:vAlign w:val="center"/>
            <w:hideMark/>
          </w:tcPr>
          <w:p w14:paraId="2C8302EC"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13,24</w:t>
            </w:r>
          </w:p>
        </w:tc>
      </w:tr>
      <w:tr w:rsidR="00212CC6" w:rsidRPr="00212CC6" w14:paraId="5B54E013"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48F73650"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Otros</w:t>
            </w:r>
          </w:p>
        </w:tc>
        <w:tc>
          <w:tcPr>
            <w:tcW w:w="1260" w:type="dxa"/>
            <w:tcBorders>
              <w:top w:val="nil"/>
              <w:left w:val="nil"/>
              <w:bottom w:val="single" w:sz="8" w:space="0" w:color="auto"/>
              <w:right w:val="single" w:sz="8" w:space="0" w:color="auto"/>
            </w:tcBorders>
            <w:shd w:val="clear" w:color="auto" w:fill="auto"/>
            <w:noWrap/>
            <w:vAlign w:val="center"/>
            <w:hideMark/>
          </w:tcPr>
          <w:p w14:paraId="4EEB7713"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7</w:t>
            </w:r>
          </w:p>
        </w:tc>
        <w:tc>
          <w:tcPr>
            <w:tcW w:w="1260" w:type="dxa"/>
            <w:tcBorders>
              <w:top w:val="nil"/>
              <w:left w:val="nil"/>
              <w:bottom w:val="single" w:sz="8" w:space="0" w:color="auto"/>
              <w:right w:val="single" w:sz="8" w:space="0" w:color="auto"/>
            </w:tcBorders>
            <w:shd w:val="clear" w:color="auto" w:fill="auto"/>
            <w:noWrap/>
            <w:vAlign w:val="center"/>
            <w:hideMark/>
          </w:tcPr>
          <w:p w14:paraId="3A43EFD7"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11,43</w:t>
            </w:r>
          </w:p>
        </w:tc>
      </w:tr>
      <w:tr w:rsidR="00212CC6" w:rsidRPr="00212CC6" w14:paraId="7129E748"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622511FE"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Adopciones Nacionales</w:t>
            </w:r>
          </w:p>
        </w:tc>
        <w:tc>
          <w:tcPr>
            <w:tcW w:w="1260" w:type="dxa"/>
            <w:tcBorders>
              <w:top w:val="nil"/>
              <w:left w:val="nil"/>
              <w:bottom w:val="single" w:sz="8" w:space="0" w:color="auto"/>
              <w:right w:val="single" w:sz="8" w:space="0" w:color="auto"/>
            </w:tcBorders>
            <w:shd w:val="clear" w:color="auto" w:fill="auto"/>
            <w:noWrap/>
            <w:vAlign w:val="center"/>
            <w:hideMark/>
          </w:tcPr>
          <w:p w14:paraId="433015FD"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102</w:t>
            </w:r>
          </w:p>
        </w:tc>
        <w:tc>
          <w:tcPr>
            <w:tcW w:w="1260" w:type="dxa"/>
            <w:tcBorders>
              <w:top w:val="nil"/>
              <w:left w:val="nil"/>
              <w:bottom w:val="single" w:sz="8" w:space="0" w:color="auto"/>
              <w:right w:val="single" w:sz="8" w:space="0" w:color="auto"/>
            </w:tcBorders>
            <w:shd w:val="clear" w:color="auto" w:fill="auto"/>
            <w:noWrap/>
            <w:vAlign w:val="center"/>
            <w:hideMark/>
          </w:tcPr>
          <w:p w14:paraId="26C86726"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10,37</w:t>
            </w:r>
          </w:p>
        </w:tc>
      </w:tr>
      <w:tr w:rsidR="00212CC6" w:rsidRPr="00212CC6" w14:paraId="246FE186"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6F9AA41F"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Comunicación Del Art.32 Cna (P.A.N.I.)</w:t>
            </w:r>
          </w:p>
        </w:tc>
        <w:tc>
          <w:tcPr>
            <w:tcW w:w="1260" w:type="dxa"/>
            <w:tcBorders>
              <w:top w:val="nil"/>
              <w:left w:val="nil"/>
              <w:bottom w:val="single" w:sz="8" w:space="0" w:color="auto"/>
              <w:right w:val="single" w:sz="8" w:space="0" w:color="auto"/>
            </w:tcBorders>
            <w:shd w:val="clear" w:color="auto" w:fill="auto"/>
            <w:noWrap/>
            <w:vAlign w:val="center"/>
            <w:hideMark/>
          </w:tcPr>
          <w:p w14:paraId="1A9739EB"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40</w:t>
            </w:r>
          </w:p>
        </w:tc>
        <w:tc>
          <w:tcPr>
            <w:tcW w:w="1260" w:type="dxa"/>
            <w:tcBorders>
              <w:top w:val="nil"/>
              <w:left w:val="nil"/>
              <w:bottom w:val="single" w:sz="8" w:space="0" w:color="auto"/>
              <w:right w:val="single" w:sz="8" w:space="0" w:color="auto"/>
            </w:tcBorders>
            <w:shd w:val="clear" w:color="auto" w:fill="auto"/>
            <w:noWrap/>
            <w:vAlign w:val="center"/>
            <w:hideMark/>
          </w:tcPr>
          <w:p w14:paraId="36959B34"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8,30</w:t>
            </w:r>
          </w:p>
        </w:tc>
      </w:tr>
      <w:tr w:rsidR="00212CC6" w:rsidRPr="00212CC6" w14:paraId="7D03D883"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732B9E07"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 xml:space="preserve">Consulta Declaratoria Administrativa De Abandono Art 116 Cf </w:t>
            </w:r>
          </w:p>
        </w:tc>
        <w:tc>
          <w:tcPr>
            <w:tcW w:w="1260" w:type="dxa"/>
            <w:tcBorders>
              <w:top w:val="nil"/>
              <w:left w:val="nil"/>
              <w:bottom w:val="single" w:sz="8" w:space="0" w:color="auto"/>
              <w:right w:val="single" w:sz="8" w:space="0" w:color="auto"/>
            </w:tcBorders>
            <w:shd w:val="clear" w:color="auto" w:fill="auto"/>
            <w:noWrap/>
            <w:vAlign w:val="center"/>
            <w:hideMark/>
          </w:tcPr>
          <w:p w14:paraId="6B5A7644"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13</w:t>
            </w:r>
          </w:p>
        </w:tc>
        <w:tc>
          <w:tcPr>
            <w:tcW w:w="1260" w:type="dxa"/>
            <w:tcBorders>
              <w:top w:val="nil"/>
              <w:left w:val="nil"/>
              <w:bottom w:val="single" w:sz="8" w:space="0" w:color="auto"/>
              <w:right w:val="single" w:sz="8" w:space="0" w:color="auto"/>
            </w:tcBorders>
            <w:shd w:val="clear" w:color="auto" w:fill="auto"/>
            <w:noWrap/>
            <w:vAlign w:val="center"/>
            <w:hideMark/>
          </w:tcPr>
          <w:p w14:paraId="0877F522"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8,26</w:t>
            </w:r>
          </w:p>
        </w:tc>
      </w:tr>
      <w:tr w:rsidR="00212CC6" w:rsidRPr="00212CC6" w14:paraId="02E7E546"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17961E84"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Proceso Especial Protección</w:t>
            </w:r>
          </w:p>
        </w:tc>
        <w:tc>
          <w:tcPr>
            <w:tcW w:w="1260" w:type="dxa"/>
            <w:tcBorders>
              <w:top w:val="nil"/>
              <w:left w:val="nil"/>
              <w:bottom w:val="single" w:sz="8" w:space="0" w:color="auto"/>
              <w:right w:val="single" w:sz="8" w:space="0" w:color="auto"/>
            </w:tcBorders>
            <w:shd w:val="clear" w:color="auto" w:fill="auto"/>
            <w:noWrap/>
            <w:vAlign w:val="center"/>
            <w:hideMark/>
          </w:tcPr>
          <w:p w14:paraId="751D6A6B"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54</w:t>
            </w:r>
          </w:p>
        </w:tc>
        <w:tc>
          <w:tcPr>
            <w:tcW w:w="1260" w:type="dxa"/>
            <w:tcBorders>
              <w:top w:val="nil"/>
              <w:left w:val="nil"/>
              <w:bottom w:val="single" w:sz="8" w:space="0" w:color="auto"/>
              <w:right w:val="single" w:sz="8" w:space="0" w:color="auto"/>
            </w:tcBorders>
            <w:shd w:val="clear" w:color="auto" w:fill="auto"/>
            <w:noWrap/>
            <w:vAlign w:val="center"/>
            <w:hideMark/>
          </w:tcPr>
          <w:p w14:paraId="04887B1E"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7,36</w:t>
            </w:r>
          </w:p>
        </w:tc>
      </w:tr>
      <w:tr w:rsidR="00212CC6" w:rsidRPr="00212CC6" w14:paraId="036F2590"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15536AD3"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Guarda Crianza Y Educación (Proceso Definición De Custodia)</w:t>
            </w:r>
          </w:p>
        </w:tc>
        <w:tc>
          <w:tcPr>
            <w:tcW w:w="1260" w:type="dxa"/>
            <w:tcBorders>
              <w:top w:val="nil"/>
              <w:left w:val="nil"/>
              <w:bottom w:val="single" w:sz="8" w:space="0" w:color="auto"/>
              <w:right w:val="single" w:sz="8" w:space="0" w:color="auto"/>
            </w:tcBorders>
            <w:shd w:val="clear" w:color="auto" w:fill="auto"/>
            <w:noWrap/>
            <w:vAlign w:val="center"/>
            <w:hideMark/>
          </w:tcPr>
          <w:p w14:paraId="3C35E391"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19</w:t>
            </w:r>
          </w:p>
        </w:tc>
        <w:tc>
          <w:tcPr>
            <w:tcW w:w="1260" w:type="dxa"/>
            <w:tcBorders>
              <w:top w:val="nil"/>
              <w:left w:val="nil"/>
              <w:bottom w:val="single" w:sz="8" w:space="0" w:color="auto"/>
              <w:right w:val="single" w:sz="8" w:space="0" w:color="auto"/>
            </w:tcBorders>
            <w:shd w:val="clear" w:color="auto" w:fill="auto"/>
            <w:noWrap/>
            <w:vAlign w:val="center"/>
            <w:hideMark/>
          </w:tcPr>
          <w:p w14:paraId="7A680405"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7,28</w:t>
            </w:r>
          </w:p>
        </w:tc>
      </w:tr>
      <w:tr w:rsidR="00212CC6" w:rsidRPr="00212CC6" w14:paraId="2E820BF8"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5A00AE99" w14:textId="229984A4"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Autorización Salida Del País</w:t>
            </w:r>
          </w:p>
        </w:tc>
        <w:tc>
          <w:tcPr>
            <w:tcW w:w="1260" w:type="dxa"/>
            <w:tcBorders>
              <w:top w:val="nil"/>
              <w:left w:val="nil"/>
              <w:bottom w:val="single" w:sz="8" w:space="0" w:color="auto"/>
              <w:right w:val="single" w:sz="8" w:space="0" w:color="auto"/>
            </w:tcBorders>
            <w:shd w:val="clear" w:color="auto" w:fill="auto"/>
            <w:noWrap/>
            <w:vAlign w:val="center"/>
            <w:hideMark/>
          </w:tcPr>
          <w:p w14:paraId="673700A4"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10</w:t>
            </w:r>
          </w:p>
        </w:tc>
        <w:tc>
          <w:tcPr>
            <w:tcW w:w="1260" w:type="dxa"/>
            <w:tcBorders>
              <w:top w:val="nil"/>
              <w:left w:val="nil"/>
              <w:bottom w:val="single" w:sz="8" w:space="0" w:color="auto"/>
              <w:right w:val="single" w:sz="8" w:space="0" w:color="auto"/>
            </w:tcBorders>
            <w:shd w:val="clear" w:color="auto" w:fill="auto"/>
            <w:noWrap/>
            <w:vAlign w:val="center"/>
            <w:hideMark/>
          </w:tcPr>
          <w:p w14:paraId="44208458"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7,13</w:t>
            </w:r>
          </w:p>
        </w:tc>
      </w:tr>
      <w:tr w:rsidR="00212CC6" w:rsidRPr="00212CC6" w14:paraId="53B1CE6F"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4E12076E"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Impugnación De Reconocimiento De Paternidad</w:t>
            </w:r>
          </w:p>
        </w:tc>
        <w:tc>
          <w:tcPr>
            <w:tcW w:w="1260" w:type="dxa"/>
            <w:tcBorders>
              <w:top w:val="nil"/>
              <w:left w:val="nil"/>
              <w:bottom w:val="single" w:sz="8" w:space="0" w:color="auto"/>
              <w:right w:val="single" w:sz="8" w:space="0" w:color="auto"/>
            </w:tcBorders>
            <w:shd w:val="clear" w:color="auto" w:fill="auto"/>
            <w:noWrap/>
            <w:vAlign w:val="center"/>
            <w:hideMark/>
          </w:tcPr>
          <w:p w14:paraId="24B3D4BD"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single" w:sz="8" w:space="0" w:color="auto"/>
              <w:right w:val="single" w:sz="8" w:space="0" w:color="auto"/>
            </w:tcBorders>
            <w:shd w:val="clear" w:color="auto" w:fill="auto"/>
            <w:noWrap/>
            <w:vAlign w:val="center"/>
            <w:hideMark/>
          </w:tcPr>
          <w:p w14:paraId="21F51EF8"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6,53</w:t>
            </w:r>
          </w:p>
        </w:tc>
      </w:tr>
      <w:tr w:rsidR="00212CC6" w:rsidRPr="00212CC6" w14:paraId="267EB366"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674956F5"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Restitución Internacional</w:t>
            </w:r>
          </w:p>
        </w:tc>
        <w:tc>
          <w:tcPr>
            <w:tcW w:w="1260" w:type="dxa"/>
            <w:tcBorders>
              <w:top w:val="nil"/>
              <w:left w:val="nil"/>
              <w:bottom w:val="single" w:sz="8" w:space="0" w:color="auto"/>
              <w:right w:val="single" w:sz="8" w:space="0" w:color="auto"/>
            </w:tcBorders>
            <w:shd w:val="clear" w:color="auto" w:fill="auto"/>
            <w:noWrap/>
            <w:vAlign w:val="center"/>
            <w:hideMark/>
          </w:tcPr>
          <w:p w14:paraId="0399DEA8"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15</w:t>
            </w:r>
          </w:p>
        </w:tc>
        <w:tc>
          <w:tcPr>
            <w:tcW w:w="1260" w:type="dxa"/>
            <w:tcBorders>
              <w:top w:val="nil"/>
              <w:left w:val="nil"/>
              <w:bottom w:val="single" w:sz="8" w:space="0" w:color="auto"/>
              <w:right w:val="single" w:sz="8" w:space="0" w:color="auto"/>
            </w:tcBorders>
            <w:shd w:val="clear" w:color="auto" w:fill="auto"/>
            <w:noWrap/>
            <w:vAlign w:val="center"/>
            <w:hideMark/>
          </w:tcPr>
          <w:p w14:paraId="40FF8ADA"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5,77</w:t>
            </w:r>
          </w:p>
        </w:tc>
      </w:tr>
      <w:tr w:rsidR="00212CC6" w:rsidRPr="00212CC6" w14:paraId="063A1C02"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65B5209A"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Salvaguardia</w:t>
            </w:r>
          </w:p>
        </w:tc>
        <w:tc>
          <w:tcPr>
            <w:tcW w:w="1260" w:type="dxa"/>
            <w:tcBorders>
              <w:top w:val="nil"/>
              <w:left w:val="nil"/>
              <w:bottom w:val="single" w:sz="8" w:space="0" w:color="auto"/>
              <w:right w:val="single" w:sz="8" w:space="0" w:color="auto"/>
            </w:tcBorders>
            <w:shd w:val="clear" w:color="auto" w:fill="auto"/>
            <w:noWrap/>
            <w:vAlign w:val="center"/>
            <w:hideMark/>
          </w:tcPr>
          <w:p w14:paraId="70B097E6"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2</w:t>
            </w:r>
          </w:p>
        </w:tc>
        <w:tc>
          <w:tcPr>
            <w:tcW w:w="1260" w:type="dxa"/>
            <w:tcBorders>
              <w:top w:val="nil"/>
              <w:left w:val="nil"/>
              <w:bottom w:val="single" w:sz="8" w:space="0" w:color="auto"/>
              <w:right w:val="single" w:sz="8" w:space="0" w:color="auto"/>
            </w:tcBorders>
            <w:shd w:val="clear" w:color="auto" w:fill="auto"/>
            <w:noWrap/>
            <w:vAlign w:val="center"/>
            <w:hideMark/>
          </w:tcPr>
          <w:p w14:paraId="41C0383C"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3,80</w:t>
            </w:r>
          </w:p>
        </w:tc>
      </w:tr>
      <w:tr w:rsidR="00212CC6" w:rsidRPr="00212CC6" w14:paraId="64463CF7"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7E5133C4"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Adopciones Internacionales</w:t>
            </w:r>
          </w:p>
        </w:tc>
        <w:tc>
          <w:tcPr>
            <w:tcW w:w="1260" w:type="dxa"/>
            <w:tcBorders>
              <w:top w:val="nil"/>
              <w:left w:val="nil"/>
              <w:bottom w:val="single" w:sz="8" w:space="0" w:color="auto"/>
              <w:right w:val="single" w:sz="8" w:space="0" w:color="auto"/>
            </w:tcBorders>
            <w:shd w:val="clear" w:color="auto" w:fill="auto"/>
            <w:noWrap/>
            <w:vAlign w:val="center"/>
            <w:hideMark/>
          </w:tcPr>
          <w:p w14:paraId="0C3BEB81"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8</w:t>
            </w:r>
          </w:p>
        </w:tc>
        <w:tc>
          <w:tcPr>
            <w:tcW w:w="1260" w:type="dxa"/>
            <w:tcBorders>
              <w:top w:val="nil"/>
              <w:left w:val="nil"/>
              <w:bottom w:val="single" w:sz="8" w:space="0" w:color="auto"/>
              <w:right w:val="single" w:sz="8" w:space="0" w:color="auto"/>
            </w:tcBorders>
            <w:shd w:val="clear" w:color="auto" w:fill="auto"/>
            <w:noWrap/>
            <w:vAlign w:val="center"/>
            <w:hideMark/>
          </w:tcPr>
          <w:p w14:paraId="71C66CBB"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3,62</w:t>
            </w:r>
          </w:p>
        </w:tc>
      </w:tr>
      <w:tr w:rsidR="00212CC6" w:rsidRPr="00212CC6" w14:paraId="1D70B5F6"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759DB375"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Conflicto De Responsabilidad Parental (Art 151 Cf)</w:t>
            </w:r>
          </w:p>
        </w:tc>
        <w:tc>
          <w:tcPr>
            <w:tcW w:w="1260" w:type="dxa"/>
            <w:tcBorders>
              <w:top w:val="nil"/>
              <w:left w:val="nil"/>
              <w:bottom w:val="single" w:sz="8" w:space="0" w:color="auto"/>
              <w:right w:val="single" w:sz="8" w:space="0" w:color="auto"/>
            </w:tcBorders>
            <w:shd w:val="clear" w:color="auto" w:fill="auto"/>
            <w:noWrap/>
            <w:vAlign w:val="center"/>
            <w:hideMark/>
          </w:tcPr>
          <w:p w14:paraId="3DFA86A4"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single" w:sz="8" w:space="0" w:color="auto"/>
              <w:right w:val="single" w:sz="8" w:space="0" w:color="auto"/>
            </w:tcBorders>
            <w:shd w:val="clear" w:color="auto" w:fill="auto"/>
            <w:noWrap/>
            <w:vAlign w:val="center"/>
            <w:hideMark/>
          </w:tcPr>
          <w:p w14:paraId="4F0C1439"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2,23</w:t>
            </w:r>
          </w:p>
        </w:tc>
      </w:tr>
      <w:tr w:rsidR="00212CC6" w:rsidRPr="00212CC6" w14:paraId="1714D40C"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08015D63"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Terminación De Responsabilidad Parental</w:t>
            </w:r>
          </w:p>
        </w:tc>
        <w:tc>
          <w:tcPr>
            <w:tcW w:w="1260" w:type="dxa"/>
            <w:tcBorders>
              <w:top w:val="nil"/>
              <w:left w:val="nil"/>
              <w:bottom w:val="single" w:sz="8" w:space="0" w:color="auto"/>
              <w:right w:val="single" w:sz="8" w:space="0" w:color="auto"/>
            </w:tcBorders>
            <w:shd w:val="clear" w:color="auto" w:fill="auto"/>
            <w:noWrap/>
            <w:vAlign w:val="center"/>
            <w:hideMark/>
          </w:tcPr>
          <w:p w14:paraId="3768493A"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3</w:t>
            </w:r>
          </w:p>
        </w:tc>
        <w:tc>
          <w:tcPr>
            <w:tcW w:w="1260" w:type="dxa"/>
            <w:tcBorders>
              <w:top w:val="nil"/>
              <w:left w:val="nil"/>
              <w:bottom w:val="single" w:sz="8" w:space="0" w:color="auto"/>
              <w:right w:val="single" w:sz="8" w:space="0" w:color="auto"/>
            </w:tcBorders>
            <w:shd w:val="clear" w:color="auto" w:fill="auto"/>
            <w:noWrap/>
            <w:vAlign w:val="center"/>
            <w:hideMark/>
          </w:tcPr>
          <w:p w14:paraId="36CDFAA1"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2,08</w:t>
            </w:r>
          </w:p>
        </w:tc>
      </w:tr>
      <w:tr w:rsidR="00212CC6" w:rsidRPr="00212CC6" w14:paraId="15BB9249"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151796DF"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Impugnación De Paternidad</w:t>
            </w:r>
          </w:p>
        </w:tc>
        <w:tc>
          <w:tcPr>
            <w:tcW w:w="1260" w:type="dxa"/>
            <w:tcBorders>
              <w:top w:val="nil"/>
              <w:left w:val="nil"/>
              <w:bottom w:val="single" w:sz="8" w:space="0" w:color="auto"/>
              <w:right w:val="single" w:sz="8" w:space="0" w:color="auto"/>
            </w:tcBorders>
            <w:shd w:val="clear" w:color="auto" w:fill="auto"/>
            <w:noWrap/>
            <w:vAlign w:val="center"/>
            <w:hideMark/>
          </w:tcPr>
          <w:p w14:paraId="45039991"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single" w:sz="8" w:space="0" w:color="auto"/>
              <w:right w:val="single" w:sz="8" w:space="0" w:color="auto"/>
            </w:tcBorders>
            <w:shd w:val="clear" w:color="auto" w:fill="auto"/>
            <w:noWrap/>
            <w:vAlign w:val="center"/>
            <w:hideMark/>
          </w:tcPr>
          <w:p w14:paraId="36271E20"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1,67</w:t>
            </w:r>
          </w:p>
        </w:tc>
      </w:tr>
      <w:tr w:rsidR="00212CC6" w:rsidRPr="00212CC6" w14:paraId="011A9A82"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57E7BA22"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Inc. No Clasificados</w:t>
            </w:r>
          </w:p>
        </w:tc>
        <w:tc>
          <w:tcPr>
            <w:tcW w:w="1260" w:type="dxa"/>
            <w:tcBorders>
              <w:top w:val="nil"/>
              <w:left w:val="nil"/>
              <w:bottom w:val="single" w:sz="8" w:space="0" w:color="auto"/>
              <w:right w:val="single" w:sz="8" w:space="0" w:color="auto"/>
            </w:tcBorders>
            <w:shd w:val="clear" w:color="auto" w:fill="auto"/>
            <w:noWrap/>
            <w:vAlign w:val="center"/>
            <w:hideMark/>
          </w:tcPr>
          <w:p w14:paraId="6FDC8C5B"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single" w:sz="8" w:space="0" w:color="auto"/>
              <w:right w:val="single" w:sz="8" w:space="0" w:color="auto"/>
            </w:tcBorders>
            <w:shd w:val="clear" w:color="auto" w:fill="auto"/>
            <w:noWrap/>
            <w:vAlign w:val="center"/>
            <w:hideMark/>
          </w:tcPr>
          <w:p w14:paraId="7B016F5F"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1,67</w:t>
            </w:r>
          </w:p>
        </w:tc>
      </w:tr>
      <w:tr w:rsidR="00212CC6" w:rsidRPr="00212CC6" w14:paraId="70B66585"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74A61E9A"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Solicitud De Allanamiento (Art.36 Ley Orgánica Pani)</w:t>
            </w:r>
          </w:p>
        </w:tc>
        <w:tc>
          <w:tcPr>
            <w:tcW w:w="1260" w:type="dxa"/>
            <w:tcBorders>
              <w:top w:val="nil"/>
              <w:left w:val="nil"/>
              <w:bottom w:val="single" w:sz="8" w:space="0" w:color="auto"/>
              <w:right w:val="single" w:sz="8" w:space="0" w:color="auto"/>
            </w:tcBorders>
            <w:shd w:val="clear" w:color="auto" w:fill="auto"/>
            <w:noWrap/>
            <w:vAlign w:val="center"/>
            <w:hideMark/>
          </w:tcPr>
          <w:p w14:paraId="23F0EEB0"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4</w:t>
            </w:r>
          </w:p>
        </w:tc>
        <w:tc>
          <w:tcPr>
            <w:tcW w:w="1260" w:type="dxa"/>
            <w:tcBorders>
              <w:top w:val="nil"/>
              <w:left w:val="nil"/>
              <w:bottom w:val="single" w:sz="8" w:space="0" w:color="auto"/>
              <w:right w:val="single" w:sz="8" w:space="0" w:color="auto"/>
            </w:tcBorders>
            <w:shd w:val="clear" w:color="auto" w:fill="auto"/>
            <w:noWrap/>
            <w:vAlign w:val="center"/>
            <w:hideMark/>
          </w:tcPr>
          <w:p w14:paraId="6D0194CD"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1,59</w:t>
            </w:r>
          </w:p>
        </w:tc>
      </w:tr>
      <w:tr w:rsidR="00212CC6" w:rsidRPr="00212CC6" w14:paraId="2A54C837"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206192A2"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Reconocimiento Unión De Hecho</w:t>
            </w:r>
          </w:p>
        </w:tc>
        <w:tc>
          <w:tcPr>
            <w:tcW w:w="1260" w:type="dxa"/>
            <w:tcBorders>
              <w:top w:val="nil"/>
              <w:left w:val="nil"/>
              <w:bottom w:val="single" w:sz="8" w:space="0" w:color="auto"/>
              <w:right w:val="single" w:sz="8" w:space="0" w:color="auto"/>
            </w:tcBorders>
            <w:shd w:val="clear" w:color="auto" w:fill="auto"/>
            <w:noWrap/>
            <w:vAlign w:val="center"/>
            <w:hideMark/>
          </w:tcPr>
          <w:p w14:paraId="5A43194E"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single" w:sz="8" w:space="0" w:color="auto"/>
              <w:right w:val="single" w:sz="8" w:space="0" w:color="auto"/>
            </w:tcBorders>
            <w:shd w:val="clear" w:color="auto" w:fill="auto"/>
            <w:noWrap/>
            <w:vAlign w:val="center"/>
            <w:hideMark/>
          </w:tcPr>
          <w:p w14:paraId="5B2EB7FA"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1,57</w:t>
            </w:r>
          </w:p>
        </w:tc>
      </w:tr>
      <w:tr w:rsidR="00212CC6" w:rsidRPr="00212CC6" w14:paraId="3E38DFB2"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1191AA05"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Divorcio Por Mutuo Consentimiento</w:t>
            </w:r>
          </w:p>
        </w:tc>
        <w:tc>
          <w:tcPr>
            <w:tcW w:w="1260" w:type="dxa"/>
            <w:tcBorders>
              <w:top w:val="nil"/>
              <w:left w:val="nil"/>
              <w:bottom w:val="single" w:sz="8" w:space="0" w:color="auto"/>
              <w:right w:val="single" w:sz="8" w:space="0" w:color="auto"/>
            </w:tcBorders>
            <w:shd w:val="clear" w:color="auto" w:fill="auto"/>
            <w:noWrap/>
            <w:vAlign w:val="center"/>
            <w:hideMark/>
          </w:tcPr>
          <w:p w14:paraId="1C343299"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12</w:t>
            </w:r>
          </w:p>
        </w:tc>
        <w:tc>
          <w:tcPr>
            <w:tcW w:w="1260" w:type="dxa"/>
            <w:tcBorders>
              <w:top w:val="nil"/>
              <w:left w:val="nil"/>
              <w:bottom w:val="single" w:sz="8" w:space="0" w:color="auto"/>
              <w:right w:val="single" w:sz="8" w:space="0" w:color="auto"/>
            </w:tcBorders>
            <w:shd w:val="clear" w:color="auto" w:fill="auto"/>
            <w:noWrap/>
            <w:vAlign w:val="center"/>
            <w:hideMark/>
          </w:tcPr>
          <w:p w14:paraId="1985D494"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1,47</w:t>
            </w:r>
          </w:p>
        </w:tc>
      </w:tr>
      <w:tr w:rsidR="00212CC6" w:rsidRPr="00212CC6" w14:paraId="7D452702"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26EA96C4"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Divorcio</w:t>
            </w:r>
          </w:p>
        </w:tc>
        <w:tc>
          <w:tcPr>
            <w:tcW w:w="1260" w:type="dxa"/>
            <w:tcBorders>
              <w:top w:val="nil"/>
              <w:left w:val="nil"/>
              <w:bottom w:val="single" w:sz="8" w:space="0" w:color="auto"/>
              <w:right w:val="single" w:sz="8" w:space="0" w:color="auto"/>
            </w:tcBorders>
            <w:shd w:val="clear" w:color="auto" w:fill="auto"/>
            <w:noWrap/>
            <w:vAlign w:val="center"/>
            <w:hideMark/>
          </w:tcPr>
          <w:p w14:paraId="10A6B4A6"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5</w:t>
            </w:r>
          </w:p>
        </w:tc>
        <w:tc>
          <w:tcPr>
            <w:tcW w:w="1260" w:type="dxa"/>
            <w:tcBorders>
              <w:top w:val="nil"/>
              <w:left w:val="nil"/>
              <w:bottom w:val="single" w:sz="8" w:space="0" w:color="auto"/>
              <w:right w:val="single" w:sz="8" w:space="0" w:color="auto"/>
            </w:tcBorders>
            <w:shd w:val="clear" w:color="auto" w:fill="auto"/>
            <w:noWrap/>
            <w:vAlign w:val="center"/>
            <w:hideMark/>
          </w:tcPr>
          <w:p w14:paraId="666CF6CE"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1,42</w:t>
            </w:r>
          </w:p>
        </w:tc>
      </w:tr>
      <w:tr w:rsidR="00212CC6" w:rsidRPr="00212CC6" w14:paraId="3AF2D361" w14:textId="77777777" w:rsidTr="00212CC6">
        <w:trPr>
          <w:trHeight w:val="375"/>
        </w:trPr>
        <w:tc>
          <w:tcPr>
            <w:tcW w:w="6660" w:type="dxa"/>
            <w:tcBorders>
              <w:top w:val="nil"/>
              <w:left w:val="single" w:sz="8" w:space="0" w:color="auto"/>
              <w:bottom w:val="single" w:sz="8" w:space="0" w:color="auto"/>
              <w:right w:val="single" w:sz="8" w:space="0" w:color="auto"/>
            </w:tcBorders>
            <w:shd w:val="clear" w:color="auto" w:fill="auto"/>
            <w:noWrap/>
            <w:vAlign w:val="center"/>
            <w:hideMark/>
          </w:tcPr>
          <w:p w14:paraId="60F66053"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Inc. Modificación De Fallo Custodia (Guarda Crianza Y Educación)</w:t>
            </w:r>
          </w:p>
        </w:tc>
        <w:tc>
          <w:tcPr>
            <w:tcW w:w="1260" w:type="dxa"/>
            <w:tcBorders>
              <w:top w:val="nil"/>
              <w:left w:val="nil"/>
              <w:bottom w:val="single" w:sz="8" w:space="0" w:color="auto"/>
              <w:right w:val="single" w:sz="8" w:space="0" w:color="auto"/>
            </w:tcBorders>
            <w:shd w:val="clear" w:color="auto" w:fill="auto"/>
            <w:noWrap/>
            <w:vAlign w:val="center"/>
            <w:hideMark/>
          </w:tcPr>
          <w:p w14:paraId="66DA3FDE"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2</w:t>
            </w:r>
          </w:p>
        </w:tc>
        <w:tc>
          <w:tcPr>
            <w:tcW w:w="1260" w:type="dxa"/>
            <w:tcBorders>
              <w:top w:val="nil"/>
              <w:left w:val="nil"/>
              <w:bottom w:val="single" w:sz="8" w:space="0" w:color="auto"/>
              <w:right w:val="single" w:sz="8" w:space="0" w:color="auto"/>
            </w:tcBorders>
            <w:shd w:val="clear" w:color="auto" w:fill="auto"/>
            <w:noWrap/>
            <w:vAlign w:val="center"/>
            <w:hideMark/>
          </w:tcPr>
          <w:p w14:paraId="5DD1212E"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1,35</w:t>
            </w:r>
          </w:p>
        </w:tc>
      </w:tr>
      <w:tr w:rsidR="00212CC6" w:rsidRPr="00212CC6" w14:paraId="15E0AF4E" w14:textId="77777777" w:rsidTr="00212CC6">
        <w:trPr>
          <w:trHeight w:val="375"/>
        </w:trPr>
        <w:tc>
          <w:tcPr>
            <w:tcW w:w="6660" w:type="dxa"/>
            <w:tcBorders>
              <w:top w:val="nil"/>
              <w:left w:val="single" w:sz="8" w:space="0" w:color="auto"/>
              <w:bottom w:val="nil"/>
              <w:right w:val="single" w:sz="8" w:space="0" w:color="auto"/>
            </w:tcBorders>
            <w:shd w:val="clear" w:color="auto" w:fill="auto"/>
            <w:noWrap/>
            <w:vAlign w:val="center"/>
            <w:hideMark/>
          </w:tcPr>
          <w:p w14:paraId="10A3F8C6" w14:textId="77777777" w:rsidR="00212CC6" w:rsidRPr="00212CC6" w:rsidRDefault="00212CC6" w:rsidP="00212CC6">
            <w:pPr>
              <w:spacing w:after="0" w:line="240" w:lineRule="auto"/>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Divorcio O Separación Judicial Con Pretensiones Ordinarias Accesorias</w:t>
            </w:r>
          </w:p>
        </w:tc>
        <w:tc>
          <w:tcPr>
            <w:tcW w:w="1260" w:type="dxa"/>
            <w:tcBorders>
              <w:top w:val="nil"/>
              <w:left w:val="nil"/>
              <w:bottom w:val="nil"/>
              <w:right w:val="single" w:sz="8" w:space="0" w:color="auto"/>
            </w:tcBorders>
            <w:shd w:val="clear" w:color="auto" w:fill="auto"/>
            <w:noWrap/>
            <w:vAlign w:val="center"/>
            <w:hideMark/>
          </w:tcPr>
          <w:p w14:paraId="7D8B70CF"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w:t>
            </w:r>
          </w:p>
        </w:tc>
        <w:tc>
          <w:tcPr>
            <w:tcW w:w="1260" w:type="dxa"/>
            <w:tcBorders>
              <w:top w:val="nil"/>
              <w:left w:val="nil"/>
              <w:bottom w:val="nil"/>
              <w:right w:val="single" w:sz="8" w:space="0" w:color="auto"/>
            </w:tcBorders>
            <w:shd w:val="clear" w:color="auto" w:fill="auto"/>
            <w:noWrap/>
            <w:vAlign w:val="center"/>
            <w:hideMark/>
          </w:tcPr>
          <w:p w14:paraId="6973ADD5" w14:textId="77777777" w:rsidR="00212CC6" w:rsidRPr="00212CC6" w:rsidRDefault="00212CC6" w:rsidP="00212CC6">
            <w:pPr>
              <w:spacing w:after="0" w:line="240" w:lineRule="auto"/>
              <w:jc w:val="center"/>
              <w:rPr>
                <w:rFonts w:ascii="Book Antiqua" w:eastAsia="Times New Roman" w:hAnsi="Book Antiqua" w:cs="Calibri"/>
                <w:color w:val="000000"/>
                <w:sz w:val="20"/>
                <w:szCs w:val="20"/>
                <w:lang w:eastAsia="es-CR"/>
              </w:rPr>
            </w:pPr>
            <w:r w:rsidRPr="00212CC6">
              <w:rPr>
                <w:rFonts w:ascii="Book Antiqua" w:eastAsia="Times New Roman" w:hAnsi="Book Antiqua" w:cs="Calibri"/>
                <w:color w:val="000000"/>
                <w:sz w:val="20"/>
                <w:szCs w:val="20"/>
                <w:lang w:eastAsia="es-CR"/>
              </w:rPr>
              <w:t>1,10</w:t>
            </w:r>
          </w:p>
        </w:tc>
      </w:tr>
      <w:tr w:rsidR="00212CC6" w:rsidRPr="00212CC6" w14:paraId="669DD28C" w14:textId="77777777" w:rsidTr="00212CC6">
        <w:trPr>
          <w:trHeight w:val="375"/>
        </w:trPr>
        <w:tc>
          <w:tcPr>
            <w:tcW w:w="6660" w:type="dxa"/>
            <w:tcBorders>
              <w:top w:val="single" w:sz="8" w:space="0" w:color="auto"/>
              <w:left w:val="single" w:sz="8" w:space="0" w:color="auto"/>
              <w:bottom w:val="single" w:sz="8" w:space="0" w:color="auto"/>
              <w:right w:val="single" w:sz="8" w:space="0" w:color="auto"/>
            </w:tcBorders>
            <w:shd w:val="clear" w:color="000000" w:fill="808080"/>
            <w:noWrap/>
            <w:vAlign w:val="center"/>
            <w:hideMark/>
          </w:tcPr>
          <w:p w14:paraId="67B1FE87"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Total</w:t>
            </w:r>
          </w:p>
        </w:tc>
        <w:tc>
          <w:tcPr>
            <w:tcW w:w="1260" w:type="dxa"/>
            <w:tcBorders>
              <w:top w:val="single" w:sz="8" w:space="0" w:color="auto"/>
              <w:left w:val="nil"/>
              <w:bottom w:val="single" w:sz="8" w:space="0" w:color="auto"/>
              <w:right w:val="single" w:sz="8" w:space="0" w:color="auto"/>
            </w:tcBorders>
            <w:shd w:val="clear" w:color="000000" w:fill="808080"/>
            <w:noWrap/>
            <w:vAlign w:val="bottom"/>
            <w:hideMark/>
          </w:tcPr>
          <w:p w14:paraId="327E6DEA"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1021</w:t>
            </w:r>
          </w:p>
        </w:tc>
        <w:tc>
          <w:tcPr>
            <w:tcW w:w="1260" w:type="dxa"/>
            <w:tcBorders>
              <w:top w:val="single" w:sz="8" w:space="0" w:color="auto"/>
              <w:left w:val="nil"/>
              <w:bottom w:val="single" w:sz="8" w:space="0" w:color="auto"/>
              <w:right w:val="single" w:sz="8" w:space="0" w:color="auto"/>
            </w:tcBorders>
            <w:shd w:val="clear" w:color="000000" w:fill="808080"/>
            <w:noWrap/>
            <w:vAlign w:val="bottom"/>
            <w:hideMark/>
          </w:tcPr>
          <w:p w14:paraId="374B80ED"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679,77</w:t>
            </w:r>
          </w:p>
        </w:tc>
      </w:tr>
      <w:tr w:rsidR="00212CC6" w:rsidRPr="00212CC6" w14:paraId="32022F8D" w14:textId="77777777" w:rsidTr="00212CC6">
        <w:trPr>
          <w:trHeight w:val="290"/>
        </w:trPr>
        <w:tc>
          <w:tcPr>
            <w:tcW w:w="6660" w:type="dxa"/>
            <w:tcBorders>
              <w:top w:val="nil"/>
              <w:left w:val="single" w:sz="8" w:space="0" w:color="auto"/>
              <w:bottom w:val="nil"/>
              <w:right w:val="single" w:sz="8" w:space="0" w:color="auto"/>
            </w:tcBorders>
            <w:shd w:val="clear" w:color="000000" w:fill="808080"/>
            <w:noWrap/>
            <w:vAlign w:val="center"/>
            <w:hideMark/>
          </w:tcPr>
          <w:p w14:paraId="4FA32584"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Promedio</w:t>
            </w:r>
          </w:p>
        </w:tc>
        <w:tc>
          <w:tcPr>
            <w:tcW w:w="1260" w:type="dxa"/>
            <w:tcBorders>
              <w:top w:val="nil"/>
              <w:left w:val="nil"/>
              <w:bottom w:val="nil"/>
              <w:right w:val="single" w:sz="8" w:space="0" w:color="auto"/>
            </w:tcBorders>
            <w:shd w:val="clear" w:color="000000" w:fill="808080"/>
            <w:noWrap/>
            <w:vAlign w:val="bottom"/>
            <w:hideMark/>
          </w:tcPr>
          <w:p w14:paraId="40E31EEE"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30,03</w:t>
            </w:r>
          </w:p>
        </w:tc>
        <w:tc>
          <w:tcPr>
            <w:tcW w:w="1260" w:type="dxa"/>
            <w:tcBorders>
              <w:top w:val="nil"/>
              <w:left w:val="nil"/>
              <w:bottom w:val="nil"/>
              <w:right w:val="single" w:sz="8" w:space="0" w:color="auto"/>
            </w:tcBorders>
            <w:shd w:val="clear" w:color="000000" w:fill="808080"/>
            <w:noWrap/>
            <w:vAlign w:val="bottom"/>
            <w:hideMark/>
          </w:tcPr>
          <w:p w14:paraId="64267277" w14:textId="77777777" w:rsidR="00212CC6" w:rsidRPr="00212CC6" w:rsidRDefault="00212CC6" w:rsidP="00212CC6">
            <w:pPr>
              <w:spacing w:after="0" w:line="240" w:lineRule="auto"/>
              <w:jc w:val="center"/>
              <w:rPr>
                <w:rFonts w:ascii="Book Antiqua" w:eastAsia="Times New Roman" w:hAnsi="Book Antiqua" w:cs="Calibri"/>
                <w:b/>
                <w:bCs/>
                <w:color w:val="FFFFFF"/>
                <w:sz w:val="20"/>
                <w:szCs w:val="20"/>
                <w:lang w:eastAsia="es-CR"/>
              </w:rPr>
            </w:pPr>
            <w:r w:rsidRPr="00212CC6">
              <w:rPr>
                <w:rFonts w:ascii="Book Antiqua" w:eastAsia="Times New Roman" w:hAnsi="Book Antiqua" w:cs="Calibri"/>
                <w:b/>
                <w:bCs/>
                <w:color w:val="FFFFFF"/>
                <w:sz w:val="20"/>
                <w:szCs w:val="20"/>
                <w:lang w:eastAsia="es-CR"/>
              </w:rPr>
              <w:t>19,99</w:t>
            </w:r>
          </w:p>
        </w:tc>
      </w:tr>
    </w:tbl>
    <w:p w14:paraId="696FB8F5" w14:textId="46244E90" w:rsidR="00F07A42" w:rsidRPr="00F07A42" w:rsidRDefault="00F07A42" w:rsidP="00355630">
      <w:pPr>
        <w:spacing w:after="0" w:line="276" w:lineRule="auto"/>
        <w:jc w:val="both"/>
        <w:rPr>
          <w:rFonts w:ascii="Book Antiqua" w:eastAsia="Calibri" w:hAnsi="Book Antiqua" w:cs="Arial"/>
          <w:i/>
          <w:iCs/>
          <w:sz w:val="20"/>
          <w:szCs w:val="20"/>
        </w:rPr>
      </w:pPr>
      <w:r w:rsidRPr="00F53EAA">
        <w:rPr>
          <w:rFonts w:ascii="Book Antiqua" w:eastAsia="Calibri" w:hAnsi="Book Antiqua" w:cs="Arial"/>
          <w:b/>
          <w:bCs/>
          <w:i/>
          <w:iCs/>
          <w:sz w:val="20"/>
          <w:szCs w:val="20"/>
        </w:rPr>
        <w:t>Fuente:</w:t>
      </w:r>
      <w:r w:rsidRPr="00F07A42">
        <w:rPr>
          <w:rFonts w:ascii="Book Antiqua" w:eastAsia="Calibri" w:hAnsi="Book Antiqua" w:cs="Arial"/>
          <w:i/>
          <w:iCs/>
          <w:sz w:val="20"/>
          <w:szCs w:val="20"/>
        </w:rPr>
        <w:t xml:space="preserve"> </w:t>
      </w:r>
      <w:r w:rsidR="008F237A">
        <w:rPr>
          <w:rFonts w:ascii="Book Antiqua" w:eastAsia="Calibri" w:hAnsi="Book Antiqua" w:cs="Arial"/>
          <w:i/>
          <w:iCs/>
          <w:sz w:val="20"/>
          <w:szCs w:val="20"/>
        </w:rPr>
        <w:t xml:space="preserve">Subproceso de </w:t>
      </w:r>
      <w:r w:rsidRPr="00F07A42">
        <w:rPr>
          <w:rFonts w:ascii="Book Antiqua" w:eastAsia="Calibri" w:hAnsi="Book Antiqua" w:cs="Arial"/>
          <w:i/>
          <w:iCs/>
          <w:sz w:val="20"/>
          <w:szCs w:val="20"/>
        </w:rPr>
        <w:t xml:space="preserve">Modernización Institucional </w:t>
      </w:r>
      <w:bookmarkStart w:id="46" w:name="_Hlk96507023"/>
      <w:r w:rsidRPr="00F07A42">
        <w:rPr>
          <w:rFonts w:ascii="Book Antiqua" w:eastAsia="Calibri" w:hAnsi="Book Antiqua" w:cs="Arial"/>
          <w:i/>
          <w:iCs/>
          <w:sz w:val="20"/>
          <w:szCs w:val="20"/>
        </w:rPr>
        <w:t xml:space="preserve">con datos </w:t>
      </w:r>
      <w:r w:rsidR="008F237A">
        <w:rPr>
          <w:rFonts w:ascii="Book Antiqua" w:eastAsia="Calibri" w:hAnsi="Book Antiqua" w:cs="Arial"/>
          <w:i/>
          <w:iCs/>
          <w:sz w:val="20"/>
          <w:szCs w:val="20"/>
        </w:rPr>
        <w:t>de SIGMA, consulta del 21/2/</w:t>
      </w:r>
      <w:r w:rsidR="00106DFC">
        <w:rPr>
          <w:rFonts w:ascii="Book Antiqua" w:eastAsia="Calibri" w:hAnsi="Book Antiqua" w:cs="Arial"/>
          <w:i/>
          <w:iCs/>
          <w:sz w:val="20"/>
          <w:szCs w:val="20"/>
        </w:rPr>
        <w:t xml:space="preserve"> 20</w:t>
      </w:r>
      <w:r w:rsidR="008F237A">
        <w:rPr>
          <w:rFonts w:ascii="Book Antiqua" w:eastAsia="Calibri" w:hAnsi="Book Antiqua" w:cs="Arial"/>
          <w:i/>
          <w:iCs/>
          <w:sz w:val="20"/>
          <w:szCs w:val="20"/>
        </w:rPr>
        <w:t>23</w:t>
      </w:r>
      <w:r w:rsidRPr="00F07A42">
        <w:rPr>
          <w:rFonts w:ascii="Book Antiqua" w:eastAsia="Calibri" w:hAnsi="Book Antiqua" w:cs="Arial"/>
          <w:i/>
          <w:iCs/>
          <w:sz w:val="20"/>
          <w:szCs w:val="20"/>
        </w:rPr>
        <w:t>.</w:t>
      </w:r>
    </w:p>
    <w:bookmarkEnd w:id="46"/>
    <w:p w14:paraId="5D83430A" w14:textId="34EDA23A" w:rsidR="00355630" w:rsidRDefault="00355630" w:rsidP="00355630">
      <w:pPr>
        <w:spacing w:after="0" w:line="276" w:lineRule="auto"/>
        <w:jc w:val="both"/>
        <w:rPr>
          <w:rFonts w:ascii="Book Antiqua" w:eastAsia="Calibri" w:hAnsi="Book Antiqua" w:cs="Arial"/>
          <w:sz w:val="24"/>
          <w:szCs w:val="24"/>
        </w:rPr>
      </w:pPr>
    </w:p>
    <w:p w14:paraId="1ED008E3" w14:textId="2CD892DC" w:rsidR="004070FD" w:rsidRDefault="00F07A42"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Por otra parte, </w:t>
      </w:r>
      <w:r w:rsidR="008734C9">
        <w:rPr>
          <w:rFonts w:ascii="Book Antiqua" w:eastAsia="Calibri" w:hAnsi="Book Antiqua" w:cs="Arial"/>
          <w:sz w:val="24"/>
          <w:szCs w:val="24"/>
        </w:rPr>
        <w:t>como estudio complementario a</w:t>
      </w:r>
      <w:r w:rsidR="003A26CE">
        <w:rPr>
          <w:rFonts w:ascii="Book Antiqua" w:eastAsia="Calibri" w:hAnsi="Book Antiqua" w:cs="Arial"/>
          <w:sz w:val="24"/>
          <w:szCs w:val="24"/>
        </w:rPr>
        <w:t xml:space="preserve"> </w:t>
      </w:r>
      <w:r w:rsidR="008734C9">
        <w:rPr>
          <w:rFonts w:ascii="Book Antiqua" w:eastAsia="Calibri" w:hAnsi="Book Antiqua" w:cs="Arial"/>
          <w:sz w:val="24"/>
          <w:szCs w:val="24"/>
        </w:rPr>
        <w:t>l</w:t>
      </w:r>
      <w:r w:rsidR="003A26CE">
        <w:rPr>
          <w:rFonts w:ascii="Book Antiqua" w:eastAsia="Calibri" w:hAnsi="Book Antiqua" w:cs="Arial"/>
          <w:sz w:val="24"/>
          <w:szCs w:val="24"/>
        </w:rPr>
        <w:t>os</w:t>
      </w:r>
      <w:r w:rsidR="008734C9">
        <w:rPr>
          <w:rFonts w:ascii="Book Antiqua" w:eastAsia="Calibri" w:hAnsi="Book Antiqua" w:cs="Arial"/>
          <w:sz w:val="24"/>
          <w:szCs w:val="24"/>
        </w:rPr>
        <w:t xml:space="preserve"> informe</w:t>
      </w:r>
      <w:r w:rsidR="003A26CE">
        <w:rPr>
          <w:rFonts w:ascii="Book Antiqua" w:eastAsia="Calibri" w:hAnsi="Book Antiqua" w:cs="Arial"/>
          <w:sz w:val="24"/>
          <w:szCs w:val="24"/>
        </w:rPr>
        <w:t>s</w:t>
      </w:r>
      <w:r w:rsidR="008734C9">
        <w:rPr>
          <w:rFonts w:ascii="Book Antiqua" w:eastAsia="Calibri" w:hAnsi="Book Antiqua" w:cs="Arial"/>
          <w:sz w:val="24"/>
          <w:szCs w:val="24"/>
        </w:rPr>
        <w:t xml:space="preserve"> 389-PLA-RH-MI-2021 </w:t>
      </w:r>
      <w:r w:rsidR="003A26CE">
        <w:rPr>
          <w:rFonts w:ascii="Book Antiqua" w:eastAsia="Calibri" w:hAnsi="Book Antiqua" w:cs="Arial"/>
          <w:sz w:val="24"/>
          <w:szCs w:val="24"/>
        </w:rPr>
        <w:t xml:space="preserve">y 314-PLA-MI-RH-2022 </w:t>
      </w:r>
      <w:r w:rsidR="008734C9">
        <w:rPr>
          <w:rFonts w:ascii="Book Antiqua" w:eastAsia="Calibri" w:hAnsi="Book Antiqua" w:cs="Arial"/>
          <w:sz w:val="24"/>
          <w:szCs w:val="24"/>
        </w:rPr>
        <w:t xml:space="preserve">de esta Dirección se </w:t>
      </w:r>
      <w:r w:rsidR="00F64BE5">
        <w:rPr>
          <w:rFonts w:ascii="Book Antiqua" w:eastAsia="Calibri" w:hAnsi="Book Antiqua" w:cs="Arial"/>
          <w:sz w:val="24"/>
          <w:szCs w:val="24"/>
        </w:rPr>
        <w:t>incluyó la</w:t>
      </w:r>
      <w:r>
        <w:rPr>
          <w:rFonts w:ascii="Book Antiqua" w:eastAsia="Calibri" w:hAnsi="Book Antiqua" w:cs="Arial"/>
          <w:sz w:val="24"/>
          <w:szCs w:val="24"/>
        </w:rPr>
        <w:t xml:space="preserve"> referencia interna </w:t>
      </w:r>
      <w:bookmarkStart w:id="47" w:name="_Hlk128053219"/>
      <w:r w:rsidR="00866B87" w:rsidRPr="00A01DF9">
        <w:rPr>
          <w:rFonts w:ascii="Book Antiqua" w:eastAsia="Calibri" w:hAnsi="Book Antiqua" w:cs="Arial"/>
          <w:b/>
          <w:bCs/>
          <w:sz w:val="24"/>
          <w:szCs w:val="24"/>
        </w:rPr>
        <w:t>1687</w:t>
      </w:r>
      <w:r w:rsidR="005A3C14" w:rsidRPr="00A01DF9">
        <w:rPr>
          <w:rFonts w:ascii="Book Antiqua" w:eastAsia="Calibri" w:hAnsi="Book Antiqua" w:cs="Arial"/>
          <w:b/>
          <w:bCs/>
          <w:sz w:val="24"/>
          <w:szCs w:val="24"/>
        </w:rPr>
        <w:t>-2020</w:t>
      </w:r>
      <w:r w:rsidR="005A3C14">
        <w:rPr>
          <w:rFonts w:ascii="Book Antiqua" w:eastAsia="Calibri" w:hAnsi="Book Antiqua" w:cs="Arial"/>
          <w:sz w:val="24"/>
          <w:szCs w:val="24"/>
        </w:rPr>
        <w:t xml:space="preserve">, relacionada con </w:t>
      </w:r>
      <w:r w:rsidR="00866B87">
        <w:rPr>
          <w:rFonts w:ascii="Book Antiqua" w:eastAsia="Calibri" w:hAnsi="Book Antiqua" w:cs="Arial"/>
          <w:sz w:val="24"/>
          <w:szCs w:val="24"/>
        </w:rPr>
        <w:t xml:space="preserve">el </w:t>
      </w:r>
      <w:r w:rsidR="00AF2C7A" w:rsidRPr="001D0C10">
        <w:rPr>
          <w:rFonts w:ascii="Book Antiqua" w:eastAsia="Calibri" w:hAnsi="Book Antiqua" w:cs="Arial"/>
          <w:i/>
          <w:iCs/>
          <w:sz w:val="24"/>
          <w:szCs w:val="24"/>
        </w:rPr>
        <w:t>“Análisis</w:t>
      </w:r>
      <w:r w:rsidR="00866B87" w:rsidRPr="001D0C10">
        <w:rPr>
          <w:rFonts w:ascii="Book Antiqua" w:eastAsia="Calibri" w:hAnsi="Book Antiqua" w:cs="Arial"/>
          <w:i/>
          <w:iCs/>
          <w:sz w:val="24"/>
          <w:szCs w:val="24"/>
        </w:rPr>
        <w:t xml:space="preserve"> de carga de trabajo y factibilidad de asignación definitiva de la plaza de Auxiliar de Servicios Generales compartida entre el </w:t>
      </w:r>
      <w:r w:rsidR="00AF2C7A" w:rsidRPr="001D0C10">
        <w:rPr>
          <w:rFonts w:ascii="Book Antiqua" w:eastAsia="Calibri" w:hAnsi="Book Antiqua" w:cs="Arial"/>
          <w:i/>
          <w:iCs/>
          <w:sz w:val="24"/>
          <w:szCs w:val="24"/>
        </w:rPr>
        <w:t>J</w:t>
      </w:r>
      <w:r w:rsidR="00866B87" w:rsidRPr="001D0C10">
        <w:rPr>
          <w:rFonts w:ascii="Book Antiqua" w:eastAsia="Calibri" w:hAnsi="Book Antiqua" w:cs="Arial"/>
          <w:i/>
          <w:iCs/>
          <w:sz w:val="24"/>
          <w:szCs w:val="24"/>
        </w:rPr>
        <w:t xml:space="preserve">uzgado de Violencia Doméstica del I Circuito Judicial de San José y el </w:t>
      </w:r>
      <w:r w:rsidR="00AF2C7A" w:rsidRPr="001D0C10">
        <w:rPr>
          <w:rFonts w:ascii="Book Antiqua" w:eastAsia="Calibri" w:hAnsi="Book Antiqua" w:cs="Arial"/>
          <w:i/>
          <w:iCs/>
          <w:sz w:val="24"/>
          <w:szCs w:val="24"/>
        </w:rPr>
        <w:t>J</w:t>
      </w:r>
      <w:r w:rsidR="00866B87" w:rsidRPr="001D0C10">
        <w:rPr>
          <w:rFonts w:ascii="Book Antiqua" w:eastAsia="Calibri" w:hAnsi="Book Antiqua" w:cs="Arial"/>
          <w:i/>
          <w:iCs/>
          <w:sz w:val="24"/>
          <w:szCs w:val="24"/>
        </w:rPr>
        <w:t>uzgado de Familia, de Niñez y Adolescencia</w:t>
      </w:r>
      <w:r w:rsidR="00D57E9D">
        <w:rPr>
          <w:rFonts w:ascii="Book Antiqua" w:eastAsia="Calibri" w:hAnsi="Book Antiqua" w:cs="Arial"/>
          <w:i/>
          <w:iCs/>
          <w:sz w:val="24"/>
          <w:szCs w:val="24"/>
        </w:rPr>
        <w:t>”</w:t>
      </w:r>
      <w:r w:rsidR="00604280">
        <w:rPr>
          <w:rFonts w:ascii="Book Antiqua" w:eastAsia="Calibri" w:hAnsi="Book Antiqua" w:cs="Arial"/>
          <w:sz w:val="24"/>
          <w:szCs w:val="24"/>
        </w:rPr>
        <w:t xml:space="preserve">, </w:t>
      </w:r>
      <w:r w:rsidR="003A26CE">
        <w:rPr>
          <w:rFonts w:ascii="Book Antiqua" w:eastAsia="Calibri" w:hAnsi="Book Antiqua" w:cs="Arial"/>
          <w:sz w:val="24"/>
          <w:szCs w:val="24"/>
        </w:rPr>
        <w:t xml:space="preserve"> </w:t>
      </w:r>
      <w:bookmarkEnd w:id="47"/>
      <w:r w:rsidR="003A26CE">
        <w:rPr>
          <w:rFonts w:ascii="Book Antiqua" w:eastAsia="Calibri" w:hAnsi="Book Antiqua" w:cs="Arial"/>
          <w:sz w:val="24"/>
          <w:szCs w:val="24"/>
        </w:rPr>
        <w:t xml:space="preserve">y la referencia interna </w:t>
      </w:r>
      <w:r w:rsidR="003A26CE" w:rsidRPr="003A26CE">
        <w:rPr>
          <w:rFonts w:ascii="Book Antiqua" w:eastAsia="Calibri" w:hAnsi="Book Antiqua" w:cs="Arial"/>
          <w:b/>
          <w:bCs/>
          <w:sz w:val="24"/>
          <w:szCs w:val="24"/>
        </w:rPr>
        <w:t>1916-2021</w:t>
      </w:r>
      <w:r w:rsidR="003A26CE" w:rsidRPr="003A26CE">
        <w:rPr>
          <w:rFonts w:ascii="Book Antiqua" w:eastAsia="Calibri" w:hAnsi="Book Antiqua" w:cs="Arial"/>
          <w:sz w:val="24"/>
          <w:szCs w:val="24"/>
        </w:rPr>
        <w:t>, relacionada con la “</w:t>
      </w:r>
      <w:r w:rsidR="003A26CE" w:rsidRPr="003A26CE">
        <w:rPr>
          <w:rFonts w:ascii="Book Antiqua" w:eastAsia="Calibri" w:hAnsi="Book Antiqua" w:cs="Arial"/>
          <w:i/>
          <w:iCs/>
          <w:sz w:val="24"/>
          <w:szCs w:val="24"/>
        </w:rPr>
        <w:t>Valoración para la especialización de una persona en adopciones internacionales en el Juzgado de Familia, de Niñez y Adolescencia”</w:t>
      </w:r>
      <w:r w:rsidR="003A26CE">
        <w:rPr>
          <w:rFonts w:ascii="Book Antiqua" w:eastAsia="Calibri" w:hAnsi="Book Antiqua" w:cs="Arial"/>
          <w:i/>
          <w:iCs/>
          <w:sz w:val="24"/>
          <w:szCs w:val="24"/>
        </w:rPr>
        <w:t xml:space="preserve">, </w:t>
      </w:r>
      <w:r w:rsidR="004070FD" w:rsidRPr="004070FD">
        <w:rPr>
          <w:rFonts w:ascii="Book Antiqua" w:eastAsia="Calibri" w:hAnsi="Book Antiqua" w:cs="Arial"/>
          <w:sz w:val="24"/>
          <w:szCs w:val="24"/>
        </w:rPr>
        <w:t xml:space="preserve">por lo que se </w:t>
      </w:r>
      <w:r w:rsidR="004070FD">
        <w:rPr>
          <w:rFonts w:ascii="Book Antiqua" w:eastAsia="Calibri" w:hAnsi="Book Antiqua" w:cs="Arial"/>
          <w:sz w:val="24"/>
          <w:szCs w:val="24"/>
        </w:rPr>
        <w:t xml:space="preserve">confeccionó un informe relacionado con el seguimiento realizado al Juzgado de Niñez y Adolescencia, actualmente, </w:t>
      </w:r>
      <w:r w:rsidR="003A26CE" w:rsidRPr="003A26CE">
        <w:rPr>
          <w:rFonts w:ascii="Book Antiqua" w:eastAsia="Calibri" w:hAnsi="Book Antiqua" w:cs="Arial"/>
          <w:sz w:val="24"/>
          <w:szCs w:val="24"/>
        </w:rPr>
        <w:t xml:space="preserve">en revisión por la </w:t>
      </w:r>
      <w:r w:rsidR="004070FD">
        <w:rPr>
          <w:rFonts w:ascii="Book Antiqua" w:eastAsia="Calibri" w:hAnsi="Book Antiqua" w:cs="Arial"/>
          <w:sz w:val="24"/>
          <w:szCs w:val="24"/>
        </w:rPr>
        <w:t>J</w:t>
      </w:r>
      <w:r w:rsidR="003A26CE">
        <w:rPr>
          <w:rFonts w:ascii="Book Antiqua" w:eastAsia="Calibri" w:hAnsi="Book Antiqua" w:cs="Arial"/>
          <w:sz w:val="24"/>
          <w:szCs w:val="24"/>
        </w:rPr>
        <w:t>efatura del Subproceso de Modernización Institucional.</w:t>
      </w:r>
    </w:p>
    <w:p w14:paraId="2E4BDBC7" w14:textId="160630ED" w:rsidR="004070FD" w:rsidRDefault="004070FD"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Cabe mencionar, que en dicho informe se atienden las referencias mencionadas en el párrafo anterior, </w:t>
      </w:r>
      <w:r w:rsidR="00772169">
        <w:rPr>
          <w:rFonts w:ascii="Book Antiqua" w:eastAsia="Calibri" w:hAnsi="Book Antiqua" w:cs="Arial"/>
          <w:sz w:val="24"/>
          <w:szCs w:val="24"/>
        </w:rPr>
        <w:t xml:space="preserve">en el que se </w:t>
      </w:r>
      <w:r w:rsidR="00EC7E34">
        <w:rPr>
          <w:rFonts w:ascii="Book Antiqua" w:eastAsia="Calibri" w:hAnsi="Book Antiqua" w:cs="Arial"/>
          <w:sz w:val="24"/>
          <w:szCs w:val="24"/>
        </w:rPr>
        <w:t>analiza</w:t>
      </w:r>
      <w:r w:rsidR="00772169">
        <w:rPr>
          <w:rFonts w:ascii="Book Antiqua" w:eastAsia="Calibri" w:hAnsi="Book Antiqua" w:cs="Arial"/>
          <w:sz w:val="24"/>
          <w:szCs w:val="24"/>
        </w:rPr>
        <w:t xml:space="preserve"> lo siguiente:</w:t>
      </w:r>
    </w:p>
    <w:p w14:paraId="563B55F8" w14:textId="77777777" w:rsidR="00772169" w:rsidRDefault="00772169" w:rsidP="00355630">
      <w:pPr>
        <w:spacing w:after="0" w:line="276" w:lineRule="auto"/>
        <w:jc w:val="both"/>
        <w:rPr>
          <w:rFonts w:ascii="Book Antiqua" w:eastAsia="Calibri" w:hAnsi="Book Antiqua" w:cs="Arial"/>
          <w:sz w:val="24"/>
          <w:szCs w:val="24"/>
        </w:rPr>
      </w:pPr>
    </w:p>
    <w:p w14:paraId="4E8DEC1F" w14:textId="414B5888" w:rsidR="00EC7E34" w:rsidRPr="00EC7E34" w:rsidRDefault="00EC7E34" w:rsidP="00772169">
      <w:pPr>
        <w:spacing w:after="0" w:line="276" w:lineRule="auto"/>
        <w:jc w:val="both"/>
        <w:rPr>
          <w:rFonts w:ascii="Book Antiqua" w:eastAsia="Calibri" w:hAnsi="Book Antiqua" w:cs="Arial"/>
          <w:sz w:val="24"/>
          <w:szCs w:val="24"/>
        </w:rPr>
      </w:pPr>
      <w:r>
        <w:rPr>
          <w:rFonts w:ascii="Book Antiqua" w:eastAsia="Calibri" w:hAnsi="Book Antiqua" w:cs="Arial"/>
          <w:b/>
          <w:bCs/>
          <w:sz w:val="24"/>
          <w:szCs w:val="24"/>
        </w:rPr>
        <w:t xml:space="preserve">Atención de la referencia interna </w:t>
      </w:r>
      <w:r w:rsidRPr="00EC7E34">
        <w:rPr>
          <w:rFonts w:ascii="Book Antiqua" w:eastAsia="Calibri" w:hAnsi="Book Antiqua" w:cs="Arial"/>
          <w:b/>
          <w:bCs/>
          <w:sz w:val="24"/>
          <w:szCs w:val="24"/>
        </w:rPr>
        <w:t xml:space="preserve">1687-2020, </w:t>
      </w:r>
      <w:r w:rsidRPr="00EC7E34">
        <w:rPr>
          <w:rFonts w:ascii="Book Antiqua" w:eastAsia="Calibri" w:hAnsi="Book Antiqua" w:cs="Arial"/>
          <w:sz w:val="24"/>
          <w:szCs w:val="24"/>
        </w:rPr>
        <w:t>relacionada con el</w:t>
      </w:r>
      <w:r w:rsidRPr="00EC7E34">
        <w:rPr>
          <w:rFonts w:ascii="Book Antiqua" w:eastAsia="Calibri" w:hAnsi="Book Antiqua" w:cs="Arial"/>
          <w:b/>
          <w:bCs/>
          <w:sz w:val="24"/>
          <w:szCs w:val="24"/>
        </w:rPr>
        <w:t xml:space="preserve"> </w:t>
      </w:r>
      <w:r w:rsidRPr="00EC7E34">
        <w:rPr>
          <w:rFonts w:ascii="Book Antiqua" w:eastAsia="Calibri" w:hAnsi="Book Antiqua" w:cs="Arial"/>
          <w:sz w:val="24"/>
          <w:szCs w:val="24"/>
        </w:rPr>
        <w:t>“</w:t>
      </w:r>
      <w:r w:rsidRPr="00EC7E34">
        <w:rPr>
          <w:rFonts w:ascii="Book Antiqua" w:eastAsia="Calibri" w:hAnsi="Book Antiqua" w:cs="Arial"/>
          <w:i/>
          <w:iCs/>
          <w:sz w:val="24"/>
          <w:szCs w:val="24"/>
        </w:rPr>
        <w:t>Análisis de carga de trabajo y factibilidad de asignación definitiva de la plaza de Auxiliar de Servicios Generales compartida entre el Juzgado de Violencia Doméstica del I Circuito Judicial de San José y el Juzgado de Familia, de Niñez y Adolescencia</w:t>
      </w:r>
      <w:r>
        <w:rPr>
          <w:rFonts w:ascii="Book Antiqua" w:eastAsia="Calibri" w:hAnsi="Book Antiqua" w:cs="Arial"/>
          <w:i/>
          <w:iCs/>
          <w:sz w:val="24"/>
          <w:szCs w:val="24"/>
        </w:rPr>
        <w:t>”.</w:t>
      </w:r>
    </w:p>
    <w:p w14:paraId="1171ABD0" w14:textId="54C5C22C" w:rsidR="00EC7E34" w:rsidRDefault="00EC7E34" w:rsidP="00772169">
      <w:pPr>
        <w:spacing w:after="0" w:line="276" w:lineRule="auto"/>
        <w:jc w:val="both"/>
        <w:rPr>
          <w:rFonts w:ascii="Book Antiqua" w:eastAsia="Calibri" w:hAnsi="Book Antiqua" w:cs="Arial"/>
          <w:b/>
          <w:bCs/>
          <w:sz w:val="24"/>
          <w:szCs w:val="24"/>
        </w:rPr>
      </w:pPr>
    </w:p>
    <w:p w14:paraId="7A68FBC9" w14:textId="60C83810" w:rsidR="00EC7E34" w:rsidRDefault="00EC7E34" w:rsidP="00EC7E34">
      <w:pPr>
        <w:spacing w:line="276" w:lineRule="auto"/>
        <w:jc w:val="both"/>
        <w:rPr>
          <w:rFonts w:ascii="Book Antiqua" w:eastAsia="Calibri" w:hAnsi="Book Antiqua" w:cs="Arial"/>
          <w:sz w:val="24"/>
          <w:szCs w:val="24"/>
        </w:rPr>
      </w:pPr>
      <w:r w:rsidRPr="00EC7E34">
        <w:rPr>
          <w:rFonts w:ascii="Book Antiqua" w:eastAsia="Calibri" w:hAnsi="Book Antiqua" w:cs="Arial"/>
          <w:sz w:val="24"/>
          <w:szCs w:val="24"/>
        </w:rPr>
        <w:t>El Juzgado de Niñez y Adolescencia comparte la plaza</w:t>
      </w:r>
      <w:r w:rsidRPr="00EC7E34">
        <w:rPr>
          <w:rFonts w:ascii="Book Antiqua" w:eastAsia="Calibri" w:hAnsi="Book Antiqua" w:cs="Arial"/>
          <w:b/>
          <w:bCs/>
          <w:i/>
          <w:iCs/>
          <w:sz w:val="24"/>
          <w:szCs w:val="24"/>
        </w:rPr>
        <w:t xml:space="preserve"> 84172 de Auxiliar de Servicios Generales </w:t>
      </w:r>
      <w:r w:rsidRPr="00EC7E34">
        <w:rPr>
          <w:rFonts w:ascii="Book Antiqua" w:eastAsia="Calibri" w:hAnsi="Book Antiqua" w:cs="Arial"/>
          <w:sz w:val="24"/>
          <w:szCs w:val="24"/>
        </w:rPr>
        <w:t>con el Juzgado de Violencia Doméstica del Primer Circuito Judicial de San José y se establece que es en esta última oficina a la que pertenece el recurso según relación de puestos.</w:t>
      </w:r>
    </w:p>
    <w:p w14:paraId="62087628" w14:textId="69B39DBD" w:rsidR="00EC7E34" w:rsidRDefault="00201FFB" w:rsidP="00201FFB">
      <w:pPr>
        <w:spacing w:line="276" w:lineRule="auto"/>
        <w:jc w:val="both"/>
        <w:rPr>
          <w:rFonts w:ascii="Book Antiqua" w:eastAsia="Calibri" w:hAnsi="Book Antiqua" w:cs="Arial"/>
          <w:b/>
          <w:bCs/>
          <w:sz w:val="24"/>
          <w:szCs w:val="24"/>
        </w:rPr>
      </w:pPr>
      <w:r>
        <w:rPr>
          <w:rFonts w:ascii="Book Antiqua" w:eastAsia="Calibri" w:hAnsi="Book Antiqua" w:cs="Arial"/>
          <w:sz w:val="24"/>
          <w:szCs w:val="24"/>
        </w:rPr>
        <w:t>En el siguiente cuadro, se visualiza la carga de trabajo de los Juzgados de Niñez y Adolescencia y Juzgado de Violencia Doméstica del Primer Circuito Judicial de San José, durante el 2022.</w:t>
      </w:r>
    </w:p>
    <w:p w14:paraId="2C62DA89" w14:textId="6D91FA73" w:rsidR="00604280" w:rsidRPr="000330F0"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8" w:name="_Hlk96310010"/>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36</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5049CDAA" w14:textId="77777777" w:rsidR="00201FFB" w:rsidRPr="00201FFB" w:rsidRDefault="00201FFB" w:rsidP="00201FF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01FFB">
        <w:rPr>
          <w:rFonts w:ascii="Book Antiqua" w:eastAsia="Calibri" w:hAnsi="Book Antiqua" w:cs="Arial"/>
          <w:b/>
          <w:bCs/>
          <w:color w:val="1F497D"/>
          <w:szCs w:val="24"/>
          <w:lang w:val="es-ES" w:eastAsia="es-ES"/>
        </w:rPr>
        <w:t>Carga de Trabajo del Juzgado de Niñez y Adolescencia y del</w:t>
      </w:r>
    </w:p>
    <w:p w14:paraId="67667E07" w14:textId="3A63E2C7" w:rsidR="00604280" w:rsidRDefault="00201FFB" w:rsidP="00201FF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01FFB">
        <w:rPr>
          <w:rFonts w:ascii="Book Antiqua" w:eastAsia="Calibri" w:hAnsi="Book Antiqua" w:cs="Arial"/>
          <w:b/>
          <w:bCs/>
          <w:color w:val="1F497D"/>
          <w:szCs w:val="24"/>
          <w:lang w:val="es-ES" w:eastAsia="es-ES"/>
        </w:rPr>
        <w:t xml:space="preserve"> Juzgado de Violencia Doméstica del Primer Circuito Judicial de San José, al 2022</w:t>
      </w:r>
    </w:p>
    <w:tbl>
      <w:tblPr>
        <w:tblW w:w="5524" w:type="pct"/>
        <w:tblInd w:w="-719" w:type="dxa"/>
        <w:tblCellMar>
          <w:top w:w="15" w:type="dxa"/>
          <w:left w:w="70" w:type="dxa"/>
          <w:right w:w="70" w:type="dxa"/>
        </w:tblCellMar>
        <w:tblLook w:val="04A0" w:firstRow="1" w:lastRow="0" w:firstColumn="1" w:lastColumn="0" w:noHBand="0" w:noVBand="1"/>
      </w:tblPr>
      <w:tblGrid>
        <w:gridCol w:w="2234"/>
        <w:gridCol w:w="1054"/>
        <w:gridCol w:w="1268"/>
        <w:gridCol w:w="1155"/>
        <w:gridCol w:w="976"/>
        <w:gridCol w:w="949"/>
        <w:gridCol w:w="976"/>
        <w:gridCol w:w="980"/>
        <w:gridCol w:w="150"/>
      </w:tblGrid>
      <w:tr w:rsidR="00201FFB" w:rsidRPr="00201FFB" w14:paraId="56B3DF84" w14:textId="77777777" w:rsidTr="00612E7C">
        <w:trPr>
          <w:gridAfter w:val="1"/>
          <w:wAfter w:w="77" w:type="pct"/>
          <w:trHeight w:val="20"/>
        </w:trPr>
        <w:tc>
          <w:tcPr>
            <w:tcW w:w="1146" w:type="pct"/>
            <w:vMerge w:val="restart"/>
            <w:tcBorders>
              <w:top w:val="single" w:sz="8" w:space="0" w:color="auto"/>
              <w:left w:val="single" w:sz="8" w:space="0" w:color="auto"/>
              <w:bottom w:val="nil"/>
              <w:right w:val="single" w:sz="8" w:space="0" w:color="auto"/>
            </w:tcBorders>
            <w:shd w:val="clear" w:color="000000" w:fill="002060"/>
            <w:vAlign w:val="center"/>
            <w:hideMark/>
          </w:tcPr>
          <w:p w14:paraId="2C01BAAF"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Despacho</w:t>
            </w:r>
          </w:p>
        </w:tc>
        <w:tc>
          <w:tcPr>
            <w:tcW w:w="541" w:type="pct"/>
            <w:vMerge w:val="restart"/>
            <w:tcBorders>
              <w:top w:val="single" w:sz="8" w:space="0" w:color="auto"/>
              <w:left w:val="single" w:sz="8" w:space="0" w:color="auto"/>
              <w:bottom w:val="nil"/>
              <w:right w:val="single" w:sz="8" w:space="0" w:color="auto"/>
            </w:tcBorders>
            <w:shd w:val="clear" w:color="000000" w:fill="002060"/>
            <w:vAlign w:val="center"/>
            <w:hideMark/>
          </w:tcPr>
          <w:p w14:paraId="59638DE2"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Promedio mensual Entrada 2022</w:t>
            </w:r>
          </w:p>
        </w:tc>
        <w:tc>
          <w:tcPr>
            <w:tcW w:w="651" w:type="pct"/>
            <w:vMerge w:val="restart"/>
            <w:tcBorders>
              <w:top w:val="single" w:sz="8" w:space="0" w:color="auto"/>
              <w:left w:val="single" w:sz="8" w:space="0" w:color="auto"/>
              <w:bottom w:val="nil"/>
              <w:right w:val="single" w:sz="8" w:space="0" w:color="auto"/>
            </w:tcBorders>
            <w:shd w:val="clear" w:color="000000" w:fill="002060"/>
            <w:vAlign w:val="center"/>
            <w:hideMark/>
          </w:tcPr>
          <w:p w14:paraId="5B470DC9"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Promedio mensual Terminados 2022</w:t>
            </w:r>
          </w:p>
        </w:tc>
        <w:tc>
          <w:tcPr>
            <w:tcW w:w="593" w:type="pct"/>
            <w:vMerge w:val="restart"/>
            <w:tcBorders>
              <w:top w:val="single" w:sz="8" w:space="0" w:color="auto"/>
              <w:left w:val="single" w:sz="8" w:space="0" w:color="auto"/>
              <w:bottom w:val="nil"/>
              <w:right w:val="single" w:sz="8" w:space="0" w:color="auto"/>
            </w:tcBorders>
            <w:shd w:val="clear" w:color="000000" w:fill="002060"/>
            <w:vAlign w:val="center"/>
            <w:hideMark/>
          </w:tcPr>
          <w:p w14:paraId="4FE8CD6E"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Circulante en trámite al 31 diciembre-2022</w:t>
            </w:r>
          </w:p>
        </w:tc>
        <w:tc>
          <w:tcPr>
            <w:tcW w:w="988" w:type="pct"/>
            <w:gridSpan w:val="2"/>
            <w:tcBorders>
              <w:top w:val="single" w:sz="8" w:space="0" w:color="auto"/>
              <w:left w:val="nil"/>
              <w:bottom w:val="single" w:sz="8" w:space="0" w:color="auto"/>
              <w:right w:val="single" w:sz="8" w:space="0" w:color="000000"/>
            </w:tcBorders>
            <w:shd w:val="clear" w:color="000000" w:fill="002060"/>
            <w:vAlign w:val="center"/>
            <w:hideMark/>
          </w:tcPr>
          <w:p w14:paraId="311DE701"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Recurso Humano</w:t>
            </w:r>
          </w:p>
        </w:tc>
        <w:tc>
          <w:tcPr>
            <w:tcW w:w="1004" w:type="pct"/>
            <w:gridSpan w:val="2"/>
            <w:tcBorders>
              <w:top w:val="single" w:sz="8" w:space="0" w:color="auto"/>
              <w:left w:val="nil"/>
              <w:bottom w:val="single" w:sz="8" w:space="0" w:color="auto"/>
              <w:right w:val="single" w:sz="8" w:space="0" w:color="000000"/>
            </w:tcBorders>
            <w:shd w:val="clear" w:color="000000" w:fill="002060"/>
            <w:vAlign w:val="center"/>
            <w:hideMark/>
          </w:tcPr>
          <w:p w14:paraId="6333D65F"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Carga de trabajo mensual</w:t>
            </w:r>
          </w:p>
        </w:tc>
      </w:tr>
      <w:tr w:rsidR="00201FFB" w:rsidRPr="00201FFB" w14:paraId="16515755" w14:textId="77777777" w:rsidTr="00612E7C">
        <w:trPr>
          <w:gridAfter w:val="1"/>
          <w:wAfter w:w="77" w:type="pct"/>
          <w:trHeight w:val="20"/>
        </w:trPr>
        <w:tc>
          <w:tcPr>
            <w:tcW w:w="1146" w:type="pct"/>
            <w:vMerge/>
            <w:tcBorders>
              <w:top w:val="single" w:sz="8" w:space="0" w:color="auto"/>
              <w:left w:val="single" w:sz="8" w:space="0" w:color="auto"/>
              <w:bottom w:val="nil"/>
              <w:right w:val="single" w:sz="8" w:space="0" w:color="auto"/>
            </w:tcBorders>
            <w:vAlign w:val="center"/>
            <w:hideMark/>
          </w:tcPr>
          <w:p w14:paraId="4D929F19" w14:textId="77777777" w:rsidR="00201FFB" w:rsidRPr="00201FFB" w:rsidRDefault="00201FFB" w:rsidP="00612E7C">
            <w:pPr>
              <w:spacing w:after="0" w:line="240" w:lineRule="auto"/>
              <w:rPr>
                <w:rFonts w:ascii="Book Antiqua" w:eastAsia="Times New Roman" w:hAnsi="Book Antiqua" w:cs="Calibri"/>
                <w:b/>
                <w:bCs/>
                <w:color w:val="FFFFFF"/>
                <w:sz w:val="20"/>
                <w:szCs w:val="20"/>
                <w:lang w:eastAsia="es-CR"/>
              </w:rPr>
            </w:pPr>
          </w:p>
        </w:tc>
        <w:tc>
          <w:tcPr>
            <w:tcW w:w="541" w:type="pct"/>
            <w:vMerge/>
            <w:tcBorders>
              <w:top w:val="single" w:sz="8" w:space="0" w:color="auto"/>
              <w:left w:val="single" w:sz="8" w:space="0" w:color="auto"/>
              <w:bottom w:val="nil"/>
              <w:right w:val="single" w:sz="8" w:space="0" w:color="auto"/>
            </w:tcBorders>
            <w:vAlign w:val="center"/>
            <w:hideMark/>
          </w:tcPr>
          <w:p w14:paraId="0CEE5B40" w14:textId="77777777" w:rsidR="00201FFB" w:rsidRPr="00201FFB" w:rsidRDefault="00201FFB" w:rsidP="00612E7C">
            <w:pPr>
              <w:spacing w:after="0" w:line="240" w:lineRule="auto"/>
              <w:rPr>
                <w:rFonts w:ascii="Book Antiqua" w:eastAsia="Times New Roman" w:hAnsi="Book Antiqua" w:cs="Calibri"/>
                <w:b/>
                <w:bCs/>
                <w:color w:val="FFFFFF"/>
                <w:sz w:val="20"/>
                <w:szCs w:val="20"/>
                <w:lang w:eastAsia="es-CR"/>
              </w:rPr>
            </w:pPr>
          </w:p>
        </w:tc>
        <w:tc>
          <w:tcPr>
            <w:tcW w:w="651" w:type="pct"/>
            <w:vMerge/>
            <w:tcBorders>
              <w:top w:val="single" w:sz="8" w:space="0" w:color="auto"/>
              <w:left w:val="single" w:sz="8" w:space="0" w:color="auto"/>
              <w:bottom w:val="nil"/>
              <w:right w:val="single" w:sz="8" w:space="0" w:color="auto"/>
            </w:tcBorders>
            <w:vAlign w:val="center"/>
            <w:hideMark/>
          </w:tcPr>
          <w:p w14:paraId="2F2F5F92" w14:textId="77777777" w:rsidR="00201FFB" w:rsidRPr="00201FFB" w:rsidRDefault="00201FFB" w:rsidP="00612E7C">
            <w:pPr>
              <w:spacing w:after="0" w:line="240" w:lineRule="auto"/>
              <w:rPr>
                <w:rFonts w:ascii="Book Antiqua" w:eastAsia="Times New Roman" w:hAnsi="Book Antiqua" w:cs="Calibri"/>
                <w:b/>
                <w:bCs/>
                <w:color w:val="FFFFFF"/>
                <w:sz w:val="20"/>
                <w:szCs w:val="20"/>
                <w:lang w:eastAsia="es-CR"/>
              </w:rPr>
            </w:pPr>
          </w:p>
        </w:tc>
        <w:tc>
          <w:tcPr>
            <w:tcW w:w="593" w:type="pct"/>
            <w:vMerge/>
            <w:tcBorders>
              <w:top w:val="single" w:sz="8" w:space="0" w:color="auto"/>
              <w:left w:val="single" w:sz="8" w:space="0" w:color="auto"/>
              <w:bottom w:val="nil"/>
              <w:right w:val="single" w:sz="8" w:space="0" w:color="auto"/>
            </w:tcBorders>
            <w:vAlign w:val="center"/>
            <w:hideMark/>
          </w:tcPr>
          <w:p w14:paraId="47723C28" w14:textId="77777777" w:rsidR="00201FFB" w:rsidRPr="00201FFB" w:rsidRDefault="00201FFB" w:rsidP="00612E7C">
            <w:pPr>
              <w:spacing w:after="0" w:line="240" w:lineRule="auto"/>
              <w:rPr>
                <w:rFonts w:ascii="Book Antiqua" w:eastAsia="Times New Roman" w:hAnsi="Book Antiqua" w:cs="Calibri"/>
                <w:b/>
                <w:bCs/>
                <w:color w:val="FFFFFF"/>
                <w:sz w:val="20"/>
                <w:szCs w:val="20"/>
                <w:lang w:eastAsia="es-CR"/>
              </w:rPr>
            </w:pPr>
          </w:p>
        </w:tc>
        <w:tc>
          <w:tcPr>
            <w:tcW w:w="501" w:type="pct"/>
            <w:tcBorders>
              <w:top w:val="nil"/>
              <w:left w:val="nil"/>
              <w:bottom w:val="nil"/>
              <w:right w:val="single" w:sz="8" w:space="0" w:color="auto"/>
            </w:tcBorders>
            <w:shd w:val="clear" w:color="000000" w:fill="002060"/>
            <w:vAlign w:val="center"/>
            <w:hideMark/>
          </w:tcPr>
          <w:p w14:paraId="047A9563"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Jueza o Juez</w:t>
            </w:r>
          </w:p>
        </w:tc>
        <w:tc>
          <w:tcPr>
            <w:tcW w:w="487" w:type="pct"/>
            <w:tcBorders>
              <w:top w:val="nil"/>
              <w:left w:val="nil"/>
              <w:bottom w:val="nil"/>
              <w:right w:val="single" w:sz="8" w:space="0" w:color="auto"/>
            </w:tcBorders>
            <w:shd w:val="clear" w:color="000000" w:fill="002060"/>
            <w:vAlign w:val="center"/>
            <w:hideMark/>
          </w:tcPr>
          <w:p w14:paraId="6DC1BC0C"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Técnica o Técnico de Trámite</w:t>
            </w:r>
          </w:p>
        </w:tc>
        <w:tc>
          <w:tcPr>
            <w:tcW w:w="501" w:type="pct"/>
            <w:tcBorders>
              <w:top w:val="nil"/>
              <w:left w:val="nil"/>
              <w:bottom w:val="nil"/>
              <w:right w:val="single" w:sz="8" w:space="0" w:color="auto"/>
            </w:tcBorders>
            <w:shd w:val="clear" w:color="000000" w:fill="002060"/>
            <w:vAlign w:val="center"/>
            <w:hideMark/>
          </w:tcPr>
          <w:p w14:paraId="3C580455"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Jueza o Juez</w:t>
            </w:r>
          </w:p>
        </w:tc>
        <w:tc>
          <w:tcPr>
            <w:tcW w:w="503" w:type="pct"/>
            <w:tcBorders>
              <w:top w:val="nil"/>
              <w:left w:val="nil"/>
              <w:bottom w:val="nil"/>
              <w:right w:val="single" w:sz="8" w:space="0" w:color="auto"/>
            </w:tcBorders>
            <w:shd w:val="clear" w:color="000000" w:fill="002060"/>
            <w:vAlign w:val="center"/>
            <w:hideMark/>
          </w:tcPr>
          <w:p w14:paraId="17AB00FB" w14:textId="77777777" w:rsidR="00201FFB" w:rsidRPr="00201FFB" w:rsidRDefault="00201FFB" w:rsidP="00612E7C">
            <w:pPr>
              <w:spacing w:after="0" w:line="240" w:lineRule="auto"/>
              <w:jc w:val="center"/>
              <w:rPr>
                <w:rFonts w:ascii="Book Antiqua" w:eastAsia="Times New Roman" w:hAnsi="Book Antiqua" w:cs="Calibri"/>
                <w:b/>
                <w:bCs/>
                <w:color w:val="FFFFFF"/>
                <w:sz w:val="20"/>
                <w:szCs w:val="20"/>
                <w:lang w:eastAsia="es-CR"/>
              </w:rPr>
            </w:pPr>
            <w:r w:rsidRPr="00201FFB">
              <w:rPr>
                <w:rFonts w:ascii="Book Antiqua" w:eastAsia="Times New Roman" w:hAnsi="Book Antiqua" w:cs="Calibri"/>
                <w:b/>
                <w:bCs/>
                <w:color w:val="FFFFFF"/>
                <w:sz w:val="20"/>
                <w:szCs w:val="20"/>
                <w:lang w:eastAsia="es-CR"/>
              </w:rPr>
              <w:t>Técnica o Técnico de Trámite</w:t>
            </w:r>
          </w:p>
        </w:tc>
      </w:tr>
      <w:tr w:rsidR="00201FFB" w:rsidRPr="00201FFB" w14:paraId="6A242581" w14:textId="77777777" w:rsidTr="00612E7C">
        <w:trPr>
          <w:gridAfter w:val="1"/>
          <w:wAfter w:w="77" w:type="pct"/>
          <w:trHeight w:val="20"/>
        </w:trPr>
        <w:tc>
          <w:tcPr>
            <w:tcW w:w="11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90098E" w14:textId="77777777" w:rsidR="00201FFB" w:rsidRPr="00201FFB" w:rsidRDefault="00201FFB" w:rsidP="00612E7C">
            <w:pPr>
              <w:spacing w:after="0" w:line="240" w:lineRule="auto"/>
              <w:rPr>
                <w:rFonts w:ascii="Book Antiqua" w:eastAsia="Times New Roman" w:hAnsi="Book Antiqua" w:cs="Calibri"/>
                <w:b/>
                <w:bCs/>
                <w:color w:val="000000"/>
                <w:sz w:val="20"/>
                <w:szCs w:val="20"/>
                <w:lang w:eastAsia="es-CR"/>
              </w:rPr>
            </w:pPr>
            <w:r w:rsidRPr="00201FFB">
              <w:rPr>
                <w:rFonts w:ascii="Book Antiqua" w:eastAsia="Times New Roman" w:hAnsi="Book Antiqua" w:cs="Calibri"/>
                <w:b/>
                <w:bCs/>
                <w:color w:val="000000"/>
                <w:sz w:val="20"/>
                <w:szCs w:val="20"/>
                <w:lang w:eastAsia="es-CR"/>
              </w:rPr>
              <w:t>Juzgado de Niñez y Adolescencia</w:t>
            </w:r>
          </w:p>
        </w:tc>
        <w:tc>
          <w:tcPr>
            <w:tcW w:w="541" w:type="pct"/>
            <w:tcBorders>
              <w:top w:val="single" w:sz="4" w:space="0" w:color="auto"/>
              <w:left w:val="nil"/>
              <w:bottom w:val="single" w:sz="4" w:space="0" w:color="auto"/>
              <w:right w:val="single" w:sz="4" w:space="0" w:color="auto"/>
            </w:tcBorders>
            <w:shd w:val="clear" w:color="auto" w:fill="auto"/>
            <w:noWrap/>
            <w:vAlign w:val="center"/>
            <w:hideMark/>
          </w:tcPr>
          <w:p w14:paraId="35CB76D6"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102</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599AB8F2"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91</w:t>
            </w:r>
          </w:p>
        </w:tc>
        <w:tc>
          <w:tcPr>
            <w:tcW w:w="593" w:type="pct"/>
            <w:tcBorders>
              <w:top w:val="single" w:sz="4" w:space="0" w:color="auto"/>
              <w:left w:val="nil"/>
              <w:bottom w:val="single" w:sz="4" w:space="0" w:color="auto"/>
              <w:right w:val="single" w:sz="4" w:space="0" w:color="auto"/>
            </w:tcBorders>
            <w:shd w:val="clear" w:color="auto" w:fill="auto"/>
            <w:vAlign w:val="center"/>
            <w:hideMark/>
          </w:tcPr>
          <w:p w14:paraId="1FB60783"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1659</w:t>
            </w:r>
          </w:p>
        </w:tc>
        <w:tc>
          <w:tcPr>
            <w:tcW w:w="501" w:type="pct"/>
            <w:tcBorders>
              <w:top w:val="single" w:sz="4" w:space="0" w:color="auto"/>
              <w:left w:val="nil"/>
              <w:bottom w:val="single" w:sz="4" w:space="0" w:color="auto"/>
              <w:right w:val="single" w:sz="4" w:space="0" w:color="auto"/>
            </w:tcBorders>
            <w:shd w:val="clear" w:color="auto" w:fill="auto"/>
            <w:noWrap/>
            <w:vAlign w:val="center"/>
            <w:hideMark/>
          </w:tcPr>
          <w:p w14:paraId="254B0023"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2</w:t>
            </w:r>
          </w:p>
        </w:tc>
        <w:tc>
          <w:tcPr>
            <w:tcW w:w="487" w:type="pct"/>
            <w:tcBorders>
              <w:top w:val="single" w:sz="4" w:space="0" w:color="auto"/>
              <w:left w:val="nil"/>
              <w:bottom w:val="single" w:sz="4" w:space="0" w:color="auto"/>
              <w:right w:val="single" w:sz="4" w:space="0" w:color="auto"/>
            </w:tcBorders>
            <w:shd w:val="clear" w:color="auto" w:fill="auto"/>
            <w:vAlign w:val="center"/>
            <w:hideMark/>
          </w:tcPr>
          <w:p w14:paraId="4951067F"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4</w:t>
            </w:r>
          </w:p>
        </w:tc>
        <w:tc>
          <w:tcPr>
            <w:tcW w:w="501" w:type="pct"/>
            <w:tcBorders>
              <w:top w:val="single" w:sz="4" w:space="0" w:color="auto"/>
              <w:left w:val="nil"/>
              <w:bottom w:val="single" w:sz="4" w:space="0" w:color="auto"/>
              <w:right w:val="single" w:sz="4" w:space="0" w:color="auto"/>
            </w:tcBorders>
            <w:shd w:val="clear" w:color="auto" w:fill="auto"/>
            <w:noWrap/>
            <w:vAlign w:val="center"/>
            <w:hideMark/>
          </w:tcPr>
          <w:p w14:paraId="4473106D"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51</w:t>
            </w:r>
          </w:p>
        </w:tc>
        <w:tc>
          <w:tcPr>
            <w:tcW w:w="503" w:type="pct"/>
            <w:tcBorders>
              <w:top w:val="single" w:sz="4" w:space="0" w:color="auto"/>
              <w:left w:val="nil"/>
              <w:bottom w:val="single" w:sz="4" w:space="0" w:color="auto"/>
              <w:right w:val="single" w:sz="4" w:space="0" w:color="auto"/>
            </w:tcBorders>
            <w:shd w:val="clear" w:color="auto" w:fill="auto"/>
            <w:noWrap/>
            <w:vAlign w:val="center"/>
            <w:hideMark/>
          </w:tcPr>
          <w:p w14:paraId="0D49FAB8"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26</w:t>
            </w:r>
          </w:p>
        </w:tc>
      </w:tr>
      <w:tr w:rsidR="00201FFB" w:rsidRPr="00201FFB" w14:paraId="22517864" w14:textId="77777777" w:rsidTr="00612E7C">
        <w:trPr>
          <w:gridAfter w:val="1"/>
          <w:wAfter w:w="77" w:type="pct"/>
          <w:trHeight w:val="450"/>
        </w:trPr>
        <w:tc>
          <w:tcPr>
            <w:tcW w:w="1146" w:type="pct"/>
            <w:vMerge w:val="restart"/>
            <w:tcBorders>
              <w:top w:val="nil"/>
              <w:left w:val="single" w:sz="4" w:space="0" w:color="auto"/>
              <w:bottom w:val="single" w:sz="4" w:space="0" w:color="auto"/>
              <w:right w:val="single" w:sz="4" w:space="0" w:color="auto"/>
            </w:tcBorders>
            <w:shd w:val="clear" w:color="auto" w:fill="auto"/>
            <w:vAlign w:val="center"/>
            <w:hideMark/>
          </w:tcPr>
          <w:p w14:paraId="07BFBCB4" w14:textId="77777777" w:rsidR="00201FFB" w:rsidRPr="00201FFB" w:rsidRDefault="00201FFB" w:rsidP="00612E7C">
            <w:pPr>
              <w:spacing w:after="0" w:line="240" w:lineRule="auto"/>
              <w:rPr>
                <w:rFonts w:ascii="Book Antiqua" w:eastAsia="Times New Roman" w:hAnsi="Book Antiqua" w:cs="Calibri"/>
                <w:b/>
                <w:bCs/>
                <w:color w:val="000000"/>
                <w:sz w:val="20"/>
                <w:szCs w:val="20"/>
                <w:lang w:eastAsia="es-CR"/>
              </w:rPr>
            </w:pPr>
            <w:r w:rsidRPr="00201FFB">
              <w:rPr>
                <w:rFonts w:ascii="Book Antiqua" w:eastAsia="Times New Roman" w:hAnsi="Book Antiqua" w:cs="Calibri"/>
                <w:b/>
                <w:bCs/>
                <w:color w:val="000000"/>
                <w:sz w:val="20"/>
                <w:szCs w:val="20"/>
                <w:lang w:eastAsia="es-CR"/>
              </w:rPr>
              <w:t>Juzgado de Violencia Doméstica I C.J. San José</w:t>
            </w:r>
          </w:p>
        </w:tc>
        <w:tc>
          <w:tcPr>
            <w:tcW w:w="54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1B6FC03"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164</w:t>
            </w:r>
          </w:p>
        </w:tc>
        <w:tc>
          <w:tcPr>
            <w:tcW w:w="651" w:type="pct"/>
            <w:vMerge w:val="restart"/>
            <w:tcBorders>
              <w:top w:val="nil"/>
              <w:left w:val="single" w:sz="4" w:space="0" w:color="auto"/>
              <w:bottom w:val="single" w:sz="4" w:space="0" w:color="auto"/>
              <w:right w:val="single" w:sz="4" w:space="0" w:color="auto"/>
            </w:tcBorders>
            <w:shd w:val="clear" w:color="auto" w:fill="auto"/>
            <w:vAlign w:val="center"/>
            <w:hideMark/>
          </w:tcPr>
          <w:p w14:paraId="43EEE8E4"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161</w:t>
            </w:r>
          </w:p>
        </w:tc>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14:paraId="3F693896"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1051</w:t>
            </w:r>
          </w:p>
        </w:tc>
        <w:tc>
          <w:tcPr>
            <w:tcW w:w="50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2ACB074"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2</w:t>
            </w:r>
          </w:p>
        </w:tc>
        <w:tc>
          <w:tcPr>
            <w:tcW w:w="487" w:type="pct"/>
            <w:vMerge w:val="restart"/>
            <w:tcBorders>
              <w:top w:val="nil"/>
              <w:left w:val="single" w:sz="4" w:space="0" w:color="auto"/>
              <w:bottom w:val="single" w:sz="4" w:space="0" w:color="auto"/>
              <w:right w:val="single" w:sz="4" w:space="0" w:color="auto"/>
            </w:tcBorders>
            <w:shd w:val="clear" w:color="auto" w:fill="auto"/>
            <w:vAlign w:val="center"/>
            <w:hideMark/>
          </w:tcPr>
          <w:p w14:paraId="75FA236F"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3</w:t>
            </w:r>
          </w:p>
        </w:tc>
        <w:tc>
          <w:tcPr>
            <w:tcW w:w="50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2E5C9A"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82</w:t>
            </w:r>
          </w:p>
        </w:tc>
        <w:tc>
          <w:tcPr>
            <w:tcW w:w="50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5A33C6A"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r w:rsidRPr="00201FFB">
              <w:rPr>
                <w:rFonts w:ascii="Book Antiqua" w:eastAsia="Times New Roman" w:hAnsi="Book Antiqua" w:cs="Calibri"/>
                <w:color w:val="000000"/>
                <w:sz w:val="20"/>
                <w:szCs w:val="20"/>
                <w:lang w:eastAsia="es-CR"/>
              </w:rPr>
              <w:t>55</w:t>
            </w:r>
          </w:p>
        </w:tc>
      </w:tr>
      <w:tr w:rsidR="00201FFB" w:rsidRPr="00201FFB" w14:paraId="3D81EA50" w14:textId="77777777" w:rsidTr="00612E7C">
        <w:trPr>
          <w:trHeight w:val="20"/>
        </w:trPr>
        <w:tc>
          <w:tcPr>
            <w:tcW w:w="1146" w:type="pct"/>
            <w:vMerge/>
            <w:tcBorders>
              <w:top w:val="nil"/>
              <w:left w:val="single" w:sz="4" w:space="0" w:color="auto"/>
              <w:bottom w:val="single" w:sz="4" w:space="0" w:color="auto"/>
              <w:right w:val="single" w:sz="4" w:space="0" w:color="auto"/>
            </w:tcBorders>
            <w:vAlign w:val="center"/>
            <w:hideMark/>
          </w:tcPr>
          <w:p w14:paraId="2A844B8D" w14:textId="77777777" w:rsidR="00201FFB" w:rsidRPr="00201FFB" w:rsidRDefault="00201FFB" w:rsidP="00612E7C">
            <w:pPr>
              <w:spacing w:after="0" w:line="240" w:lineRule="auto"/>
              <w:rPr>
                <w:rFonts w:ascii="Book Antiqua" w:eastAsia="Times New Roman" w:hAnsi="Book Antiqua" w:cs="Calibri"/>
                <w:b/>
                <w:bCs/>
                <w:color w:val="000000"/>
                <w:sz w:val="20"/>
                <w:szCs w:val="20"/>
                <w:lang w:eastAsia="es-CR"/>
              </w:rPr>
            </w:pPr>
          </w:p>
        </w:tc>
        <w:tc>
          <w:tcPr>
            <w:tcW w:w="541" w:type="pct"/>
            <w:vMerge/>
            <w:tcBorders>
              <w:top w:val="nil"/>
              <w:left w:val="single" w:sz="4" w:space="0" w:color="auto"/>
              <w:bottom w:val="single" w:sz="4" w:space="0" w:color="000000"/>
              <w:right w:val="single" w:sz="4" w:space="0" w:color="auto"/>
            </w:tcBorders>
            <w:vAlign w:val="center"/>
            <w:hideMark/>
          </w:tcPr>
          <w:p w14:paraId="3053350B"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651" w:type="pct"/>
            <w:vMerge/>
            <w:tcBorders>
              <w:top w:val="nil"/>
              <w:left w:val="single" w:sz="4" w:space="0" w:color="auto"/>
              <w:bottom w:val="single" w:sz="4" w:space="0" w:color="auto"/>
              <w:right w:val="single" w:sz="4" w:space="0" w:color="auto"/>
            </w:tcBorders>
            <w:vAlign w:val="center"/>
            <w:hideMark/>
          </w:tcPr>
          <w:p w14:paraId="0326B227"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593" w:type="pct"/>
            <w:vMerge/>
            <w:tcBorders>
              <w:top w:val="nil"/>
              <w:left w:val="single" w:sz="4" w:space="0" w:color="auto"/>
              <w:bottom w:val="single" w:sz="4" w:space="0" w:color="auto"/>
              <w:right w:val="single" w:sz="4" w:space="0" w:color="auto"/>
            </w:tcBorders>
            <w:vAlign w:val="center"/>
            <w:hideMark/>
          </w:tcPr>
          <w:p w14:paraId="7E8D3CC2"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501" w:type="pct"/>
            <w:vMerge/>
            <w:tcBorders>
              <w:top w:val="nil"/>
              <w:left w:val="single" w:sz="4" w:space="0" w:color="auto"/>
              <w:bottom w:val="single" w:sz="4" w:space="0" w:color="000000"/>
              <w:right w:val="single" w:sz="4" w:space="0" w:color="auto"/>
            </w:tcBorders>
            <w:vAlign w:val="center"/>
            <w:hideMark/>
          </w:tcPr>
          <w:p w14:paraId="0B60E055"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487" w:type="pct"/>
            <w:vMerge/>
            <w:tcBorders>
              <w:top w:val="nil"/>
              <w:left w:val="single" w:sz="4" w:space="0" w:color="auto"/>
              <w:bottom w:val="single" w:sz="4" w:space="0" w:color="auto"/>
              <w:right w:val="single" w:sz="4" w:space="0" w:color="auto"/>
            </w:tcBorders>
            <w:vAlign w:val="center"/>
            <w:hideMark/>
          </w:tcPr>
          <w:p w14:paraId="1E8ADF0B"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501" w:type="pct"/>
            <w:vMerge/>
            <w:tcBorders>
              <w:top w:val="nil"/>
              <w:left w:val="single" w:sz="4" w:space="0" w:color="auto"/>
              <w:bottom w:val="single" w:sz="4" w:space="0" w:color="auto"/>
              <w:right w:val="single" w:sz="4" w:space="0" w:color="auto"/>
            </w:tcBorders>
            <w:vAlign w:val="center"/>
            <w:hideMark/>
          </w:tcPr>
          <w:p w14:paraId="509B6B62"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503" w:type="pct"/>
            <w:vMerge/>
            <w:tcBorders>
              <w:top w:val="nil"/>
              <w:left w:val="single" w:sz="4" w:space="0" w:color="auto"/>
              <w:bottom w:val="single" w:sz="4" w:space="0" w:color="auto"/>
              <w:right w:val="single" w:sz="4" w:space="0" w:color="auto"/>
            </w:tcBorders>
            <w:vAlign w:val="center"/>
            <w:hideMark/>
          </w:tcPr>
          <w:p w14:paraId="757365E4"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77" w:type="pct"/>
            <w:tcBorders>
              <w:top w:val="nil"/>
              <w:left w:val="nil"/>
              <w:bottom w:val="nil"/>
              <w:right w:val="nil"/>
            </w:tcBorders>
            <w:shd w:val="clear" w:color="auto" w:fill="auto"/>
            <w:noWrap/>
            <w:vAlign w:val="bottom"/>
            <w:hideMark/>
          </w:tcPr>
          <w:p w14:paraId="6718CD1E" w14:textId="77777777" w:rsidR="00201FFB" w:rsidRPr="00201FFB" w:rsidRDefault="00201FFB" w:rsidP="00612E7C">
            <w:pPr>
              <w:spacing w:after="0" w:line="240" w:lineRule="auto"/>
              <w:jc w:val="center"/>
              <w:rPr>
                <w:rFonts w:ascii="Book Antiqua" w:eastAsia="Times New Roman" w:hAnsi="Book Antiqua" w:cs="Calibri"/>
                <w:color w:val="000000"/>
                <w:sz w:val="20"/>
                <w:szCs w:val="20"/>
                <w:lang w:eastAsia="es-CR"/>
              </w:rPr>
            </w:pPr>
          </w:p>
        </w:tc>
      </w:tr>
      <w:tr w:rsidR="00201FFB" w:rsidRPr="00201FFB" w14:paraId="1F8D7C77" w14:textId="77777777" w:rsidTr="00612E7C">
        <w:trPr>
          <w:trHeight w:val="20"/>
        </w:trPr>
        <w:tc>
          <w:tcPr>
            <w:tcW w:w="1146" w:type="pct"/>
            <w:vMerge/>
            <w:tcBorders>
              <w:top w:val="nil"/>
              <w:left w:val="single" w:sz="4" w:space="0" w:color="auto"/>
              <w:bottom w:val="single" w:sz="4" w:space="0" w:color="auto"/>
              <w:right w:val="single" w:sz="4" w:space="0" w:color="auto"/>
            </w:tcBorders>
            <w:vAlign w:val="center"/>
            <w:hideMark/>
          </w:tcPr>
          <w:p w14:paraId="3C06E6EA" w14:textId="77777777" w:rsidR="00201FFB" w:rsidRPr="00201FFB" w:rsidRDefault="00201FFB" w:rsidP="00612E7C">
            <w:pPr>
              <w:spacing w:after="0" w:line="240" w:lineRule="auto"/>
              <w:rPr>
                <w:rFonts w:ascii="Book Antiqua" w:eastAsia="Times New Roman" w:hAnsi="Book Antiqua" w:cs="Calibri"/>
                <w:b/>
                <w:bCs/>
                <w:color w:val="000000"/>
                <w:sz w:val="20"/>
                <w:szCs w:val="20"/>
                <w:lang w:eastAsia="es-CR"/>
              </w:rPr>
            </w:pPr>
          </w:p>
        </w:tc>
        <w:tc>
          <w:tcPr>
            <w:tcW w:w="541" w:type="pct"/>
            <w:vMerge/>
            <w:tcBorders>
              <w:top w:val="nil"/>
              <w:left w:val="single" w:sz="4" w:space="0" w:color="auto"/>
              <w:bottom w:val="single" w:sz="4" w:space="0" w:color="000000"/>
              <w:right w:val="single" w:sz="4" w:space="0" w:color="auto"/>
            </w:tcBorders>
            <w:vAlign w:val="center"/>
            <w:hideMark/>
          </w:tcPr>
          <w:p w14:paraId="6FD56F67"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651" w:type="pct"/>
            <w:vMerge/>
            <w:tcBorders>
              <w:top w:val="nil"/>
              <w:left w:val="single" w:sz="4" w:space="0" w:color="auto"/>
              <w:bottom w:val="single" w:sz="4" w:space="0" w:color="auto"/>
              <w:right w:val="single" w:sz="4" w:space="0" w:color="auto"/>
            </w:tcBorders>
            <w:vAlign w:val="center"/>
            <w:hideMark/>
          </w:tcPr>
          <w:p w14:paraId="6A1FBECC"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593" w:type="pct"/>
            <w:vMerge/>
            <w:tcBorders>
              <w:top w:val="nil"/>
              <w:left w:val="single" w:sz="4" w:space="0" w:color="auto"/>
              <w:bottom w:val="single" w:sz="4" w:space="0" w:color="auto"/>
              <w:right w:val="single" w:sz="4" w:space="0" w:color="auto"/>
            </w:tcBorders>
            <w:vAlign w:val="center"/>
            <w:hideMark/>
          </w:tcPr>
          <w:p w14:paraId="5EE78607"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501" w:type="pct"/>
            <w:vMerge/>
            <w:tcBorders>
              <w:top w:val="nil"/>
              <w:left w:val="single" w:sz="4" w:space="0" w:color="auto"/>
              <w:bottom w:val="single" w:sz="4" w:space="0" w:color="000000"/>
              <w:right w:val="single" w:sz="4" w:space="0" w:color="auto"/>
            </w:tcBorders>
            <w:vAlign w:val="center"/>
            <w:hideMark/>
          </w:tcPr>
          <w:p w14:paraId="730DA649"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487" w:type="pct"/>
            <w:vMerge/>
            <w:tcBorders>
              <w:top w:val="nil"/>
              <w:left w:val="single" w:sz="4" w:space="0" w:color="auto"/>
              <w:bottom w:val="single" w:sz="4" w:space="0" w:color="auto"/>
              <w:right w:val="single" w:sz="4" w:space="0" w:color="auto"/>
            </w:tcBorders>
            <w:vAlign w:val="center"/>
            <w:hideMark/>
          </w:tcPr>
          <w:p w14:paraId="6DB1465D"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501" w:type="pct"/>
            <w:vMerge/>
            <w:tcBorders>
              <w:top w:val="nil"/>
              <w:left w:val="single" w:sz="4" w:space="0" w:color="auto"/>
              <w:bottom w:val="single" w:sz="4" w:space="0" w:color="auto"/>
              <w:right w:val="single" w:sz="4" w:space="0" w:color="auto"/>
            </w:tcBorders>
            <w:vAlign w:val="center"/>
            <w:hideMark/>
          </w:tcPr>
          <w:p w14:paraId="44E543C3"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503" w:type="pct"/>
            <w:vMerge/>
            <w:tcBorders>
              <w:top w:val="nil"/>
              <w:left w:val="single" w:sz="4" w:space="0" w:color="auto"/>
              <w:bottom w:val="single" w:sz="4" w:space="0" w:color="auto"/>
              <w:right w:val="single" w:sz="4" w:space="0" w:color="auto"/>
            </w:tcBorders>
            <w:vAlign w:val="center"/>
            <w:hideMark/>
          </w:tcPr>
          <w:p w14:paraId="2A6571EC" w14:textId="77777777" w:rsidR="00201FFB" w:rsidRPr="00201FFB" w:rsidRDefault="00201FFB" w:rsidP="00612E7C">
            <w:pPr>
              <w:spacing w:after="0" w:line="240" w:lineRule="auto"/>
              <w:rPr>
                <w:rFonts w:ascii="Book Antiqua" w:eastAsia="Times New Roman" w:hAnsi="Book Antiqua" w:cs="Calibri"/>
                <w:color w:val="000000"/>
                <w:sz w:val="20"/>
                <w:szCs w:val="20"/>
                <w:lang w:eastAsia="es-CR"/>
              </w:rPr>
            </w:pPr>
          </w:p>
        </w:tc>
        <w:tc>
          <w:tcPr>
            <w:tcW w:w="77" w:type="pct"/>
            <w:tcBorders>
              <w:top w:val="nil"/>
              <w:left w:val="nil"/>
              <w:bottom w:val="nil"/>
              <w:right w:val="nil"/>
            </w:tcBorders>
            <w:shd w:val="clear" w:color="auto" w:fill="auto"/>
            <w:noWrap/>
            <w:vAlign w:val="bottom"/>
            <w:hideMark/>
          </w:tcPr>
          <w:p w14:paraId="10D03BA9" w14:textId="77777777" w:rsidR="00201FFB" w:rsidRPr="00201FFB" w:rsidRDefault="00201FFB" w:rsidP="00612E7C">
            <w:pPr>
              <w:spacing w:after="0" w:line="240" w:lineRule="auto"/>
              <w:rPr>
                <w:rFonts w:ascii="Times New Roman" w:eastAsia="Times New Roman" w:hAnsi="Times New Roman" w:cs="Times New Roman"/>
                <w:sz w:val="20"/>
                <w:szCs w:val="20"/>
                <w:lang w:eastAsia="es-CR"/>
              </w:rPr>
            </w:pPr>
          </w:p>
        </w:tc>
      </w:tr>
    </w:tbl>
    <w:p w14:paraId="4B93EAA0" w14:textId="504BA8DB" w:rsidR="005A3C14" w:rsidRDefault="00A63199" w:rsidP="00355630">
      <w:pPr>
        <w:spacing w:after="0" w:line="276" w:lineRule="auto"/>
        <w:jc w:val="both"/>
        <w:rPr>
          <w:rFonts w:ascii="Book Antiqua" w:eastAsia="Calibri" w:hAnsi="Book Antiqua" w:cs="Arial"/>
          <w:sz w:val="24"/>
          <w:szCs w:val="24"/>
        </w:rPr>
      </w:pPr>
      <w:bookmarkStart w:id="49" w:name="_Hlk96445089"/>
      <w:bookmarkEnd w:id="48"/>
      <w:r w:rsidRPr="00F53EAA">
        <w:rPr>
          <w:rFonts w:ascii="Book Antiqua" w:eastAsia="Calibri" w:hAnsi="Book Antiqua" w:cs="Arial"/>
          <w:b/>
          <w:bCs/>
          <w:i/>
          <w:iCs/>
          <w:sz w:val="20"/>
          <w:szCs w:val="20"/>
        </w:rPr>
        <w:t>Fuente:</w:t>
      </w:r>
      <w:r w:rsidRPr="00F07A42">
        <w:rPr>
          <w:rFonts w:ascii="Book Antiqua" w:eastAsia="Calibri" w:hAnsi="Book Antiqua" w:cs="Arial"/>
          <w:i/>
          <w:iCs/>
          <w:sz w:val="20"/>
          <w:szCs w:val="20"/>
        </w:rPr>
        <w:t xml:space="preserve"> </w:t>
      </w:r>
      <w:r w:rsidR="00A04A3D">
        <w:rPr>
          <w:rFonts w:ascii="Book Antiqua" w:eastAsia="Calibri" w:hAnsi="Book Antiqua" w:cs="Arial"/>
          <w:i/>
          <w:iCs/>
          <w:sz w:val="20"/>
          <w:szCs w:val="20"/>
        </w:rPr>
        <w:t xml:space="preserve">Subproceso de </w:t>
      </w:r>
      <w:r w:rsidRPr="00F07A42">
        <w:rPr>
          <w:rFonts w:ascii="Book Antiqua" w:eastAsia="Calibri" w:hAnsi="Book Antiqua" w:cs="Arial"/>
          <w:i/>
          <w:iCs/>
          <w:sz w:val="20"/>
          <w:szCs w:val="20"/>
        </w:rPr>
        <w:t>Modernización Institucional</w:t>
      </w:r>
      <w:r w:rsidR="00A04A3D">
        <w:rPr>
          <w:rFonts w:ascii="Book Antiqua" w:eastAsia="Calibri" w:hAnsi="Book Antiqua" w:cs="Arial"/>
          <w:i/>
          <w:iCs/>
          <w:sz w:val="20"/>
          <w:szCs w:val="20"/>
        </w:rPr>
        <w:t xml:space="preserve"> con datos del informe de seguimiento del Juzgado de Niñez y Adolescencia.</w:t>
      </w:r>
    </w:p>
    <w:bookmarkEnd w:id="49"/>
    <w:p w14:paraId="4B9F4DF5" w14:textId="5932837B" w:rsidR="00742240" w:rsidRDefault="00742240" w:rsidP="00355630">
      <w:pPr>
        <w:spacing w:after="0" w:line="276" w:lineRule="auto"/>
        <w:jc w:val="both"/>
        <w:rPr>
          <w:rFonts w:ascii="Book Antiqua" w:eastAsia="Calibri" w:hAnsi="Book Antiqua" w:cs="Arial"/>
          <w:sz w:val="24"/>
          <w:szCs w:val="24"/>
        </w:rPr>
      </w:pPr>
    </w:p>
    <w:p w14:paraId="7A20744D" w14:textId="77777777" w:rsidR="00A04A3D" w:rsidRDefault="00A04A3D" w:rsidP="00A04A3D">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Se observa, que el Juzgado </w:t>
      </w:r>
      <w:r w:rsidRPr="00A04A3D">
        <w:rPr>
          <w:rFonts w:ascii="Book Antiqua" w:eastAsia="Calibri" w:hAnsi="Book Antiqua" w:cs="Arial"/>
          <w:sz w:val="24"/>
          <w:szCs w:val="24"/>
        </w:rPr>
        <w:t>de Violencia Doméstica del Primer Circuito Judicial de San José</w:t>
      </w:r>
      <w:r>
        <w:rPr>
          <w:rFonts w:ascii="Book Antiqua" w:eastAsia="Calibri" w:hAnsi="Book Antiqua" w:cs="Arial"/>
          <w:sz w:val="24"/>
          <w:szCs w:val="24"/>
        </w:rPr>
        <w:t>, tiene la mayor carga de trabajo, por Juez o Jueza y personal técnico.</w:t>
      </w:r>
    </w:p>
    <w:p w14:paraId="74873303" w14:textId="7F2FDA8B" w:rsidR="00A04A3D" w:rsidRPr="00A04A3D" w:rsidRDefault="00A04A3D" w:rsidP="00A04A3D">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De acuerdo con el informe </w:t>
      </w:r>
      <w:r w:rsidRPr="00A04A3D">
        <w:rPr>
          <w:rFonts w:ascii="Book Antiqua" w:eastAsia="Calibri" w:hAnsi="Book Antiqua" w:cs="Arial"/>
          <w:sz w:val="24"/>
          <w:szCs w:val="24"/>
        </w:rPr>
        <w:t xml:space="preserve">1170-PLA-MI(NPL)-2022, Entregable 3.21 </w:t>
      </w:r>
      <w:r w:rsidRPr="00EF57E6">
        <w:rPr>
          <w:rFonts w:ascii="Book Antiqua" w:eastAsia="Calibri" w:hAnsi="Book Antiqua" w:cs="Arial"/>
          <w:b/>
          <w:bCs/>
          <w:i/>
          <w:iCs/>
          <w:sz w:val="24"/>
          <w:szCs w:val="24"/>
        </w:rPr>
        <w:t>“Modelo de Tramitación de los Juzgados Contra la Violencia Doméstica”</w:t>
      </w:r>
      <w:r w:rsidRPr="00EF57E6">
        <w:rPr>
          <w:rFonts w:ascii="Book Antiqua" w:eastAsia="Calibri" w:hAnsi="Book Antiqua" w:cs="Arial"/>
          <w:b/>
          <w:bCs/>
          <w:sz w:val="24"/>
          <w:szCs w:val="24"/>
        </w:rPr>
        <w:t>,</w:t>
      </w:r>
      <w:r w:rsidRPr="00A04A3D">
        <w:rPr>
          <w:rFonts w:ascii="Book Antiqua" w:eastAsia="Calibri" w:hAnsi="Book Antiqua" w:cs="Arial"/>
          <w:sz w:val="24"/>
          <w:szCs w:val="24"/>
        </w:rPr>
        <w:t xml:space="preserve"> en el que se incluye el detalle de la oficina modelo de los actuales Juzgados Contra la Violencia Doméstica, a partir de la entrada en vigencia de la Ley 9747, se recomienda lo siguiente:</w:t>
      </w:r>
    </w:p>
    <w:p w14:paraId="01BCE29E" w14:textId="77777777" w:rsidR="00A04A3D" w:rsidRPr="00A04A3D" w:rsidRDefault="00A04A3D" w:rsidP="00EF57E6">
      <w:pPr>
        <w:spacing w:line="276" w:lineRule="auto"/>
        <w:ind w:left="1134"/>
        <w:jc w:val="both"/>
        <w:rPr>
          <w:rFonts w:ascii="Book Antiqua" w:eastAsia="Calibri" w:hAnsi="Book Antiqua" w:cs="Arial"/>
          <w:sz w:val="24"/>
          <w:szCs w:val="24"/>
        </w:rPr>
      </w:pPr>
      <w:r w:rsidRPr="00A04A3D">
        <w:rPr>
          <w:rFonts w:ascii="Book Antiqua" w:eastAsia="Times New Roman" w:hAnsi="Book Antiqua" w:cs="Arial"/>
          <w:i/>
          <w:iCs/>
          <w:sz w:val="24"/>
          <w:lang w:eastAsia="es-ES"/>
        </w:rPr>
        <w:t>“Se recomienda la asignación de dos técnicos judiciales por cada persona Juzgadora, una persona Coordinadora Judicial y una persona Técnica Judicial destacada en la atención de personas usuarias y apoyo administrativo…”</w:t>
      </w:r>
    </w:p>
    <w:p w14:paraId="01EAFD16" w14:textId="75651FA0" w:rsidR="00A04A3D" w:rsidRDefault="00A04A3D" w:rsidP="00A04A3D">
      <w:pPr>
        <w:spacing w:line="276" w:lineRule="auto"/>
        <w:jc w:val="both"/>
        <w:rPr>
          <w:rFonts w:ascii="Book Antiqua" w:eastAsia="Calibri" w:hAnsi="Book Antiqua" w:cs="Arial"/>
          <w:sz w:val="24"/>
          <w:szCs w:val="24"/>
        </w:rPr>
      </w:pPr>
      <w:r w:rsidRPr="00A04A3D">
        <w:rPr>
          <w:rFonts w:ascii="Book Antiqua" w:eastAsia="Calibri" w:hAnsi="Book Antiqua" w:cs="Arial"/>
          <w:sz w:val="24"/>
          <w:szCs w:val="24"/>
        </w:rPr>
        <w:t xml:space="preserve">Por lo anterior, al tener el Juzgado de Violencia Doméstica una mayor carga de trabajo y para completar su estructura conforme al Modelo propuesto, se recomienda que la plaza compartida de Auxiliar de Servicios Generales sea asignada de forma definitiva al Juzgado de Violencia Doméstica del Primer Circuito Judicial de San José </w:t>
      </w:r>
      <w:r w:rsidR="00EF57E6">
        <w:rPr>
          <w:rFonts w:ascii="Book Antiqua" w:eastAsia="Calibri" w:hAnsi="Book Antiqua" w:cs="Arial"/>
          <w:sz w:val="24"/>
          <w:szCs w:val="24"/>
        </w:rPr>
        <w:t xml:space="preserve">de conformidad con la relación de puestos de la Dirección de Gestión Humana, </w:t>
      </w:r>
      <w:r w:rsidRPr="00A04A3D">
        <w:rPr>
          <w:rFonts w:ascii="Book Antiqua" w:eastAsia="Calibri" w:hAnsi="Book Antiqua" w:cs="Arial"/>
          <w:sz w:val="24"/>
          <w:szCs w:val="24"/>
        </w:rPr>
        <w:t>e incluso se valore la posible reasignación de ese recurso a persona Técnica Judicial 2</w:t>
      </w:r>
      <w:r w:rsidR="00EF57E6">
        <w:rPr>
          <w:rFonts w:ascii="Book Antiqua" w:eastAsia="Calibri" w:hAnsi="Book Antiqua" w:cs="Arial"/>
          <w:sz w:val="24"/>
          <w:szCs w:val="24"/>
        </w:rPr>
        <w:t>; e</w:t>
      </w:r>
      <w:r w:rsidRPr="00A04A3D">
        <w:rPr>
          <w:rFonts w:ascii="Book Antiqua" w:eastAsia="Calibri" w:hAnsi="Book Antiqua" w:cs="Arial"/>
          <w:sz w:val="24"/>
          <w:szCs w:val="24"/>
        </w:rPr>
        <w:t>sto implica, que se brinde el servicio de limpieza tanto para el Juzgado de Niñez como para el Juzgado Contra la Violencia Doméstica del Primer Circuito Judicial de San José</w:t>
      </w:r>
      <w:r w:rsidR="00EF57E6">
        <w:rPr>
          <w:rFonts w:ascii="Book Antiqua" w:eastAsia="Calibri" w:hAnsi="Book Antiqua" w:cs="Arial"/>
          <w:sz w:val="24"/>
          <w:szCs w:val="24"/>
        </w:rPr>
        <w:t>.</w:t>
      </w:r>
    </w:p>
    <w:p w14:paraId="2C2B33B2" w14:textId="77777777" w:rsidR="00EF57E6" w:rsidRDefault="00EF57E6" w:rsidP="00EF57E6">
      <w:pPr>
        <w:spacing w:after="0" w:line="276" w:lineRule="auto"/>
        <w:jc w:val="both"/>
        <w:rPr>
          <w:rFonts w:ascii="Book Antiqua" w:eastAsia="Calibri" w:hAnsi="Book Antiqua" w:cs="Arial"/>
          <w:b/>
          <w:bCs/>
          <w:sz w:val="24"/>
          <w:szCs w:val="24"/>
        </w:rPr>
      </w:pPr>
    </w:p>
    <w:p w14:paraId="36D90351" w14:textId="3E610C8C" w:rsidR="00EF57E6" w:rsidRPr="001D0C10" w:rsidRDefault="00EF57E6" w:rsidP="00EF57E6">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 xml:space="preserve">Atención de la referencia interna </w:t>
      </w:r>
      <w:r w:rsidRPr="0036617F">
        <w:rPr>
          <w:rFonts w:ascii="Book Antiqua" w:eastAsia="Calibri" w:hAnsi="Book Antiqua" w:cs="Arial"/>
          <w:b/>
          <w:bCs/>
          <w:sz w:val="24"/>
          <w:szCs w:val="24"/>
        </w:rPr>
        <w:t>1916-2021</w:t>
      </w:r>
      <w:r w:rsidRPr="001D0C10">
        <w:rPr>
          <w:rFonts w:ascii="Book Antiqua" w:eastAsia="Calibri" w:hAnsi="Book Antiqua" w:cs="Arial"/>
          <w:b/>
          <w:bCs/>
          <w:sz w:val="24"/>
          <w:szCs w:val="24"/>
        </w:rPr>
        <w:t xml:space="preserve">, </w:t>
      </w:r>
      <w:r w:rsidRPr="00EC7E34">
        <w:rPr>
          <w:rFonts w:ascii="Book Antiqua" w:eastAsia="Calibri" w:hAnsi="Book Antiqua" w:cs="Arial"/>
          <w:sz w:val="24"/>
          <w:szCs w:val="24"/>
        </w:rPr>
        <w:t>relacionada con la</w:t>
      </w:r>
      <w:r w:rsidRPr="001D0C10">
        <w:rPr>
          <w:rFonts w:ascii="Book Antiqua" w:eastAsia="Calibri" w:hAnsi="Book Antiqua" w:cs="Arial"/>
          <w:b/>
          <w:bCs/>
          <w:sz w:val="24"/>
          <w:szCs w:val="24"/>
        </w:rPr>
        <w:t xml:space="preserve"> “</w:t>
      </w:r>
      <w:r w:rsidRPr="001D0C10">
        <w:rPr>
          <w:rFonts w:ascii="Book Antiqua" w:eastAsia="Calibri" w:hAnsi="Book Antiqua" w:cs="Arial"/>
          <w:i/>
          <w:iCs/>
          <w:sz w:val="24"/>
          <w:szCs w:val="24"/>
        </w:rPr>
        <w:t>Valoración para la especialización de una persona en adopciones internacionales en el Juzgado de Familia, de Niñez y Adolescencia”.</w:t>
      </w:r>
    </w:p>
    <w:p w14:paraId="2CA5697A" w14:textId="77777777" w:rsidR="003541AC" w:rsidRDefault="003541AC" w:rsidP="00A04A3D">
      <w:pPr>
        <w:spacing w:line="276" w:lineRule="auto"/>
        <w:jc w:val="both"/>
        <w:rPr>
          <w:rFonts w:ascii="Book Antiqua" w:eastAsia="Calibri" w:hAnsi="Book Antiqua" w:cs="Arial"/>
          <w:sz w:val="24"/>
          <w:szCs w:val="24"/>
        </w:rPr>
      </w:pPr>
    </w:p>
    <w:p w14:paraId="7AA0E819" w14:textId="4F312D58" w:rsidR="00EF57E6" w:rsidRDefault="00EF57E6" w:rsidP="00A04A3D">
      <w:pPr>
        <w:spacing w:line="276" w:lineRule="auto"/>
        <w:jc w:val="both"/>
        <w:rPr>
          <w:rFonts w:ascii="Book Antiqua" w:eastAsia="Calibri" w:hAnsi="Book Antiqua" w:cs="Arial"/>
          <w:sz w:val="24"/>
          <w:szCs w:val="24"/>
        </w:rPr>
      </w:pPr>
      <w:r w:rsidRPr="00EF57E6">
        <w:rPr>
          <w:rFonts w:ascii="Book Antiqua" w:eastAsia="Calibri" w:hAnsi="Book Antiqua" w:cs="Arial"/>
          <w:sz w:val="24"/>
          <w:szCs w:val="24"/>
        </w:rPr>
        <w:t xml:space="preserve">El Juzgado de Niñez y Adolescencia, solicitó a esta Dirección la valoración de especializar una persona </w:t>
      </w:r>
      <w:r>
        <w:rPr>
          <w:rFonts w:ascii="Book Antiqua" w:eastAsia="Calibri" w:hAnsi="Book Antiqua" w:cs="Arial"/>
          <w:sz w:val="24"/>
          <w:szCs w:val="24"/>
        </w:rPr>
        <w:t>T</w:t>
      </w:r>
      <w:r w:rsidRPr="00EF57E6">
        <w:rPr>
          <w:rFonts w:ascii="Book Antiqua" w:eastAsia="Calibri" w:hAnsi="Book Antiqua" w:cs="Arial"/>
          <w:sz w:val="24"/>
          <w:szCs w:val="24"/>
        </w:rPr>
        <w:t xml:space="preserve">écnica </w:t>
      </w:r>
      <w:r>
        <w:rPr>
          <w:rFonts w:ascii="Book Antiqua" w:eastAsia="Calibri" w:hAnsi="Book Antiqua" w:cs="Arial"/>
          <w:sz w:val="24"/>
          <w:szCs w:val="24"/>
        </w:rPr>
        <w:t>J</w:t>
      </w:r>
      <w:r w:rsidRPr="00EF57E6">
        <w:rPr>
          <w:rFonts w:ascii="Book Antiqua" w:eastAsia="Calibri" w:hAnsi="Book Antiqua" w:cs="Arial"/>
          <w:sz w:val="24"/>
          <w:szCs w:val="24"/>
        </w:rPr>
        <w:t>udicial en la tramitación de Adopciones Internacionales</w:t>
      </w:r>
      <w:r>
        <w:rPr>
          <w:rFonts w:ascii="Book Antiqua" w:eastAsia="Calibri" w:hAnsi="Book Antiqua" w:cs="Arial"/>
          <w:sz w:val="24"/>
          <w:szCs w:val="24"/>
        </w:rPr>
        <w:t>, debido a que el Juzgado contaba con esta figura</w:t>
      </w:r>
      <w:r w:rsidR="005F07B6">
        <w:rPr>
          <w:rFonts w:ascii="Book Antiqua" w:eastAsia="Calibri" w:hAnsi="Book Antiqua" w:cs="Arial"/>
          <w:sz w:val="24"/>
          <w:szCs w:val="24"/>
        </w:rPr>
        <w:t xml:space="preserve">; sin embargo, durante </w:t>
      </w:r>
      <w:r>
        <w:rPr>
          <w:rFonts w:ascii="Book Antiqua" w:eastAsia="Calibri" w:hAnsi="Book Antiqua" w:cs="Arial"/>
          <w:sz w:val="24"/>
          <w:szCs w:val="24"/>
        </w:rPr>
        <w:t xml:space="preserve">el abordaje que se </w:t>
      </w:r>
      <w:r w:rsidR="005F07B6">
        <w:rPr>
          <w:rFonts w:ascii="Book Antiqua" w:eastAsia="Calibri" w:hAnsi="Book Antiqua" w:cs="Arial"/>
          <w:sz w:val="24"/>
          <w:szCs w:val="24"/>
        </w:rPr>
        <w:t xml:space="preserve">realizó con el proyecto </w:t>
      </w:r>
      <w:r w:rsidR="005F07B6" w:rsidRPr="005F07B6">
        <w:rPr>
          <w:rFonts w:ascii="Book Antiqua" w:eastAsia="Calibri" w:hAnsi="Book Antiqua" w:cs="Arial"/>
          <w:sz w:val="24"/>
          <w:szCs w:val="24"/>
        </w:rPr>
        <w:t>1374-CF-P01</w:t>
      </w:r>
      <w:r w:rsidR="005F07B6">
        <w:rPr>
          <w:rFonts w:ascii="Book Antiqua" w:eastAsia="Calibri" w:hAnsi="Book Antiqua" w:cs="Arial"/>
          <w:sz w:val="24"/>
          <w:szCs w:val="24"/>
        </w:rPr>
        <w:t xml:space="preserve"> </w:t>
      </w:r>
      <w:r w:rsidR="005F07B6" w:rsidRPr="005F07B6">
        <w:rPr>
          <w:rFonts w:ascii="Book Antiqua" w:eastAsia="Calibri" w:hAnsi="Book Antiqua" w:cs="Arial"/>
          <w:i/>
          <w:iCs/>
          <w:sz w:val="24"/>
          <w:szCs w:val="24"/>
        </w:rPr>
        <w:t>“Implementación del Código Procesal de Familia”</w:t>
      </w:r>
      <w:r w:rsidR="005F07B6">
        <w:rPr>
          <w:rFonts w:ascii="Book Antiqua" w:eastAsia="Calibri" w:hAnsi="Book Antiqua" w:cs="Arial"/>
          <w:sz w:val="24"/>
          <w:szCs w:val="24"/>
        </w:rPr>
        <w:t xml:space="preserve">, mediante oficio </w:t>
      </w:r>
      <w:r w:rsidR="005F07B6" w:rsidRPr="005F07B6">
        <w:rPr>
          <w:rFonts w:ascii="Book Antiqua" w:eastAsia="Calibri" w:hAnsi="Book Antiqua" w:cs="Arial"/>
          <w:sz w:val="24"/>
          <w:szCs w:val="24"/>
        </w:rPr>
        <w:t>21-PLA-EV-2021, aprobado por el Consejo Superior en la sesión 07-2021 del 26 de enero de 2021, artículo XLV</w:t>
      </w:r>
      <w:r w:rsidR="005F07B6">
        <w:rPr>
          <w:rFonts w:ascii="Book Antiqua" w:eastAsia="Calibri" w:hAnsi="Book Antiqua" w:cs="Arial"/>
          <w:sz w:val="24"/>
          <w:szCs w:val="24"/>
        </w:rPr>
        <w:t>, se modificó la estructura del despacho de manera que todas las personas técnicas judiciales conozcan todos los procesos y no se tenga un recurso especializado</w:t>
      </w:r>
      <w:r>
        <w:rPr>
          <w:rFonts w:ascii="Book Antiqua" w:eastAsia="Calibri" w:hAnsi="Book Antiqua" w:cs="Arial"/>
          <w:sz w:val="24"/>
          <w:szCs w:val="24"/>
        </w:rPr>
        <w:t>.</w:t>
      </w:r>
    </w:p>
    <w:p w14:paraId="45664AEA" w14:textId="296D40F5" w:rsidR="00EF57E6" w:rsidRDefault="00EF57E6" w:rsidP="00A04A3D">
      <w:pPr>
        <w:spacing w:line="276" w:lineRule="auto"/>
        <w:jc w:val="both"/>
        <w:rPr>
          <w:rFonts w:ascii="Book Antiqua" w:eastAsia="Calibri" w:hAnsi="Book Antiqua" w:cs="Arial"/>
          <w:sz w:val="24"/>
          <w:szCs w:val="24"/>
        </w:rPr>
      </w:pPr>
      <w:r w:rsidRPr="00EF57E6">
        <w:rPr>
          <w:rFonts w:ascii="Book Antiqua" w:eastAsia="Calibri" w:hAnsi="Book Antiqua" w:cs="Arial"/>
          <w:sz w:val="24"/>
          <w:szCs w:val="24"/>
        </w:rPr>
        <w:t xml:space="preserve">En el siguiente cuadro se visualiza la cantidad de casos entrados relacionados con los procesos de </w:t>
      </w:r>
      <w:r w:rsidR="005F07B6">
        <w:rPr>
          <w:rFonts w:ascii="Book Antiqua" w:eastAsia="Calibri" w:hAnsi="Book Antiqua" w:cs="Arial"/>
          <w:sz w:val="24"/>
          <w:szCs w:val="24"/>
        </w:rPr>
        <w:t>A</w:t>
      </w:r>
      <w:r w:rsidRPr="00EF57E6">
        <w:rPr>
          <w:rFonts w:ascii="Book Antiqua" w:eastAsia="Calibri" w:hAnsi="Book Antiqua" w:cs="Arial"/>
          <w:sz w:val="24"/>
          <w:szCs w:val="24"/>
        </w:rPr>
        <w:t xml:space="preserve">dopciones </w:t>
      </w:r>
      <w:r w:rsidR="005F07B6">
        <w:rPr>
          <w:rFonts w:ascii="Book Antiqua" w:eastAsia="Calibri" w:hAnsi="Book Antiqua" w:cs="Arial"/>
          <w:sz w:val="24"/>
          <w:szCs w:val="24"/>
        </w:rPr>
        <w:t>I</w:t>
      </w:r>
      <w:r w:rsidRPr="00EF57E6">
        <w:rPr>
          <w:rFonts w:ascii="Book Antiqua" w:eastAsia="Calibri" w:hAnsi="Book Antiqua" w:cs="Arial"/>
          <w:sz w:val="24"/>
          <w:szCs w:val="24"/>
        </w:rPr>
        <w:t>nternaciones que se tramita</w:t>
      </w:r>
      <w:r w:rsidR="005F07B6">
        <w:rPr>
          <w:rFonts w:ascii="Book Antiqua" w:eastAsia="Calibri" w:hAnsi="Book Antiqua" w:cs="Arial"/>
          <w:sz w:val="24"/>
          <w:szCs w:val="24"/>
        </w:rPr>
        <w:t>ro</w:t>
      </w:r>
      <w:r w:rsidRPr="00EF57E6">
        <w:rPr>
          <w:rFonts w:ascii="Book Antiqua" w:eastAsia="Calibri" w:hAnsi="Book Antiqua" w:cs="Arial"/>
          <w:sz w:val="24"/>
          <w:szCs w:val="24"/>
        </w:rPr>
        <w:t>n en el Juzgado de Niñez y Adolescencia, durante el periodo del 2019 al 2022</w:t>
      </w:r>
      <w:r w:rsidR="005F07B6">
        <w:rPr>
          <w:rFonts w:ascii="Book Antiqua" w:eastAsia="Calibri" w:hAnsi="Book Antiqua" w:cs="Arial"/>
          <w:sz w:val="24"/>
          <w:szCs w:val="24"/>
        </w:rPr>
        <w:t>:</w:t>
      </w:r>
    </w:p>
    <w:p w14:paraId="22E8F1B8" w14:textId="43D6E368" w:rsidR="00481292" w:rsidRPr="000330F0"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37</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78002F2C" w14:textId="7A56AF69" w:rsidR="005F07B6" w:rsidRPr="005F07B6" w:rsidRDefault="005F07B6" w:rsidP="005F07B6">
      <w:pPr>
        <w:spacing w:after="0" w:line="276" w:lineRule="auto"/>
        <w:jc w:val="center"/>
        <w:rPr>
          <w:rFonts w:ascii="Book Antiqua" w:eastAsia="Calibri" w:hAnsi="Book Antiqua" w:cs="Arial"/>
          <w:b/>
          <w:bCs/>
          <w:color w:val="1F497D"/>
          <w:szCs w:val="24"/>
          <w:lang w:val="es-ES" w:eastAsia="es-ES"/>
        </w:rPr>
      </w:pPr>
      <w:bookmarkStart w:id="50" w:name="_Hlk96507084"/>
      <w:r w:rsidRPr="005F07B6">
        <w:rPr>
          <w:rFonts w:ascii="Book Antiqua" w:eastAsia="Calibri" w:hAnsi="Book Antiqua" w:cs="Arial"/>
          <w:b/>
          <w:bCs/>
          <w:color w:val="1F497D"/>
          <w:szCs w:val="24"/>
          <w:lang w:val="es-ES" w:eastAsia="es-ES"/>
        </w:rPr>
        <w:t>Cantidad de casos entrados en el proceso de Adopción Internacional del</w:t>
      </w:r>
    </w:p>
    <w:p w14:paraId="74624DFC" w14:textId="6A943A84" w:rsidR="005F07B6" w:rsidRDefault="005F07B6" w:rsidP="005F07B6">
      <w:pPr>
        <w:spacing w:after="0" w:line="276" w:lineRule="auto"/>
        <w:jc w:val="center"/>
        <w:rPr>
          <w:rFonts w:ascii="Book Antiqua" w:eastAsia="Calibri" w:hAnsi="Book Antiqua" w:cs="Arial"/>
          <w:b/>
          <w:bCs/>
          <w:color w:val="1F497D"/>
          <w:szCs w:val="24"/>
          <w:lang w:val="es-ES" w:eastAsia="es-ES"/>
        </w:rPr>
      </w:pPr>
      <w:r w:rsidRPr="005F07B6">
        <w:rPr>
          <w:rFonts w:ascii="Book Antiqua" w:eastAsia="Calibri" w:hAnsi="Book Antiqua" w:cs="Arial"/>
          <w:b/>
          <w:bCs/>
          <w:color w:val="1F497D"/>
          <w:szCs w:val="24"/>
          <w:lang w:val="es-ES" w:eastAsia="es-ES"/>
        </w:rPr>
        <w:t>Juzgado de Niñez y Adolescencia, 2019 al 2022</w:t>
      </w:r>
    </w:p>
    <w:tbl>
      <w:tblPr>
        <w:tblW w:w="5000" w:type="pct"/>
        <w:tblCellMar>
          <w:left w:w="70" w:type="dxa"/>
          <w:right w:w="70" w:type="dxa"/>
        </w:tblCellMar>
        <w:tblLook w:val="04A0" w:firstRow="1" w:lastRow="0" w:firstColumn="1" w:lastColumn="0" w:noHBand="0" w:noVBand="1"/>
      </w:tblPr>
      <w:tblGrid>
        <w:gridCol w:w="2547"/>
        <w:gridCol w:w="774"/>
        <w:gridCol w:w="791"/>
        <w:gridCol w:w="740"/>
        <w:gridCol w:w="907"/>
        <w:gridCol w:w="907"/>
        <w:gridCol w:w="1030"/>
        <w:gridCol w:w="1096"/>
      </w:tblGrid>
      <w:tr w:rsidR="005F07B6" w:rsidRPr="005F07B6" w14:paraId="2203AB20" w14:textId="77777777" w:rsidTr="005F07B6">
        <w:trPr>
          <w:trHeight w:val="800"/>
        </w:trPr>
        <w:tc>
          <w:tcPr>
            <w:tcW w:w="1449" w:type="pct"/>
            <w:tcBorders>
              <w:top w:val="double" w:sz="6" w:space="0" w:color="1F497D"/>
              <w:left w:val="double" w:sz="6" w:space="0" w:color="1F497D"/>
              <w:bottom w:val="nil"/>
              <w:right w:val="double" w:sz="6" w:space="0" w:color="1F497D"/>
            </w:tcBorders>
            <w:shd w:val="clear" w:color="auto" w:fill="002060"/>
            <w:vAlign w:val="center"/>
            <w:hideMark/>
          </w:tcPr>
          <w:p w14:paraId="179CDDF1"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r w:rsidRPr="005F07B6">
              <w:rPr>
                <w:rFonts w:ascii="Book Antiqua" w:eastAsia="Times New Roman" w:hAnsi="Book Antiqua" w:cs="Calibri"/>
                <w:b/>
                <w:bCs/>
                <w:color w:val="FFFFFF"/>
                <w:sz w:val="20"/>
                <w:szCs w:val="20"/>
                <w:lang w:eastAsia="es-CR"/>
              </w:rPr>
              <w:t>Tipo de Proceso</w:t>
            </w:r>
          </w:p>
        </w:tc>
        <w:tc>
          <w:tcPr>
            <w:tcW w:w="440" w:type="pct"/>
            <w:tcBorders>
              <w:top w:val="double" w:sz="6" w:space="0" w:color="1F497D"/>
              <w:left w:val="nil"/>
              <w:bottom w:val="nil"/>
              <w:right w:val="double" w:sz="6" w:space="0" w:color="1F497D"/>
            </w:tcBorders>
            <w:shd w:val="clear" w:color="auto" w:fill="002060"/>
            <w:vAlign w:val="center"/>
            <w:hideMark/>
          </w:tcPr>
          <w:p w14:paraId="77FB196D"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r w:rsidRPr="005F07B6">
              <w:rPr>
                <w:rFonts w:ascii="Book Antiqua" w:eastAsia="Times New Roman" w:hAnsi="Book Antiqua" w:cs="Calibri"/>
                <w:b/>
                <w:bCs/>
                <w:color w:val="FFFFFF"/>
                <w:sz w:val="20"/>
                <w:szCs w:val="20"/>
                <w:lang w:eastAsia="es-CR"/>
              </w:rPr>
              <w:t>2019</w:t>
            </w:r>
          </w:p>
        </w:tc>
        <w:tc>
          <w:tcPr>
            <w:tcW w:w="450" w:type="pct"/>
            <w:tcBorders>
              <w:top w:val="double" w:sz="6" w:space="0" w:color="1F497D"/>
              <w:left w:val="nil"/>
              <w:bottom w:val="nil"/>
              <w:right w:val="double" w:sz="6" w:space="0" w:color="1F497D"/>
            </w:tcBorders>
            <w:shd w:val="clear" w:color="auto" w:fill="002060"/>
            <w:vAlign w:val="center"/>
            <w:hideMark/>
          </w:tcPr>
          <w:p w14:paraId="770B513F"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r w:rsidRPr="005F07B6">
              <w:rPr>
                <w:rFonts w:ascii="Book Antiqua" w:eastAsia="Times New Roman" w:hAnsi="Book Antiqua" w:cs="Calibri"/>
                <w:b/>
                <w:bCs/>
                <w:color w:val="FFFFFF"/>
                <w:sz w:val="20"/>
                <w:szCs w:val="20"/>
                <w:lang w:eastAsia="es-CR"/>
              </w:rPr>
              <w:t>2020</w:t>
            </w:r>
          </w:p>
        </w:tc>
        <w:tc>
          <w:tcPr>
            <w:tcW w:w="421" w:type="pct"/>
            <w:tcBorders>
              <w:top w:val="double" w:sz="6" w:space="0" w:color="1F497D"/>
              <w:left w:val="nil"/>
              <w:bottom w:val="nil"/>
              <w:right w:val="double" w:sz="6" w:space="0" w:color="1F497D"/>
            </w:tcBorders>
            <w:shd w:val="clear" w:color="auto" w:fill="002060"/>
            <w:vAlign w:val="center"/>
            <w:hideMark/>
          </w:tcPr>
          <w:p w14:paraId="0838D866"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r w:rsidRPr="005F07B6">
              <w:rPr>
                <w:rFonts w:ascii="Book Antiqua" w:eastAsia="Times New Roman" w:hAnsi="Book Antiqua" w:cs="Calibri"/>
                <w:b/>
                <w:bCs/>
                <w:color w:val="FFFFFF"/>
                <w:sz w:val="20"/>
                <w:szCs w:val="20"/>
                <w:lang w:eastAsia="es-CR"/>
              </w:rPr>
              <w:t>2021</w:t>
            </w:r>
          </w:p>
        </w:tc>
        <w:tc>
          <w:tcPr>
            <w:tcW w:w="516" w:type="pct"/>
            <w:tcBorders>
              <w:top w:val="double" w:sz="6" w:space="0" w:color="1F497D"/>
              <w:left w:val="nil"/>
              <w:bottom w:val="double" w:sz="6" w:space="0" w:color="1F497D"/>
              <w:right w:val="double" w:sz="6" w:space="0" w:color="1F497D"/>
            </w:tcBorders>
            <w:shd w:val="clear" w:color="auto" w:fill="002060"/>
          </w:tcPr>
          <w:p w14:paraId="07D273EF"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p>
          <w:p w14:paraId="2FB6581D"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r w:rsidRPr="005F07B6">
              <w:rPr>
                <w:rFonts w:ascii="Book Antiqua" w:eastAsia="Times New Roman" w:hAnsi="Book Antiqua" w:cs="Calibri"/>
                <w:b/>
                <w:bCs/>
                <w:color w:val="FFFFFF"/>
                <w:sz w:val="20"/>
                <w:szCs w:val="20"/>
                <w:lang w:eastAsia="es-CR"/>
              </w:rPr>
              <w:t>2022</w:t>
            </w:r>
          </w:p>
        </w:tc>
        <w:tc>
          <w:tcPr>
            <w:tcW w:w="516" w:type="pct"/>
            <w:tcBorders>
              <w:top w:val="double" w:sz="6" w:space="0" w:color="1F497D"/>
              <w:left w:val="double" w:sz="6" w:space="0" w:color="1F497D"/>
              <w:bottom w:val="nil"/>
              <w:right w:val="double" w:sz="6" w:space="0" w:color="1F497D"/>
            </w:tcBorders>
            <w:shd w:val="clear" w:color="auto" w:fill="002060"/>
            <w:vAlign w:val="center"/>
            <w:hideMark/>
          </w:tcPr>
          <w:p w14:paraId="015F2489"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r w:rsidRPr="005F07B6">
              <w:rPr>
                <w:rFonts w:ascii="Book Antiqua" w:eastAsia="Times New Roman" w:hAnsi="Book Antiqua" w:cs="Calibri"/>
                <w:b/>
                <w:bCs/>
                <w:color w:val="FFFFFF"/>
                <w:sz w:val="20"/>
                <w:szCs w:val="20"/>
                <w:lang w:eastAsia="es-CR"/>
              </w:rPr>
              <w:t xml:space="preserve"> </w:t>
            </w:r>
            <w:r w:rsidRPr="005F07B6">
              <w:rPr>
                <w:rFonts w:ascii="Book Antiqua" w:eastAsia="Times New Roman" w:hAnsi="Book Antiqua" w:cs="Calibri"/>
                <w:b/>
                <w:bCs/>
                <w:color w:val="FFFFFF"/>
                <w:sz w:val="20"/>
                <w:szCs w:val="20"/>
                <w:lang w:eastAsia="es-CR"/>
              </w:rPr>
              <w:br/>
              <w:t xml:space="preserve"> Total</w:t>
            </w:r>
            <w:r w:rsidRPr="005F07B6">
              <w:rPr>
                <w:rFonts w:ascii="Book Antiqua" w:eastAsia="Times New Roman" w:hAnsi="Book Antiqua" w:cs="Calibri"/>
                <w:b/>
                <w:bCs/>
                <w:color w:val="FFFFFF"/>
                <w:sz w:val="20"/>
                <w:szCs w:val="20"/>
                <w:lang w:eastAsia="es-CR"/>
              </w:rPr>
              <w:br/>
              <w:t xml:space="preserve"> </w:t>
            </w:r>
          </w:p>
        </w:tc>
        <w:tc>
          <w:tcPr>
            <w:tcW w:w="586" w:type="pct"/>
            <w:tcBorders>
              <w:top w:val="double" w:sz="6" w:space="0" w:color="1F497D"/>
              <w:left w:val="nil"/>
              <w:bottom w:val="nil"/>
              <w:right w:val="double" w:sz="6" w:space="0" w:color="1F497D"/>
            </w:tcBorders>
            <w:shd w:val="clear" w:color="auto" w:fill="002060"/>
            <w:vAlign w:val="center"/>
            <w:hideMark/>
          </w:tcPr>
          <w:p w14:paraId="3A0940A3"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r w:rsidRPr="005F07B6">
              <w:rPr>
                <w:rFonts w:ascii="Book Antiqua" w:eastAsia="Times New Roman" w:hAnsi="Book Antiqua" w:cs="Calibri"/>
                <w:b/>
                <w:bCs/>
                <w:color w:val="FFFFFF"/>
                <w:sz w:val="20"/>
                <w:szCs w:val="20"/>
                <w:lang w:eastAsia="es-CR"/>
              </w:rPr>
              <w:t xml:space="preserve">Promedio mensual </w:t>
            </w:r>
          </w:p>
        </w:tc>
        <w:tc>
          <w:tcPr>
            <w:tcW w:w="623" w:type="pct"/>
            <w:tcBorders>
              <w:top w:val="double" w:sz="6" w:space="0" w:color="1F497D"/>
              <w:left w:val="nil"/>
              <w:bottom w:val="nil"/>
              <w:right w:val="double" w:sz="6" w:space="0" w:color="1F497D"/>
            </w:tcBorders>
            <w:shd w:val="clear" w:color="auto" w:fill="002060"/>
            <w:vAlign w:val="center"/>
            <w:hideMark/>
          </w:tcPr>
          <w:p w14:paraId="10016EC8" w14:textId="77777777" w:rsidR="005F07B6" w:rsidRPr="005F07B6" w:rsidRDefault="005F07B6" w:rsidP="005F07B6">
            <w:pPr>
              <w:spacing w:after="0" w:line="276" w:lineRule="auto"/>
              <w:jc w:val="center"/>
              <w:rPr>
                <w:rFonts w:ascii="Book Antiqua" w:eastAsia="Times New Roman" w:hAnsi="Book Antiqua" w:cs="Calibri"/>
                <w:b/>
                <w:bCs/>
                <w:color w:val="FFFFFF"/>
                <w:sz w:val="20"/>
                <w:szCs w:val="20"/>
                <w:lang w:eastAsia="es-CR"/>
              </w:rPr>
            </w:pPr>
            <w:r w:rsidRPr="005F07B6">
              <w:rPr>
                <w:rFonts w:ascii="Book Antiqua" w:eastAsia="Times New Roman" w:hAnsi="Book Antiqua" w:cs="Calibri"/>
                <w:b/>
                <w:bCs/>
                <w:color w:val="FFFFFF"/>
                <w:sz w:val="20"/>
                <w:szCs w:val="20"/>
                <w:lang w:eastAsia="es-CR"/>
              </w:rPr>
              <w:t xml:space="preserve">Porcentaje </w:t>
            </w:r>
          </w:p>
        </w:tc>
      </w:tr>
      <w:tr w:rsidR="005F07B6" w:rsidRPr="005F07B6" w14:paraId="30363F44" w14:textId="77777777" w:rsidTr="005F07B6">
        <w:trPr>
          <w:trHeight w:val="330"/>
        </w:trPr>
        <w:tc>
          <w:tcPr>
            <w:tcW w:w="14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8B482" w14:textId="77777777" w:rsidR="005F07B6" w:rsidRPr="005F07B6" w:rsidRDefault="005F07B6" w:rsidP="005F07B6">
            <w:pPr>
              <w:spacing w:after="0" w:line="276" w:lineRule="auto"/>
              <w:rPr>
                <w:rFonts w:ascii="Book Antiqua" w:eastAsia="Times New Roman" w:hAnsi="Book Antiqua" w:cs="Calibri"/>
                <w:sz w:val="20"/>
                <w:szCs w:val="20"/>
                <w:lang w:eastAsia="es-CR"/>
              </w:rPr>
            </w:pPr>
            <w:r w:rsidRPr="005F07B6">
              <w:rPr>
                <w:rFonts w:ascii="Book Antiqua" w:eastAsia="Times New Roman" w:hAnsi="Book Antiqua" w:cs="Calibri"/>
                <w:sz w:val="20"/>
                <w:szCs w:val="20"/>
                <w:lang w:eastAsia="es-CR"/>
              </w:rPr>
              <w:t>Adopción Internacional</w:t>
            </w:r>
          </w:p>
        </w:tc>
        <w:tc>
          <w:tcPr>
            <w:tcW w:w="440" w:type="pct"/>
            <w:tcBorders>
              <w:top w:val="double" w:sz="6" w:space="0" w:color="1F497D"/>
              <w:left w:val="nil"/>
              <w:bottom w:val="double" w:sz="6" w:space="0" w:color="1F497D"/>
              <w:right w:val="double" w:sz="6" w:space="0" w:color="1F497D"/>
            </w:tcBorders>
            <w:shd w:val="clear" w:color="000000" w:fill="FFFFFF"/>
            <w:vAlign w:val="center"/>
            <w:hideMark/>
          </w:tcPr>
          <w:p w14:paraId="0BC19674" w14:textId="77777777" w:rsidR="005F07B6" w:rsidRPr="005F07B6" w:rsidRDefault="005F07B6" w:rsidP="005F07B6">
            <w:pPr>
              <w:spacing w:after="0" w:line="276" w:lineRule="auto"/>
              <w:jc w:val="center"/>
              <w:rPr>
                <w:rFonts w:ascii="Book Antiqua" w:eastAsia="Times New Roman" w:hAnsi="Book Antiqua" w:cs="Calibri"/>
                <w:color w:val="000000"/>
                <w:sz w:val="20"/>
                <w:szCs w:val="20"/>
                <w:lang w:eastAsia="es-CR"/>
              </w:rPr>
            </w:pPr>
            <w:r w:rsidRPr="005F07B6">
              <w:rPr>
                <w:rFonts w:ascii="Book Antiqua" w:eastAsia="Times New Roman" w:hAnsi="Book Antiqua" w:cs="Calibri"/>
                <w:color w:val="000000"/>
                <w:sz w:val="20"/>
                <w:szCs w:val="20"/>
                <w:lang w:eastAsia="es-CR"/>
              </w:rPr>
              <w:t>10</w:t>
            </w:r>
          </w:p>
        </w:tc>
        <w:tc>
          <w:tcPr>
            <w:tcW w:w="450" w:type="pct"/>
            <w:tcBorders>
              <w:top w:val="double" w:sz="6" w:space="0" w:color="1F497D"/>
              <w:left w:val="nil"/>
              <w:bottom w:val="double" w:sz="6" w:space="0" w:color="1F497D"/>
              <w:right w:val="double" w:sz="6" w:space="0" w:color="1F497D"/>
            </w:tcBorders>
            <w:shd w:val="clear" w:color="000000" w:fill="FFFFFF"/>
            <w:vAlign w:val="center"/>
            <w:hideMark/>
          </w:tcPr>
          <w:p w14:paraId="1CB58E9A" w14:textId="77777777" w:rsidR="005F07B6" w:rsidRPr="005F07B6" w:rsidRDefault="005F07B6" w:rsidP="005F07B6">
            <w:pPr>
              <w:spacing w:after="0" w:line="276" w:lineRule="auto"/>
              <w:jc w:val="center"/>
              <w:rPr>
                <w:rFonts w:ascii="Book Antiqua" w:eastAsia="Times New Roman" w:hAnsi="Book Antiqua" w:cs="Calibri"/>
                <w:color w:val="000000"/>
                <w:sz w:val="20"/>
                <w:szCs w:val="20"/>
                <w:lang w:eastAsia="es-CR"/>
              </w:rPr>
            </w:pPr>
            <w:r w:rsidRPr="005F07B6">
              <w:rPr>
                <w:rFonts w:ascii="Book Antiqua" w:eastAsia="Times New Roman" w:hAnsi="Book Antiqua" w:cs="Calibri"/>
                <w:color w:val="000000"/>
                <w:sz w:val="20"/>
                <w:szCs w:val="20"/>
                <w:lang w:eastAsia="es-CR"/>
              </w:rPr>
              <w:t>14</w:t>
            </w:r>
          </w:p>
        </w:tc>
        <w:tc>
          <w:tcPr>
            <w:tcW w:w="421" w:type="pct"/>
            <w:tcBorders>
              <w:top w:val="double" w:sz="6" w:space="0" w:color="1F497D"/>
              <w:left w:val="nil"/>
              <w:bottom w:val="double" w:sz="6" w:space="0" w:color="1F497D"/>
              <w:right w:val="double" w:sz="6" w:space="0" w:color="1F497D"/>
            </w:tcBorders>
            <w:shd w:val="clear" w:color="000000" w:fill="FFFFFF"/>
            <w:vAlign w:val="center"/>
            <w:hideMark/>
          </w:tcPr>
          <w:p w14:paraId="7C2C65BA" w14:textId="77777777" w:rsidR="005F07B6" w:rsidRPr="005F07B6" w:rsidRDefault="005F07B6" w:rsidP="005F07B6">
            <w:pPr>
              <w:spacing w:after="0" w:line="276" w:lineRule="auto"/>
              <w:jc w:val="center"/>
              <w:rPr>
                <w:rFonts w:ascii="Book Antiqua" w:eastAsia="Times New Roman" w:hAnsi="Book Antiqua" w:cs="Calibri"/>
                <w:color w:val="000000"/>
                <w:sz w:val="20"/>
                <w:szCs w:val="20"/>
                <w:lang w:eastAsia="es-CR"/>
              </w:rPr>
            </w:pPr>
            <w:r w:rsidRPr="005F07B6">
              <w:rPr>
                <w:rFonts w:ascii="Book Antiqua" w:eastAsia="Times New Roman" w:hAnsi="Book Antiqua" w:cs="Calibri"/>
                <w:color w:val="000000"/>
                <w:sz w:val="20"/>
                <w:szCs w:val="20"/>
                <w:lang w:eastAsia="es-CR"/>
              </w:rPr>
              <w:t>3</w:t>
            </w:r>
          </w:p>
        </w:tc>
        <w:tc>
          <w:tcPr>
            <w:tcW w:w="516" w:type="pct"/>
            <w:tcBorders>
              <w:top w:val="double" w:sz="6" w:space="0" w:color="1F497D"/>
              <w:left w:val="nil"/>
              <w:bottom w:val="double" w:sz="6" w:space="0" w:color="1F497D"/>
              <w:right w:val="double" w:sz="6" w:space="0" w:color="1F497D"/>
            </w:tcBorders>
            <w:shd w:val="clear" w:color="000000" w:fill="FFFFFF"/>
          </w:tcPr>
          <w:p w14:paraId="4E477F93" w14:textId="77777777" w:rsidR="005F07B6" w:rsidRPr="005F07B6" w:rsidRDefault="005F07B6" w:rsidP="005F07B6">
            <w:pPr>
              <w:spacing w:after="0" w:line="276" w:lineRule="auto"/>
              <w:jc w:val="center"/>
              <w:rPr>
                <w:rFonts w:ascii="Book Antiqua" w:eastAsia="Times New Roman" w:hAnsi="Book Antiqua" w:cs="Calibri"/>
                <w:color w:val="000000"/>
                <w:sz w:val="20"/>
                <w:szCs w:val="20"/>
                <w:lang w:eastAsia="es-CR"/>
              </w:rPr>
            </w:pPr>
            <w:r w:rsidRPr="005F07B6">
              <w:rPr>
                <w:rFonts w:ascii="Book Antiqua" w:eastAsia="Times New Roman" w:hAnsi="Book Antiqua" w:cs="Calibri"/>
                <w:color w:val="000000"/>
                <w:sz w:val="20"/>
                <w:szCs w:val="20"/>
                <w:lang w:eastAsia="es-CR"/>
              </w:rPr>
              <w:t>7</w:t>
            </w:r>
          </w:p>
        </w:tc>
        <w:tc>
          <w:tcPr>
            <w:tcW w:w="516" w:type="pct"/>
            <w:tcBorders>
              <w:top w:val="double" w:sz="6" w:space="0" w:color="1F497D"/>
              <w:left w:val="double" w:sz="6" w:space="0" w:color="1F497D"/>
              <w:bottom w:val="double" w:sz="6" w:space="0" w:color="1F497D"/>
              <w:right w:val="double" w:sz="6" w:space="0" w:color="1F497D"/>
            </w:tcBorders>
            <w:shd w:val="clear" w:color="000000" w:fill="FFFFFF"/>
            <w:vAlign w:val="center"/>
            <w:hideMark/>
          </w:tcPr>
          <w:p w14:paraId="27F61B52" w14:textId="77777777" w:rsidR="005F07B6" w:rsidRPr="005F07B6" w:rsidRDefault="005F07B6" w:rsidP="005F07B6">
            <w:pPr>
              <w:spacing w:after="0" w:line="276" w:lineRule="auto"/>
              <w:jc w:val="center"/>
              <w:rPr>
                <w:rFonts w:ascii="Book Antiqua" w:eastAsia="Times New Roman" w:hAnsi="Book Antiqua" w:cs="Calibri"/>
                <w:color w:val="000000"/>
                <w:sz w:val="20"/>
                <w:szCs w:val="20"/>
                <w:lang w:eastAsia="es-CR"/>
              </w:rPr>
            </w:pPr>
            <w:r w:rsidRPr="005F07B6">
              <w:rPr>
                <w:rFonts w:ascii="Book Antiqua" w:eastAsia="Times New Roman" w:hAnsi="Book Antiqua" w:cs="Calibri"/>
                <w:color w:val="000000"/>
                <w:sz w:val="20"/>
                <w:szCs w:val="20"/>
                <w:lang w:eastAsia="es-CR"/>
              </w:rPr>
              <w:t>34</w:t>
            </w:r>
          </w:p>
        </w:tc>
        <w:tc>
          <w:tcPr>
            <w:tcW w:w="586" w:type="pct"/>
            <w:tcBorders>
              <w:top w:val="double" w:sz="6" w:space="0" w:color="1F497D"/>
              <w:left w:val="nil"/>
              <w:bottom w:val="double" w:sz="6" w:space="0" w:color="1F497D"/>
              <w:right w:val="double" w:sz="6" w:space="0" w:color="1F497D"/>
            </w:tcBorders>
            <w:shd w:val="clear" w:color="000000" w:fill="FFFFFF"/>
            <w:vAlign w:val="center"/>
            <w:hideMark/>
          </w:tcPr>
          <w:p w14:paraId="2782E85D" w14:textId="77777777" w:rsidR="005F07B6" w:rsidRPr="005F07B6" w:rsidRDefault="005F07B6" w:rsidP="005F07B6">
            <w:pPr>
              <w:spacing w:after="0" w:line="276" w:lineRule="auto"/>
              <w:jc w:val="center"/>
              <w:rPr>
                <w:rFonts w:ascii="Book Antiqua" w:eastAsia="Times New Roman" w:hAnsi="Book Antiqua" w:cs="Calibri"/>
                <w:color w:val="000000"/>
                <w:sz w:val="20"/>
                <w:szCs w:val="20"/>
                <w:lang w:eastAsia="es-CR"/>
              </w:rPr>
            </w:pPr>
            <w:r w:rsidRPr="005F07B6">
              <w:rPr>
                <w:rFonts w:ascii="Book Antiqua" w:eastAsia="Times New Roman" w:hAnsi="Book Antiqua" w:cs="Calibri"/>
                <w:color w:val="000000"/>
                <w:sz w:val="20"/>
                <w:szCs w:val="20"/>
                <w:lang w:eastAsia="es-CR"/>
              </w:rPr>
              <w:t>1</w:t>
            </w:r>
          </w:p>
        </w:tc>
        <w:tc>
          <w:tcPr>
            <w:tcW w:w="623" w:type="pct"/>
            <w:tcBorders>
              <w:top w:val="double" w:sz="6" w:space="0" w:color="1F497D"/>
              <w:left w:val="nil"/>
              <w:bottom w:val="double" w:sz="6" w:space="0" w:color="1F497D"/>
              <w:right w:val="double" w:sz="6" w:space="0" w:color="1F497D"/>
            </w:tcBorders>
            <w:shd w:val="clear" w:color="000000" w:fill="FFFFFF"/>
            <w:noWrap/>
            <w:vAlign w:val="center"/>
            <w:hideMark/>
          </w:tcPr>
          <w:p w14:paraId="64190DE0" w14:textId="77777777" w:rsidR="005F07B6" w:rsidRPr="005F07B6" w:rsidRDefault="005F07B6" w:rsidP="005F07B6">
            <w:pPr>
              <w:spacing w:after="0" w:line="276" w:lineRule="auto"/>
              <w:jc w:val="center"/>
              <w:rPr>
                <w:rFonts w:ascii="Book Antiqua" w:eastAsia="Times New Roman" w:hAnsi="Book Antiqua" w:cs="Calibri"/>
                <w:b/>
                <w:bCs/>
                <w:color w:val="000000"/>
                <w:sz w:val="20"/>
                <w:szCs w:val="20"/>
                <w:lang w:eastAsia="es-CR"/>
              </w:rPr>
            </w:pPr>
            <w:r w:rsidRPr="005F07B6">
              <w:rPr>
                <w:rFonts w:ascii="Book Antiqua" w:eastAsia="Times New Roman" w:hAnsi="Book Antiqua" w:cs="Calibri"/>
                <w:b/>
                <w:bCs/>
                <w:color w:val="000000"/>
                <w:sz w:val="20"/>
                <w:szCs w:val="20"/>
                <w:lang w:eastAsia="es-CR"/>
              </w:rPr>
              <w:t>1%</w:t>
            </w:r>
          </w:p>
        </w:tc>
      </w:tr>
    </w:tbl>
    <w:p w14:paraId="5849964B" w14:textId="77777777" w:rsidR="005F07B6" w:rsidRDefault="005F07B6" w:rsidP="005F07B6">
      <w:pPr>
        <w:spacing w:after="0" w:line="276" w:lineRule="auto"/>
        <w:jc w:val="both"/>
        <w:rPr>
          <w:rFonts w:ascii="Book Antiqua" w:eastAsia="Calibri" w:hAnsi="Book Antiqua" w:cs="Arial"/>
          <w:sz w:val="24"/>
          <w:szCs w:val="24"/>
        </w:rPr>
      </w:pPr>
      <w:r w:rsidRPr="00F53EAA">
        <w:rPr>
          <w:rFonts w:ascii="Book Antiqua" w:eastAsia="Calibri" w:hAnsi="Book Antiqua" w:cs="Arial"/>
          <w:b/>
          <w:bCs/>
          <w:i/>
          <w:iCs/>
          <w:sz w:val="20"/>
          <w:szCs w:val="20"/>
        </w:rPr>
        <w:t>Fuente:</w:t>
      </w:r>
      <w:r w:rsidRPr="00F07A42">
        <w:rPr>
          <w:rFonts w:ascii="Book Antiqua" w:eastAsia="Calibri" w:hAnsi="Book Antiqua" w:cs="Arial"/>
          <w:i/>
          <w:iCs/>
          <w:sz w:val="20"/>
          <w:szCs w:val="20"/>
        </w:rPr>
        <w:t xml:space="preserve"> </w:t>
      </w:r>
      <w:r>
        <w:rPr>
          <w:rFonts w:ascii="Book Antiqua" w:eastAsia="Calibri" w:hAnsi="Book Antiqua" w:cs="Arial"/>
          <w:i/>
          <w:iCs/>
          <w:sz w:val="20"/>
          <w:szCs w:val="20"/>
        </w:rPr>
        <w:t xml:space="preserve">Subproceso de </w:t>
      </w:r>
      <w:r w:rsidRPr="00F07A42">
        <w:rPr>
          <w:rFonts w:ascii="Book Antiqua" w:eastAsia="Calibri" w:hAnsi="Book Antiqua" w:cs="Arial"/>
          <w:i/>
          <w:iCs/>
          <w:sz w:val="20"/>
          <w:szCs w:val="20"/>
        </w:rPr>
        <w:t>Modernización Institucional</w:t>
      </w:r>
      <w:r>
        <w:rPr>
          <w:rFonts w:ascii="Book Antiqua" w:eastAsia="Calibri" w:hAnsi="Book Antiqua" w:cs="Arial"/>
          <w:i/>
          <w:iCs/>
          <w:sz w:val="20"/>
          <w:szCs w:val="20"/>
        </w:rPr>
        <w:t xml:space="preserve"> con datos del informe de seguimiento del Juzgado de Niñez y Adolescencia.</w:t>
      </w:r>
    </w:p>
    <w:bookmarkEnd w:id="50"/>
    <w:p w14:paraId="3C6BBBE3" w14:textId="2797DA75" w:rsidR="009068DE" w:rsidRDefault="005F07B6" w:rsidP="009068DE">
      <w:pPr>
        <w:spacing w:after="0" w:line="276" w:lineRule="auto"/>
        <w:jc w:val="both"/>
        <w:rPr>
          <w:rFonts w:ascii="Book Antiqua" w:eastAsia="Times New Roman" w:hAnsi="Book Antiqua" w:cs="Arial"/>
          <w:sz w:val="24"/>
          <w:lang w:eastAsia="es-ES"/>
        </w:rPr>
      </w:pPr>
      <w:r>
        <w:rPr>
          <w:rFonts w:ascii="Book Antiqua" w:eastAsia="Times New Roman" w:hAnsi="Book Antiqua" w:cs="Arial"/>
          <w:sz w:val="24"/>
          <w:lang w:eastAsia="es-ES"/>
        </w:rPr>
        <w:t>Para el periodo en análisis, se evidencia para este tipo de procesos</w:t>
      </w:r>
      <w:r w:rsidR="00EE6046">
        <w:rPr>
          <w:rFonts w:ascii="Book Antiqua" w:eastAsia="Times New Roman" w:hAnsi="Book Antiqua" w:cs="Arial"/>
          <w:sz w:val="24"/>
          <w:lang w:eastAsia="es-ES"/>
        </w:rPr>
        <w:t xml:space="preserve"> una entrada de </w:t>
      </w:r>
      <w:r w:rsidRPr="005F07B6">
        <w:rPr>
          <w:rFonts w:ascii="Book Antiqua" w:eastAsia="Times New Roman" w:hAnsi="Book Antiqua" w:cs="Arial"/>
          <w:sz w:val="24"/>
          <w:lang w:eastAsia="es-ES"/>
        </w:rPr>
        <w:t xml:space="preserve">34 casos, </w:t>
      </w:r>
      <w:r w:rsidR="00EE6046">
        <w:rPr>
          <w:rFonts w:ascii="Book Antiqua" w:eastAsia="Times New Roman" w:hAnsi="Book Antiqua" w:cs="Arial"/>
          <w:sz w:val="24"/>
          <w:lang w:eastAsia="es-ES"/>
        </w:rPr>
        <w:t xml:space="preserve">equivalentes a uno por mes; </w:t>
      </w:r>
      <w:r w:rsidRPr="005F07B6">
        <w:rPr>
          <w:rFonts w:ascii="Book Antiqua" w:eastAsia="Times New Roman" w:hAnsi="Book Antiqua" w:cs="Arial"/>
          <w:sz w:val="24"/>
          <w:lang w:eastAsia="es-ES"/>
        </w:rPr>
        <w:t xml:space="preserve">la entrada para este periodo en el despacho fue de 4 399 asuntos, por lo que este tipo de procesos representa un 0,77% de la entrada, al ser un porcentaje de ingreso menor al 1%, se reitera el criterio de esta Dirección de </w:t>
      </w:r>
      <w:r w:rsidRPr="00EE6046">
        <w:rPr>
          <w:rFonts w:ascii="Book Antiqua" w:eastAsia="Times New Roman" w:hAnsi="Book Antiqua" w:cs="Arial"/>
          <w:b/>
          <w:bCs/>
          <w:sz w:val="24"/>
          <w:lang w:eastAsia="es-ES"/>
        </w:rPr>
        <w:t>no especializa</w:t>
      </w:r>
      <w:r w:rsidR="00EE6046" w:rsidRPr="00EE6046">
        <w:rPr>
          <w:rFonts w:ascii="Book Antiqua" w:eastAsia="Times New Roman" w:hAnsi="Book Antiqua" w:cs="Arial"/>
          <w:b/>
          <w:bCs/>
          <w:sz w:val="24"/>
          <w:lang w:eastAsia="es-ES"/>
        </w:rPr>
        <w:t xml:space="preserve">r </w:t>
      </w:r>
      <w:r w:rsidRPr="00EE6046">
        <w:rPr>
          <w:rFonts w:ascii="Book Antiqua" w:eastAsia="Times New Roman" w:hAnsi="Book Antiqua" w:cs="Arial"/>
          <w:b/>
          <w:bCs/>
          <w:sz w:val="24"/>
          <w:lang w:eastAsia="es-ES"/>
        </w:rPr>
        <w:t>una persona para atender el trámite de estos procesos</w:t>
      </w:r>
      <w:r w:rsidRPr="00EE6046">
        <w:rPr>
          <w:rFonts w:ascii="Book Antiqua" w:eastAsia="Times New Roman" w:hAnsi="Book Antiqua" w:cs="Arial"/>
          <w:sz w:val="24"/>
          <w:lang w:eastAsia="es-ES"/>
        </w:rPr>
        <w:t>,</w:t>
      </w:r>
      <w:r w:rsidRPr="005F07B6">
        <w:rPr>
          <w:rFonts w:ascii="Book Antiqua" w:eastAsia="Times New Roman" w:hAnsi="Book Antiqua" w:cs="Arial"/>
          <w:sz w:val="24"/>
          <w:lang w:eastAsia="es-ES"/>
        </w:rPr>
        <w:t xml:space="preserve"> por lo que se confirma lo indicado en el oficio 21-PLA-EV-2021, en el que se estableció una estructura de trámite en la que todas las personas conocerán todos los procesos.</w:t>
      </w:r>
    </w:p>
    <w:p w14:paraId="54BFF670" w14:textId="25FA3114" w:rsidR="00033F56" w:rsidRDefault="00033F56" w:rsidP="00355630">
      <w:pPr>
        <w:spacing w:after="0" w:line="276" w:lineRule="auto"/>
        <w:jc w:val="both"/>
        <w:rPr>
          <w:rFonts w:ascii="Book Antiqua" w:eastAsia="Calibri" w:hAnsi="Book Antiqua" w:cs="Arial"/>
          <w:sz w:val="24"/>
          <w:szCs w:val="24"/>
        </w:rPr>
      </w:pPr>
    </w:p>
    <w:p w14:paraId="63ECDA00" w14:textId="3E4A3EA6" w:rsidR="000426FF" w:rsidRDefault="000426FF" w:rsidP="000426FF">
      <w:pPr>
        <w:spacing w:after="0" w:line="276" w:lineRule="auto"/>
        <w:jc w:val="both"/>
        <w:rPr>
          <w:rFonts w:ascii="Book Antiqua" w:eastAsia="Calibri" w:hAnsi="Book Antiqua" w:cs="Arial"/>
          <w:i/>
          <w:iCs/>
          <w:sz w:val="24"/>
          <w:szCs w:val="24"/>
        </w:rPr>
      </w:pPr>
      <w:r w:rsidRPr="001D0C10">
        <w:rPr>
          <w:rFonts w:ascii="Book Antiqua" w:eastAsia="Calibri" w:hAnsi="Book Antiqua" w:cs="Arial"/>
          <w:b/>
          <w:bCs/>
          <w:sz w:val="24"/>
          <w:szCs w:val="24"/>
        </w:rPr>
        <w:t xml:space="preserve">Atención de la referencia interna </w:t>
      </w:r>
      <w:r w:rsidRPr="0036617F">
        <w:rPr>
          <w:rFonts w:ascii="Book Antiqua" w:eastAsia="Calibri" w:hAnsi="Book Antiqua" w:cs="Arial"/>
          <w:b/>
          <w:bCs/>
          <w:sz w:val="24"/>
          <w:szCs w:val="24"/>
        </w:rPr>
        <w:t>1689-2021</w:t>
      </w:r>
      <w:r w:rsidRPr="001D0C10">
        <w:rPr>
          <w:rFonts w:ascii="Book Antiqua" w:eastAsia="Calibri" w:hAnsi="Book Antiqua" w:cs="Arial"/>
          <w:b/>
          <w:bCs/>
          <w:sz w:val="24"/>
          <w:szCs w:val="24"/>
        </w:rPr>
        <w:t xml:space="preserve">, </w:t>
      </w:r>
      <w:r w:rsidRPr="000426FF">
        <w:rPr>
          <w:rFonts w:ascii="Book Antiqua" w:eastAsia="Calibri" w:hAnsi="Book Antiqua" w:cs="Arial"/>
          <w:sz w:val="24"/>
          <w:szCs w:val="24"/>
        </w:rPr>
        <w:t>relacionada con el</w:t>
      </w:r>
      <w:r w:rsidRPr="001D0C10">
        <w:rPr>
          <w:rFonts w:ascii="Book Antiqua" w:eastAsia="Calibri" w:hAnsi="Book Antiqua" w:cs="Arial"/>
          <w:b/>
          <w:bCs/>
          <w:sz w:val="24"/>
          <w:szCs w:val="24"/>
        </w:rPr>
        <w:t xml:space="preserve"> “</w:t>
      </w:r>
      <w:r w:rsidRPr="001D0C10">
        <w:rPr>
          <w:rFonts w:ascii="Book Antiqua" w:eastAsia="Calibri" w:hAnsi="Book Antiqua" w:cs="Arial"/>
          <w:i/>
          <w:iCs/>
          <w:sz w:val="24"/>
          <w:szCs w:val="24"/>
        </w:rPr>
        <w:t>Análisis de competencia actual del Juzgado de Familia, de Niñez y Adolescencia, respecto a la entrada de casos en el Juzgado de Familia del I Circuito Judicial de la Zona Sur”.</w:t>
      </w:r>
    </w:p>
    <w:p w14:paraId="41524730" w14:textId="77777777" w:rsidR="000426FF" w:rsidRPr="001D0C10" w:rsidRDefault="000426FF" w:rsidP="000426FF">
      <w:pPr>
        <w:spacing w:after="0" w:line="276" w:lineRule="auto"/>
        <w:jc w:val="both"/>
        <w:rPr>
          <w:rFonts w:ascii="Book Antiqua" w:eastAsia="Calibri" w:hAnsi="Book Antiqua" w:cs="Arial"/>
          <w:b/>
          <w:bCs/>
          <w:sz w:val="24"/>
          <w:szCs w:val="24"/>
        </w:rPr>
      </w:pPr>
    </w:p>
    <w:p w14:paraId="09A63804" w14:textId="124C20DF" w:rsidR="00221B46" w:rsidRDefault="000426FF" w:rsidP="000426FF">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 reitera, la propuesta </w:t>
      </w:r>
      <w:r w:rsidR="005346D0">
        <w:rPr>
          <w:rFonts w:ascii="Book Antiqua" w:eastAsia="Calibri" w:hAnsi="Book Antiqua" w:cs="Arial"/>
          <w:sz w:val="24"/>
          <w:szCs w:val="24"/>
        </w:rPr>
        <w:t>que se incluyó en el</w:t>
      </w:r>
      <w:r>
        <w:rPr>
          <w:rFonts w:ascii="Book Antiqua" w:eastAsia="Calibri" w:hAnsi="Book Antiqua" w:cs="Arial"/>
          <w:sz w:val="24"/>
          <w:szCs w:val="24"/>
        </w:rPr>
        <w:t xml:space="preserve"> informe 314-PLA-MI-RH-2022, a Corte Plena</w:t>
      </w:r>
      <w:r w:rsidR="001F5390">
        <w:rPr>
          <w:rFonts w:ascii="Book Antiqua" w:eastAsia="Calibri" w:hAnsi="Book Antiqua" w:cs="Arial"/>
          <w:sz w:val="24"/>
          <w:szCs w:val="24"/>
        </w:rPr>
        <w:t xml:space="preserve">, aprobado en la sesión </w:t>
      </w:r>
      <w:r w:rsidR="00D206D9">
        <w:rPr>
          <w:rFonts w:ascii="Book Antiqua" w:eastAsia="Calibri" w:hAnsi="Book Antiqua" w:cs="Arial"/>
          <w:sz w:val="24"/>
          <w:szCs w:val="24"/>
        </w:rPr>
        <w:t xml:space="preserve">extraordinaria 25-2022 celebrada el 30 de mayo de 2022, artículo VIII y </w:t>
      </w:r>
      <w:r w:rsidR="007A2242">
        <w:rPr>
          <w:rFonts w:ascii="Book Antiqua" w:eastAsia="Calibri" w:hAnsi="Book Antiqua" w:cs="Arial"/>
          <w:sz w:val="24"/>
          <w:szCs w:val="24"/>
        </w:rPr>
        <w:t>sesión 27-2022 del 1 de junio de 2022, artículo II,</w:t>
      </w:r>
      <w:r>
        <w:rPr>
          <w:rFonts w:ascii="Book Antiqua" w:eastAsia="Calibri" w:hAnsi="Book Antiqua" w:cs="Arial"/>
          <w:sz w:val="24"/>
          <w:szCs w:val="24"/>
        </w:rPr>
        <w:t xml:space="preserve"> </w:t>
      </w:r>
      <w:r w:rsidR="007A2242">
        <w:rPr>
          <w:rFonts w:ascii="Book Antiqua" w:eastAsia="Calibri" w:hAnsi="Book Antiqua" w:cs="Arial"/>
          <w:sz w:val="24"/>
          <w:szCs w:val="24"/>
        </w:rPr>
        <w:t xml:space="preserve">sobre </w:t>
      </w:r>
      <w:r w:rsidR="005346D0" w:rsidRPr="005346D0">
        <w:rPr>
          <w:rFonts w:ascii="Book Antiqua" w:eastAsia="Calibri" w:hAnsi="Book Antiqua" w:cs="Arial"/>
          <w:sz w:val="24"/>
          <w:szCs w:val="24"/>
        </w:rPr>
        <w:t>e</w:t>
      </w:r>
      <w:r w:rsidR="007A2242">
        <w:rPr>
          <w:rFonts w:ascii="Book Antiqua" w:eastAsia="Calibri" w:hAnsi="Book Antiqua" w:cs="Arial"/>
          <w:sz w:val="24"/>
          <w:szCs w:val="24"/>
        </w:rPr>
        <w:t>l</w:t>
      </w:r>
      <w:r w:rsidR="005346D0" w:rsidRPr="005346D0">
        <w:rPr>
          <w:rFonts w:ascii="Book Antiqua" w:eastAsia="Calibri" w:hAnsi="Book Antiqua" w:cs="Arial"/>
          <w:sz w:val="24"/>
          <w:szCs w:val="24"/>
        </w:rPr>
        <w:t xml:space="preserve"> cambio de competencia para el Juzgado de Familia del Primer Circuito Judicial de la Zona Sur y el Juzgado de Niñez y Adolescencia de San José</w:t>
      </w:r>
      <w:r w:rsidR="005346D0">
        <w:rPr>
          <w:rFonts w:ascii="Book Antiqua" w:eastAsia="Calibri" w:hAnsi="Book Antiqua" w:cs="Arial"/>
          <w:sz w:val="24"/>
          <w:szCs w:val="24"/>
        </w:rPr>
        <w:t xml:space="preserve">; </w:t>
      </w:r>
      <w:r w:rsidR="005346D0" w:rsidRPr="005346D0">
        <w:rPr>
          <w:rFonts w:ascii="Book Antiqua" w:eastAsia="Calibri" w:hAnsi="Book Antiqua" w:cs="Arial"/>
          <w:sz w:val="24"/>
          <w:szCs w:val="24"/>
        </w:rPr>
        <w:t>pese a que el informe fue conocido y aprobado por Corte Plena, no se mencionó esta recomendación, por lo que se reitera nuevamente.</w:t>
      </w:r>
      <w:r w:rsidR="005346D0">
        <w:rPr>
          <w:rFonts w:ascii="Book Antiqua" w:eastAsia="Calibri" w:hAnsi="Book Antiqua" w:cs="Arial"/>
          <w:sz w:val="24"/>
          <w:szCs w:val="24"/>
        </w:rPr>
        <w:t xml:space="preserve"> Además, </w:t>
      </w:r>
      <w:r w:rsidR="005346D0" w:rsidRPr="005346D0">
        <w:rPr>
          <w:rFonts w:ascii="Book Antiqua" w:eastAsia="Calibri" w:hAnsi="Book Antiqua" w:cs="Arial"/>
          <w:sz w:val="24"/>
          <w:szCs w:val="24"/>
        </w:rPr>
        <w:t>se analizó el cambio de competencia para que los Juzgados Contravencional de Tarrazú, Dota y León Cortés y el Civil, Trabajo y Familia de Puriscal, conozcan los asuntos nuevos y el circulante en Niñez y Adolescencia (excepto los que tienen fecha de señalamiento), con el fin de acercar la justicia a estas zonas y que las personas usuarias no se tengan que trasladar</w:t>
      </w:r>
      <w:r w:rsidR="005346D0">
        <w:rPr>
          <w:rFonts w:ascii="Book Antiqua" w:eastAsia="Calibri" w:hAnsi="Book Antiqua" w:cs="Arial"/>
          <w:sz w:val="24"/>
          <w:szCs w:val="24"/>
        </w:rPr>
        <w:t>se</w:t>
      </w:r>
      <w:r w:rsidR="005346D0" w:rsidRPr="005346D0">
        <w:rPr>
          <w:rFonts w:ascii="Book Antiqua" w:eastAsia="Calibri" w:hAnsi="Book Antiqua" w:cs="Arial"/>
          <w:sz w:val="24"/>
          <w:szCs w:val="24"/>
        </w:rPr>
        <w:t xml:space="preserve"> al Circuito Judicial de Cartago ni al Primer Circuito Judicial de San José</w:t>
      </w:r>
      <w:r w:rsidR="003744DF">
        <w:rPr>
          <w:rFonts w:ascii="Book Antiqua" w:eastAsia="Calibri" w:hAnsi="Book Antiqua" w:cs="Arial"/>
          <w:sz w:val="24"/>
          <w:szCs w:val="24"/>
        </w:rPr>
        <w:t>.</w:t>
      </w:r>
    </w:p>
    <w:p w14:paraId="00DA2C7B" w14:textId="43C81DF2" w:rsidR="007342E8" w:rsidRDefault="00221B46" w:rsidP="00221B46">
      <w:pPr>
        <w:rPr>
          <w:rFonts w:ascii="Book Antiqua" w:eastAsia="Calibri" w:hAnsi="Book Antiqua" w:cs="Arial"/>
          <w:sz w:val="24"/>
          <w:szCs w:val="24"/>
        </w:rPr>
      </w:pPr>
      <w:r>
        <w:rPr>
          <w:rFonts w:ascii="Book Antiqua" w:eastAsia="Calibri" w:hAnsi="Book Antiqua" w:cs="Arial"/>
          <w:sz w:val="24"/>
          <w:szCs w:val="24"/>
        </w:rPr>
        <w:br w:type="page"/>
      </w:r>
    </w:p>
    <w:p w14:paraId="368A856F" w14:textId="37E2D71D" w:rsidR="00CD42BE" w:rsidRPr="00612E7C" w:rsidRDefault="006F3622" w:rsidP="000426FF">
      <w:pPr>
        <w:spacing w:after="0" w:line="276" w:lineRule="auto"/>
        <w:jc w:val="both"/>
        <w:rPr>
          <w:rFonts w:ascii="Book Antiqua" w:eastAsia="Calibri" w:hAnsi="Book Antiqua" w:cs="Arial"/>
          <w:b/>
          <w:bCs/>
          <w:sz w:val="24"/>
          <w:szCs w:val="24"/>
        </w:rPr>
      </w:pPr>
      <w:r w:rsidRPr="00612E7C">
        <w:rPr>
          <w:rFonts w:ascii="Book Antiqua" w:eastAsia="Calibri" w:hAnsi="Book Antiqua" w:cs="Arial"/>
          <w:b/>
          <w:bCs/>
          <w:sz w:val="24"/>
          <w:szCs w:val="24"/>
        </w:rPr>
        <w:t xml:space="preserve">Zona de Tarrazú, Dota </w:t>
      </w:r>
      <w:r w:rsidR="009776AC" w:rsidRPr="00612E7C">
        <w:rPr>
          <w:rFonts w:ascii="Book Antiqua" w:eastAsia="Calibri" w:hAnsi="Book Antiqua" w:cs="Arial"/>
          <w:b/>
          <w:bCs/>
          <w:sz w:val="24"/>
          <w:szCs w:val="24"/>
        </w:rPr>
        <w:t>y León Cort</w:t>
      </w:r>
      <w:r w:rsidR="00CD5959" w:rsidRPr="00612E7C">
        <w:rPr>
          <w:rFonts w:ascii="Book Antiqua" w:eastAsia="Calibri" w:hAnsi="Book Antiqua" w:cs="Arial"/>
          <w:b/>
          <w:bCs/>
          <w:sz w:val="24"/>
          <w:szCs w:val="24"/>
        </w:rPr>
        <w:t>é</w:t>
      </w:r>
      <w:r w:rsidR="009776AC" w:rsidRPr="00612E7C">
        <w:rPr>
          <w:rFonts w:ascii="Book Antiqua" w:eastAsia="Calibri" w:hAnsi="Book Antiqua" w:cs="Arial"/>
          <w:b/>
          <w:bCs/>
          <w:sz w:val="24"/>
          <w:szCs w:val="24"/>
        </w:rPr>
        <w:t>s</w:t>
      </w:r>
    </w:p>
    <w:p w14:paraId="67A8F837" w14:textId="77777777" w:rsidR="009776AC" w:rsidRDefault="009776AC" w:rsidP="000426FF">
      <w:pPr>
        <w:spacing w:after="0" w:line="276" w:lineRule="auto"/>
        <w:jc w:val="both"/>
        <w:rPr>
          <w:rFonts w:ascii="Book Antiqua" w:eastAsia="Calibri" w:hAnsi="Book Antiqua" w:cs="Arial"/>
          <w:sz w:val="24"/>
          <w:szCs w:val="24"/>
        </w:rPr>
      </w:pPr>
    </w:p>
    <w:p w14:paraId="2B2B25E4" w14:textId="5EE84B02" w:rsidR="00CD42BE" w:rsidRPr="00CD42BE" w:rsidRDefault="00CD42BE" w:rsidP="00CD42BE">
      <w:pPr>
        <w:spacing w:after="0" w:line="276" w:lineRule="auto"/>
        <w:jc w:val="both"/>
        <w:rPr>
          <w:rFonts w:ascii="Book Antiqua" w:eastAsia="Calibri" w:hAnsi="Book Antiqua" w:cs="Arial"/>
          <w:sz w:val="24"/>
          <w:szCs w:val="24"/>
        </w:rPr>
      </w:pPr>
      <w:r w:rsidRPr="00CD42BE">
        <w:rPr>
          <w:rFonts w:ascii="Book Antiqua" w:eastAsia="Calibri" w:hAnsi="Book Antiqua" w:cs="Arial"/>
          <w:sz w:val="24"/>
          <w:szCs w:val="24"/>
        </w:rPr>
        <w:t xml:space="preserve">Como parte de los estudios complementarios citados en los informes 389-PLA-RH-MI-2021 y 314-PLA-MI-RH-2022 y a solicitud del Lic. Cristian </w:t>
      </w:r>
      <w:r w:rsidR="00221B46" w:rsidRPr="00CD42BE">
        <w:rPr>
          <w:rFonts w:ascii="Book Antiqua" w:eastAsia="Calibri" w:hAnsi="Book Antiqua" w:cs="Arial"/>
          <w:sz w:val="24"/>
          <w:szCs w:val="24"/>
        </w:rPr>
        <w:t>Martínez</w:t>
      </w:r>
      <w:r w:rsidRPr="00CD42BE">
        <w:rPr>
          <w:rFonts w:ascii="Book Antiqua" w:eastAsia="Calibri" w:hAnsi="Book Antiqua" w:cs="Arial"/>
          <w:sz w:val="24"/>
          <w:szCs w:val="24"/>
        </w:rPr>
        <w:t xml:space="preserve"> Hernández, Juez Gestor en la materia,  se analizó el cambio de competencia para que los Juzgados Contravencional de Tarrazú, Dota y León Cortés y el Civil, Trabajo y Familia de Puriscal, conozcan los asuntos nuevos y el circulante en Niñez y Adolescencia (excepto los que tienen fecha de señalamiento), con el fin de acercar la justicia a estas zonas y que las personas usuarias no se tengan que trasladar al Circuito Judicial de Cartago ni al Primer Circuito Judicial de San José.</w:t>
      </w:r>
    </w:p>
    <w:p w14:paraId="4F40E73C" w14:textId="31597691" w:rsidR="007342E8" w:rsidRDefault="00CD42BE" w:rsidP="00CD42BE">
      <w:pPr>
        <w:spacing w:after="0" w:line="276" w:lineRule="auto"/>
        <w:jc w:val="both"/>
        <w:rPr>
          <w:rFonts w:ascii="Book Antiqua" w:eastAsia="Calibri" w:hAnsi="Book Antiqua" w:cs="Arial"/>
          <w:sz w:val="24"/>
          <w:szCs w:val="24"/>
        </w:rPr>
      </w:pPr>
      <w:r w:rsidRPr="00CD42BE">
        <w:rPr>
          <w:rFonts w:ascii="Book Antiqua" w:eastAsia="Calibri" w:hAnsi="Book Antiqua" w:cs="Arial"/>
          <w:sz w:val="24"/>
          <w:szCs w:val="24"/>
        </w:rPr>
        <w:t>En el siguiente cuadro, se detalla la cantidad de casos ingresados en los Juzgados Civil, Trabajo y Familia de Puriscal y Contravencional de Tarrazú, Dota y León Cortés, en los que el Juzgado de Niñez y Adolescencia tiene competencia, durante el periodo 2019 al 2022.</w:t>
      </w:r>
    </w:p>
    <w:p w14:paraId="18899D65" w14:textId="77777777" w:rsidR="005346D0" w:rsidRDefault="005346D0" w:rsidP="000426FF">
      <w:pPr>
        <w:spacing w:after="0" w:line="276" w:lineRule="auto"/>
        <w:jc w:val="both"/>
        <w:rPr>
          <w:rFonts w:ascii="Book Antiqua" w:eastAsia="Calibri" w:hAnsi="Book Antiqua" w:cs="Arial"/>
          <w:sz w:val="24"/>
          <w:szCs w:val="24"/>
        </w:rPr>
      </w:pPr>
    </w:p>
    <w:p w14:paraId="108B781E" w14:textId="25DEEF17" w:rsidR="008E07FA" w:rsidRPr="000330F0" w:rsidRDefault="008E07FA" w:rsidP="000C356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51" w:name="_Hlk96509105"/>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38</w:t>
      </w:r>
      <w:r w:rsidRPr="000330F0">
        <w:rPr>
          <w:rFonts w:ascii="Book Antiqua" w:eastAsia="Calibri" w:hAnsi="Book Antiqua" w:cs="Arial"/>
          <w:b/>
          <w:bCs/>
          <w:color w:val="1F497D"/>
          <w:szCs w:val="24"/>
          <w:lang w:val="es-ES" w:eastAsia="es-ES"/>
        </w:rPr>
        <w:fldChar w:fldCharType="end"/>
      </w:r>
    </w:p>
    <w:p w14:paraId="7C5B0579" w14:textId="461424F1" w:rsidR="008E07FA" w:rsidRDefault="005346D0" w:rsidP="008E07F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346D0">
        <w:rPr>
          <w:rFonts w:ascii="Book Antiqua" w:eastAsia="Calibri" w:hAnsi="Book Antiqua" w:cs="Arial"/>
          <w:b/>
          <w:bCs/>
          <w:color w:val="1F497D"/>
          <w:szCs w:val="24"/>
          <w:lang w:val="es-ES" w:eastAsia="es-ES"/>
        </w:rPr>
        <w:t>Cantidad de casos entrados en el Juzgado Civil, Trabajo y Familia de Puriscal y el Juzgado Contravencional de Tarrazú, Dota y León Cortés, competencia del Juzgado de Niñez y Adolescencia, 2019 al 2022</w:t>
      </w:r>
    </w:p>
    <w:tbl>
      <w:tblPr>
        <w:tblW w:w="4845" w:type="pct"/>
        <w:tblCellMar>
          <w:left w:w="70" w:type="dxa"/>
          <w:right w:w="70" w:type="dxa"/>
        </w:tblCellMar>
        <w:tblLook w:val="04A0" w:firstRow="1" w:lastRow="0" w:firstColumn="1" w:lastColumn="0" w:noHBand="0" w:noVBand="1"/>
      </w:tblPr>
      <w:tblGrid>
        <w:gridCol w:w="1608"/>
        <w:gridCol w:w="779"/>
        <w:gridCol w:w="596"/>
        <w:gridCol w:w="787"/>
        <w:gridCol w:w="859"/>
        <w:gridCol w:w="734"/>
        <w:gridCol w:w="1030"/>
        <w:gridCol w:w="1030"/>
        <w:gridCol w:w="1096"/>
      </w:tblGrid>
      <w:tr w:rsidR="005346D0" w:rsidRPr="005346D0" w14:paraId="2EF8CC8D" w14:textId="77777777" w:rsidTr="006D72A9">
        <w:trPr>
          <w:trHeight w:val="300"/>
        </w:trPr>
        <w:tc>
          <w:tcPr>
            <w:tcW w:w="944" w:type="pct"/>
            <w:vMerge w:val="restart"/>
            <w:tcBorders>
              <w:top w:val="double" w:sz="6" w:space="0" w:color="1F497D"/>
              <w:left w:val="double" w:sz="6" w:space="0" w:color="1F497D"/>
              <w:bottom w:val="single" w:sz="8" w:space="0" w:color="000000"/>
              <w:right w:val="double" w:sz="6" w:space="0" w:color="1F497D"/>
            </w:tcBorders>
            <w:shd w:val="clear" w:color="000000" w:fill="002060"/>
            <w:vAlign w:val="center"/>
            <w:hideMark/>
          </w:tcPr>
          <w:p w14:paraId="5BC39C2F"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 xml:space="preserve">Casos Entrados </w:t>
            </w:r>
          </w:p>
        </w:tc>
        <w:tc>
          <w:tcPr>
            <w:tcW w:w="457" w:type="pct"/>
            <w:vMerge w:val="restart"/>
            <w:tcBorders>
              <w:top w:val="double" w:sz="6" w:space="0" w:color="1F497D"/>
              <w:left w:val="double" w:sz="6" w:space="0" w:color="1F497D"/>
              <w:bottom w:val="double" w:sz="6" w:space="0" w:color="1F497D"/>
              <w:right w:val="double" w:sz="6" w:space="0" w:color="1F497D"/>
            </w:tcBorders>
            <w:shd w:val="clear" w:color="000000" w:fill="002060"/>
            <w:vAlign w:val="center"/>
            <w:hideMark/>
          </w:tcPr>
          <w:p w14:paraId="7A4BA4D7"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2019</w:t>
            </w:r>
          </w:p>
        </w:tc>
        <w:tc>
          <w:tcPr>
            <w:tcW w:w="350" w:type="pct"/>
            <w:vMerge w:val="restart"/>
            <w:tcBorders>
              <w:top w:val="double" w:sz="6" w:space="0" w:color="1F497D"/>
              <w:left w:val="double" w:sz="6" w:space="0" w:color="1F497D"/>
              <w:bottom w:val="double" w:sz="6" w:space="0" w:color="1F497D"/>
              <w:right w:val="double" w:sz="6" w:space="0" w:color="1F497D"/>
            </w:tcBorders>
            <w:shd w:val="clear" w:color="000000" w:fill="002060"/>
            <w:vAlign w:val="center"/>
            <w:hideMark/>
          </w:tcPr>
          <w:p w14:paraId="42FFD047"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2020</w:t>
            </w:r>
          </w:p>
        </w:tc>
        <w:tc>
          <w:tcPr>
            <w:tcW w:w="462" w:type="pct"/>
            <w:vMerge w:val="restart"/>
            <w:tcBorders>
              <w:top w:val="double" w:sz="6" w:space="0" w:color="1F497D"/>
              <w:left w:val="double" w:sz="6" w:space="0" w:color="1F497D"/>
              <w:bottom w:val="double" w:sz="6" w:space="0" w:color="1F497D"/>
              <w:right w:val="double" w:sz="6" w:space="0" w:color="1F497D"/>
            </w:tcBorders>
            <w:shd w:val="clear" w:color="000000" w:fill="002060"/>
            <w:vAlign w:val="center"/>
            <w:hideMark/>
          </w:tcPr>
          <w:p w14:paraId="6AE61D84"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2021</w:t>
            </w:r>
          </w:p>
        </w:tc>
        <w:tc>
          <w:tcPr>
            <w:tcW w:w="504" w:type="pct"/>
            <w:tcBorders>
              <w:top w:val="double" w:sz="6" w:space="0" w:color="1F497D"/>
              <w:left w:val="nil"/>
              <w:bottom w:val="nil"/>
              <w:right w:val="double" w:sz="6" w:space="0" w:color="1F497D"/>
            </w:tcBorders>
            <w:shd w:val="clear" w:color="000000" w:fill="002060"/>
            <w:vAlign w:val="center"/>
            <w:hideMark/>
          </w:tcPr>
          <w:p w14:paraId="1907361C"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 </w:t>
            </w:r>
          </w:p>
        </w:tc>
        <w:tc>
          <w:tcPr>
            <w:tcW w:w="431" w:type="pct"/>
            <w:vMerge w:val="restart"/>
            <w:tcBorders>
              <w:top w:val="double" w:sz="6" w:space="0" w:color="1F497D"/>
              <w:left w:val="double" w:sz="6" w:space="0" w:color="1F497D"/>
              <w:bottom w:val="double" w:sz="6" w:space="0" w:color="1F497D"/>
              <w:right w:val="double" w:sz="6" w:space="0" w:color="1F497D"/>
            </w:tcBorders>
            <w:shd w:val="clear" w:color="000000" w:fill="002060"/>
            <w:vAlign w:val="center"/>
            <w:hideMark/>
          </w:tcPr>
          <w:p w14:paraId="44B38C0A"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 xml:space="preserve"> Total</w:t>
            </w:r>
          </w:p>
        </w:tc>
        <w:tc>
          <w:tcPr>
            <w:tcW w:w="604" w:type="pct"/>
            <w:vMerge w:val="restart"/>
            <w:tcBorders>
              <w:top w:val="double" w:sz="6" w:space="0" w:color="1F497D"/>
              <w:left w:val="double" w:sz="6" w:space="0" w:color="1F497D"/>
              <w:bottom w:val="double" w:sz="6" w:space="0" w:color="1F497D"/>
              <w:right w:val="double" w:sz="6" w:space="0" w:color="1F497D"/>
            </w:tcBorders>
            <w:shd w:val="clear" w:color="000000" w:fill="002060"/>
            <w:vAlign w:val="center"/>
            <w:hideMark/>
          </w:tcPr>
          <w:p w14:paraId="37103A7E"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 xml:space="preserve">Cantidad Promedio mensual </w:t>
            </w:r>
          </w:p>
        </w:tc>
        <w:tc>
          <w:tcPr>
            <w:tcW w:w="604" w:type="pct"/>
            <w:vMerge w:val="restart"/>
            <w:tcBorders>
              <w:top w:val="double" w:sz="6" w:space="0" w:color="1F497D"/>
              <w:left w:val="double" w:sz="6" w:space="0" w:color="1F497D"/>
              <w:bottom w:val="double" w:sz="6" w:space="0" w:color="1F497D"/>
              <w:right w:val="double" w:sz="6" w:space="0" w:color="1F497D"/>
            </w:tcBorders>
            <w:shd w:val="clear" w:color="000000" w:fill="002060"/>
            <w:vAlign w:val="center"/>
            <w:hideMark/>
          </w:tcPr>
          <w:p w14:paraId="04A0CBF8"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Cantidad Promedio diaria</w:t>
            </w:r>
          </w:p>
        </w:tc>
        <w:tc>
          <w:tcPr>
            <w:tcW w:w="643" w:type="pct"/>
            <w:vMerge w:val="restart"/>
            <w:tcBorders>
              <w:top w:val="double" w:sz="6" w:space="0" w:color="1F497D"/>
              <w:left w:val="double" w:sz="6" w:space="0" w:color="1F497D"/>
              <w:bottom w:val="double" w:sz="6" w:space="0" w:color="1F497D"/>
              <w:right w:val="double" w:sz="6" w:space="0" w:color="1F497D"/>
            </w:tcBorders>
            <w:shd w:val="clear" w:color="000000" w:fill="002060"/>
            <w:vAlign w:val="center"/>
            <w:hideMark/>
          </w:tcPr>
          <w:p w14:paraId="27BD948E"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 xml:space="preserve">Porcentaje </w:t>
            </w:r>
          </w:p>
        </w:tc>
      </w:tr>
      <w:tr w:rsidR="005346D0" w:rsidRPr="005346D0" w14:paraId="2FA06D81" w14:textId="77777777" w:rsidTr="006D72A9">
        <w:trPr>
          <w:trHeight w:val="290"/>
        </w:trPr>
        <w:tc>
          <w:tcPr>
            <w:tcW w:w="944" w:type="pct"/>
            <w:vMerge/>
            <w:tcBorders>
              <w:top w:val="double" w:sz="6" w:space="0" w:color="1F497D"/>
              <w:left w:val="double" w:sz="6" w:space="0" w:color="1F497D"/>
              <w:bottom w:val="single" w:sz="8" w:space="0" w:color="000000"/>
              <w:right w:val="double" w:sz="6" w:space="0" w:color="1F497D"/>
            </w:tcBorders>
            <w:vAlign w:val="center"/>
            <w:hideMark/>
          </w:tcPr>
          <w:p w14:paraId="19CC0335"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457" w:type="pct"/>
            <w:vMerge/>
            <w:tcBorders>
              <w:top w:val="double" w:sz="6" w:space="0" w:color="1F497D"/>
              <w:left w:val="double" w:sz="6" w:space="0" w:color="1F497D"/>
              <w:bottom w:val="double" w:sz="6" w:space="0" w:color="1F497D"/>
              <w:right w:val="double" w:sz="6" w:space="0" w:color="1F497D"/>
            </w:tcBorders>
            <w:vAlign w:val="center"/>
            <w:hideMark/>
          </w:tcPr>
          <w:p w14:paraId="42A3D4C1"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350" w:type="pct"/>
            <w:vMerge/>
            <w:tcBorders>
              <w:top w:val="double" w:sz="6" w:space="0" w:color="1F497D"/>
              <w:left w:val="double" w:sz="6" w:space="0" w:color="1F497D"/>
              <w:bottom w:val="double" w:sz="6" w:space="0" w:color="1F497D"/>
              <w:right w:val="double" w:sz="6" w:space="0" w:color="1F497D"/>
            </w:tcBorders>
            <w:vAlign w:val="center"/>
            <w:hideMark/>
          </w:tcPr>
          <w:p w14:paraId="2225DB6A"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462" w:type="pct"/>
            <w:vMerge/>
            <w:tcBorders>
              <w:top w:val="double" w:sz="6" w:space="0" w:color="1F497D"/>
              <w:left w:val="double" w:sz="6" w:space="0" w:color="1F497D"/>
              <w:bottom w:val="double" w:sz="6" w:space="0" w:color="1F497D"/>
              <w:right w:val="double" w:sz="6" w:space="0" w:color="1F497D"/>
            </w:tcBorders>
            <w:vAlign w:val="center"/>
            <w:hideMark/>
          </w:tcPr>
          <w:p w14:paraId="215F292F"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504" w:type="pct"/>
            <w:tcBorders>
              <w:top w:val="nil"/>
              <w:left w:val="nil"/>
              <w:bottom w:val="nil"/>
              <w:right w:val="double" w:sz="6" w:space="0" w:color="1F497D"/>
            </w:tcBorders>
            <w:shd w:val="clear" w:color="000000" w:fill="002060"/>
            <w:vAlign w:val="center"/>
            <w:hideMark/>
          </w:tcPr>
          <w:p w14:paraId="5ABBA1FA"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2022</w:t>
            </w:r>
          </w:p>
        </w:tc>
        <w:tc>
          <w:tcPr>
            <w:tcW w:w="431" w:type="pct"/>
            <w:vMerge/>
            <w:tcBorders>
              <w:top w:val="double" w:sz="6" w:space="0" w:color="1F497D"/>
              <w:left w:val="double" w:sz="6" w:space="0" w:color="1F497D"/>
              <w:bottom w:val="double" w:sz="6" w:space="0" w:color="1F497D"/>
              <w:right w:val="double" w:sz="6" w:space="0" w:color="1F497D"/>
            </w:tcBorders>
            <w:vAlign w:val="center"/>
            <w:hideMark/>
          </w:tcPr>
          <w:p w14:paraId="6B41CC9C"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604" w:type="pct"/>
            <w:vMerge/>
            <w:tcBorders>
              <w:top w:val="double" w:sz="6" w:space="0" w:color="1F497D"/>
              <w:left w:val="double" w:sz="6" w:space="0" w:color="1F497D"/>
              <w:bottom w:val="double" w:sz="6" w:space="0" w:color="1F497D"/>
              <w:right w:val="double" w:sz="6" w:space="0" w:color="1F497D"/>
            </w:tcBorders>
            <w:vAlign w:val="center"/>
            <w:hideMark/>
          </w:tcPr>
          <w:p w14:paraId="56535FE0"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604" w:type="pct"/>
            <w:vMerge/>
            <w:tcBorders>
              <w:top w:val="double" w:sz="6" w:space="0" w:color="1F497D"/>
              <w:left w:val="double" w:sz="6" w:space="0" w:color="1F497D"/>
              <w:bottom w:val="double" w:sz="6" w:space="0" w:color="1F497D"/>
              <w:right w:val="double" w:sz="6" w:space="0" w:color="1F497D"/>
            </w:tcBorders>
            <w:vAlign w:val="center"/>
            <w:hideMark/>
          </w:tcPr>
          <w:p w14:paraId="57920118"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643" w:type="pct"/>
            <w:vMerge/>
            <w:tcBorders>
              <w:top w:val="double" w:sz="6" w:space="0" w:color="1F497D"/>
              <w:left w:val="double" w:sz="6" w:space="0" w:color="1F497D"/>
              <w:bottom w:val="double" w:sz="6" w:space="0" w:color="1F497D"/>
              <w:right w:val="double" w:sz="6" w:space="0" w:color="1F497D"/>
            </w:tcBorders>
            <w:vAlign w:val="center"/>
            <w:hideMark/>
          </w:tcPr>
          <w:p w14:paraId="1740E511"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r>
      <w:tr w:rsidR="005346D0" w:rsidRPr="005346D0" w14:paraId="061B6A14" w14:textId="77777777" w:rsidTr="006D72A9">
        <w:trPr>
          <w:trHeight w:val="300"/>
        </w:trPr>
        <w:tc>
          <w:tcPr>
            <w:tcW w:w="944" w:type="pct"/>
            <w:vMerge/>
            <w:tcBorders>
              <w:top w:val="double" w:sz="6" w:space="0" w:color="1F497D"/>
              <w:left w:val="double" w:sz="6" w:space="0" w:color="1F497D"/>
              <w:bottom w:val="single" w:sz="8" w:space="0" w:color="000000"/>
              <w:right w:val="double" w:sz="6" w:space="0" w:color="1F497D"/>
            </w:tcBorders>
            <w:vAlign w:val="center"/>
            <w:hideMark/>
          </w:tcPr>
          <w:p w14:paraId="3895CDC6"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457" w:type="pct"/>
            <w:vMerge/>
            <w:tcBorders>
              <w:top w:val="double" w:sz="6" w:space="0" w:color="1F497D"/>
              <w:left w:val="double" w:sz="6" w:space="0" w:color="1F497D"/>
              <w:bottom w:val="double" w:sz="6" w:space="0" w:color="1F497D"/>
              <w:right w:val="double" w:sz="6" w:space="0" w:color="1F497D"/>
            </w:tcBorders>
            <w:vAlign w:val="center"/>
            <w:hideMark/>
          </w:tcPr>
          <w:p w14:paraId="6603EB96"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350" w:type="pct"/>
            <w:vMerge/>
            <w:tcBorders>
              <w:top w:val="double" w:sz="6" w:space="0" w:color="1F497D"/>
              <w:left w:val="double" w:sz="6" w:space="0" w:color="1F497D"/>
              <w:bottom w:val="double" w:sz="6" w:space="0" w:color="1F497D"/>
              <w:right w:val="double" w:sz="6" w:space="0" w:color="1F497D"/>
            </w:tcBorders>
            <w:vAlign w:val="center"/>
            <w:hideMark/>
          </w:tcPr>
          <w:p w14:paraId="3F71BE59"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462" w:type="pct"/>
            <w:vMerge/>
            <w:tcBorders>
              <w:top w:val="double" w:sz="6" w:space="0" w:color="1F497D"/>
              <w:left w:val="double" w:sz="6" w:space="0" w:color="1F497D"/>
              <w:bottom w:val="double" w:sz="6" w:space="0" w:color="1F497D"/>
              <w:right w:val="double" w:sz="6" w:space="0" w:color="1F497D"/>
            </w:tcBorders>
            <w:vAlign w:val="center"/>
            <w:hideMark/>
          </w:tcPr>
          <w:p w14:paraId="09A0228B"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504" w:type="pct"/>
            <w:tcBorders>
              <w:top w:val="nil"/>
              <w:left w:val="nil"/>
              <w:bottom w:val="double" w:sz="6" w:space="0" w:color="1F497D"/>
              <w:right w:val="double" w:sz="6" w:space="0" w:color="1F497D"/>
            </w:tcBorders>
            <w:shd w:val="clear" w:color="000000" w:fill="002060"/>
            <w:vAlign w:val="center"/>
            <w:hideMark/>
          </w:tcPr>
          <w:p w14:paraId="5F59E98A" w14:textId="77777777" w:rsidR="005346D0" w:rsidRPr="005346D0" w:rsidRDefault="005346D0" w:rsidP="005346D0">
            <w:pPr>
              <w:spacing w:after="0" w:line="240" w:lineRule="auto"/>
              <w:jc w:val="center"/>
              <w:rPr>
                <w:rFonts w:ascii="Book Antiqua" w:eastAsia="Times New Roman" w:hAnsi="Book Antiqua" w:cs="Calibri"/>
                <w:b/>
                <w:bCs/>
                <w:color w:val="FFFFFF"/>
                <w:sz w:val="20"/>
                <w:szCs w:val="20"/>
                <w:lang w:eastAsia="es-CR"/>
              </w:rPr>
            </w:pPr>
            <w:r w:rsidRPr="005346D0">
              <w:rPr>
                <w:rFonts w:ascii="Book Antiqua" w:eastAsia="Times New Roman" w:hAnsi="Book Antiqua" w:cs="Calibri"/>
                <w:b/>
                <w:bCs/>
                <w:color w:val="FFFFFF"/>
                <w:sz w:val="20"/>
                <w:szCs w:val="20"/>
                <w:lang w:eastAsia="es-CR"/>
              </w:rPr>
              <w:t> </w:t>
            </w:r>
          </w:p>
        </w:tc>
        <w:tc>
          <w:tcPr>
            <w:tcW w:w="431" w:type="pct"/>
            <w:vMerge/>
            <w:tcBorders>
              <w:top w:val="double" w:sz="6" w:space="0" w:color="1F497D"/>
              <w:left w:val="double" w:sz="6" w:space="0" w:color="1F497D"/>
              <w:bottom w:val="double" w:sz="6" w:space="0" w:color="1F497D"/>
              <w:right w:val="double" w:sz="6" w:space="0" w:color="1F497D"/>
            </w:tcBorders>
            <w:vAlign w:val="center"/>
            <w:hideMark/>
          </w:tcPr>
          <w:p w14:paraId="17613212"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604" w:type="pct"/>
            <w:vMerge/>
            <w:tcBorders>
              <w:top w:val="double" w:sz="6" w:space="0" w:color="1F497D"/>
              <w:left w:val="double" w:sz="6" w:space="0" w:color="1F497D"/>
              <w:bottom w:val="double" w:sz="6" w:space="0" w:color="1F497D"/>
              <w:right w:val="double" w:sz="6" w:space="0" w:color="1F497D"/>
            </w:tcBorders>
            <w:vAlign w:val="center"/>
            <w:hideMark/>
          </w:tcPr>
          <w:p w14:paraId="06CA9557"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604" w:type="pct"/>
            <w:vMerge/>
            <w:tcBorders>
              <w:top w:val="double" w:sz="6" w:space="0" w:color="1F497D"/>
              <w:left w:val="double" w:sz="6" w:space="0" w:color="1F497D"/>
              <w:bottom w:val="double" w:sz="6" w:space="0" w:color="1F497D"/>
              <w:right w:val="double" w:sz="6" w:space="0" w:color="1F497D"/>
            </w:tcBorders>
            <w:vAlign w:val="center"/>
            <w:hideMark/>
          </w:tcPr>
          <w:p w14:paraId="24CFD1F2"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c>
          <w:tcPr>
            <w:tcW w:w="643" w:type="pct"/>
            <w:vMerge/>
            <w:tcBorders>
              <w:top w:val="double" w:sz="6" w:space="0" w:color="1F497D"/>
              <w:left w:val="double" w:sz="6" w:space="0" w:color="1F497D"/>
              <w:bottom w:val="double" w:sz="6" w:space="0" w:color="1F497D"/>
              <w:right w:val="double" w:sz="6" w:space="0" w:color="1F497D"/>
            </w:tcBorders>
            <w:vAlign w:val="center"/>
            <w:hideMark/>
          </w:tcPr>
          <w:p w14:paraId="53B5F240" w14:textId="77777777" w:rsidR="005346D0" w:rsidRPr="005346D0" w:rsidRDefault="005346D0" w:rsidP="005346D0">
            <w:pPr>
              <w:spacing w:after="0" w:line="240" w:lineRule="auto"/>
              <w:rPr>
                <w:rFonts w:ascii="Book Antiqua" w:eastAsia="Times New Roman" w:hAnsi="Book Antiqua" w:cs="Calibri"/>
                <w:b/>
                <w:bCs/>
                <w:color w:val="FFFFFF"/>
                <w:sz w:val="20"/>
                <w:szCs w:val="20"/>
                <w:lang w:eastAsia="es-CR"/>
              </w:rPr>
            </w:pPr>
          </w:p>
        </w:tc>
      </w:tr>
      <w:tr w:rsidR="005346D0" w:rsidRPr="005346D0" w14:paraId="7F6455B3" w14:textId="77777777" w:rsidTr="006D72A9">
        <w:trPr>
          <w:trHeight w:val="1050"/>
        </w:trPr>
        <w:tc>
          <w:tcPr>
            <w:tcW w:w="944" w:type="pct"/>
            <w:tcBorders>
              <w:top w:val="nil"/>
              <w:left w:val="single" w:sz="8" w:space="0" w:color="000000"/>
              <w:bottom w:val="single" w:sz="8" w:space="0" w:color="000000"/>
              <w:right w:val="single" w:sz="8" w:space="0" w:color="000000"/>
            </w:tcBorders>
            <w:shd w:val="clear" w:color="auto" w:fill="auto"/>
            <w:vAlign w:val="center"/>
            <w:hideMark/>
          </w:tcPr>
          <w:p w14:paraId="64C13929" w14:textId="77777777" w:rsidR="005346D0" w:rsidRPr="005346D0" w:rsidRDefault="005346D0" w:rsidP="005346D0">
            <w:pPr>
              <w:spacing w:after="0" w:line="240" w:lineRule="auto"/>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Juzgado Contravencional Tarrazú, Dota y León Cortés</w:t>
            </w:r>
          </w:p>
        </w:tc>
        <w:tc>
          <w:tcPr>
            <w:tcW w:w="457" w:type="pct"/>
            <w:tcBorders>
              <w:top w:val="nil"/>
              <w:left w:val="nil"/>
              <w:bottom w:val="double" w:sz="6" w:space="0" w:color="1F497D"/>
              <w:right w:val="double" w:sz="6" w:space="0" w:color="1F497D"/>
            </w:tcBorders>
            <w:shd w:val="clear" w:color="auto" w:fill="auto"/>
            <w:vAlign w:val="center"/>
            <w:hideMark/>
          </w:tcPr>
          <w:p w14:paraId="63BAC710"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1</w:t>
            </w:r>
          </w:p>
        </w:tc>
        <w:tc>
          <w:tcPr>
            <w:tcW w:w="350" w:type="pct"/>
            <w:tcBorders>
              <w:top w:val="nil"/>
              <w:left w:val="nil"/>
              <w:bottom w:val="double" w:sz="6" w:space="0" w:color="1F497D"/>
              <w:right w:val="double" w:sz="6" w:space="0" w:color="1F497D"/>
            </w:tcBorders>
            <w:shd w:val="clear" w:color="auto" w:fill="auto"/>
            <w:vAlign w:val="center"/>
            <w:hideMark/>
          </w:tcPr>
          <w:p w14:paraId="0F73A39B"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0</w:t>
            </w:r>
          </w:p>
        </w:tc>
        <w:tc>
          <w:tcPr>
            <w:tcW w:w="462" w:type="pct"/>
            <w:tcBorders>
              <w:top w:val="nil"/>
              <w:left w:val="nil"/>
              <w:bottom w:val="double" w:sz="6" w:space="0" w:color="1F497D"/>
              <w:right w:val="double" w:sz="6" w:space="0" w:color="1F497D"/>
            </w:tcBorders>
            <w:shd w:val="clear" w:color="auto" w:fill="auto"/>
            <w:vAlign w:val="center"/>
            <w:hideMark/>
          </w:tcPr>
          <w:p w14:paraId="62582F46"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0</w:t>
            </w:r>
          </w:p>
        </w:tc>
        <w:tc>
          <w:tcPr>
            <w:tcW w:w="504" w:type="pct"/>
            <w:tcBorders>
              <w:top w:val="nil"/>
              <w:left w:val="nil"/>
              <w:bottom w:val="double" w:sz="6" w:space="0" w:color="1F497D"/>
              <w:right w:val="double" w:sz="6" w:space="0" w:color="1F497D"/>
            </w:tcBorders>
            <w:shd w:val="clear" w:color="auto" w:fill="auto"/>
            <w:vAlign w:val="center"/>
            <w:hideMark/>
          </w:tcPr>
          <w:p w14:paraId="6C1A7295"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13</w:t>
            </w:r>
          </w:p>
        </w:tc>
        <w:tc>
          <w:tcPr>
            <w:tcW w:w="431" w:type="pct"/>
            <w:tcBorders>
              <w:top w:val="nil"/>
              <w:left w:val="nil"/>
              <w:bottom w:val="double" w:sz="6" w:space="0" w:color="1F497D"/>
              <w:right w:val="double" w:sz="6" w:space="0" w:color="1F497D"/>
            </w:tcBorders>
            <w:shd w:val="clear" w:color="auto" w:fill="auto"/>
            <w:vAlign w:val="center"/>
            <w:hideMark/>
          </w:tcPr>
          <w:p w14:paraId="4DAABC62"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14</w:t>
            </w:r>
          </w:p>
        </w:tc>
        <w:tc>
          <w:tcPr>
            <w:tcW w:w="604" w:type="pct"/>
            <w:tcBorders>
              <w:top w:val="nil"/>
              <w:left w:val="nil"/>
              <w:bottom w:val="double" w:sz="6" w:space="0" w:color="1F497D"/>
              <w:right w:val="double" w:sz="6" w:space="0" w:color="1F497D"/>
            </w:tcBorders>
            <w:shd w:val="clear" w:color="auto" w:fill="auto"/>
            <w:vAlign w:val="center"/>
            <w:hideMark/>
          </w:tcPr>
          <w:p w14:paraId="2A09D7FD"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0,31</w:t>
            </w:r>
          </w:p>
        </w:tc>
        <w:tc>
          <w:tcPr>
            <w:tcW w:w="604" w:type="pct"/>
            <w:tcBorders>
              <w:top w:val="nil"/>
              <w:left w:val="nil"/>
              <w:bottom w:val="double" w:sz="6" w:space="0" w:color="1F497D"/>
              <w:right w:val="double" w:sz="6" w:space="0" w:color="1F497D"/>
            </w:tcBorders>
            <w:shd w:val="clear" w:color="auto" w:fill="auto"/>
            <w:vAlign w:val="center"/>
            <w:hideMark/>
          </w:tcPr>
          <w:p w14:paraId="56AFDD53"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0,01</w:t>
            </w:r>
          </w:p>
        </w:tc>
        <w:tc>
          <w:tcPr>
            <w:tcW w:w="643" w:type="pct"/>
            <w:tcBorders>
              <w:top w:val="nil"/>
              <w:left w:val="nil"/>
              <w:bottom w:val="double" w:sz="6" w:space="0" w:color="1F497D"/>
              <w:right w:val="double" w:sz="6" w:space="0" w:color="1F497D"/>
            </w:tcBorders>
            <w:shd w:val="clear" w:color="auto" w:fill="auto"/>
            <w:vAlign w:val="center"/>
            <w:hideMark/>
          </w:tcPr>
          <w:p w14:paraId="33CA9FE1"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14%</w:t>
            </w:r>
          </w:p>
        </w:tc>
      </w:tr>
      <w:tr w:rsidR="005346D0" w:rsidRPr="005346D0" w14:paraId="41547460" w14:textId="77777777" w:rsidTr="006D72A9">
        <w:trPr>
          <w:trHeight w:val="1050"/>
        </w:trPr>
        <w:tc>
          <w:tcPr>
            <w:tcW w:w="944" w:type="pct"/>
            <w:tcBorders>
              <w:top w:val="nil"/>
              <w:left w:val="single" w:sz="8" w:space="0" w:color="000000"/>
              <w:bottom w:val="single" w:sz="8" w:space="0" w:color="000000"/>
              <w:right w:val="single" w:sz="8" w:space="0" w:color="000000"/>
            </w:tcBorders>
            <w:shd w:val="clear" w:color="auto" w:fill="auto"/>
            <w:vAlign w:val="center"/>
            <w:hideMark/>
          </w:tcPr>
          <w:p w14:paraId="4738A17F" w14:textId="77777777" w:rsidR="005346D0" w:rsidRPr="005346D0" w:rsidRDefault="005346D0" w:rsidP="005346D0">
            <w:pPr>
              <w:spacing w:after="0" w:line="240" w:lineRule="auto"/>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Juzgado Civil, Trabajo y Familia de Puriscal</w:t>
            </w:r>
          </w:p>
        </w:tc>
        <w:tc>
          <w:tcPr>
            <w:tcW w:w="457" w:type="pct"/>
            <w:tcBorders>
              <w:top w:val="nil"/>
              <w:left w:val="nil"/>
              <w:bottom w:val="double" w:sz="6" w:space="0" w:color="1F497D"/>
              <w:right w:val="double" w:sz="6" w:space="0" w:color="1F497D"/>
            </w:tcBorders>
            <w:shd w:val="clear" w:color="auto" w:fill="auto"/>
            <w:vAlign w:val="center"/>
            <w:hideMark/>
          </w:tcPr>
          <w:p w14:paraId="62986D83"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13</w:t>
            </w:r>
          </w:p>
        </w:tc>
        <w:tc>
          <w:tcPr>
            <w:tcW w:w="350" w:type="pct"/>
            <w:tcBorders>
              <w:top w:val="nil"/>
              <w:left w:val="nil"/>
              <w:bottom w:val="double" w:sz="6" w:space="0" w:color="1F497D"/>
              <w:right w:val="double" w:sz="6" w:space="0" w:color="1F497D"/>
            </w:tcBorders>
            <w:shd w:val="clear" w:color="auto" w:fill="auto"/>
            <w:vAlign w:val="center"/>
            <w:hideMark/>
          </w:tcPr>
          <w:p w14:paraId="0CAE1568"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19</w:t>
            </w:r>
          </w:p>
        </w:tc>
        <w:tc>
          <w:tcPr>
            <w:tcW w:w="462" w:type="pct"/>
            <w:tcBorders>
              <w:top w:val="nil"/>
              <w:left w:val="nil"/>
              <w:bottom w:val="double" w:sz="6" w:space="0" w:color="1F497D"/>
              <w:right w:val="double" w:sz="6" w:space="0" w:color="1F497D"/>
            </w:tcBorders>
            <w:shd w:val="clear" w:color="auto" w:fill="auto"/>
            <w:vAlign w:val="center"/>
            <w:hideMark/>
          </w:tcPr>
          <w:p w14:paraId="0D77EFF4"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32</w:t>
            </w:r>
          </w:p>
        </w:tc>
        <w:tc>
          <w:tcPr>
            <w:tcW w:w="504" w:type="pct"/>
            <w:tcBorders>
              <w:top w:val="nil"/>
              <w:left w:val="nil"/>
              <w:bottom w:val="double" w:sz="6" w:space="0" w:color="1F497D"/>
              <w:right w:val="double" w:sz="6" w:space="0" w:color="1F497D"/>
            </w:tcBorders>
            <w:shd w:val="clear" w:color="auto" w:fill="auto"/>
            <w:vAlign w:val="center"/>
            <w:hideMark/>
          </w:tcPr>
          <w:p w14:paraId="4D3D2DD2"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23</w:t>
            </w:r>
          </w:p>
        </w:tc>
        <w:tc>
          <w:tcPr>
            <w:tcW w:w="431" w:type="pct"/>
            <w:tcBorders>
              <w:top w:val="nil"/>
              <w:left w:val="nil"/>
              <w:bottom w:val="double" w:sz="6" w:space="0" w:color="1F497D"/>
              <w:right w:val="double" w:sz="6" w:space="0" w:color="1F497D"/>
            </w:tcBorders>
            <w:shd w:val="clear" w:color="auto" w:fill="auto"/>
            <w:vAlign w:val="center"/>
            <w:hideMark/>
          </w:tcPr>
          <w:p w14:paraId="3F13A463"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87</w:t>
            </w:r>
          </w:p>
        </w:tc>
        <w:tc>
          <w:tcPr>
            <w:tcW w:w="604" w:type="pct"/>
            <w:tcBorders>
              <w:top w:val="nil"/>
              <w:left w:val="nil"/>
              <w:bottom w:val="double" w:sz="6" w:space="0" w:color="1F497D"/>
              <w:right w:val="double" w:sz="6" w:space="0" w:color="1F497D"/>
            </w:tcBorders>
            <w:shd w:val="clear" w:color="auto" w:fill="auto"/>
            <w:vAlign w:val="center"/>
            <w:hideMark/>
          </w:tcPr>
          <w:p w14:paraId="6F962E4C"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1,93</w:t>
            </w:r>
          </w:p>
        </w:tc>
        <w:tc>
          <w:tcPr>
            <w:tcW w:w="604" w:type="pct"/>
            <w:tcBorders>
              <w:top w:val="nil"/>
              <w:left w:val="nil"/>
              <w:bottom w:val="nil"/>
              <w:right w:val="nil"/>
            </w:tcBorders>
            <w:shd w:val="clear" w:color="auto" w:fill="auto"/>
            <w:noWrap/>
            <w:vAlign w:val="center"/>
            <w:hideMark/>
          </w:tcPr>
          <w:p w14:paraId="6F7B0C9F" w14:textId="77777777" w:rsidR="005346D0" w:rsidRPr="005346D0" w:rsidRDefault="005346D0" w:rsidP="005346D0">
            <w:pPr>
              <w:spacing w:after="0" w:line="240" w:lineRule="auto"/>
              <w:jc w:val="center"/>
              <w:rPr>
                <w:rFonts w:ascii="Book Antiqua" w:eastAsia="Times New Roman" w:hAnsi="Book Antiqua" w:cs="Calibri"/>
                <w:color w:val="000000"/>
                <w:sz w:val="20"/>
                <w:szCs w:val="20"/>
                <w:lang w:eastAsia="es-CR"/>
              </w:rPr>
            </w:pPr>
            <w:r w:rsidRPr="005346D0">
              <w:rPr>
                <w:rFonts w:ascii="Book Antiqua" w:eastAsia="Times New Roman" w:hAnsi="Book Antiqua" w:cs="Calibri"/>
                <w:color w:val="000000"/>
                <w:sz w:val="20"/>
                <w:szCs w:val="20"/>
                <w:lang w:eastAsia="es-CR"/>
              </w:rPr>
              <w:t>0,09</w:t>
            </w:r>
          </w:p>
        </w:tc>
        <w:tc>
          <w:tcPr>
            <w:tcW w:w="643" w:type="pct"/>
            <w:tcBorders>
              <w:top w:val="nil"/>
              <w:left w:val="double" w:sz="6" w:space="0" w:color="1F497D"/>
              <w:bottom w:val="double" w:sz="6" w:space="0" w:color="1F497D"/>
              <w:right w:val="double" w:sz="6" w:space="0" w:color="1F497D"/>
            </w:tcBorders>
            <w:shd w:val="clear" w:color="auto" w:fill="auto"/>
            <w:vAlign w:val="center"/>
            <w:hideMark/>
          </w:tcPr>
          <w:p w14:paraId="5EA02912"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86%</w:t>
            </w:r>
          </w:p>
        </w:tc>
      </w:tr>
      <w:tr w:rsidR="005346D0" w:rsidRPr="005346D0" w14:paraId="25C4759B" w14:textId="77777777" w:rsidTr="006D72A9">
        <w:trPr>
          <w:trHeight w:val="310"/>
        </w:trPr>
        <w:tc>
          <w:tcPr>
            <w:tcW w:w="944" w:type="pct"/>
            <w:tcBorders>
              <w:top w:val="nil"/>
              <w:left w:val="double" w:sz="6" w:space="0" w:color="1F497D"/>
              <w:bottom w:val="double" w:sz="6" w:space="0" w:color="1F497D"/>
              <w:right w:val="double" w:sz="6" w:space="0" w:color="1F497D"/>
            </w:tcBorders>
            <w:shd w:val="clear" w:color="000000" w:fill="D9E1F2"/>
            <w:vAlign w:val="center"/>
            <w:hideMark/>
          </w:tcPr>
          <w:p w14:paraId="600162BC" w14:textId="77777777" w:rsidR="005346D0" w:rsidRPr="005346D0" w:rsidRDefault="005346D0" w:rsidP="005346D0">
            <w:pPr>
              <w:spacing w:after="0" w:line="240" w:lineRule="auto"/>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Total</w:t>
            </w:r>
          </w:p>
        </w:tc>
        <w:tc>
          <w:tcPr>
            <w:tcW w:w="457" w:type="pct"/>
            <w:tcBorders>
              <w:top w:val="nil"/>
              <w:left w:val="nil"/>
              <w:bottom w:val="double" w:sz="6" w:space="0" w:color="1F497D"/>
              <w:right w:val="double" w:sz="6" w:space="0" w:color="1F497D"/>
            </w:tcBorders>
            <w:shd w:val="clear" w:color="000000" w:fill="D9E1F2"/>
            <w:vAlign w:val="center"/>
            <w:hideMark/>
          </w:tcPr>
          <w:p w14:paraId="3035BAA9"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14</w:t>
            </w:r>
          </w:p>
        </w:tc>
        <w:tc>
          <w:tcPr>
            <w:tcW w:w="350" w:type="pct"/>
            <w:tcBorders>
              <w:top w:val="nil"/>
              <w:left w:val="nil"/>
              <w:bottom w:val="double" w:sz="6" w:space="0" w:color="1F497D"/>
              <w:right w:val="double" w:sz="6" w:space="0" w:color="1F497D"/>
            </w:tcBorders>
            <w:shd w:val="clear" w:color="000000" w:fill="D9E1F2"/>
            <w:vAlign w:val="center"/>
            <w:hideMark/>
          </w:tcPr>
          <w:p w14:paraId="1846C29C"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19</w:t>
            </w:r>
          </w:p>
        </w:tc>
        <w:tc>
          <w:tcPr>
            <w:tcW w:w="462" w:type="pct"/>
            <w:tcBorders>
              <w:top w:val="nil"/>
              <w:left w:val="nil"/>
              <w:bottom w:val="double" w:sz="6" w:space="0" w:color="1F497D"/>
              <w:right w:val="double" w:sz="6" w:space="0" w:color="1F497D"/>
            </w:tcBorders>
            <w:shd w:val="clear" w:color="000000" w:fill="D9E1F2"/>
            <w:vAlign w:val="center"/>
            <w:hideMark/>
          </w:tcPr>
          <w:p w14:paraId="6DA48CA6"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32</w:t>
            </w:r>
          </w:p>
        </w:tc>
        <w:tc>
          <w:tcPr>
            <w:tcW w:w="504" w:type="pct"/>
            <w:tcBorders>
              <w:top w:val="nil"/>
              <w:left w:val="nil"/>
              <w:bottom w:val="double" w:sz="6" w:space="0" w:color="1F497D"/>
              <w:right w:val="double" w:sz="6" w:space="0" w:color="1F497D"/>
            </w:tcBorders>
            <w:shd w:val="clear" w:color="000000" w:fill="D9E1F2"/>
            <w:vAlign w:val="center"/>
            <w:hideMark/>
          </w:tcPr>
          <w:p w14:paraId="5CB49C10"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36</w:t>
            </w:r>
          </w:p>
        </w:tc>
        <w:tc>
          <w:tcPr>
            <w:tcW w:w="431" w:type="pct"/>
            <w:tcBorders>
              <w:top w:val="nil"/>
              <w:left w:val="nil"/>
              <w:bottom w:val="double" w:sz="6" w:space="0" w:color="1F497D"/>
              <w:right w:val="double" w:sz="6" w:space="0" w:color="1F497D"/>
            </w:tcBorders>
            <w:shd w:val="clear" w:color="000000" w:fill="D9E1F2"/>
            <w:vAlign w:val="center"/>
            <w:hideMark/>
          </w:tcPr>
          <w:p w14:paraId="17D3F10D"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101</w:t>
            </w:r>
          </w:p>
        </w:tc>
        <w:tc>
          <w:tcPr>
            <w:tcW w:w="604" w:type="pct"/>
            <w:tcBorders>
              <w:top w:val="nil"/>
              <w:left w:val="nil"/>
              <w:bottom w:val="double" w:sz="6" w:space="0" w:color="1F497D"/>
              <w:right w:val="double" w:sz="6" w:space="0" w:color="1F497D"/>
            </w:tcBorders>
            <w:shd w:val="clear" w:color="000000" w:fill="D9E1F2"/>
            <w:vAlign w:val="center"/>
            <w:hideMark/>
          </w:tcPr>
          <w:p w14:paraId="38D32E07"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1,93</w:t>
            </w:r>
          </w:p>
        </w:tc>
        <w:tc>
          <w:tcPr>
            <w:tcW w:w="604" w:type="pct"/>
            <w:tcBorders>
              <w:top w:val="double" w:sz="6" w:space="0" w:color="1F497D"/>
              <w:left w:val="nil"/>
              <w:bottom w:val="double" w:sz="6" w:space="0" w:color="1F497D"/>
              <w:right w:val="double" w:sz="6" w:space="0" w:color="1F497D"/>
            </w:tcBorders>
            <w:shd w:val="clear" w:color="000000" w:fill="D9E1F2"/>
            <w:vAlign w:val="center"/>
            <w:hideMark/>
          </w:tcPr>
          <w:p w14:paraId="1899A620"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0,09</w:t>
            </w:r>
          </w:p>
        </w:tc>
        <w:tc>
          <w:tcPr>
            <w:tcW w:w="643" w:type="pct"/>
            <w:tcBorders>
              <w:top w:val="nil"/>
              <w:left w:val="nil"/>
              <w:bottom w:val="double" w:sz="6" w:space="0" w:color="1F497D"/>
              <w:right w:val="double" w:sz="6" w:space="0" w:color="1F497D"/>
            </w:tcBorders>
            <w:shd w:val="clear" w:color="auto" w:fill="auto"/>
            <w:vAlign w:val="center"/>
            <w:hideMark/>
          </w:tcPr>
          <w:p w14:paraId="5986DC76" w14:textId="77777777" w:rsidR="005346D0" w:rsidRPr="005346D0" w:rsidRDefault="005346D0" w:rsidP="005346D0">
            <w:pPr>
              <w:spacing w:after="0" w:line="240" w:lineRule="auto"/>
              <w:jc w:val="center"/>
              <w:rPr>
                <w:rFonts w:ascii="Book Antiqua" w:eastAsia="Times New Roman" w:hAnsi="Book Antiqua" w:cs="Calibri"/>
                <w:b/>
                <w:bCs/>
                <w:color w:val="000000"/>
                <w:sz w:val="20"/>
                <w:szCs w:val="20"/>
                <w:lang w:eastAsia="es-CR"/>
              </w:rPr>
            </w:pPr>
            <w:r w:rsidRPr="005346D0">
              <w:rPr>
                <w:rFonts w:ascii="Book Antiqua" w:eastAsia="Times New Roman" w:hAnsi="Book Antiqua" w:cs="Calibri"/>
                <w:b/>
                <w:bCs/>
                <w:color w:val="000000"/>
                <w:sz w:val="20"/>
                <w:szCs w:val="20"/>
                <w:lang w:eastAsia="es-CR"/>
              </w:rPr>
              <w:t>100%</w:t>
            </w:r>
          </w:p>
        </w:tc>
      </w:tr>
    </w:tbl>
    <w:p w14:paraId="5D72D6B2" w14:textId="0DDA1EE0" w:rsidR="005729B8" w:rsidRDefault="005729B8" w:rsidP="005729B8">
      <w:pPr>
        <w:spacing w:after="0" w:line="276" w:lineRule="auto"/>
        <w:jc w:val="both"/>
        <w:rPr>
          <w:rFonts w:ascii="Book Antiqua" w:eastAsia="Calibri" w:hAnsi="Book Antiqua" w:cs="Arial"/>
          <w:sz w:val="24"/>
          <w:szCs w:val="24"/>
        </w:rPr>
      </w:pPr>
      <w:bookmarkStart w:id="52" w:name="_Hlk96510028"/>
      <w:bookmarkEnd w:id="51"/>
      <w:r w:rsidRPr="00F53EAA">
        <w:rPr>
          <w:rFonts w:ascii="Book Antiqua" w:eastAsia="Calibri" w:hAnsi="Book Antiqua" w:cs="Arial"/>
          <w:b/>
          <w:bCs/>
          <w:i/>
          <w:iCs/>
          <w:sz w:val="20"/>
          <w:szCs w:val="20"/>
        </w:rPr>
        <w:t>Fuente:</w:t>
      </w:r>
      <w:r w:rsidRPr="00F07A42">
        <w:rPr>
          <w:rFonts w:ascii="Book Antiqua" w:eastAsia="Calibri" w:hAnsi="Book Antiqua" w:cs="Arial"/>
          <w:i/>
          <w:iCs/>
          <w:sz w:val="20"/>
          <w:szCs w:val="20"/>
        </w:rPr>
        <w:t xml:space="preserve"> </w:t>
      </w:r>
      <w:bookmarkStart w:id="53" w:name="_Hlk128058531"/>
      <w:r w:rsidR="005346D0" w:rsidRPr="005346D0">
        <w:rPr>
          <w:rFonts w:ascii="Book Antiqua" w:eastAsia="Calibri" w:hAnsi="Book Antiqua" w:cs="Arial"/>
          <w:i/>
          <w:iCs/>
          <w:sz w:val="20"/>
          <w:szCs w:val="20"/>
        </w:rPr>
        <w:t>Fuente: Subproceso de Modernización Institucional con datos del informe de seguimiento del Juzgado de Niñez y Adolescencia</w:t>
      </w:r>
      <w:r w:rsidR="00293FB2" w:rsidRPr="00293FB2">
        <w:rPr>
          <w:rFonts w:ascii="Book Antiqua" w:eastAsia="Calibri" w:hAnsi="Book Antiqua" w:cs="Arial"/>
          <w:i/>
          <w:iCs/>
          <w:sz w:val="20"/>
          <w:szCs w:val="20"/>
        </w:rPr>
        <w:t>.</w:t>
      </w:r>
      <w:bookmarkEnd w:id="53"/>
    </w:p>
    <w:bookmarkEnd w:id="52"/>
    <w:p w14:paraId="55112516" w14:textId="77777777" w:rsidR="00604280" w:rsidRDefault="00604280" w:rsidP="00355630">
      <w:pPr>
        <w:spacing w:after="0" w:line="276" w:lineRule="auto"/>
        <w:jc w:val="both"/>
        <w:rPr>
          <w:rFonts w:ascii="Book Antiqua" w:eastAsia="Calibri" w:hAnsi="Book Antiqua" w:cs="Arial"/>
          <w:sz w:val="24"/>
          <w:szCs w:val="24"/>
        </w:rPr>
      </w:pPr>
    </w:p>
    <w:p w14:paraId="4130555A" w14:textId="14EA5D95" w:rsidR="003744DF" w:rsidRPr="003744DF" w:rsidRDefault="003744DF" w:rsidP="003744DF">
      <w:pPr>
        <w:spacing w:after="0" w:line="276" w:lineRule="auto"/>
        <w:jc w:val="both"/>
        <w:rPr>
          <w:rFonts w:ascii="Book Antiqua" w:eastAsia="Calibri" w:hAnsi="Book Antiqua" w:cs="Arial"/>
          <w:sz w:val="24"/>
          <w:szCs w:val="24"/>
        </w:rPr>
      </w:pPr>
      <w:r w:rsidRPr="003744DF">
        <w:rPr>
          <w:rFonts w:ascii="Book Antiqua" w:eastAsia="Calibri" w:hAnsi="Book Antiqua" w:cs="Arial"/>
          <w:sz w:val="24"/>
          <w:szCs w:val="24"/>
        </w:rPr>
        <w:t xml:space="preserve">Del cuadro anterior, se tiene que para el periodo en análisis, ingresaron 14 expediente en el Juzgado Contravencional de Tarrazú, Dota y León Cortés, lo que equivale a menos de un asunto por mes y 87 casos ingresados en el Juzgado Civil, Trabajo y Familia de Puriscal, para un promedio mensual de 2 asuntos, </w:t>
      </w:r>
      <w:r>
        <w:rPr>
          <w:rFonts w:ascii="Book Antiqua" w:eastAsia="Calibri" w:hAnsi="Book Antiqua" w:cs="Arial"/>
          <w:sz w:val="24"/>
          <w:szCs w:val="24"/>
        </w:rPr>
        <w:t>s</w:t>
      </w:r>
      <w:r w:rsidRPr="003744DF">
        <w:rPr>
          <w:rFonts w:ascii="Book Antiqua" w:eastAsia="Calibri" w:hAnsi="Book Antiqua" w:cs="Arial"/>
          <w:sz w:val="24"/>
          <w:szCs w:val="24"/>
        </w:rPr>
        <w:t>e evidencia del cuadro que la cantidad de casos entrados no tendrían gran impacto para estos despachos y sí un beneficio para las personas usuarias que no tendrían que desplazarse a San José.</w:t>
      </w:r>
    </w:p>
    <w:p w14:paraId="12B4D75B" w14:textId="77777777" w:rsidR="001540BD" w:rsidRDefault="001540BD" w:rsidP="00355630">
      <w:pPr>
        <w:spacing w:after="0" w:line="276" w:lineRule="auto"/>
        <w:jc w:val="both"/>
        <w:rPr>
          <w:rFonts w:ascii="Book Antiqua" w:eastAsia="Calibri" w:hAnsi="Book Antiqua" w:cs="Arial"/>
          <w:sz w:val="24"/>
          <w:szCs w:val="24"/>
        </w:rPr>
      </w:pPr>
    </w:p>
    <w:p w14:paraId="5B4E1C96" w14:textId="7F10CD92" w:rsidR="00A93034" w:rsidRDefault="004B12FE"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w:t>
      </w:r>
      <w:r w:rsidR="00763C95">
        <w:rPr>
          <w:rFonts w:ascii="Book Antiqua" w:eastAsia="Calibri" w:hAnsi="Book Antiqua" w:cs="Arial"/>
          <w:sz w:val="24"/>
          <w:szCs w:val="24"/>
        </w:rPr>
        <w:t xml:space="preserve">analiza </w:t>
      </w:r>
      <w:r>
        <w:rPr>
          <w:rFonts w:ascii="Book Antiqua" w:eastAsia="Calibri" w:hAnsi="Book Antiqua" w:cs="Arial"/>
          <w:sz w:val="24"/>
          <w:szCs w:val="24"/>
        </w:rPr>
        <w:t xml:space="preserve">la carga de trabajo de estos juzgados </w:t>
      </w:r>
      <w:r w:rsidR="00763C95">
        <w:rPr>
          <w:rFonts w:ascii="Book Antiqua" w:eastAsia="Calibri" w:hAnsi="Book Antiqua" w:cs="Arial"/>
          <w:sz w:val="24"/>
          <w:szCs w:val="24"/>
        </w:rPr>
        <w:t xml:space="preserve">considerando </w:t>
      </w:r>
      <w:r w:rsidR="009F6BF8">
        <w:rPr>
          <w:rFonts w:ascii="Book Antiqua" w:eastAsia="Calibri" w:hAnsi="Book Antiqua" w:cs="Arial"/>
          <w:sz w:val="24"/>
          <w:szCs w:val="24"/>
        </w:rPr>
        <w:t>dos escenarios</w:t>
      </w:r>
      <w:r>
        <w:rPr>
          <w:rFonts w:ascii="Book Antiqua" w:eastAsia="Calibri" w:hAnsi="Book Antiqua" w:cs="Arial"/>
          <w:sz w:val="24"/>
          <w:szCs w:val="24"/>
        </w:rPr>
        <w:t>:</w:t>
      </w:r>
    </w:p>
    <w:p w14:paraId="5BC5194B" w14:textId="77777777" w:rsidR="004B12FE" w:rsidRDefault="004B12FE" w:rsidP="00355630">
      <w:pPr>
        <w:spacing w:after="0" w:line="276" w:lineRule="auto"/>
        <w:jc w:val="both"/>
        <w:rPr>
          <w:rFonts w:ascii="Book Antiqua" w:eastAsia="Calibri" w:hAnsi="Book Antiqua" w:cs="Arial"/>
          <w:sz w:val="24"/>
          <w:szCs w:val="24"/>
        </w:rPr>
      </w:pPr>
    </w:p>
    <w:p w14:paraId="02EAB26E" w14:textId="3A54B485" w:rsidR="00A93034" w:rsidRPr="000330F0" w:rsidRDefault="00A93034" w:rsidP="00A9303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39</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16871CF0" w14:textId="77777777" w:rsidR="004B12FE" w:rsidRDefault="004B12FE" w:rsidP="004B12FE">
      <w:pPr>
        <w:spacing w:after="0" w:line="276" w:lineRule="auto"/>
        <w:jc w:val="center"/>
        <w:rPr>
          <w:rFonts w:ascii="Book Antiqua" w:eastAsia="Calibri" w:hAnsi="Book Antiqua" w:cs="Arial"/>
          <w:b/>
          <w:bCs/>
          <w:color w:val="1F497D"/>
          <w:szCs w:val="24"/>
          <w:lang w:val="es-ES" w:eastAsia="es-ES"/>
        </w:rPr>
      </w:pPr>
      <w:bookmarkStart w:id="54" w:name="_Hlk96514577"/>
      <w:r w:rsidRPr="004B12FE">
        <w:rPr>
          <w:rFonts w:ascii="Book Antiqua" w:eastAsia="Calibri" w:hAnsi="Book Antiqua" w:cs="Arial"/>
          <w:b/>
          <w:bCs/>
          <w:color w:val="1F497D"/>
          <w:szCs w:val="24"/>
          <w:lang w:val="es-ES" w:eastAsia="es-ES"/>
        </w:rPr>
        <w:t>Carga de Trabajo del Juzgado de Niñez y Adolescencia, Juzgado de Familia de Cartago y Juzgado Civil, Trabajo y Familia de Puriscal, al 2022</w:t>
      </w:r>
    </w:p>
    <w:tbl>
      <w:tblPr>
        <w:tblW w:w="5000" w:type="pct"/>
        <w:jc w:val="center"/>
        <w:tblCellMar>
          <w:left w:w="70" w:type="dxa"/>
          <w:right w:w="70" w:type="dxa"/>
        </w:tblCellMar>
        <w:tblLook w:val="04A0" w:firstRow="1" w:lastRow="0" w:firstColumn="1" w:lastColumn="0" w:noHBand="0" w:noVBand="1"/>
      </w:tblPr>
      <w:tblGrid>
        <w:gridCol w:w="1175"/>
        <w:gridCol w:w="1370"/>
        <w:gridCol w:w="852"/>
        <w:gridCol w:w="981"/>
        <w:gridCol w:w="1056"/>
        <w:gridCol w:w="653"/>
        <w:gridCol w:w="891"/>
        <w:gridCol w:w="898"/>
        <w:gridCol w:w="942"/>
      </w:tblGrid>
      <w:tr w:rsidR="009F6BF8" w:rsidRPr="009F6BF8" w14:paraId="76943C11" w14:textId="77777777" w:rsidTr="009F6BF8">
        <w:trPr>
          <w:trHeight w:val="300"/>
          <w:jc w:val="center"/>
        </w:trPr>
        <w:tc>
          <w:tcPr>
            <w:tcW w:w="667" w:type="pct"/>
            <w:vMerge w:val="restar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73EBC530"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Escenario</w:t>
            </w:r>
          </w:p>
        </w:tc>
        <w:tc>
          <w:tcPr>
            <w:tcW w:w="777" w:type="pct"/>
            <w:vMerge w:val="restar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36F8C124"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Despacho</w:t>
            </w:r>
          </w:p>
        </w:tc>
        <w:tc>
          <w:tcPr>
            <w:tcW w:w="483" w:type="pct"/>
            <w:vMerge w:val="restart"/>
            <w:tcBorders>
              <w:top w:val="single" w:sz="8" w:space="0" w:color="auto"/>
              <w:left w:val="single" w:sz="8" w:space="0" w:color="auto"/>
              <w:bottom w:val="single" w:sz="8" w:space="0" w:color="auto"/>
              <w:right w:val="single" w:sz="8" w:space="0" w:color="auto"/>
            </w:tcBorders>
            <w:shd w:val="clear" w:color="000000" w:fill="002060"/>
            <w:vAlign w:val="center"/>
            <w:hideMark/>
          </w:tcPr>
          <w:p w14:paraId="001661EA"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Promedio mensual Entrada 2022</w:t>
            </w:r>
          </w:p>
        </w:tc>
        <w:tc>
          <w:tcPr>
            <w:tcW w:w="556" w:type="pct"/>
            <w:vMerge w:val="restart"/>
            <w:tcBorders>
              <w:top w:val="single" w:sz="8" w:space="0" w:color="auto"/>
              <w:left w:val="single" w:sz="8" w:space="0" w:color="auto"/>
              <w:bottom w:val="single" w:sz="8" w:space="0" w:color="auto"/>
              <w:right w:val="single" w:sz="8" w:space="0" w:color="auto"/>
            </w:tcBorders>
            <w:shd w:val="clear" w:color="000000" w:fill="002060"/>
            <w:vAlign w:val="center"/>
            <w:hideMark/>
          </w:tcPr>
          <w:p w14:paraId="75B70DB2"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Promedio mensual Terminado 2022</w:t>
            </w:r>
          </w:p>
        </w:tc>
        <w:tc>
          <w:tcPr>
            <w:tcW w:w="599" w:type="pct"/>
            <w:vMerge w:val="restart"/>
            <w:tcBorders>
              <w:top w:val="single" w:sz="8" w:space="0" w:color="auto"/>
              <w:left w:val="single" w:sz="8" w:space="0" w:color="auto"/>
              <w:bottom w:val="single" w:sz="8" w:space="0" w:color="auto"/>
              <w:right w:val="single" w:sz="8" w:space="0" w:color="auto"/>
            </w:tcBorders>
            <w:shd w:val="clear" w:color="000000" w:fill="002060"/>
            <w:vAlign w:val="center"/>
            <w:hideMark/>
          </w:tcPr>
          <w:p w14:paraId="0A954EA5"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Circulante Trámite al 31 diciembre 2022</w:t>
            </w:r>
          </w:p>
        </w:tc>
        <w:tc>
          <w:tcPr>
            <w:tcW w:w="875" w:type="pct"/>
            <w:gridSpan w:val="2"/>
            <w:tcBorders>
              <w:top w:val="single" w:sz="8" w:space="0" w:color="auto"/>
              <w:left w:val="nil"/>
              <w:bottom w:val="single" w:sz="8" w:space="0" w:color="auto"/>
              <w:right w:val="single" w:sz="8" w:space="0" w:color="auto"/>
            </w:tcBorders>
            <w:shd w:val="clear" w:color="000000" w:fill="002060"/>
            <w:noWrap/>
            <w:vAlign w:val="center"/>
            <w:hideMark/>
          </w:tcPr>
          <w:p w14:paraId="1CF6BD20"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Recurso Humano</w:t>
            </w:r>
          </w:p>
        </w:tc>
        <w:tc>
          <w:tcPr>
            <w:tcW w:w="1043" w:type="pct"/>
            <w:gridSpan w:val="2"/>
            <w:tcBorders>
              <w:top w:val="single" w:sz="8" w:space="0" w:color="auto"/>
              <w:left w:val="nil"/>
              <w:bottom w:val="single" w:sz="8" w:space="0" w:color="auto"/>
              <w:right w:val="single" w:sz="8" w:space="0" w:color="auto"/>
            </w:tcBorders>
            <w:shd w:val="clear" w:color="000000" w:fill="002060"/>
            <w:noWrap/>
            <w:vAlign w:val="center"/>
            <w:hideMark/>
          </w:tcPr>
          <w:p w14:paraId="40C23C68"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Carga Trabajo mensual</w:t>
            </w:r>
          </w:p>
        </w:tc>
      </w:tr>
      <w:tr w:rsidR="009F6BF8" w:rsidRPr="009F6BF8" w14:paraId="2EA3C217" w14:textId="77777777" w:rsidTr="009F6BF8">
        <w:trPr>
          <w:trHeight w:val="450"/>
          <w:jc w:val="center"/>
        </w:trPr>
        <w:tc>
          <w:tcPr>
            <w:tcW w:w="667" w:type="pct"/>
            <w:vMerge/>
            <w:tcBorders>
              <w:top w:val="single" w:sz="8" w:space="0" w:color="auto"/>
              <w:left w:val="single" w:sz="8" w:space="0" w:color="auto"/>
              <w:bottom w:val="single" w:sz="8" w:space="0" w:color="auto"/>
              <w:right w:val="single" w:sz="8" w:space="0" w:color="auto"/>
            </w:tcBorders>
            <w:vAlign w:val="center"/>
            <w:hideMark/>
          </w:tcPr>
          <w:p w14:paraId="2FD153A9" w14:textId="77777777" w:rsidR="009F6BF8" w:rsidRPr="009F6BF8" w:rsidRDefault="009F6BF8" w:rsidP="009F6BF8">
            <w:pPr>
              <w:spacing w:after="0" w:line="276" w:lineRule="auto"/>
              <w:rPr>
                <w:rFonts w:ascii="Book Antiqua" w:eastAsia="Times New Roman" w:hAnsi="Book Antiqua" w:cs="Calibri"/>
                <w:b/>
                <w:bCs/>
                <w:color w:val="FFFFFF"/>
                <w:sz w:val="16"/>
                <w:szCs w:val="16"/>
                <w:lang w:eastAsia="es-CR"/>
              </w:rPr>
            </w:pPr>
          </w:p>
        </w:tc>
        <w:tc>
          <w:tcPr>
            <w:tcW w:w="777" w:type="pct"/>
            <w:vMerge/>
            <w:tcBorders>
              <w:top w:val="single" w:sz="8" w:space="0" w:color="auto"/>
              <w:left w:val="single" w:sz="8" w:space="0" w:color="auto"/>
              <w:bottom w:val="single" w:sz="8" w:space="0" w:color="auto"/>
              <w:right w:val="single" w:sz="8" w:space="0" w:color="auto"/>
            </w:tcBorders>
            <w:vAlign w:val="center"/>
            <w:hideMark/>
          </w:tcPr>
          <w:p w14:paraId="0C833B10" w14:textId="77777777" w:rsidR="009F6BF8" w:rsidRPr="009F6BF8" w:rsidRDefault="009F6BF8" w:rsidP="009F6BF8">
            <w:pPr>
              <w:spacing w:after="0" w:line="276" w:lineRule="auto"/>
              <w:rPr>
                <w:rFonts w:ascii="Book Antiqua" w:eastAsia="Times New Roman" w:hAnsi="Book Antiqua" w:cs="Calibri"/>
                <w:b/>
                <w:bCs/>
                <w:color w:val="FFFFFF"/>
                <w:sz w:val="16"/>
                <w:szCs w:val="16"/>
                <w:lang w:eastAsia="es-CR"/>
              </w:rPr>
            </w:pPr>
          </w:p>
        </w:tc>
        <w:tc>
          <w:tcPr>
            <w:tcW w:w="483" w:type="pct"/>
            <w:vMerge/>
            <w:tcBorders>
              <w:top w:val="single" w:sz="8" w:space="0" w:color="auto"/>
              <w:left w:val="single" w:sz="8" w:space="0" w:color="auto"/>
              <w:bottom w:val="single" w:sz="8" w:space="0" w:color="auto"/>
              <w:right w:val="single" w:sz="8" w:space="0" w:color="auto"/>
            </w:tcBorders>
            <w:vAlign w:val="center"/>
            <w:hideMark/>
          </w:tcPr>
          <w:p w14:paraId="217D7EED" w14:textId="77777777" w:rsidR="009F6BF8" w:rsidRPr="009F6BF8" w:rsidRDefault="009F6BF8" w:rsidP="009F6BF8">
            <w:pPr>
              <w:spacing w:after="0" w:line="276" w:lineRule="auto"/>
              <w:rPr>
                <w:rFonts w:ascii="Book Antiqua" w:eastAsia="Times New Roman" w:hAnsi="Book Antiqua" w:cs="Calibri"/>
                <w:b/>
                <w:bCs/>
                <w:color w:val="FFFFFF"/>
                <w:sz w:val="16"/>
                <w:szCs w:val="16"/>
                <w:lang w:eastAsia="es-CR"/>
              </w:rPr>
            </w:pPr>
          </w:p>
        </w:tc>
        <w:tc>
          <w:tcPr>
            <w:tcW w:w="556" w:type="pct"/>
            <w:vMerge/>
            <w:tcBorders>
              <w:top w:val="single" w:sz="8" w:space="0" w:color="auto"/>
              <w:left w:val="single" w:sz="8" w:space="0" w:color="auto"/>
              <w:bottom w:val="single" w:sz="8" w:space="0" w:color="auto"/>
              <w:right w:val="single" w:sz="8" w:space="0" w:color="auto"/>
            </w:tcBorders>
            <w:vAlign w:val="center"/>
            <w:hideMark/>
          </w:tcPr>
          <w:p w14:paraId="667B00B8" w14:textId="77777777" w:rsidR="009F6BF8" w:rsidRPr="009F6BF8" w:rsidRDefault="009F6BF8" w:rsidP="009F6BF8">
            <w:pPr>
              <w:spacing w:after="0" w:line="276" w:lineRule="auto"/>
              <w:rPr>
                <w:rFonts w:ascii="Book Antiqua" w:eastAsia="Times New Roman" w:hAnsi="Book Antiqua" w:cs="Calibri"/>
                <w:b/>
                <w:bCs/>
                <w:color w:val="FFFFFF"/>
                <w:sz w:val="16"/>
                <w:szCs w:val="16"/>
                <w:lang w:eastAsia="es-CR"/>
              </w:rPr>
            </w:pPr>
          </w:p>
        </w:tc>
        <w:tc>
          <w:tcPr>
            <w:tcW w:w="599" w:type="pct"/>
            <w:vMerge/>
            <w:tcBorders>
              <w:top w:val="single" w:sz="8" w:space="0" w:color="auto"/>
              <w:left w:val="single" w:sz="8" w:space="0" w:color="auto"/>
              <w:bottom w:val="single" w:sz="8" w:space="0" w:color="auto"/>
              <w:right w:val="single" w:sz="8" w:space="0" w:color="auto"/>
            </w:tcBorders>
            <w:vAlign w:val="center"/>
            <w:hideMark/>
          </w:tcPr>
          <w:p w14:paraId="17D77CA5" w14:textId="77777777" w:rsidR="009F6BF8" w:rsidRPr="009F6BF8" w:rsidRDefault="009F6BF8" w:rsidP="009F6BF8">
            <w:pPr>
              <w:spacing w:after="0" w:line="276" w:lineRule="auto"/>
              <w:rPr>
                <w:rFonts w:ascii="Book Antiqua" w:eastAsia="Times New Roman" w:hAnsi="Book Antiqua" w:cs="Calibri"/>
                <w:b/>
                <w:bCs/>
                <w:color w:val="FFFFFF"/>
                <w:sz w:val="16"/>
                <w:szCs w:val="16"/>
                <w:lang w:eastAsia="es-CR"/>
              </w:rPr>
            </w:pPr>
          </w:p>
        </w:tc>
        <w:tc>
          <w:tcPr>
            <w:tcW w:w="370" w:type="pct"/>
            <w:tcBorders>
              <w:top w:val="nil"/>
              <w:left w:val="nil"/>
              <w:bottom w:val="single" w:sz="8" w:space="0" w:color="auto"/>
              <w:right w:val="single" w:sz="8" w:space="0" w:color="auto"/>
            </w:tcBorders>
            <w:shd w:val="clear" w:color="000000" w:fill="002060"/>
            <w:vAlign w:val="center"/>
            <w:hideMark/>
          </w:tcPr>
          <w:p w14:paraId="40D58BB3"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Juez o Jueza</w:t>
            </w:r>
          </w:p>
        </w:tc>
        <w:tc>
          <w:tcPr>
            <w:tcW w:w="505" w:type="pct"/>
            <w:tcBorders>
              <w:top w:val="nil"/>
              <w:left w:val="nil"/>
              <w:bottom w:val="single" w:sz="8" w:space="0" w:color="auto"/>
              <w:right w:val="single" w:sz="8" w:space="0" w:color="auto"/>
            </w:tcBorders>
            <w:shd w:val="clear" w:color="000000" w:fill="002060"/>
            <w:vAlign w:val="center"/>
            <w:hideMark/>
          </w:tcPr>
          <w:p w14:paraId="5B5D2FFC"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Técn. Judicial Trámite</w:t>
            </w:r>
          </w:p>
        </w:tc>
        <w:tc>
          <w:tcPr>
            <w:tcW w:w="509" w:type="pct"/>
            <w:tcBorders>
              <w:top w:val="nil"/>
              <w:left w:val="nil"/>
              <w:bottom w:val="single" w:sz="8" w:space="0" w:color="auto"/>
              <w:right w:val="single" w:sz="8" w:space="0" w:color="auto"/>
            </w:tcBorders>
            <w:shd w:val="clear" w:color="000000" w:fill="002060"/>
            <w:vAlign w:val="center"/>
            <w:hideMark/>
          </w:tcPr>
          <w:p w14:paraId="2106CE36"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Juez o Jueza</w:t>
            </w:r>
          </w:p>
        </w:tc>
        <w:tc>
          <w:tcPr>
            <w:tcW w:w="534" w:type="pct"/>
            <w:tcBorders>
              <w:top w:val="nil"/>
              <w:left w:val="nil"/>
              <w:bottom w:val="single" w:sz="8" w:space="0" w:color="auto"/>
              <w:right w:val="single" w:sz="8" w:space="0" w:color="auto"/>
            </w:tcBorders>
            <w:shd w:val="clear" w:color="000000" w:fill="002060"/>
            <w:vAlign w:val="center"/>
            <w:hideMark/>
          </w:tcPr>
          <w:p w14:paraId="1D21A42B" w14:textId="77777777" w:rsidR="009F6BF8" w:rsidRPr="009F6BF8" w:rsidRDefault="009F6BF8" w:rsidP="009F6BF8">
            <w:pPr>
              <w:spacing w:after="0" w:line="276" w:lineRule="auto"/>
              <w:jc w:val="center"/>
              <w:rPr>
                <w:rFonts w:ascii="Book Antiqua" w:eastAsia="Times New Roman" w:hAnsi="Book Antiqua" w:cs="Calibri"/>
                <w:b/>
                <w:bCs/>
                <w:color w:val="FFFFFF"/>
                <w:sz w:val="16"/>
                <w:szCs w:val="16"/>
                <w:lang w:eastAsia="es-CR"/>
              </w:rPr>
            </w:pPr>
            <w:r w:rsidRPr="009F6BF8">
              <w:rPr>
                <w:rFonts w:ascii="Book Antiqua" w:eastAsia="Times New Roman" w:hAnsi="Book Antiqua" w:cs="Calibri"/>
                <w:b/>
                <w:bCs/>
                <w:color w:val="FFFFFF"/>
                <w:sz w:val="16"/>
                <w:szCs w:val="16"/>
                <w:lang w:eastAsia="es-CR"/>
              </w:rPr>
              <w:t>Técn. Judicial Trámite</w:t>
            </w:r>
          </w:p>
        </w:tc>
      </w:tr>
      <w:tr w:rsidR="009F6BF8" w:rsidRPr="009F6BF8" w14:paraId="54CCECBC" w14:textId="77777777" w:rsidTr="009F6BF8">
        <w:trPr>
          <w:trHeight w:val="540"/>
          <w:jc w:val="center"/>
        </w:trPr>
        <w:tc>
          <w:tcPr>
            <w:tcW w:w="667" w:type="pct"/>
            <w:vMerge w:val="restart"/>
            <w:tcBorders>
              <w:top w:val="nil"/>
              <w:left w:val="single" w:sz="8" w:space="0" w:color="auto"/>
              <w:bottom w:val="single" w:sz="8" w:space="0" w:color="auto"/>
              <w:right w:val="single" w:sz="8" w:space="0" w:color="auto"/>
            </w:tcBorders>
            <w:shd w:val="clear" w:color="auto" w:fill="auto"/>
            <w:vAlign w:val="center"/>
            <w:hideMark/>
          </w:tcPr>
          <w:p w14:paraId="5B59B63C"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Escenario con competencia actual</w:t>
            </w:r>
          </w:p>
        </w:tc>
        <w:tc>
          <w:tcPr>
            <w:tcW w:w="777" w:type="pct"/>
            <w:tcBorders>
              <w:top w:val="nil"/>
              <w:left w:val="nil"/>
              <w:bottom w:val="single" w:sz="8" w:space="0" w:color="auto"/>
              <w:right w:val="single" w:sz="8" w:space="0" w:color="auto"/>
            </w:tcBorders>
            <w:shd w:val="clear" w:color="auto" w:fill="auto"/>
            <w:vAlign w:val="bottom"/>
            <w:hideMark/>
          </w:tcPr>
          <w:p w14:paraId="1BB0F963"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Juzgado de Niñez y Adolescencia</w:t>
            </w:r>
          </w:p>
        </w:tc>
        <w:tc>
          <w:tcPr>
            <w:tcW w:w="483" w:type="pct"/>
            <w:tcBorders>
              <w:top w:val="nil"/>
              <w:left w:val="nil"/>
              <w:bottom w:val="single" w:sz="8" w:space="0" w:color="auto"/>
              <w:right w:val="single" w:sz="8" w:space="0" w:color="auto"/>
            </w:tcBorders>
            <w:shd w:val="clear" w:color="auto" w:fill="auto"/>
            <w:noWrap/>
            <w:vAlign w:val="bottom"/>
            <w:hideMark/>
          </w:tcPr>
          <w:p w14:paraId="6F5BF96B"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102</w:t>
            </w:r>
          </w:p>
        </w:tc>
        <w:tc>
          <w:tcPr>
            <w:tcW w:w="556" w:type="pct"/>
            <w:tcBorders>
              <w:top w:val="nil"/>
              <w:left w:val="nil"/>
              <w:bottom w:val="single" w:sz="8" w:space="0" w:color="auto"/>
              <w:right w:val="single" w:sz="8" w:space="0" w:color="auto"/>
            </w:tcBorders>
            <w:shd w:val="clear" w:color="auto" w:fill="auto"/>
            <w:noWrap/>
            <w:vAlign w:val="bottom"/>
            <w:hideMark/>
          </w:tcPr>
          <w:p w14:paraId="367C6F63"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91</w:t>
            </w:r>
          </w:p>
        </w:tc>
        <w:tc>
          <w:tcPr>
            <w:tcW w:w="599" w:type="pct"/>
            <w:tcBorders>
              <w:top w:val="nil"/>
              <w:left w:val="nil"/>
              <w:bottom w:val="single" w:sz="8" w:space="0" w:color="auto"/>
              <w:right w:val="single" w:sz="8" w:space="0" w:color="auto"/>
            </w:tcBorders>
            <w:shd w:val="clear" w:color="auto" w:fill="auto"/>
            <w:noWrap/>
            <w:vAlign w:val="bottom"/>
            <w:hideMark/>
          </w:tcPr>
          <w:p w14:paraId="5ECA09FF"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1659</w:t>
            </w:r>
          </w:p>
        </w:tc>
        <w:tc>
          <w:tcPr>
            <w:tcW w:w="370" w:type="pct"/>
            <w:tcBorders>
              <w:top w:val="nil"/>
              <w:left w:val="nil"/>
              <w:bottom w:val="single" w:sz="8" w:space="0" w:color="auto"/>
              <w:right w:val="single" w:sz="8" w:space="0" w:color="auto"/>
            </w:tcBorders>
            <w:shd w:val="clear" w:color="auto" w:fill="auto"/>
            <w:noWrap/>
            <w:vAlign w:val="bottom"/>
            <w:hideMark/>
          </w:tcPr>
          <w:p w14:paraId="07EE5E19"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2</w:t>
            </w:r>
          </w:p>
        </w:tc>
        <w:tc>
          <w:tcPr>
            <w:tcW w:w="505" w:type="pct"/>
            <w:tcBorders>
              <w:top w:val="nil"/>
              <w:left w:val="nil"/>
              <w:bottom w:val="single" w:sz="8" w:space="0" w:color="auto"/>
              <w:right w:val="single" w:sz="8" w:space="0" w:color="auto"/>
            </w:tcBorders>
            <w:shd w:val="clear" w:color="auto" w:fill="auto"/>
            <w:noWrap/>
            <w:vAlign w:val="bottom"/>
            <w:hideMark/>
          </w:tcPr>
          <w:p w14:paraId="5E9C8C1E"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4</w:t>
            </w:r>
          </w:p>
        </w:tc>
        <w:tc>
          <w:tcPr>
            <w:tcW w:w="509" w:type="pct"/>
            <w:tcBorders>
              <w:top w:val="nil"/>
              <w:left w:val="nil"/>
              <w:bottom w:val="single" w:sz="8" w:space="0" w:color="auto"/>
              <w:right w:val="single" w:sz="8" w:space="0" w:color="auto"/>
            </w:tcBorders>
            <w:shd w:val="clear" w:color="auto" w:fill="auto"/>
            <w:noWrap/>
            <w:vAlign w:val="bottom"/>
            <w:hideMark/>
          </w:tcPr>
          <w:p w14:paraId="36B84D17"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51</w:t>
            </w:r>
          </w:p>
        </w:tc>
        <w:tc>
          <w:tcPr>
            <w:tcW w:w="534" w:type="pct"/>
            <w:tcBorders>
              <w:top w:val="nil"/>
              <w:left w:val="nil"/>
              <w:bottom w:val="single" w:sz="8" w:space="0" w:color="auto"/>
              <w:right w:val="single" w:sz="8" w:space="0" w:color="auto"/>
            </w:tcBorders>
            <w:shd w:val="clear" w:color="auto" w:fill="auto"/>
            <w:noWrap/>
            <w:vAlign w:val="bottom"/>
            <w:hideMark/>
          </w:tcPr>
          <w:p w14:paraId="57723E4D"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26</w:t>
            </w:r>
          </w:p>
        </w:tc>
      </w:tr>
      <w:tr w:rsidR="009F6BF8" w:rsidRPr="009F6BF8" w14:paraId="374D0247" w14:textId="77777777" w:rsidTr="009F6BF8">
        <w:trPr>
          <w:trHeight w:val="510"/>
          <w:jc w:val="center"/>
        </w:trPr>
        <w:tc>
          <w:tcPr>
            <w:tcW w:w="667" w:type="pct"/>
            <w:vMerge/>
            <w:tcBorders>
              <w:top w:val="nil"/>
              <w:left w:val="single" w:sz="8" w:space="0" w:color="auto"/>
              <w:bottom w:val="single" w:sz="8" w:space="0" w:color="auto"/>
              <w:right w:val="single" w:sz="8" w:space="0" w:color="auto"/>
            </w:tcBorders>
            <w:vAlign w:val="center"/>
            <w:hideMark/>
          </w:tcPr>
          <w:p w14:paraId="54A2BD31"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p>
        </w:tc>
        <w:tc>
          <w:tcPr>
            <w:tcW w:w="777" w:type="pct"/>
            <w:tcBorders>
              <w:top w:val="nil"/>
              <w:left w:val="nil"/>
              <w:bottom w:val="single" w:sz="8" w:space="0" w:color="auto"/>
              <w:right w:val="single" w:sz="8" w:space="0" w:color="auto"/>
            </w:tcBorders>
            <w:shd w:val="clear" w:color="auto" w:fill="auto"/>
            <w:vAlign w:val="bottom"/>
            <w:hideMark/>
          </w:tcPr>
          <w:p w14:paraId="0240D2ED"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Juzgado de Familia de Cartago</w:t>
            </w:r>
          </w:p>
        </w:tc>
        <w:tc>
          <w:tcPr>
            <w:tcW w:w="483" w:type="pct"/>
            <w:tcBorders>
              <w:top w:val="nil"/>
              <w:left w:val="nil"/>
              <w:bottom w:val="single" w:sz="8" w:space="0" w:color="auto"/>
              <w:right w:val="single" w:sz="8" w:space="0" w:color="auto"/>
            </w:tcBorders>
            <w:shd w:val="clear" w:color="auto" w:fill="auto"/>
            <w:noWrap/>
            <w:vAlign w:val="bottom"/>
            <w:hideMark/>
          </w:tcPr>
          <w:p w14:paraId="0BE88493"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298</w:t>
            </w:r>
          </w:p>
        </w:tc>
        <w:tc>
          <w:tcPr>
            <w:tcW w:w="556" w:type="pct"/>
            <w:tcBorders>
              <w:top w:val="nil"/>
              <w:left w:val="nil"/>
              <w:bottom w:val="single" w:sz="8" w:space="0" w:color="auto"/>
              <w:right w:val="single" w:sz="8" w:space="0" w:color="auto"/>
            </w:tcBorders>
            <w:shd w:val="clear" w:color="auto" w:fill="auto"/>
            <w:noWrap/>
            <w:vAlign w:val="bottom"/>
            <w:hideMark/>
          </w:tcPr>
          <w:p w14:paraId="7232B0E7"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314</w:t>
            </w:r>
          </w:p>
        </w:tc>
        <w:tc>
          <w:tcPr>
            <w:tcW w:w="599" w:type="pct"/>
            <w:tcBorders>
              <w:top w:val="nil"/>
              <w:left w:val="nil"/>
              <w:bottom w:val="single" w:sz="8" w:space="0" w:color="auto"/>
              <w:right w:val="single" w:sz="8" w:space="0" w:color="auto"/>
            </w:tcBorders>
            <w:shd w:val="clear" w:color="auto" w:fill="auto"/>
            <w:noWrap/>
            <w:vAlign w:val="bottom"/>
            <w:hideMark/>
          </w:tcPr>
          <w:p w14:paraId="1DB972EA"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1307</w:t>
            </w:r>
          </w:p>
        </w:tc>
        <w:tc>
          <w:tcPr>
            <w:tcW w:w="370" w:type="pct"/>
            <w:tcBorders>
              <w:top w:val="nil"/>
              <w:left w:val="nil"/>
              <w:bottom w:val="single" w:sz="8" w:space="0" w:color="auto"/>
              <w:right w:val="single" w:sz="8" w:space="0" w:color="auto"/>
            </w:tcBorders>
            <w:shd w:val="clear" w:color="auto" w:fill="auto"/>
            <w:noWrap/>
            <w:vAlign w:val="bottom"/>
            <w:hideMark/>
          </w:tcPr>
          <w:p w14:paraId="6E7A4004"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3</w:t>
            </w:r>
          </w:p>
        </w:tc>
        <w:tc>
          <w:tcPr>
            <w:tcW w:w="505" w:type="pct"/>
            <w:tcBorders>
              <w:top w:val="nil"/>
              <w:left w:val="nil"/>
              <w:bottom w:val="single" w:sz="8" w:space="0" w:color="auto"/>
              <w:right w:val="single" w:sz="8" w:space="0" w:color="auto"/>
            </w:tcBorders>
            <w:shd w:val="clear" w:color="auto" w:fill="auto"/>
            <w:noWrap/>
            <w:vAlign w:val="bottom"/>
            <w:hideMark/>
          </w:tcPr>
          <w:p w14:paraId="62F6BE74"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5</w:t>
            </w:r>
          </w:p>
        </w:tc>
        <w:tc>
          <w:tcPr>
            <w:tcW w:w="509" w:type="pct"/>
            <w:tcBorders>
              <w:top w:val="nil"/>
              <w:left w:val="nil"/>
              <w:bottom w:val="single" w:sz="8" w:space="0" w:color="auto"/>
              <w:right w:val="single" w:sz="8" w:space="0" w:color="auto"/>
            </w:tcBorders>
            <w:shd w:val="clear" w:color="auto" w:fill="auto"/>
            <w:noWrap/>
            <w:vAlign w:val="bottom"/>
            <w:hideMark/>
          </w:tcPr>
          <w:p w14:paraId="2EF562A6"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99</w:t>
            </w:r>
          </w:p>
        </w:tc>
        <w:tc>
          <w:tcPr>
            <w:tcW w:w="534" w:type="pct"/>
            <w:tcBorders>
              <w:top w:val="nil"/>
              <w:left w:val="nil"/>
              <w:bottom w:val="single" w:sz="8" w:space="0" w:color="auto"/>
              <w:right w:val="single" w:sz="8" w:space="0" w:color="auto"/>
            </w:tcBorders>
            <w:shd w:val="clear" w:color="auto" w:fill="auto"/>
            <w:noWrap/>
            <w:vAlign w:val="bottom"/>
            <w:hideMark/>
          </w:tcPr>
          <w:p w14:paraId="16D65379"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60</w:t>
            </w:r>
          </w:p>
        </w:tc>
      </w:tr>
      <w:tr w:rsidR="009F6BF8" w:rsidRPr="009F6BF8" w14:paraId="4B6166D8" w14:textId="77777777" w:rsidTr="009F6BF8">
        <w:trPr>
          <w:trHeight w:val="450"/>
          <w:jc w:val="center"/>
        </w:trPr>
        <w:tc>
          <w:tcPr>
            <w:tcW w:w="667" w:type="pct"/>
            <w:vMerge/>
            <w:tcBorders>
              <w:top w:val="nil"/>
              <w:left w:val="single" w:sz="8" w:space="0" w:color="auto"/>
              <w:bottom w:val="single" w:sz="8" w:space="0" w:color="auto"/>
              <w:right w:val="single" w:sz="8" w:space="0" w:color="auto"/>
            </w:tcBorders>
            <w:vAlign w:val="center"/>
            <w:hideMark/>
          </w:tcPr>
          <w:p w14:paraId="205D35E9"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p>
        </w:tc>
        <w:tc>
          <w:tcPr>
            <w:tcW w:w="777" w:type="pct"/>
            <w:tcBorders>
              <w:top w:val="nil"/>
              <w:left w:val="nil"/>
              <w:bottom w:val="single" w:sz="8" w:space="0" w:color="auto"/>
              <w:right w:val="single" w:sz="8" w:space="0" w:color="auto"/>
            </w:tcBorders>
            <w:shd w:val="clear" w:color="auto" w:fill="auto"/>
            <w:vAlign w:val="bottom"/>
            <w:hideMark/>
          </w:tcPr>
          <w:p w14:paraId="32E9F680"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Juzgado Civil, Trabajo y Familia de Puriscal</w:t>
            </w:r>
          </w:p>
        </w:tc>
        <w:tc>
          <w:tcPr>
            <w:tcW w:w="483" w:type="pct"/>
            <w:tcBorders>
              <w:top w:val="nil"/>
              <w:left w:val="nil"/>
              <w:bottom w:val="single" w:sz="8" w:space="0" w:color="auto"/>
              <w:right w:val="single" w:sz="8" w:space="0" w:color="auto"/>
            </w:tcBorders>
            <w:shd w:val="clear" w:color="auto" w:fill="auto"/>
            <w:noWrap/>
            <w:vAlign w:val="bottom"/>
            <w:hideMark/>
          </w:tcPr>
          <w:p w14:paraId="54A25195"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34</w:t>
            </w:r>
          </w:p>
        </w:tc>
        <w:tc>
          <w:tcPr>
            <w:tcW w:w="556" w:type="pct"/>
            <w:tcBorders>
              <w:top w:val="nil"/>
              <w:left w:val="nil"/>
              <w:bottom w:val="single" w:sz="8" w:space="0" w:color="auto"/>
              <w:right w:val="single" w:sz="8" w:space="0" w:color="auto"/>
            </w:tcBorders>
            <w:shd w:val="clear" w:color="auto" w:fill="auto"/>
            <w:noWrap/>
            <w:vAlign w:val="bottom"/>
            <w:hideMark/>
          </w:tcPr>
          <w:p w14:paraId="7220AD19"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41</w:t>
            </w:r>
          </w:p>
        </w:tc>
        <w:tc>
          <w:tcPr>
            <w:tcW w:w="599" w:type="pct"/>
            <w:tcBorders>
              <w:top w:val="nil"/>
              <w:left w:val="nil"/>
              <w:bottom w:val="single" w:sz="8" w:space="0" w:color="auto"/>
              <w:right w:val="single" w:sz="8" w:space="0" w:color="auto"/>
            </w:tcBorders>
            <w:shd w:val="clear" w:color="auto" w:fill="auto"/>
            <w:noWrap/>
            <w:vAlign w:val="bottom"/>
            <w:hideMark/>
          </w:tcPr>
          <w:p w14:paraId="6A9D8E77"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197</w:t>
            </w:r>
          </w:p>
        </w:tc>
        <w:tc>
          <w:tcPr>
            <w:tcW w:w="370" w:type="pct"/>
            <w:tcBorders>
              <w:top w:val="nil"/>
              <w:left w:val="nil"/>
              <w:bottom w:val="single" w:sz="8" w:space="0" w:color="auto"/>
              <w:right w:val="single" w:sz="8" w:space="0" w:color="auto"/>
            </w:tcBorders>
            <w:shd w:val="clear" w:color="auto" w:fill="auto"/>
            <w:noWrap/>
            <w:vAlign w:val="bottom"/>
            <w:hideMark/>
          </w:tcPr>
          <w:p w14:paraId="396F6B22"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w:t>
            </w:r>
          </w:p>
        </w:tc>
        <w:tc>
          <w:tcPr>
            <w:tcW w:w="505" w:type="pct"/>
            <w:tcBorders>
              <w:top w:val="nil"/>
              <w:left w:val="nil"/>
              <w:bottom w:val="single" w:sz="8" w:space="0" w:color="auto"/>
              <w:right w:val="single" w:sz="8" w:space="0" w:color="auto"/>
            </w:tcBorders>
            <w:shd w:val="clear" w:color="auto" w:fill="auto"/>
            <w:noWrap/>
            <w:vAlign w:val="bottom"/>
            <w:hideMark/>
          </w:tcPr>
          <w:p w14:paraId="026DD384"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5</w:t>
            </w:r>
          </w:p>
        </w:tc>
        <w:tc>
          <w:tcPr>
            <w:tcW w:w="509" w:type="pct"/>
            <w:tcBorders>
              <w:top w:val="nil"/>
              <w:left w:val="nil"/>
              <w:bottom w:val="single" w:sz="8" w:space="0" w:color="auto"/>
              <w:right w:val="single" w:sz="8" w:space="0" w:color="auto"/>
            </w:tcBorders>
            <w:shd w:val="clear" w:color="auto" w:fill="auto"/>
            <w:noWrap/>
            <w:vAlign w:val="bottom"/>
            <w:hideMark/>
          </w:tcPr>
          <w:p w14:paraId="4A583277"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34</w:t>
            </w:r>
          </w:p>
        </w:tc>
        <w:tc>
          <w:tcPr>
            <w:tcW w:w="534" w:type="pct"/>
            <w:tcBorders>
              <w:top w:val="nil"/>
              <w:left w:val="nil"/>
              <w:bottom w:val="single" w:sz="8" w:space="0" w:color="auto"/>
              <w:right w:val="single" w:sz="8" w:space="0" w:color="auto"/>
            </w:tcBorders>
            <w:shd w:val="clear" w:color="auto" w:fill="auto"/>
            <w:noWrap/>
            <w:vAlign w:val="bottom"/>
            <w:hideMark/>
          </w:tcPr>
          <w:p w14:paraId="3494CBF6"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7</w:t>
            </w:r>
          </w:p>
        </w:tc>
      </w:tr>
      <w:tr w:rsidR="009F6BF8" w:rsidRPr="009F6BF8" w14:paraId="7FCBA6AF" w14:textId="77777777" w:rsidTr="009F6BF8">
        <w:trPr>
          <w:trHeight w:val="500"/>
          <w:jc w:val="center"/>
        </w:trPr>
        <w:tc>
          <w:tcPr>
            <w:tcW w:w="667" w:type="pct"/>
            <w:vMerge w:val="restart"/>
            <w:tcBorders>
              <w:top w:val="nil"/>
              <w:left w:val="single" w:sz="8" w:space="0" w:color="auto"/>
              <w:bottom w:val="single" w:sz="8" w:space="0" w:color="auto"/>
              <w:right w:val="single" w:sz="8" w:space="0" w:color="auto"/>
            </w:tcBorders>
            <w:shd w:val="clear" w:color="auto" w:fill="auto"/>
            <w:vAlign w:val="center"/>
            <w:hideMark/>
          </w:tcPr>
          <w:p w14:paraId="72B35B6F"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Escenario en caso de trasladar los asuntos de Niñez a Cartago y Puriscal</w:t>
            </w:r>
          </w:p>
        </w:tc>
        <w:tc>
          <w:tcPr>
            <w:tcW w:w="777" w:type="pct"/>
            <w:tcBorders>
              <w:top w:val="nil"/>
              <w:left w:val="nil"/>
              <w:bottom w:val="single" w:sz="8" w:space="0" w:color="auto"/>
              <w:right w:val="single" w:sz="8" w:space="0" w:color="auto"/>
            </w:tcBorders>
            <w:shd w:val="clear" w:color="auto" w:fill="auto"/>
            <w:vAlign w:val="bottom"/>
            <w:hideMark/>
          </w:tcPr>
          <w:p w14:paraId="65C7B1E6"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Juzgado de Niñez y Adolescencia</w:t>
            </w:r>
          </w:p>
        </w:tc>
        <w:tc>
          <w:tcPr>
            <w:tcW w:w="483" w:type="pct"/>
            <w:tcBorders>
              <w:top w:val="nil"/>
              <w:left w:val="nil"/>
              <w:bottom w:val="single" w:sz="8" w:space="0" w:color="auto"/>
              <w:right w:val="single" w:sz="8" w:space="0" w:color="auto"/>
            </w:tcBorders>
            <w:shd w:val="clear" w:color="auto" w:fill="auto"/>
            <w:noWrap/>
            <w:vAlign w:val="bottom"/>
            <w:hideMark/>
          </w:tcPr>
          <w:p w14:paraId="3900B912"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99</w:t>
            </w:r>
          </w:p>
        </w:tc>
        <w:tc>
          <w:tcPr>
            <w:tcW w:w="556" w:type="pct"/>
            <w:tcBorders>
              <w:top w:val="nil"/>
              <w:left w:val="nil"/>
              <w:bottom w:val="single" w:sz="8" w:space="0" w:color="auto"/>
              <w:right w:val="single" w:sz="8" w:space="0" w:color="auto"/>
            </w:tcBorders>
            <w:shd w:val="clear" w:color="auto" w:fill="auto"/>
            <w:noWrap/>
            <w:vAlign w:val="bottom"/>
            <w:hideMark/>
          </w:tcPr>
          <w:p w14:paraId="6BC8AC52"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71</w:t>
            </w:r>
          </w:p>
        </w:tc>
        <w:tc>
          <w:tcPr>
            <w:tcW w:w="599" w:type="pct"/>
            <w:tcBorders>
              <w:top w:val="nil"/>
              <w:left w:val="nil"/>
              <w:bottom w:val="single" w:sz="8" w:space="0" w:color="auto"/>
              <w:right w:val="single" w:sz="8" w:space="0" w:color="auto"/>
            </w:tcBorders>
            <w:shd w:val="clear" w:color="auto" w:fill="auto"/>
            <w:noWrap/>
            <w:vAlign w:val="bottom"/>
            <w:hideMark/>
          </w:tcPr>
          <w:p w14:paraId="0C87BC41"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1529</w:t>
            </w:r>
          </w:p>
        </w:tc>
        <w:tc>
          <w:tcPr>
            <w:tcW w:w="370" w:type="pct"/>
            <w:tcBorders>
              <w:top w:val="nil"/>
              <w:left w:val="nil"/>
              <w:bottom w:val="single" w:sz="8" w:space="0" w:color="auto"/>
              <w:right w:val="single" w:sz="8" w:space="0" w:color="auto"/>
            </w:tcBorders>
            <w:shd w:val="clear" w:color="auto" w:fill="auto"/>
            <w:noWrap/>
            <w:vAlign w:val="bottom"/>
            <w:hideMark/>
          </w:tcPr>
          <w:p w14:paraId="4E4DC3D5"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2</w:t>
            </w:r>
          </w:p>
        </w:tc>
        <w:tc>
          <w:tcPr>
            <w:tcW w:w="505" w:type="pct"/>
            <w:tcBorders>
              <w:top w:val="nil"/>
              <w:left w:val="nil"/>
              <w:bottom w:val="single" w:sz="8" w:space="0" w:color="auto"/>
              <w:right w:val="single" w:sz="8" w:space="0" w:color="auto"/>
            </w:tcBorders>
            <w:shd w:val="clear" w:color="auto" w:fill="auto"/>
            <w:noWrap/>
            <w:vAlign w:val="bottom"/>
            <w:hideMark/>
          </w:tcPr>
          <w:p w14:paraId="185EA164"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4</w:t>
            </w:r>
          </w:p>
        </w:tc>
        <w:tc>
          <w:tcPr>
            <w:tcW w:w="509" w:type="pct"/>
            <w:tcBorders>
              <w:top w:val="nil"/>
              <w:left w:val="nil"/>
              <w:bottom w:val="single" w:sz="8" w:space="0" w:color="auto"/>
              <w:right w:val="single" w:sz="8" w:space="0" w:color="auto"/>
            </w:tcBorders>
            <w:shd w:val="clear" w:color="auto" w:fill="auto"/>
            <w:noWrap/>
            <w:vAlign w:val="bottom"/>
            <w:hideMark/>
          </w:tcPr>
          <w:p w14:paraId="01623919"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50</w:t>
            </w:r>
          </w:p>
        </w:tc>
        <w:tc>
          <w:tcPr>
            <w:tcW w:w="534" w:type="pct"/>
            <w:tcBorders>
              <w:top w:val="nil"/>
              <w:left w:val="nil"/>
              <w:bottom w:val="single" w:sz="8" w:space="0" w:color="auto"/>
              <w:right w:val="single" w:sz="8" w:space="0" w:color="auto"/>
            </w:tcBorders>
            <w:shd w:val="clear" w:color="auto" w:fill="auto"/>
            <w:noWrap/>
            <w:vAlign w:val="bottom"/>
            <w:hideMark/>
          </w:tcPr>
          <w:p w14:paraId="3035174D"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25</w:t>
            </w:r>
          </w:p>
        </w:tc>
      </w:tr>
      <w:tr w:rsidR="009F6BF8" w:rsidRPr="009F6BF8" w14:paraId="1CDE0F52" w14:textId="77777777" w:rsidTr="009F6BF8">
        <w:trPr>
          <w:trHeight w:val="470"/>
          <w:jc w:val="center"/>
        </w:trPr>
        <w:tc>
          <w:tcPr>
            <w:tcW w:w="667" w:type="pct"/>
            <w:vMerge/>
            <w:tcBorders>
              <w:top w:val="nil"/>
              <w:left w:val="single" w:sz="8" w:space="0" w:color="auto"/>
              <w:bottom w:val="single" w:sz="8" w:space="0" w:color="auto"/>
              <w:right w:val="single" w:sz="8" w:space="0" w:color="auto"/>
            </w:tcBorders>
            <w:vAlign w:val="center"/>
            <w:hideMark/>
          </w:tcPr>
          <w:p w14:paraId="42C67861"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p>
        </w:tc>
        <w:tc>
          <w:tcPr>
            <w:tcW w:w="777" w:type="pct"/>
            <w:tcBorders>
              <w:top w:val="nil"/>
              <w:left w:val="nil"/>
              <w:bottom w:val="single" w:sz="8" w:space="0" w:color="auto"/>
              <w:right w:val="single" w:sz="8" w:space="0" w:color="auto"/>
            </w:tcBorders>
            <w:shd w:val="clear" w:color="auto" w:fill="auto"/>
            <w:vAlign w:val="bottom"/>
            <w:hideMark/>
          </w:tcPr>
          <w:p w14:paraId="5304F994"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Juzgado de Familia de Cartago</w:t>
            </w:r>
          </w:p>
        </w:tc>
        <w:tc>
          <w:tcPr>
            <w:tcW w:w="483" w:type="pct"/>
            <w:tcBorders>
              <w:top w:val="nil"/>
              <w:left w:val="nil"/>
              <w:bottom w:val="single" w:sz="8" w:space="0" w:color="auto"/>
              <w:right w:val="single" w:sz="8" w:space="0" w:color="auto"/>
            </w:tcBorders>
            <w:shd w:val="clear" w:color="auto" w:fill="auto"/>
            <w:noWrap/>
            <w:vAlign w:val="bottom"/>
            <w:hideMark/>
          </w:tcPr>
          <w:p w14:paraId="00E78287"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309</w:t>
            </w:r>
          </w:p>
        </w:tc>
        <w:tc>
          <w:tcPr>
            <w:tcW w:w="556" w:type="pct"/>
            <w:tcBorders>
              <w:top w:val="nil"/>
              <w:left w:val="nil"/>
              <w:bottom w:val="single" w:sz="8" w:space="0" w:color="auto"/>
              <w:right w:val="single" w:sz="8" w:space="0" w:color="auto"/>
            </w:tcBorders>
            <w:shd w:val="clear" w:color="auto" w:fill="auto"/>
            <w:noWrap/>
            <w:vAlign w:val="bottom"/>
            <w:hideMark/>
          </w:tcPr>
          <w:p w14:paraId="4C872DC3"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300</w:t>
            </w:r>
          </w:p>
        </w:tc>
        <w:tc>
          <w:tcPr>
            <w:tcW w:w="599" w:type="pct"/>
            <w:tcBorders>
              <w:top w:val="nil"/>
              <w:left w:val="nil"/>
              <w:bottom w:val="single" w:sz="8" w:space="0" w:color="auto"/>
              <w:right w:val="single" w:sz="8" w:space="0" w:color="auto"/>
            </w:tcBorders>
            <w:shd w:val="clear" w:color="auto" w:fill="auto"/>
            <w:noWrap/>
            <w:vAlign w:val="bottom"/>
            <w:hideMark/>
          </w:tcPr>
          <w:p w14:paraId="78F37EEF"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1544</w:t>
            </w:r>
          </w:p>
        </w:tc>
        <w:tc>
          <w:tcPr>
            <w:tcW w:w="370" w:type="pct"/>
            <w:tcBorders>
              <w:top w:val="nil"/>
              <w:left w:val="nil"/>
              <w:bottom w:val="single" w:sz="8" w:space="0" w:color="auto"/>
              <w:right w:val="single" w:sz="8" w:space="0" w:color="auto"/>
            </w:tcBorders>
            <w:shd w:val="clear" w:color="auto" w:fill="auto"/>
            <w:noWrap/>
            <w:vAlign w:val="bottom"/>
            <w:hideMark/>
          </w:tcPr>
          <w:p w14:paraId="30598E1D"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3</w:t>
            </w:r>
          </w:p>
        </w:tc>
        <w:tc>
          <w:tcPr>
            <w:tcW w:w="505" w:type="pct"/>
            <w:tcBorders>
              <w:top w:val="nil"/>
              <w:left w:val="nil"/>
              <w:bottom w:val="single" w:sz="8" w:space="0" w:color="auto"/>
              <w:right w:val="single" w:sz="8" w:space="0" w:color="auto"/>
            </w:tcBorders>
            <w:shd w:val="clear" w:color="auto" w:fill="auto"/>
            <w:noWrap/>
            <w:vAlign w:val="bottom"/>
            <w:hideMark/>
          </w:tcPr>
          <w:p w14:paraId="76ADA89A"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5</w:t>
            </w:r>
          </w:p>
        </w:tc>
        <w:tc>
          <w:tcPr>
            <w:tcW w:w="509" w:type="pct"/>
            <w:tcBorders>
              <w:top w:val="nil"/>
              <w:left w:val="nil"/>
              <w:bottom w:val="single" w:sz="8" w:space="0" w:color="auto"/>
              <w:right w:val="single" w:sz="8" w:space="0" w:color="auto"/>
            </w:tcBorders>
            <w:shd w:val="clear" w:color="auto" w:fill="auto"/>
            <w:noWrap/>
            <w:vAlign w:val="bottom"/>
            <w:hideMark/>
          </w:tcPr>
          <w:p w14:paraId="7F2A1361"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103</w:t>
            </w:r>
          </w:p>
        </w:tc>
        <w:tc>
          <w:tcPr>
            <w:tcW w:w="534" w:type="pct"/>
            <w:tcBorders>
              <w:top w:val="nil"/>
              <w:left w:val="nil"/>
              <w:bottom w:val="single" w:sz="8" w:space="0" w:color="auto"/>
              <w:right w:val="single" w:sz="8" w:space="0" w:color="auto"/>
            </w:tcBorders>
            <w:shd w:val="clear" w:color="auto" w:fill="auto"/>
            <w:noWrap/>
            <w:vAlign w:val="bottom"/>
            <w:hideMark/>
          </w:tcPr>
          <w:p w14:paraId="0C365EC3"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62</w:t>
            </w:r>
          </w:p>
        </w:tc>
      </w:tr>
      <w:tr w:rsidR="009F6BF8" w:rsidRPr="009F6BF8" w14:paraId="262DC8D1" w14:textId="77777777" w:rsidTr="009F6BF8">
        <w:trPr>
          <w:trHeight w:val="450"/>
          <w:jc w:val="center"/>
        </w:trPr>
        <w:tc>
          <w:tcPr>
            <w:tcW w:w="667" w:type="pct"/>
            <w:vMerge/>
            <w:tcBorders>
              <w:top w:val="nil"/>
              <w:left w:val="single" w:sz="8" w:space="0" w:color="auto"/>
              <w:bottom w:val="single" w:sz="8" w:space="0" w:color="auto"/>
              <w:right w:val="single" w:sz="8" w:space="0" w:color="auto"/>
            </w:tcBorders>
            <w:vAlign w:val="center"/>
            <w:hideMark/>
          </w:tcPr>
          <w:p w14:paraId="0DFE8446"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p>
        </w:tc>
        <w:tc>
          <w:tcPr>
            <w:tcW w:w="777" w:type="pct"/>
            <w:tcBorders>
              <w:top w:val="nil"/>
              <w:left w:val="nil"/>
              <w:bottom w:val="single" w:sz="8" w:space="0" w:color="auto"/>
              <w:right w:val="single" w:sz="8" w:space="0" w:color="auto"/>
            </w:tcBorders>
            <w:shd w:val="clear" w:color="auto" w:fill="auto"/>
            <w:vAlign w:val="bottom"/>
            <w:hideMark/>
          </w:tcPr>
          <w:p w14:paraId="78252FD8" w14:textId="77777777" w:rsidR="009F6BF8" w:rsidRPr="009F6BF8" w:rsidRDefault="009F6BF8" w:rsidP="009F6BF8">
            <w:pPr>
              <w:spacing w:after="0" w:line="276" w:lineRule="auto"/>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Juzgado Civil, Trabajo y Familia de Puriscal</w:t>
            </w:r>
          </w:p>
        </w:tc>
        <w:tc>
          <w:tcPr>
            <w:tcW w:w="483" w:type="pct"/>
            <w:tcBorders>
              <w:top w:val="nil"/>
              <w:left w:val="nil"/>
              <w:bottom w:val="single" w:sz="8" w:space="0" w:color="auto"/>
              <w:right w:val="single" w:sz="8" w:space="0" w:color="auto"/>
            </w:tcBorders>
            <w:shd w:val="clear" w:color="auto" w:fill="auto"/>
            <w:noWrap/>
            <w:vAlign w:val="bottom"/>
            <w:hideMark/>
          </w:tcPr>
          <w:p w14:paraId="45A95712"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54</w:t>
            </w:r>
          </w:p>
        </w:tc>
        <w:tc>
          <w:tcPr>
            <w:tcW w:w="556" w:type="pct"/>
            <w:tcBorders>
              <w:top w:val="nil"/>
              <w:left w:val="nil"/>
              <w:bottom w:val="single" w:sz="8" w:space="0" w:color="auto"/>
              <w:right w:val="single" w:sz="8" w:space="0" w:color="auto"/>
            </w:tcBorders>
            <w:shd w:val="clear" w:color="auto" w:fill="auto"/>
            <w:noWrap/>
            <w:vAlign w:val="bottom"/>
            <w:hideMark/>
          </w:tcPr>
          <w:p w14:paraId="0C7E3312"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36</w:t>
            </w:r>
          </w:p>
        </w:tc>
        <w:tc>
          <w:tcPr>
            <w:tcW w:w="599" w:type="pct"/>
            <w:tcBorders>
              <w:top w:val="nil"/>
              <w:left w:val="nil"/>
              <w:bottom w:val="single" w:sz="8" w:space="0" w:color="auto"/>
              <w:right w:val="single" w:sz="8" w:space="0" w:color="auto"/>
            </w:tcBorders>
            <w:shd w:val="clear" w:color="auto" w:fill="auto"/>
            <w:noWrap/>
            <w:vAlign w:val="bottom"/>
            <w:hideMark/>
          </w:tcPr>
          <w:p w14:paraId="6079F1BC"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263</w:t>
            </w:r>
          </w:p>
        </w:tc>
        <w:tc>
          <w:tcPr>
            <w:tcW w:w="370" w:type="pct"/>
            <w:tcBorders>
              <w:top w:val="nil"/>
              <w:left w:val="nil"/>
              <w:bottom w:val="single" w:sz="8" w:space="0" w:color="auto"/>
              <w:right w:val="single" w:sz="8" w:space="0" w:color="auto"/>
            </w:tcBorders>
            <w:shd w:val="clear" w:color="auto" w:fill="auto"/>
            <w:noWrap/>
            <w:vAlign w:val="bottom"/>
            <w:hideMark/>
          </w:tcPr>
          <w:p w14:paraId="413B9BFA"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w:t>
            </w:r>
          </w:p>
        </w:tc>
        <w:tc>
          <w:tcPr>
            <w:tcW w:w="505" w:type="pct"/>
            <w:tcBorders>
              <w:top w:val="nil"/>
              <w:left w:val="nil"/>
              <w:bottom w:val="single" w:sz="8" w:space="0" w:color="auto"/>
              <w:right w:val="single" w:sz="8" w:space="0" w:color="auto"/>
            </w:tcBorders>
            <w:shd w:val="clear" w:color="auto" w:fill="auto"/>
            <w:noWrap/>
            <w:vAlign w:val="bottom"/>
            <w:hideMark/>
          </w:tcPr>
          <w:p w14:paraId="26DBA821"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5</w:t>
            </w:r>
          </w:p>
        </w:tc>
        <w:tc>
          <w:tcPr>
            <w:tcW w:w="509" w:type="pct"/>
            <w:tcBorders>
              <w:top w:val="nil"/>
              <w:left w:val="nil"/>
              <w:bottom w:val="single" w:sz="8" w:space="0" w:color="auto"/>
              <w:right w:val="single" w:sz="8" w:space="0" w:color="auto"/>
            </w:tcBorders>
            <w:shd w:val="clear" w:color="auto" w:fill="auto"/>
            <w:noWrap/>
            <w:vAlign w:val="bottom"/>
            <w:hideMark/>
          </w:tcPr>
          <w:p w14:paraId="53CDB974"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54</w:t>
            </w:r>
          </w:p>
        </w:tc>
        <w:tc>
          <w:tcPr>
            <w:tcW w:w="534" w:type="pct"/>
            <w:tcBorders>
              <w:top w:val="nil"/>
              <w:left w:val="nil"/>
              <w:bottom w:val="single" w:sz="8" w:space="0" w:color="auto"/>
              <w:right w:val="single" w:sz="8" w:space="0" w:color="auto"/>
            </w:tcBorders>
            <w:shd w:val="clear" w:color="auto" w:fill="auto"/>
            <w:noWrap/>
            <w:vAlign w:val="bottom"/>
            <w:hideMark/>
          </w:tcPr>
          <w:p w14:paraId="16506B37" w14:textId="77777777" w:rsidR="009F6BF8" w:rsidRPr="009F6BF8" w:rsidRDefault="009F6BF8" w:rsidP="009F6BF8">
            <w:pPr>
              <w:spacing w:after="0" w:line="276" w:lineRule="auto"/>
              <w:jc w:val="center"/>
              <w:rPr>
                <w:rFonts w:ascii="Book Antiqua" w:eastAsia="Times New Roman" w:hAnsi="Book Antiqua" w:cs="Calibri"/>
                <w:color w:val="000000"/>
                <w:sz w:val="16"/>
                <w:szCs w:val="16"/>
                <w:lang w:eastAsia="es-CR"/>
              </w:rPr>
            </w:pPr>
            <w:r w:rsidRPr="009F6BF8">
              <w:rPr>
                <w:rFonts w:ascii="Book Antiqua" w:eastAsia="Times New Roman" w:hAnsi="Book Antiqua" w:cs="Calibri"/>
                <w:color w:val="000000"/>
                <w:sz w:val="16"/>
                <w:szCs w:val="16"/>
                <w:lang w:eastAsia="es-CR"/>
              </w:rPr>
              <w:t>11</w:t>
            </w:r>
          </w:p>
        </w:tc>
      </w:tr>
    </w:tbl>
    <w:p w14:paraId="7480ED62" w14:textId="45F87611" w:rsidR="00A93034" w:rsidRDefault="00293FB2" w:rsidP="00355630">
      <w:pPr>
        <w:spacing w:after="0" w:line="276" w:lineRule="auto"/>
        <w:jc w:val="both"/>
        <w:rPr>
          <w:rFonts w:ascii="Book Antiqua" w:eastAsia="Calibri" w:hAnsi="Book Antiqua" w:cs="Arial"/>
          <w:i/>
          <w:iCs/>
          <w:sz w:val="20"/>
          <w:szCs w:val="20"/>
        </w:rPr>
      </w:pPr>
      <w:r w:rsidRPr="00F53EAA">
        <w:rPr>
          <w:rFonts w:ascii="Book Antiqua" w:eastAsia="Calibri" w:hAnsi="Book Antiqua" w:cs="Arial"/>
          <w:b/>
          <w:bCs/>
          <w:i/>
          <w:iCs/>
          <w:sz w:val="20"/>
          <w:szCs w:val="20"/>
        </w:rPr>
        <w:t>Fuente:</w:t>
      </w:r>
      <w:r w:rsidRPr="00F07A42">
        <w:rPr>
          <w:rFonts w:ascii="Book Antiqua" w:eastAsia="Calibri" w:hAnsi="Book Antiqua" w:cs="Arial"/>
          <w:i/>
          <w:iCs/>
          <w:sz w:val="20"/>
          <w:szCs w:val="20"/>
        </w:rPr>
        <w:t xml:space="preserve"> </w:t>
      </w:r>
      <w:r w:rsidR="004B12FE" w:rsidRPr="004B12FE">
        <w:rPr>
          <w:rFonts w:ascii="Book Antiqua" w:eastAsia="Calibri" w:hAnsi="Book Antiqua" w:cs="Arial"/>
          <w:i/>
          <w:iCs/>
          <w:sz w:val="20"/>
          <w:szCs w:val="20"/>
        </w:rPr>
        <w:t>Fuente: Subproceso de Modernización Institucional con datos del informe de seguimiento del Juzgado de Niñez y Adolescencia.</w:t>
      </w:r>
    </w:p>
    <w:bookmarkEnd w:id="54"/>
    <w:p w14:paraId="050A845C" w14:textId="77777777" w:rsidR="002A54B2" w:rsidRDefault="002A54B2" w:rsidP="009F6BF8">
      <w:pPr>
        <w:spacing w:after="0" w:line="276" w:lineRule="auto"/>
        <w:jc w:val="both"/>
        <w:rPr>
          <w:rFonts w:ascii="Book Antiqua" w:eastAsia="Calibri" w:hAnsi="Book Antiqua" w:cs="Arial"/>
          <w:sz w:val="24"/>
          <w:szCs w:val="24"/>
        </w:rPr>
      </w:pPr>
    </w:p>
    <w:p w14:paraId="74490087" w14:textId="6E927E77" w:rsidR="009F6BF8" w:rsidRPr="009F6BF8" w:rsidRDefault="009F6BF8" w:rsidP="009F6BF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w:t>
      </w:r>
      <w:r w:rsidRPr="009F6BF8">
        <w:rPr>
          <w:rFonts w:ascii="Book Antiqua" w:eastAsia="Calibri" w:hAnsi="Book Antiqua" w:cs="Arial"/>
          <w:sz w:val="24"/>
          <w:szCs w:val="24"/>
        </w:rPr>
        <w:t xml:space="preserve">a carga de trabajo para el personal juzgador difiere en 48 asuntos al mes que ingresan de más en el Juzgado de Familia de Cartago con respecto al Juzgado de Niñez, misma situación se tiene para el personal técnico, una carga mayor para el Juzgado de Cartago. </w:t>
      </w:r>
    </w:p>
    <w:p w14:paraId="072A5414" w14:textId="5A5A257A" w:rsidR="009F6BF8" w:rsidRDefault="009F6BF8" w:rsidP="009F6BF8">
      <w:pPr>
        <w:spacing w:after="0" w:line="276" w:lineRule="auto"/>
        <w:jc w:val="both"/>
        <w:rPr>
          <w:rFonts w:ascii="Book Antiqua" w:eastAsia="Calibri" w:hAnsi="Book Antiqua" w:cs="Arial"/>
          <w:sz w:val="24"/>
          <w:szCs w:val="24"/>
        </w:rPr>
      </w:pPr>
      <w:r w:rsidRPr="009F6BF8">
        <w:rPr>
          <w:rFonts w:ascii="Book Antiqua" w:eastAsia="Calibri" w:hAnsi="Book Antiqua" w:cs="Arial"/>
          <w:sz w:val="24"/>
          <w:szCs w:val="24"/>
        </w:rPr>
        <w:t xml:space="preserve">En cuanto a la carga de trabajo para el personal juzgador del Juzgado de Niñez, se tiene por mes 17 asuntos más en la entrada con respecto al Juzgado de Puriscal y </w:t>
      </w:r>
      <w:r w:rsidR="00221B46" w:rsidRPr="009F6BF8">
        <w:rPr>
          <w:rFonts w:ascii="Book Antiqua" w:eastAsia="Calibri" w:hAnsi="Book Antiqua" w:cs="Arial"/>
          <w:sz w:val="24"/>
          <w:szCs w:val="24"/>
        </w:rPr>
        <w:t>con relación al</w:t>
      </w:r>
      <w:r w:rsidRPr="009F6BF8">
        <w:rPr>
          <w:rFonts w:ascii="Book Antiqua" w:eastAsia="Calibri" w:hAnsi="Book Antiqua" w:cs="Arial"/>
          <w:sz w:val="24"/>
          <w:szCs w:val="24"/>
        </w:rPr>
        <w:t xml:space="preserve"> personal técnico judicial se tiene una carga mayor en el Juzgado de Niñez y Adolescencia.</w:t>
      </w:r>
    </w:p>
    <w:p w14:paraId="25D3CEC1" w14:textId="77777777" w:rsidR="00546E7C" w:rsidRDefault="00546E7C" w:rsidP="009F6BF8">
      <w:pPr>
        <w:spacing w:after="0" w:line="276" w:lineRule="auto"/>
        <w:jc w:val="both"/>
        <w:rPr>
          <w:rFonts w:ascii="Book Antiqua" w:eastAsia="Calibri" w:hAnsi="Book Antiqua" w:cs="Arial"/>
          <w:sz w:val="24"/>
          <w:szCs w:val="24"/>
        </w:rPr>
      </w:pPr>
    </w:p>
    <w:p w14:paraId="448AF1BF" w14:textId="13423C87" w:rsidR="002221CC" w:rsidRDefault="00546E7C" w:rsidP="009F6BF8">
      <w:pPr>
        <w:spacing w:after="0" w:line="276" w:lineRule="auto"/>
        <w:jc w:val="both"/>
        <w:rPr>
          <w:rFonts w:ascii="Book Antiqua" w:eastAsia="Calibri" w:hAnsi="Book Antiqua" w:cs="Arial"/>
          <w:sz w:val="24"/>
          <w:szCs w:val="24"/>
        </w:rPr>
      </w:pPr>
      <w:r w:rsidRPr="00546E7C">
        <w:rPr>
          <w:rFonts w:ascii="Book Antiqua" w:eastAsia="Calibri" w:hAnsi="Book Antiqua" w:cs="Arial"/>
          <w:sz w:val="24"/>
          <w:szCs w:val="24"/>
        </w:rPr>
        <w:t>Actualmente, el Juzgado de Niñez y Adolescencia, cuenta con un circulante de casos ingresados en el Juzgado Contravencional de Tarrazú, Dota y León Cortés de 13 asuntos y de 23 en el Juzgado Civil, Trabajo y Familia de Puriscal, por lo que de aprobarse el traslado de las competencias de los asuntos del Juzgado de Niñez donde los menores residen en la zona de Puriscal, le corresponde atenderlos al Juzgado Civil, Trabajo y Familia de Puriscal y los menores que residan en Tarrazú, Dota y León Cortés, la competencia estará a cargo del Juzgado de Familia de Cartago,  ya que este despacho conoce las apelaciones de Pensiones Alimentarias y los asuntos de primera instancia en materia de Familia procedentes de la zona de los Santos.</w:t>
      </w:r>
    </w:p>
    <w:p w14:paraId="5088E8B2" w14:textId="2A4D23BD" w:rsidR="009F6BF8" w:rsidRDefault="009F6BF8" w:rsidP="009F6BF8">
      <w:pPr>
        <w:spacing w:after="0" w:line="276" w:lineRule="auto"/>
        <w:jc w:val="both"/>
        <w:rPr>
          <w:rFonts w:ascii="Book Antiqua" w:eastAsia="Calibri" w:hAnsi="Book Antiqua" w:cs="Arial"/>
          <w:sz w:val="24"/>
          <w:szCs w:val="24"/>
        </w:rPr>
      </w:pPr>
      <w:r w:rsidRPr="009F6BF8">
        <w:rPr>
          <w:rFonts w:ascii="Book Antiqua" w:eastAsia="Calibri" w:hAnsi="Book Antiqua" w:cs="Arial"/>
          <w:b/>
          <w:bCs/>
          <w:sz w:val="24"/>
          <w:szCs w:val="24"/>
          <w:u w:val="single"/>
        </w:rPr>
        <w:t>Por lo que de aprobarse el traslado de la competencia, con el fin de evitar retrasos en los expedientes que ya tienen fecha de señalamiento, se recomienda que se trasladen los asuntos en circulante excepto los que estén en esa condición</w:t>
      </w:r>
      <w:r w:rsidRPr="009F6BF8">
        <w:rPr>
          <w:rFonts w:ascii="Book Antiqua" w:eastAsia="Calibri" w:hAnsi="Book Antiqua" w:cs="Arial"/>
          <w:sz w:val="24"/>
          <w:szCs w:val="24"/>
        </w:rPr>
        <w:t>, el resto se trasladarían (por itineración) del Juzgado de Niñez y Adolescencia hacia el Juzgado de Familia de Cartago y al Juzgado Civil, Trabajo y Familia de Puriscal.</w:t>
      </w:r>
    </w:p>
    <w:p w14:paraId="6C60D14A" w14:textId="5949F699" w:rsidR="009F6BF8" w:rsidRDefault="009F6BF8" w:rsidP="009F6BF8">
      <w:pPr>
        <w:spacing w:after="0" w:line="276" w:lineRule="auto"/>
        <w:jc w:val="both"/>
        <w:rPr>
          <w:rFonts w:ascii="Book Antiqua" w:eastAsia="Calibri" w:hAnsi="Book Antiqua" w:cs="Arial"/>
          <w:sz w:val="24"/>
          <w:szCs w:val="24"/>
        </w:rPr>
      </w:pPr>
    </w:p>
    <w:p w14:paraId="7C5CC544" w14:textId="77777777" w:rsidR="00A30ED7" w:rsidRPr="00A30ED7" w:rsidRDefault="00A30ED7" w:rsidP="00A30ED7">
      <w:pPr>
        <w:spacing w:after="0" w:line="276" w:lineRule="auto"/>
        <w:jc w:val="both"/>
        <w:rPr>
          <w:rFonts w:ascii="Book Antiqua" w:eastAsia="Calibri" w:hAnsi="Book Antiqua" w:cs="Arial"/>
          <w:sz w:val="24"/>
          <w:szCs w:val="24"/>
        </w:rPr>
      </w:pPr>
      <w:r w:rsidRPr="00A30ED7">
        <w:rPr>
          <w:rFonts w:ascii="Book Antiqua" w:eastAsia="Calibri" w:hAnsi="Book Antiqua" w:cs="Arial"/>
          <w:sz w:val="24"/>
          <w:szCs w:val="24"/>
        </w:rPr>
        <w:t>Se recomienda aplicar esta propuesta a partir de la fecha de aprobación del presente informe por parte del Consejo Superior, ya que no requiere la entrada en vigencia del CPF, y se contribuye a mejorar la atención de las personas usuarias y la maximización del recurso del personal del Juzgado de Niñez y Adolescencia.</w:t>
      </w:r>
    </w:p>
    <w:p w14:paraId="187E8842" w14:textId="0E08CD99" w:rsidR="00A30ED7" w:rsidRDefault="00A30ED7" w:rsidP="00A30ED7">
      <w:pPr>
        <w:spacing w:after="0" w:line="276" w:lineRule="auto"/>
        <w:jc w:val="both"/>
        <w:rPr>
          <w:rFonts w:ascii="Book Antiqua" w:eastAsia="Calibri" w:hAnsi="Book Antiqua" w:cs="Arial"/>
          <w:sz w:val="24"/>
          <w:szCs w:val="24"/>
        </w:rPr>
      </w:pPr>
      <w:r w:rsidRPr="00A30ED7">
        <w:rPr>
          <w:rFonts w:ascii="Book Antiqua" w:eastAsia="Calibri" w:hAnsi="Book Antiqua" w:cs="Arial"/>
          <w:sz w:val="24"/>
          <w:szCs w:val="24"/>
        </w:rPr>
        <w:t>Por otra parte, en cuanto a las nuevas competencias del Juzgado de Niñez y Adolescencia, que le otorga el Código Procesal de Familia, en su artículo 106 bis LOPJ, le corresponde conocer:</w:t>
      </w:r>
    </w:p>
    <w:p w14:paraId="2419D174" w14:textId="77777777" w:rsidR="00A30ED7" w:rsidRDefault="00A30ED7" w:rsidP="00A30ED7">
      <w:pPr>
        <w:spacing w:after="0" w:line="276" w:lineRule="auto"/>
        <w:jc w:val="both"/>
        <w:rPr>
          <w:rFonts w:ascii="Book Antiqua" w:eastAsia="Calibri" w:hAnsi="Book Antiqua" w:cs="Arial"/>
          <w:sz w:val="24"/>
          <w:szCs w:val="24"/>
        </w:rPr>
      </w:pPr>
    </w:p>
    <w:p w14:paraId="549BE117"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Book Antiqua" w:eastAsia="Calibri" w:hAnsi="Book Antiqua" w:cs="Times New Roman"/>
          <w:i/>
          <w:iCs/>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7B1722AB"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Book Antiqua" w:eastAsia="Calibri" w:hAnsi="Book Antiqua" w:cs="Times New Roman"/>
          <w:i/>
          <w:iCs/>
        </w:rPr>
        <w:t>2) Las diligencias de protección cautelar referidas a personas menores de edad.</w:t>
      </w:r>
    </w:p>
    <w:p w14:paraId="4199E8DE"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Book Antiqua" w:eastAsia="Calibri" w:hAnsi="Book Antiqua" w:cs="Times New Roman"/>
          <w:i/>
          <w:iCs/>
        </w:rPr>
        <w:t>3) Los procesos relativos a la adopción de personas menores de edad y su oposición.</w:t>
      </w:r>
    </w:p>
    <w:p w14:paraId="4887521B"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Book Antiqua" w:eastAsia="Calibri" w:hAnsi="Book Antiqua" w:cs="Times New Roman"/>
          <w:i/>
          <w:iCs/>
        </w:rPr>
        <w:t>4) Los asuntos de petición unilateral de nombramiento de personas depositarias para personas menores de edad y de nombramiento de personas tutoras para personas menores de edad.</w:t>
      </w:r>
    </w:p>
    <w:p w14:paraId="0A65BE43"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Book Antiqua" w:eastAsia="Calibri" w:hAnsi="Book Antiqua" w:cs="Times New Roman"/>
          <w:i/>
          <w:iCs/>
        </w:rPr>
        <w:t>5) La diligencia de comunicación que establece el artículo 32 de la Ley N.º 7739, Código de la Niñez y la Adolescencia, de 6 de enero de 1998.</w:t>
      </w:r>
    </w:p>
    <w:p w14:paraId="7C40CBC1"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Book Antiqua" w:eastAsia="Calibri" w:hAnsi="Book Antiqua" w:cs="Times New Roman"/>
          <w:i/>
          <w:iCs/>
        </w:rPr>
        <w:t>6) Los procedimientos de restitución internacional de personas menores de edad, de adopción internacional y los demás de aplicación de convenios internacionales relativos a materia de niñez y adolescencia.</w:t>
      </w:r>
    </w:p>
    <w:p w14:paraId="5CD5ACE3" w14:textId="77777777" w:rsidR="00857EB2" w:rsidRPr="00857EB2" w:rsidRDefault="00857EB2" w:rsidP="00857EB2">
      <w:pPr>
        <w:spacing w:after="0" w:line="276" w:lineRule="auto"/>
        <w:ind w:left="567" w:right="616"/>
        <w:jc w:val="both"/>
        <w:rPr>
          <w:rFonts w:ascii="Book Antiqua" w:eastAsia="Calibri" w:hAnsi="Book Antiqua" w:cs="Times New Roman"/>
          <w:i/>
          <w:iCs/>
        </w:rPr>
      </w:pPr>
    </w:p>
    <w:p w14:paraId="0C567163"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Book Antiqua" w:eastAsia="Calibri" w:hAnsi="Book Antiqua" w:cs="Times New Roman"/>
          <w:i/>
          <w:iCs/>
        </w:rPr>
        <w:t>Los procedimientos establecidos en el inciso 6) deberán ser conocidos, exclusivamente, en los juzgados de Niñez y Adolescencia del Primer Circuito Judicial de San José.</w:t>
      </w:r>
    </w:p>
    <w:p w14:paraId="6B488C2C"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MS Gothic" w:eastAsia="MS Gothic" w:hAnsi="MS Gothic" w:cs="MS Gothic" w:hint="eastAsia"/>
          <w:i/>
          <w:iCs/>
        </w:rPr>
        <w:t xml:space="preserve">　</w:t>
      </w:r>
    </w:p>
    <w:p w14:paraId="59367070" w14:textId="77777777" w:rsidR="00857EB2" w:rsidRPr="00857EB2" w:rsidRDefault="00857EB2" w:rsidP="00857EB2">
      <w:pPr>
        <w:spacing w:after="0" w:line="276" w:lineRule="auto"/>
        <w:ind w:left="567" w:right="616"/>
        <w:jc w:val="both"/>
        <w:rPr>
          <w:rFonts w:ascii="Book Antiqua" w:eastAsia="Calibri" w:hAnsi="Book Antiqua" w:cs="Times New Roman"/>
          <w:i/>
          <w:iCs/>
        </w:rPr>
      </w:pPr>
      <w:r w:rsidRPr="00857EB2">
        <w:rPr>
          <w:rFonts w:ascii="Book Antiqua" w:eastAsia="Calibri" w:hAnsi="Book Antiqua" w:cs="Times New Roman"/>
          <w:i/>
          <w:iCs/>
        </w:rPr>
        <w:t>En los lugares en los cuales no exista este despacho, la competencia de estas materias corresponderá al Juzgado de Familia."</w:t>
      </w:r>
    </w:p>
    <w:p w14:paraId="3A23565B" w14:textId="53E18827" w:rsidR="00857EB2" w:rsidRDefault="00A60D5B" w:rsidP="00A30ED7">
      <w:pPr>
        <w:spacing w:after="0" w:line="276" w:lineRule="auto"/>
        <w:jc w:val="both"/>
        <w:rPr>
          <w:rFonts w:ascii="Book Antiqua" w:eastAsia="Calibri" w:hAnsi="Book Antiqua" w:cs="Arial"/>
          <w:sz w:val="24"/>
          <w:szCs w:val="24"/>
        </w:rPr>
      </w:pPr>
      <w:r w:rsidRPr="00A60D5B">
        <w:rPr>
          <w:rFonts w:ascii="Book Antiqua" w:eastAsia="Calibri" w:hAnsi="Book Antiqua" w:cs="Arial"/>
          <w:sz w:val="24"/>
          <w:szCs w:val="24"/>
        </w:rPr>
        <w:t>Dado lo anterior, al contar con nuevas competencias, por ejemplo, las medidas cautelares referidas a menores de edad, en las que el personal juzgador de Niñez y Adolescencia tendrá que realizar disponibilidad en la provincia de San José, que es la más grande a nivel del territorio nacional y que actualmente la realiza la Dirección de Atención Inmediata del Patronato Nacional de la Infancia (DAI), otra competencia que tendría el Despacho, es la relacionada con la declaratoria de oposición en sede administrativa, a la fecha este proceso lo realiza el PANI durante los primeros seis meses, situación que cambiaría con la entrada en vigencia del CPF a partir del 1 de octubre de 2024.</w:t>
      </w:r>
    </w:p>
    <w:p w14:paraId="5D5EA985" w14:textId="77777777" w:rsidR="00A60D5B" w:rsidRDefault="00A60D5B" w:rsidP="00A30ED7">
      <w:pPr>
        <w:spacing w:after="0" w:line="276" w:lineRule="auto"/>
        <w:jc w:val="both"/>
        <w:rPr>
          <w:rFonts w:ascii="Book Antiqua" w:eastAsia="Calibri" w:hAnsi="Book Antiqua" w:cs="Arial"/>
          <w:sz w:val="24"/>
          <w:szCs w:val="24"/>
        </w:rPr>
      </w:pPr>
    </w:p>
    <w:p w14:paraId="05862906" w14:textId="15F94F42" w:rsidR="009F6BF8" w:rsidRDefault="009F6BF8" w:rsidP="009F6BF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w:t>
      </w:r>
      <w:r w:rsidRPr="009F6BF8">
        <w:rPr>
          <w:rFonts w:ascii="Book Antiqua" w:eastAsia="Calibri" w:hAnsi="Book Antiqua" w:cs="Arial"/>
          <w:sz w:val="24"/>
          <w:szCs w:val="24"/>
        </w:rPr>
        <w:t xml:space="preserve">l cambio propuesto para la competencia de los Juzgados de Niñez y Adolescencia, Familia del Primer Circuito Judicial de la Zona Sur, Juzgado </w:t>
      </w:r>
      <w:r>
        <w:rPr>
          <w:rFonts w:ascii="Book Antiqua" w:eastAsia="Calibri" w:hAnsi="Book Antiqua" w:cs="Arial"/>
          <w:sz w:val="24"/>
          <w:szCs w:val="24"/>
        </w:rPr>
        <w:t xml:space="preserve">Civil, Trabajo y </w:t>
      </w:r>
      <w:r w:rsidRPr="009F6BF8">
        <w:rPr>
          <w:rFonts w:ascii="Book Antiqua" w:eastAsia="Calibri" w:hAnsi="Book Antiqua" w:cs="Arial"/>
          <w:sz w:val="24"/>
          <w:szCs w:val="24"/>
        </w:rPr>
        <w:t xml:space="preserve">Familia de Puriscal y </w:t>
      </w:r>
      <w:r>
        <w:rPr>
          <w:rFonts w:ascii="Book Antiqua" w:eastAsia="Calibri" w:hAnsi="Book Antiqua" w:cs="Arial"/>
          <w:sz w:val="24"/>
          <w:szCs w:val="24"/>
        </w:rPr>
        <w:t xml:space="preserve">Familia de </w:t>
      </w:r>
      <w:r w:rsidRPr="009F6BF8">
        <w:rPr>
          <w:rFonts w:ascii="Book Antiqua" w:eastAsia="Calibri" w:hAnsi="Book Antiqua" w:cs="Arial"/>
          <w:sz w:val="24"/>
          <w:szCs w:val="24"/>
        </w:rPr>
        <w:t>Cartago</w:t>
      </w:r>
      <w:r>
        <w:rPr>
          <w:rFonts w:ascii="Book Antiqua" w:eastAsia="Calibri" w:hAnsi="Book Antiqua" w:cs="Arial"/>
          <w:sz w:val="24"/>
          <w:szCs w:val="24"/>
        </w:rPr>
        <w:t>,</w:t>
      </w:r>
      <w:r w:rsidRPr="009F6BF8">
        <w:rPr>
          <w:rFonts w:ascii="Book Antiqua" w:eastAsia="Calibri" w:hAnsi="Book Antiqua" w:cs="Arial"/>
          <w:sz w:val="24"/>
          <w:szCs w:val="24"/>
        </w:rPr>
        <w:t xml:space="preserve"> en resumen serían los siguientes</w:t>
      </w:r>
      <w:r>
        <w:rPr>
          <w:rFonts w:ascii="Book Antiqua" w:eastAsia="Calibri" w:hAnsi="Book Antiqua" w:cs="Arial"/>
          <w:sz w:val="24"/>
          <w:szCs w:val="24"/>
        </w:rPr>
        <w:t>:</w:t>
      </w:r>
    </w:p>
    <w:p w14:paraId="14E3E8AE" w14:textId="06620F4A" w:rsidR="004B2E6C" w:rsidRDefault="004B2E6C" w:rsidP="00355630">
      <w:pPr>
        <w:spacing w:after="0" w:line="276" w:lineRule="auto"/>
        <w:jc w:val="both"/>
        <w:rPr>
          <w:rFonts w:ascii="Book Antiqua" w:eastAsia="Calibri" w:hAnsi="Book Antiqua" w:cs="Arial"/>
          <w:sz w:val="24"/>
          <w:szCs w:val="24"/>
        </w:rPr>
      </w:pPr>
    </w:p>
    <w:p w14:paraId="5549419A" w14:textId="5E9E3778" w:rsidR="00EC1B47" w:rsidRPr="000330F0"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40</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63EDF465" w14:textId="77777777" w:rsidR="009F6BF8" w:rsidRDefault="009F6BF8" w:rsidP="009F6BF8">
      <w:pPr>
        <w:spacing w:after="0" w:line="276" w:lineRule="auto"/>
        <w:jc w:val="center"/>
        <w:rPr>
          <w:rFonts w:ascii="Book Antiqua" w:eastAsia="Calibri" w:hAnsi="Book Antiqua" w:cs="Arial"/>
          <w:b/>
          <w:bCs/>
          <w:color w:val="1F497D"/>
          <w:szCs w:val="24"/>
          <w:lang w:val="es-ES" w:eastAsia="es-ES"/>
        </w:rPr>
      </w:pPr>
      <w:r w:rsidRPr="009F6BF8">
        <w:rPr>
          <w:rFonts w:ascii="Book Antiqua" w:eastAsia="Calibri" w:hAnsi="Book Antiqua" w:cs="Arial"/>
          <w:b/>
          <w:bCs/>
          <w:color w:val="1F497D"/>
          <w:szCs w:val="24"/>
          <w:lang w:val="es-ES" w:eastAsia="es-ES"/>
        </w:rPr>
        <w:t>Competencia territorial de los Juzgados de Niñez y Adolescencia, Familia del Primer Circuito Judicial de la Zona Sur, Familia de Cartago y Juzgado Civil, Trabajo y Familia de Puriscal, a partir de la aprobación por parte de Corte Plena</w:t>
      </w:r>
    </w:p>
    <w:tbl>
      <w:tblPr>
        <w:tblW w:w="5000" w:type="pct"/>
        <w:jc w:val="center"/>
        <w:tblCellMar>
          <w:left w:w="70" w:type="dxa"/>
          <w:right w:w="70" w:type="dxa"/>
        </w:tblCellMar>
        <w:tblLook w:val="04A0" w:firstRow="1" w:lastRow="0" w:firstColumn="1" w:lastColumn="0" w:noHBand="0" w:noVBand="1"/>
      </w:tblPr>
      <w:tblGrid>
        <w:gridCol w:w="1483"/>
        <w:gridCol w:w="3328"/>
        <w:gridCol w:w="4007"/>
      </w:tblGrid>
      <w:tr w:rsidR="003B7077" w:rsidRPr="003B7077" w14:paraId="6286243A" w14:textId="77777777" w:rsidTr="003B7077">
        <w:trPr>
          <w:trHeight w:val="490"/>
          <w:jc w:val="center"/>
        </w:trPr>
        <w:tc>
          <w:tcPr>
            <w:tcW w:w="718" w:type="pct"/>
            <w:tcBorders>
              <w:top w:val="single" w:sz="8" w:space="0" w:color="auto"/>
              <w:left w:val="single" w:sz="8" w:space="0" w:color="auto"/>
              <w:bottom w:val="nil"/>
              <w:right w:val="single" w:sz="8" w:space="0" w:color="auto"/>
            </w:tcBorders>
            <w:shd w:val="clear" w:color="000000" w:fill="002060"/>
            <w:vAlign w:val="center"/>
            <w:hideMark/>
          </w:tcPr>
          <w:p w14:paraId="4AFC4561" w14:textId="77777777" w:rsidR="003B7077" w:rsidRPr="003B7077" w:rsidRDefault="003B7077" w:rsidP="003B7077">
            <w:pPr>
              <w:spacing w:after="0" w:line="240" w:lineRule="auto"/>
              <w:jc w:val="center"/>
              <w:rPr>
                <w:rFonts w:ascii="Book Antiqua" w:eastAsia="Times New Roman" w:hAnsi="Book Antiqua" w:cs="Calibri"/>
                <w:color w:val="FFFFFF"/>
                <w:sz w:val="18"/>
                <w:szCs w:val="18"/>
                <w:lang w:eastAsia="es-CR"/>
              </w:rPr>
            </w:pPr>
            <w:r w:rsidRPr="003B7077">
              <w:rPr>
                <w:rFonts w:ascii="Book Antiqua" w:eastAsia="Times New Roman" w:hAnsi="Book Antiqua" w:cs="Calibri"/>
                <w:color w:val="FFFFFF"/>
                <w:sz w:val="18"/>
                <w:szCs w:val="18"/>
                <w:lang w:eastAsia="es-CR"/>
              </w:rPr>
              <w:t>Despacho</w:t>
            </w:r>
          </w:p>
        </w:tc>
        <w:tc>
          <w:tcPr>
            <w:tcW w:w="1611" w:type="pct"/>
            <w:tcBorders>
              <w:top w:val="single" w:sz="8" w:space="0" w:color="auto"/>
              <w:left w:val="nil"/>
              <w:bottom w:val="single" w:sz="8" w:space="0" w:color="auto"/>
              <w:right w:val="single" w:sz="8" w:space="0" w:color="auto"/>
            </w:tcBorders>
            <w:shd w:val="clear" w:color="000000" w:fill="002060"/>
            <w:vAlign w:val="center"/>
            <w:hideMark/>
          </w:tcPr>
          <w:p w14:paraId="4AFE8622" w14:textId="77777777" w:rsidR="003B7077" w:rsidRPr="003B7077" w:rsidRDefault="003B7077" w:rsidP="003B7077">
            <w:pPr>
              <w:spacing w:after="0" w:line="240" w:lineRule="auto"/>
              <w:jc w:val="center"/>
              <w:rPr>
                <w:rFonts w:ascii="Book Antiqua" w:eastAsia="Times New Roman" w:hAnsi="Book Antiqua" w:cs="Calibri"/>
                <w:b/>
                <w:bCs/>
                <w:color w:val="FFFFFF"/>
                <w:sz w:val="18"/>
                <w:szCs w:val="18"/>
                <w:lang w:eastAsia="es-CR"/>
              </w:rPr>
            </w:pPr>
            <w:r w:rsidRPr="003B7077">
              <w:rPr>
                <w:rFonts w:ascii="Book Antiqua" w:eastAsia="Times New Roman" w:hAnsi="Book Antiqua" w:cs="Calibri"/>
                <w:b/>
                <w:bCs/>
                <w:color w:val="FFFFFF"/>
                <w:sz w:val="18"/>
                <w:szCs w:val="18"/>
                <w:lang w:eastAsia="es-CR"/>
              </w:rPr>
              <w:t xml:space="preserve">Competencia material y territorial actual </w:t>
            </w:r>
          </w:p>
        </w:tc>
        <w:tc>
          <w:tcPr>
            <w:tcW w:w="1939" w:type="pct"/>
            <w:tcBorders>
              <w:top w:val="single" w:sz="8" w:space="0" w:color="auto"/>
              <w:left w:val="nil"/>
              <w:bottom w:val="single" w:sz="8" w:space="0" w:color="auto"/>
              <w:right w:val="single" w:sz="8" w:space="0" w:color="auto"/>
            </w:tcBorders>
            <w:shd w:val="clear" w:color="000000" w:fill="002060"/>
            <w:vAlign w:val="center"/>
            <w:hideMark/>
          </w:tcPr>
          <w:p w14:paraId="216CB5C6" w14:textId="77777777" w:rsidR="003B7077" w:rsidRPr="003B7077" w:rsidRDefault="003B7077" w:rsidP="003B7077">
            <w:pPr>
              <w:spacing w:after="0" w:line="240" w:lineRule="auto"/>
              <w:jc w:val="center"/>
              <w:rPr>
                <w:rFonts w:ascii="Book Antiqua" w:eastAsia="Times New Roman" w:hAnsi="Book Antiqua" w:cs="Calibri"/>
                <w:b/>
                <w:bCs/>
                <w:color w:val="FFFFFF"/>
                <w:sz w:val="18"/>
                <w:szCs w:val="18"/>
                <w:lang w:eastAsia="es-CR"/>
              </w:rPr>
            </w:pPr>
            <w:r w:rsidRPr="003B7077">
              <w:rPr>
                <w:rFonts w:ascii="Book Antiqua" w:eastAsia="Times New Roman" w:hAnsi="Book Antiqua" w:cs="Calibri"/>
                <w:b/>
                <w:bCs/>
                <w:color w:val="FFFFFF"/>
                <w:sz w:val="18"/>
                <w:szCs w:val="18"/>
                <w:lang w:eastAsia="es-CR"/>
              </w:rPr>
              <w:t xml:space="preserve">Nueva Competencia material y territorial </w:t>
            </w:r>
          </w:p>
        </w:tc>
      </w:tr>
      <w:tr w:rsidR="003B7077" w:rsidRPr="003B7077" w14:paraId="59E9836C" w14:textId="77777777" w:rsidTr="003B7077">
        <w:trPr>
          <w:trHeight w:val="590"/>
          <w:jc w:val="center"/>
        </w:trPr>
        <w:tc>
          <w:tcPr>
            <w:tcW w:w="71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F28A0DB"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Juzgado de Niñez y Adolescencia</w:t>
            </w:r>
          </w:p>
        </w:tc>
        <w:tc>
          <w:tcPr>
            <w:tcW w:w="1611" w:type="pct"/>
            <w:tcBorders>
              <w:top w:val="nil"/>
              <w:left w:val="nil"/>
              <w:bottom w:val="single" w:sz="8" w:space="0" w:color="auto"/>
              <w:right w:val="single" w:sz="8" w:space="0" w:color="auto"/>
            </w:tcBorders>
            <w:shd w:val="clear" w:color="auto" w:fill="auto"/>
            <w:vAlign w:val="center"/>
            <w:hideMark/>
          </w:tcPr>
          <w:p w14:paraId="64AFDEF4"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Calibri" w:hAnsi="Book Antiqua" w:cs="Times New Roman"/>
                <w:color w:val="000000"/>
                <w:sz w:val="18"/>
                <w:szCs w:val="18"/>
                <w:lang w:eastAsia="es-CR"/>
              </w:rPr>
              <w:t>Abarca la provincia de San José</w:t>
            </w:r>
          </w:p>
        </w:tc>
        <w:tc>
          <w:tcPr>
            <w:tcW w:w="1939" w:type="pct"/>
            <w:tcBorders>
              <w:top w:val="nil"/>
              <w:left w:val="nil"/>
              <w:bottom w:val="single" w:sz="8" w:space="0" w:color="auto"/>
              <w:right w:val="single" w:sz="8" w:space="0" w:color="auto"/>
            </w:tcBorders>
            <w:shd w:val="clear" w:color="auto" w:fill="auto"/>
            <w:vAlign w:val="center"/>
            <w:hideMark/>
          </w:tcPr>
          <w:p w14:paraId="4A0917F9"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 xml:space="preserve">Abarca la provincia de San José </w:t>
            </w:r>
            <w:r w:rsidRPr="003B7077">
              <w:rPr>
                <w:rFonts w:ascii="Book Antiqua" w:eastAsia="Times New Roman" w:hAnsi="Book Antiqua" w:cs="Calibri"/>
                <w:b/>
                <w:bCs/>
                <w:color w:val="000000"/>
                <w:sz w:val="18"/>
                <w:szCs w:val="18"/>
                <w:lang w:eastAsia="es-CR"/>
              </w:rPr>
              <w:t>(excepto los cantones de Pérez Zeledón, Puriscal,  Tarrazú, Dota y León Cortés)</w:t>
            </w:r>
          </w:p>
        </w:tc>
      </w:tr>
      <w:tr w:rsidR="003B7077" w:rsidRPr="003B7077" w14:paraId="4666AD85" w14:textId="77777777" w:rsidTr="003B7077">
        <w:trPr>
          <w:trHeight w:val="6800"/>
          <w:jc w:val="center"/>
        </w:trPr>
        <w:tc>
          <w:tcPr>
            <w:tcW w:w="718" w:type="pct"/>
            <w:vMerge/>
            <w:tcBorders>
              <w:top w:val="single" w:sz="8" w:space="0" w:color="auto"/>
              <w:left w:val="single" w:sz="8" w:space="0" w:color="auto"/>
              <w:bottom w:val="single" w:sz="8" w:space="0" w:color="000000"/>
              <w:right w:val="single" w:sz="8" w:space="0" w:color="auto"/>
            </w:tcBorders>
            <w:vAlign w:val="center"/>
            <w:hideMark/>
          </w:tcPr>
          <w:p w14:paraId="6E63A983"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p>
        </w:tc>
        <w:tc>
          <w:tcPr>
            <w:tcW w:w="1611" w:type="pct"/>
            <w:tcBorders>
              <w:top w:val="nil"/>
              <w:left w:val="nil"/>
              <w:bottom w:val="nil"/>
              <w:right w:val="single" w:sz="8" w:space="0" w:color="auto"/>
            </w:tcBorders>
            <w:shd w:val="clear" w:color="auto" w:fill="auto"/>
            <w:vAlign w:val="center"/>
            <w:hideMark/>
          </w:tcPr>
          <w:p w14:paraId="006AFA49"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Calibri" w:hAnsi="Book Antiqua" w:cs="Times New Roman"/>
                <w:color w:val="000000"/>
                <w:sz w:val="18"/>
                <w:szCs w:val="18"/>
                <w:lang w:eastAsia="es-CR"/>
              </w:rPr>
              <w:t xml:space="preserve">Según la circular 131-18 el Juzgado de Niñez y Adolescencia conoce: </w:t>
            </w:r>
            <w:r w:rsidRPr="003B7077">
              <w:rPr>
                <w:rFonts w:ascii="Book Antiqua" w:eastAsia="Calibri" w:hAnsi="Book Antiqua" w:cs="Times New Roman"/>
                <w:color w:val="000000"/>
                <w:sz w:val="18"/>
                <w:szCs w:val="18"/>
                <w:lang w:eastAsia="es-CR"/>
              </w:rPr>
              <w:br/>
            </w:r>
            <w:r w:rsidRPr="003B7077">
              <w:rPr>
                <w:rFonts w:ascii="Book Antiqua" w:eastAsia="Calibri" w:hAnsi="Book Antiqua" w:cs="Times New Roman"/>
                <w:color w:val="000000"/>
                <w:sz w:val="18"/>
                <w:szCs w:val="18"/>
                <w:lang w:eastAsia="es-CR"/>
              </w:rPr>
              <w:br/>
              <w:t>a) Que el Juzgado de Familia, Niñez y Adolescencia conozca los procesos especiales de protección a la niñez y la adolescencia y los que señala el numeral 116 del Código de la Niñez y la Adolescencia, las tutelas, los depósitos de personas menores de edad, la declaratoria de abandono, adopción de personas menores de edad, la utilidad y necesidad han de depender de si se trata de los intereses de una persona menor de edad o no.</w:t>
            </w:r>
            <w:r w:rsidRPr="003B7077">
              <w:rPr>
                <w:rFonts w:ascii="Book Antiqua" w:eastAsia="Calibri" w:hAnsi="Book Antiqua" w:cs="Times New Roman"/>
                <w:color w:val="000000"/>
                <w:sz w:val="18"/>
                <w:szCs w:val="18"/>
                <w:lang w:eastAsia="es-CR"/>
              </w:rPr>
              <w:br/>
              <w:t>En cuanto al tema de la patria potestad, si la discusión se da entre los progenitores del niño o adolescente (conflictos de patria potestad, salidas del país, guarda, crianza y educación, visitas, etcétera) ese asunto debe conocerse por el Juzgado de Familia.</w:t>
            </w:r>
            <w:r w:rsidRPr="003B7077">
              <w:rPr>
                <w:rFonts w:ascii="Book Antiqua" w:eastAsia="Calibri" w:hAnsi="Book Antiqua" w:cs="Times New Roman"/>
                <w:color w:val="000000"/>
                <w:sz w:val="18"/>
                <w:szCs w:val="18"/>
                <w:lang w:eastAsia="es-CR"/>
              </w:rPr>
              <w:br/>
              <w:t>Pero si lo que se pide es una protección especial para el niño como serían las suspensiones o extinciones de la patria potestad contra sus padres, no entre ellos, ese asunto debe ser conocido por el Juzgado de Niñez y la Adolescencia. Tendrá la</w:t>
            </w:r>
            <w:r w:rsidRPr="003B7077">
              <w:rPr>
                <w:rFonts w:ascii="Book Antiqua" w:eastAsia="Calibri" w:hAnsi="Book Antiqua" w:cs="Times New Roman"/>
                <w:color w:val="000000"/>
                <w:sz w:val="18"/>
                <w:szCs w:val="18"/>
                <w:lang w:eastAsia="es-CR"/>
              </w:rPr>
              <w:br/>
              <w:t>competencia a nivel nacional para conocer las Adopciones Internacionales y los procesos de Restitución Internacional de Personas Menores de Edad.</w:t>
            </w:r>
          </w:p>
        </w:tc>
        <w:tc>
          <w:tcPr>
            <w:tcW w:w="1939" w:type="pct"/>
            <w:tcBorders>
              <w:top w:val="nil"/>
              <w:left w:val="nil"/>
              <w:bottom w:val="single" w:sz="8" w:space="0" w:color="auto"/>
              <w:right w:val="single" w:sz="8" w:space="0" w:color="auto"/>
            </w:tcBorders>
            <w:shd w:val="clear" w:color="auto" w:fill="auto"/>
            <w:vAlign w:val="center"/>
            <w:hideMark/>
          </w:tcPr>
          <w:p w14:paraId="23106104"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Conocerá hasta el 30 de setiembre de 2024, lo siguiente:</w:t>
            </w:r>
            <w:r w:rsidRPr="003B7077">
              <w:rPr>
                <w:rFonts w:ascii="Book Antiqua" w:eastAsia="Times New Roman" w:hAnsi="Book Antiqua" w:cs="Calibri"/>
                <w:color w:val="000000"/>
                <w:sz w:val="18"/>
                <w:szCs w:val="18"/>
                <w:lang w:eastAsia="es-CR"/>
              </w:rPr>
              <w:br/>
            </w:r>
            <w:r w:rsidRPr="003B7077">
              <w:rPr>
                <w:rFonts w:ascii="Book Antiqua" w:eastAsia="Times New Roman" w:hAnsi="Book Antiqua" w:cs="Calibri"/>
                <w:color w:val="000000"/>
                <w:sz w:val="18"/>
                <w:szCs w:val="18"/>
                <w:lang w:eastAsia="es-CR"/>
              </w:rPr>
              <w:br/>
              <w:t>a) Que el Juzgado de Familia, Niñez y Adolescencia conozca los procesos especiales de protección a la niñez y la adolescencia y los que señala el numeral 116 del Código de la Niñez y la Adolescencia, las tutelas, los depósitos de personas menores de edad, la declaratoria de abandono, adopción de personas menores de edad, la utilidad y necesidad han de depender de si se trata de los intereses de una persona menor de edad o no.</w:t>
            </w:r>
            <w:r w:rsidRPr="003B7077">
              <w:rPr>
                <w:rFonts w:ascii="Book Antiqua" w:eastAsia="Times New Roman" w:hAnsi="Book Antiqua" w:cs="Calibri"/>
                <w:color w:val="000000"/>
                <w:sz w:val="18"/>
                <w:szCs w:val="18"/>
                <w:lang w:eastAsia="es-CR"/>
              </w:rPr>
              <w:br/>
              <w:t>En cuanto al tema de la patria potestad, si la discusión se da entre los progenitores del niño o adolescente (conflictos de patria potestad, salidas del país, guarda, crianza y educación, visitas, etcétera) ese asunto debe conocerse por el Juzgado de Familia.</w:t>
            </w:r>
            <w:r w:rsidRPr="003B7077">
              <w:rPr>
                <w:rFonts w:ascii="Book Antiqua" w:eastAsia="Times New Roman" w:hAnsi="Book Antiqua" w:cs="Calibri"/>
                <w:color w:val="000000"/>
                <w:sz w:val="18"/>
                <w:szCs w:val="18"/>
                <w:lang w:eastAsia="es-CR"/>
              </w:rPr>
              <w:br/>
              <w:t>Pero si lo que se pide es una protección especial para el niño como serían las suspensiones o extinciones de la patria potestad contra sus padres, no entre ellos, ese asunto debe ser conocido por el Juzgado de Niñez y la Adolescencia. Tendrá la competencia a nivel nacional para conocer las Adopciones Internacionales y los procesos de Restitución Internacional de Personas Menores de Edad.</w:t>
            </w:r>
            <w:r w:rsidRPr="003B7077">
              <w:rPr>
                <w:rFonts w:ascii="Book Antiqua" w:eastAsia="Times New Roman" w:hAnsi="Book Antiqua" w:cs="Calibri"/>
                <w:color w:val="000000"/>
                <w:sz w:val="18"/>
                <w:szCs w:val="18"/>
                <w:lang w:eastAsia="es-CR"/>
              </w:rPr>
              <w:br/>
            </w:r>
            <w:r w:rsidRPr="003B7077">
              <w:rPr>
                <w:rFonts w:ascii="Book Antiqua" w:eastAsia="Times New Roman" w:hAnsi="Book Antiqua" w:cs="Calibri"/>
                <w:color w:val="000000"/>
                <w:sz w:val="18"/>
                <w:szCs w:val="18"/>
                <w:lang w:eastAsia="es-CR"/>
              </w:rPr>
              <w:br/>
            </w:r>
            <w:r w:rsidRPr="003B7077">
              <w:rPr>
                <w:rFonts w:ascii="Book Antiqua" w:eastAsia="Times New Roman" w:hAnsi="Book Antiqua" w:cs="Calibri"/>
                <w:b/>
                <w:bCs/>
                <w:i/>
                <w:iCs/>
                <w:color w:val="000000"/>
                <w:sz w:val="18"/>
                <w:szCs w:val="18"/>
                <w:lang w:eastAsia="es-CR"/>
              </w:rPr>
              <w:t xml:space="preserve">A partir del 1 de octubre de 2024 conocerá además lo dispuesto por la reforma al artículo 106 bis de la Ley Orgánica del Poder Judicial según Ley 9747. </w:t>
            </w:r>
          </w:p>
        </w:tc>
      </w:tr>
      <w:tr w:rsidR="003B7077" w:rsidRPr="003B7077" w14:paraId="1E1E946C" w14:textId="77777777" w:rsidTr="003B7077">
        <w:trPr>
          <w:trHeight w:val="1100"/>
          <w:jc w:val="center"/>
        </w:trPr>
        <w:tc>
          <w:tcPr>
            <w:tcW w:w="718" w:type="pct"/>
            <w:tcBorders>
              <w:top w:val="nil"/>
              <w:left w:val="single" w:sz="8" w:space="0" w:color="auto"/>
              <w:bottom w:val="single" w:sz="8" w:space="0" w:color="auto"/>
              <w:right w:val="single" w:sz="8" w:space="0" w:color="auto"/>
            </w:tcBorders>
            <w:shd w:val="clear" w:color="auto" w:fill="auto"/>
            <w:vAlign w:val="center"/>
            <w:hideMark/>
          </w:tcPr>
          <w:p w14:paraId="6C1BAF34"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Juzgado de Familia del Primer Circuito Judicial de la Zona Sur</w:t>
            </w:r>
          </w:p>
        </w:tc>
        <w:tc>
          <w:tcPr>
            <w:tcW w:w="1611" w:type="pct"/>
            <w:tcBorders>
              <w:top w:val="single" w:sz="8" w:space="0" w:color="auto"/>
              <w:left w:val="nil"/>
              <w:bottom w:val="single" w:sz="8" w:space="0" w:color="auto"/>
              <w:right w:val="single" w:sz="8" w:space="0" w:color="auto"/>
            </w:tcBorders>
            <w:shd w:val="clear" w:color="auto" w:fill="auto"/>
            <w:vAlign w:val="center"/>
            <w:hideMark/>
          </w:tcPr>
          <w:p w14:paraId="7D1D44FD"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Abarca el cantón de Pérez Zeledón</w:t>
            </w:r>
          </w:p>
        </w:tc>
        <w:tc>
          <w:tcPr>
            <w:tcW w:w="1939" w:type="pct"/>
            <w:tcBorders>
              <w:top w:val="nil"/>
              <w:left w:val="nil"/>
              <w:bottom w:val="single" w:sz="8" w:space="0" w:color="auto"/>
              <w:right w:val="single" w:sz="8" w:space="0" w:color="auto"/>
            </w:tcBorders>
            <w:shd w:val="clear" w:color="auto" w:fill="auto"/>
            <w:vAlign w:val="center"/>
            <w:hideMark/>
          </w:tcPr>
          <w:p w14:paraId="66EC9BB6"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Abarca el cantón de Pérez Zeledón.</w:t>
            </w:r>
          </w:p>
        </w:tc>
      </w:tr>
      <w:tr w:rsidR="003B7077" w:rsidRPr="003B7077" w14:paraId="39161C37" w14:textId="77777777" w:rsidTr="003B7077">
        <w:trPr>
          <w:trHeight w:val="1890"/>
          <w:jc w:val="center"/>
        </w:trPr>
        <w:tc>
          <w:tcPr>
            <w:tcW w:w="718" w:type="pct"/>
            <w:tcBorders>
              <w:top w:val="nil"/>
              <w:left w:val="single" w:sz="8" w:space="0" w:color="auto"/>
              <w:bottom w:val="single" w:sz="8" w:space="0" w:color="auto"/>
              <w:right w:val="single" w:sz="8" w:space="0" w:color="auto"/>
            </w:tcBorders>
            <w:shd w:val="clear" w:color="auto" w:fill="auto"/>
            <w:vAlign w:val="center"/>
            <w:hideMark/>
          </w:tcPr>
          <w:p w14:paraId="1630BE04"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Juzgado Civil, Trabajo y Familia de Puriscal</w:t>
            </w:r>
          </w:p>
        </w:tc>
        <w:tc>
          <w:tcPr>
            <w:tcW w:w="1611" w:type="pct"/>
            <w:tcBorders>
              <w:top w:val="nil"/>
              <w:left w:val="nil"/>
              <w:bottom w:val="single" w:sz="8" w:space="0" w:color="auto"/>
              <w:right w:val="single" w:sz="8" w:space="0" w:color="auto"/>
            </w:tcBorders>
            <w:shd w:val="clear" w:color="auto" w:fill="auto"/>
            <w:vAlign w:val="center"/>
            <w:hideMark/>
          </w:tcPr>
          <w:p w14:paraId="66F65D91"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Abarca los cantones de Puriscal, Turrubares (excepto el distrito de Carara) y del cantón de Acosta el distrito de Palmichal, (excepto los poblados de Sevilla y Bajos de Jorco).</w:t>
            </w:r>
            <w:r w:rsidRPr="003B7077">
              <w:rPr>
                <w:rFonts w:ascii="Book Antiqua" w:eastAsia="Times New Roman" w:hAnsi="Book Antiqua" w:cs="Calibri"/>
                <w:color w:val="000000"/>
                <w:sz w:val="18"/>
                <w:szCs w:val="18"/>
                <w:lang w:eastAsia="es-CR"/>
              </w:rPr>
              <w:br/>
              <w:t>Del cantón de Mora los distritos de Guayabo, Tabarcia, Piedras Negras, Picagres, Jaris y Quitirrisí.</w:t>
            </w:r>
          </w:p>
        </w:tc>
        <w:tc>
          <w:tcPr>
            <w:tcW w:w="1939" w:type="pct"/>
            <w:tcBorders>
              <w:top w:val="nil"/>
              <w:left w:val="nil"/>
              <w:bottom w:val="single" w:sz="8" w:space="0" w:color="auto"/>
              <w:right w:val="single" w:sz="8" w:space="0" w:color="auto"/>
            </w:tcBorders>
            <w:shd w:val="clear" w:color="auto" w:fill="auto"/>
            <w:vAlign w:val="center"/>
            <w:hideMark/>
          </w:tcPr>
          <w:p w14:paraId="147073C6" w14:textId="77777777" w:rsidR="003B7077" w:rsidRPr="003B7077" w:rsidRDefault="003B7077" w:rsidP="003B7077">
            <w:pPr>
              <w:spacing w:after="24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Abarca los cantones de Puriscal, Turrubares (excepto el distrito de Carara) y del cantón de Acosta el distrito de Palmichal, (excepto los poblados de Sevilla y Bajos de Jorco).</w:t>
            </w:r>
            <w:r w:rsidRPr="003B7077">
              <w:rPr>
                <w:rFonts w:ascii="Book Antiqua" w:eastAsia="Times New Roman" w:hAnsi="Book Antiqua" w:cs="Calibri"/>
                <w:color w:val="000000"/>
                <w:sz w:val="18"/>
                <w:szCs w:val="18"/>
                <w:lang w:eastAsia="es-CR"/>
              </w:rPr>
              <w:br/>
              <w:t>Del cantón de Mora los distritos de Guayabo, Tabarcia, Piedras Negras, Picagres, Jaris y Quitirrisí.</w:t>
            </w:r>
          </w:p>
        </w:tc>
      </w:tr>
      <w:tr w:rsidR="003B7077" w:rsidRPr="003B7077" w14:paraId="606B176B" w14:textId="77777777" w:rsidTr="003B7077">
        <w:trPr>
          <w:trHeight w:val="2960"/>
          <w:jc w:val="center"/>
        </w:trPr>
        <w:tc>
          <w:tcPr>
            <w:tcW w:w="718" w:type="pct"/>
            <w:tcBorders>
              <w:top w:val="nil"/>
              <w:left w:val="single" w:sz="8" w:space="0" w:color="auto"/>
              <w:bottom w:val="single" w:sz="8" w:space="0" w:color="auto"/>
              <w:right w:val="single" w:sz="8" w:space="0" w:color="auto"/>
            </w:tcBorders>
            <w:shd w:val="clear" w:color="auto" w:fill="auto"/>
            <w:vAlign w:val="center"/>
            <w:hideMark/>
          </w:tcPr>
          <w:p w14:paraId="2045470B"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Juzgado de Familia de Cartago</w:t>
            </w:r>
          </w:p>
        </w:tc>
        <w:tc>
          <w:tcPr>
            <w:tcW w:w="1611" w:type="pct"/>
            <w:tcBorders>
              <w:top w:val="nil"/>
              <w:left w:val="nil"/>
              <w:bottom w:val="single" w:sz="8" w:space="0" w:color="auto"/>
              <w:right w:val="single" w:sz="8" w:space="0" w:color="auto"/>
            </w:tcBorders>
            <w:shd w:val="clear" w:color="auto" w:fill="auto"/>
            <w:vAlign w:val="center"/>
            <w:hideMark/>
          </w:tcPr>
          <w:p w14:paraId="1CC33B67" w14:textId="77777777" w:rsidR="003B7077" w:rsidRPr="003B7077" w:rsidRDefault="003B7077" w:rsidP="003B7077">
            <w:pPr>
              <w:spacing w:after="24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Abarca los cantones de Cartago, Paraíso, La Unión, Alvarado, Oreamuno, y el Guarco. </w:t>
            </w:r>
            <w:r w:rsidRPr="003B7077">
              <w:rPr>
                <w:rFonts w:ascii="Book Antiqua" w:eastAsia="Times New Roman" w:hAnsi="Book Antiqua" w:cs="Calibri"/>
                <w:color w:val="000000"/>
                <w:sz w:val="18"/>
                <w:szCs w:val="18"/>
                <w:lang w:eastAsia="es-CR"/>
              </w:rPr>
              <w:br/>
              <w:t>Del cantón de Dota (provincia de San José), los distritos de Santa María, Jardín y Copey. </w:t>
            </w:r>
            <w:r w:rsidRPr="003B7077">
              <w:rPr>
                <w:rFonts w:ascii="Book Antiqua" w:eastAsia="Times New Roman" w:hAnsi="Book Antiqua" w:cs="Calibri"/>
                <w:color w:val="000000"/>
                <w:sz w:val="18"/>
                <w:szCs w:val="18"/>
                <w:lang w:eastAsia="es-CR"/>
              </w:rPr>
              <w:br/>
              <w:t>Del cantón de León Cortes (provincia de San José), los distritos de San Pablo, San Andrés, Llano Bonito (excepto el poblado de Santa Juana), San Isidro (excepto el poblado de San Isidro), Santa Cruz y San Antonio.</w:t>
            </w:r>
          </w:p>
        </w:tc>
        <w:tc>
          <w:tcPr>
            <w:tcW w:w="1939" w:type="pct"/>
            <w:tcBorders>
              <w:top w:val="nil"/>
              <w:left w:val="nil"/>
              <w:bottom w:val="single" w:sz="8" w:space="0" w:color="auto"/>
              <w:right w:val="single" w:sz="8" w:space="0" w:color="auto"/>
            </w:tcBorders>
            <w:shd w:val="clear" w:color="auto" w:fill="auto"/>
            <w:vAlign w:val="center"/>
            <w:hideMark/>
          </w:tcPr>
          <w:p w14:paraId="08CAA00F" w14:textId="77777777" w:rsidR="003B7077" w:rsidRPr="003B7077" w:rsidRDefault="003B7077" w:rsidP="003B7077">
            <w:pPr>
              <w:spacing w:after="0" w:line="240" w:lineRule="auto"/>
              <w:rPr>
                <w:rFonts w:ascii="Book Antiqua" w:eastAsia="Times New Roman" w:hAnsi="Book Antiqua" w:cs="Calibri"/>
                <w:color w:val="000000"/>
                <w:sz w:val="18"/>
                <w:szCs w:val="18"/>
                <w:lang w:eastAsia="es-CR"/>
              </w:rPr>
            </w:pPr>
            <w:r w:rsidRPr="003B7077">
              <w:rPr>
                <w:rFonts w:ascii="Book Antiqua" w:eastAsia="Times New Roman" w:hAnsi="Book Antiqua" w:cs="Calibri"/>
                <w:color w:val="000000"/>
                <w:sz w:val="18"/>
                <w:szCs w:val="18"/>
                <w:lang w:eastAsia="es-CR"/>
              </w:rPr>
              <w:t>Abarca los cantones de Cartago, Paraíso, La Unión, Alvarado, Oreamuno, y el Guarco. </w:t>
            </w:r>
            <w:r w:rsidRPr="003B7077">
              <w:rPr>
                <w:rFonts w:ascii="Book Antiqua" w:eastAsia="Times New Roman" w:hAnsi="Book Antiqua" w:cs="Calibri"/>
                <w:color w:val="000000"/>
                <w:sz w:val="18"/>
                <w:szCs w:val="18"/>
                <w:lang w:eastAsia="es-CR"/>
              </w:rPr>
              <w:br/>
              <w:t>Del cantón de Tarrazú, (provincia de San José), los distritos de San Marcos, San Lorenzo (excepto los poblados Quebrada Arroyo y Cerro Nara) y San Carlos.</w:t>
            </w:r>
            <w:r w:rsidRPr="003B7077">
              <w:rPr>
                <w:rFonts w:ascii="Book Antiqua" w:eastAsia="Times New Roman" w:hAnsi="Book Antiqua" w:cs="Calibri"/>
                <w:color w:val="000000"/>
                <w:sz w:val="18"/>
                <w:szCs w:val="18"/>
                <w:lang w:eastAsia="es-CR"/>
              </w:rPr>
              <w:br/>
              <w:t>Del cantón de Dota (provincia de San José), los distritos de Santa María, Jardín y Copey. </w:t>
            </w:r>
            <w:r w:rsidRPr="003B7077">
              <w:rPr>
                <w:rFonts w:ascii="Book Antiqua" w:eastAsia="Times New Roman" w:hAnsi="Book Antiqua" w:cs="Calibri"/>
                <w:color w:val="000000"/>
                <w:sz w:val="18"/>
                <w:szCs w:val="18"/>
                <w:lang w:eastAsia="es-CR"/>
              </w:rPr>
              <w:br/>
              <w:t>Del cantón de León Cortes (provincia de San José), los distritos de San Pablo, San Andrés, Llano Bonito (excepto el poblado de Santa Juana), San Isidro (excepto el poblado de San Isidro), Santa Cruz y San Antonio.</w:t>
            </w:r>
          </w:p>
        </w:tc>
      </w:tr>
    </w:tbl>
    <w:p w14:paraId="3E7E7EA4" w14:textId="7C29C204" w:rsidR="007479DF" w:rsidRDefault="007479DF" w:rsidP="007479DF">
      <w:pPr>
        <w:spacing w:after="0" w:line="276" w:lineRule="auto"/>
        <w:jc w:val="both"/>
        <w:rPr>
          <w:rFonts w:ascii="Book Antiqua" w:eastAsia="Calibri" w:hAnsi="Book Antiqua" w:cs="Arial"/>
          <w:i/>
          <w:iCs/>
          <w:sz w:val="20"/>
          <w:szCs w:val="20"/>
        </w:rPr>
      </w:pPr>
      <w:r w:rsidRPr="007765AD">
        <w:rPr>
          <w:rFonts w:ascii="Book Antiqua" w:eastAsia="Calibri" w:hAnsi="Book Antiqua" w:cs="Arial"/>
          <w:b/>
          <w:bCs/>
          <w:i/>
          <w:iCs/>
          <w:sz w:val="20"/>
          <w:szCs w:val="20"/>
        </w:rPr>
        <w:t>Fuente:</w:t>
      </w:r>
      <w:r w:rsidRPr="00F07A42">
        <w:rPr>
          <w:rFonts w:ascii="Book Antiqua" w:eastAsia="Calibri" w:hAnsi="Book Antiqua" w:cs="Arial"/>
          <w:i/>
          <w:iCs/>
          <w:sz w:val="20"/>
          <w:szCs w:val="20"/>
        </w:rPr>
        <w:t xml:space="preserve"> </w:t>
      </w:r>
      <w:r w:rsidR="009F6BF8" w:rsidRPr="009F6BF8">
        <w:rPr>
          <w:rFonts w:ascii="Book Antiqua" w:eastAsia="Calibri" w:hAnsi="Book Antiqua" w:cs="Arial"/>
          <w:i/>
          <w:iCs/>
          <w:sz w:val="20"/>
          <w:szCs w:val="20"/>
        </w:rPr>
        <w:t>Fuente: Subproceso de Modernización Institucional con datos del informe de seguimiento del Juzgado de Niñez y Adolescencia.</w:t>
      </w:r>
    </w:p>
    <w:p w14:paraId="613CC1F2" w14:textId="77777777" w:rsidR="00441DCB" w:rsidRDefault="00441DCB" w:rsidP="007479DF">
      <w:pPr>
        <w:spacing w:after="0" w:line="276" w:lineRule="auto"/>
        <w:jc w:val="both"/>
        <w:rPr>
          <w:rFonts w:ascii="Book Antiqua" w:eastAsia="Calibri" w:hAnsi="Book Antiqua" w:cs="Arial"/>
          <w:i/>
          <w:iCs/>
          <w:sz w:val="20"/>
          <w:szCs w:val="20"/>
        </w:rPr>
      </w:pPr>
    </w:p>
    <w:p w14:paraId="17BDBA27" w14:textId="3CE0DCA3" w:rsidR="00441DCB" w:rsidRDefault="00336DD6" w:rsidP="007479DF">
      <w:pPr>
        <w:spacing w:after="0" w:line="276" w:lineRule="auto"/>
        <w:jc w:val="both"/>
        <w:rPr>
          <w:rFonts w:ascii="Book Antiqua" w:eastAsia="Calibri" w:hAnsi="Book Antiqua" w:cs="Arial"/>
          <w:sz w:val="24"/>
          <w:szCs w:val="24"/>
        </w:rPr>
      </w:pPr>
      <w:r w:rsidRPr="00336DD6">
        <w:rPr>
          <w:rFonts w:ascii="Book Antiqua" w:eastAsia="Calibri" w:hAnsi="Book Antiqua" w:cs="Arial"/>
          <w:b/>
          <w:bCs/>
          <w:i/>
          <w:iCs/>
          <w:sz w:val="24"/>
          <w:szCs w:val="24"/>
        </w:rPr>
        <w:t xml:space="preserve">Se adjunta propuesta de circular para comunicar los cambios de competencia propuestos en este informe </w:t>
      </w:r>
      <w:r w:rsidR="00B12C31">
        <w:rPr>
          <w:rFonts w:ascii="Book Antiqua" w:eastAsia="Calibri" w:hAnsi="Book Antiqua" w:cs="Arial"/>
          <w:b/>
          <w:bCs/>
          <w:i/>
          <w:iCs/>
          <w:sz w:val="24"/>
          <w:szCs w:val="24"/>
        </w:rPr>
        <w:t>(anexo 25)</w:t>
      </w:r>
      <w:r w:rsidRPr="00336DD6">
        <w:rPr>
          <w:rFonts w:ascii="Book Antiqua" w:eastAsia="Calibri" w:hAnsi="Book Antiqua" w:cs="Arial"/>
          <w:b/>
          <w:bCs/>
          <w:i/>
          <w:iCs/>
          <w:sz w:val="24"/>
          <w:szCs w:val="24"/>
        </w:rPr>
        <w:t>.</w:t>
      </w:r>
    </w:p>
    <w:p w14:paraId="0DD9B319" w14:textId="0667E6E9" w:rsidR="002C62D7" w:rsidRDefault="002C62D7" w:rsidP="00355630">
      <w:pPr>
        <w:spacing w:after="0" w:line="276" w:lineRule="auto"/>
        <w:jc w:val="both"/>
        <w:rPr>
          <w:rFonts w:ascii="Book Antiqua" w:eastAsia="Calibri" w:hAnsi="Book Antiqua" w:cs="Arial"/>
          <w:sz w:val="24"/>
          <w:szCs w:val="24"/>
        </w:rPr>
      </w:pPr>
    </w:p>
    <w:p w14:paraId="0FDDCC12" w14:textId="1DEC27CD" w:rsidR="003B7077" w:rsidRDefault="003B7077" w:rsidP="003B707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Por último, en relación con la </w:t>
      </w:r>
      <w:r w:rsidRPr="001D0C10">
        <w:rPr>
          <w:rFonts w:ascii="Book Antiqua" w:eastAsia="Calibri" w:hAnsi="Book Antiqua" w:cs="Arial"/>
          <w:b/>
          <w:bCs/>
          <w:sz w:val="24"/>
          <w:szCs w:val="24"/>
        </w:rPr>
        <w:t>Referencia interna:</w:t>
      </w:r>
      <w:r>
        <w:rPr>
          <w:rFonts w:ascii="Book Antiqua" w:eastAsia="Calibri" w:hAnsi="Book Antiqua" w:cs="Arial"/>
          <w:sz w:val="24"/>
          <w:szCs w:val="24"/>
        </w:rPr>
        <w:t xml:space="preserve"> </w:t>
      </w:r>
      <w:r w:rsidRPr="001D0C10">
        <w:rPr>
          <w:rFonts w:ascii="Book Antiqua" w:eastAsia="Calibri" w:hAnsi="Book Antiqua" w:cs="Arial"/>
          <w:b/>
          <w:bCs/>
          <w:sz w:val="24"/>
          <w:szCs w:val="24"/>
        </w:rPr>
        <w:t>1741-20</w:t>
      </w:r>
      <w:r>
        <w:rPr>
          <w:rFonts w:ascii="Book Antiqua" w:eastAsia="Calibri" w:hAnsi="Book Antiqua" w:cs="Arial"/>
          <w:b/>
          <w:bCs/>
          <w:sz w:val="24"/>
          <w:szCs w:val="24"/>
        </w:rPr>
        <w:t xml:space="preserve">20, </w:t>
      </w:r>
      <w:r>
        <w:rPr>
          <w:rFonts w:ascii="Book Antiqua" w:eastAsia="Calibri" w:hAnsi="Book Antiqua" w:cs="Arial"/>
          <w:sz w:val="24"/>
          <w:szCs w:val="24"/>
        </w:rPr>
        <w:t>se realizó la parametrización de la matriz de</w:t>
      </w:r>
      <w:r w:rsidR="00AA2F1A">
        <w:rPr>
          <w:rFonts w:ascii="Book Antiqua" w:eastAsia="Calibri" w:hAnsi="Book Antiqua" w:cs="Arial"/>
          <w:sz w:val="24"/>
          <w:szCs w:val="24"/>
        </w:rPr>
        <w:t>l Juzgado de Niñez y Adolescencia</w:t>
      </w:r>
      <w:r>
        <w:rPr>
          <w:rFonts w:ascii="Book Antiqua" w:eastAsia="Calibri" w:hAnsi="Book Antiqua" w:cs="Arial"/>
          <w:sz w:val="24"/>
          <w:szCs w:val="24"/>
        </w:rPr>
        <w:t xml:space="preserve"> y se socializó con la Coordinadora Judicial</w:t>
      </w:r>
      <w:r w:rsidR="00AA2F1A">
        <w:rPr>
          <w:rFonts w:ascii="Book Antiqua" w:eastAsia="Calibri" w:hAnsi="Book Antiqua" w:cs="Arial"/>
          <w:sz w:val="24"/>
          <w:szCs w:val="24"/>
        </w:rPr>
        <w:t>,</w:t>
      </w:r>
      <w:r>
        <w:rPr>
          <w:rFonts w:ascii="Book Antiqua" w:eastAsia="Calibri" w:hAnsi="Book Antiqua" w:cs="Arial"/>
          <w:sz w:val="24"/>
          <w:szCs w:val="24"/>
        </w:rPr>
        <w:t xml:space="preserve"> los ajustes realiza</w:t>
      </w:r>
      <w:r w:rsidR="00AA2F1A">
        <w:rPr>
          <w:rFonts w:ascii="Book Antiqua" w:eastAsia="Calibri" w:hAnsi="Book Antiqua" w:cs="Arial"/>
          <w:sz w:val="24"/>
          <w:szCs w:val="24"/>
        </w:rPr>
        <w:t>d</w:t>
      </w:r>
      <w:r>
        <w:rPr>
          <w:rFonts w:ascii="Book Antiqua" w:eastAsia="Calibri" w:hAnsi="Book Antiqua" w:cs="Arial"/>
          <w:sz w:val="24"/>
          <w:szCs w:val="24"/>
        </w:rPr>
        <w:t>os</w:t>
      </w:r>
      <w:r w:rsidR="00AA2F1A">
        <w:rPr>
          <w:rFonts w:ascii="Book Antiqua" w:eastAsia="Calibri" w:hAnsi="Book Antiqua" w:cs="Arial"/>
          <w:sz w:val="24"/>
          <w:szCs w:val="24"/>
        </w:rPr>
        <w:t xml:space="preserve">, además, </w:t>
      </w:r>
      <w:r>
        <w:rPr>
          <w:rFonts w:ascii="Book Antiqua" w:eastAsia="Calibri" w:hAnsi="Book Antiqua" w:cs="Arial"/>
          <w:sz w:val="24"/>
          <w:szCs w:val="24"/>
        </w:rPr>
        <w:t xml:space="preserve">se </w:t>
      </w:r>
      <w:r w:rsidR="00AA2F1A">
        <w:rPr>
          <w:rFonts w:ascii="Book Antiqua" w:eastAsia="Calibri" w:hAnsi="Book Antiqua" w:cs="Arial"/>
          <w:sz w:val="24"/>
          <w:szCs w:val="24"/>
        </w:rPr>
        <w:t xml:space="preserve">procedió con la </w:t>
      </w:r>
      <w:r>
        <w:rPr>
          <w:rFonts w:ascii="Book Antiqua" w:eastAsia="Calibri" w:hAnsi="Book Antiqua" w:cs="Arial"/>
          <w:sz w:val="24"/>
          <w:szCs w:val="24"/>
        </w:rPr>
        <w:t>capacit</w:t>
      </w:r>
      <w:r w:rsidR="008676B3">
        <w:rPr>
          <w:rFonts w:ascii="Book Antiqua" w:eastAsia="Calibri" w:hAnsi="Book Antiqua" w:cs="Arial"/>
          <w:sz w:val="24"/>
          <w:szCs w:val="24"/>
        </w:rPr>
        <w:t>aci</w:t>
      </w:r>
      <w:r>
        <w:rPr>
          <w:rFonts w:ascii="Book Antiqua" w:eastAsia="Calibri" w:hAnsi="Book Antiqua" w:cs="Arial"/>
          <w:sz w:val="24"/>
          <w:szCs w:val="24"/>
        </w:rPr>
        <w:t>ó</w:t>
      </w:r>
      <w:r w:rsidR="00AA2F1A">
        <w:rPr>
          <w:rFonts w:ascii="Book Antiqua" w:eastAsia="Calibri" w:hAnsi="Book Antiqua" w:cs="Arial"/>
          <w:sz w:val="24"/>
          <w:szCs w:val="24"/>
        </w:rPr>
        <w:t>n</w:t>
      </w:r>
      <w:r>
        <w:rPr>
          <w:rFonts w:ascii="Book Antiqua" w:eastAsia="Calibri" w:hAnsi="Book Antiqua" w:cs="Arial"/>
          <w:sz w:val="24"/>
          <w:szCs w:val="24"/>
        </w:rPr>
        <w:t xml:space="preserve"> en el uso de la nueva herramienta el 20 de febrero de 2023 (minuta en construcción). </w:t>
      </w:r>
    </w:p>
    <w:p w14:paraId="2EB721BE" w14:textId="64B77D92" w:rsidR="009023C8" w:rsidRDefault="009023C8" w:rsidP="00355630">
      <w:pPr>
        <w:spacing w:after="0" w:line="276" w:lineRule="auto"/>
        <w:jc w:val="both"/>
        <w:rPr>
          <w:rFonts w:ascii="Book Antiqua" w:eastAsia="Calibri" w:hAnsi="Book Antiqua" w:cs="Arial"/>
          <w:sz w:val="24"/>
          <w:szCs w:val="24"/>
        </w:rPr>
      </w:pPr>
    </w:p>
    <w:p w14:paraId="227E0F87" w14:textId="77777777" w:rsidR="00234A2B" w:rsidRPr="004A3198" w:rsidRDefault="00234A2B"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Juzgados de Familia (mixtos de 2 materias)</w:t>
      </w:r>
    </w:p>
    <w:p w14:paraId="06613C7A" w14:textId="7FE7970F" w:rsidR="00FA0815" w:rsidRDefault="00FA0815" w:rsidP="00355630">
      <w:pPr>
        <w:spacing w:after="0" w:line="276" w:lineRule="auto"/>
        <w:jc w:val="both"/>
        <w:rPr>
          <w:rFonts w:ascii="Book Antiqua" w:eastAsia="Calibri" w:hAnsi="Book Antiqua" w:cs="Arial"/>
          <w:sz w:val="24"/>
          <w:szCs w:val="24"/>
        </w:rPr>
      </w:pPr>
    </w:p>
    <w:p w14:paraId="23FA5FFD" w14:textId="3E8B364F" w:rsidR="00234A2B" w:rsidRPr="00234A2B" w:rsidRDefault="00234A2B" w:rsidP="00234A2B">
      <w:pPr>
        <w:spacing w:after="0" w:line="276" w:lineRule="auto"/>
        <w:jc w:val="both"/>
        <w:rPr>
          <w:rFonts w:ascii="Book Antiqua" w:eastAsia="Calibri" w:hAnsi="Book Antiqua" w:cs="Arial"/>
          <w:sz w:val="24"/>
          <w:szCs w:val="24"/>
        </w:rPr>
      </w:pPr>
      <w:r w:rsidRPr="00234A2B">
        <w:rPr>
          <w:rFonts w:ascii="Book Antiqua" w:eastAsia="Calibri" w:hAnsi="Book Antiqua" w:cs="Arial"/>
          <w:sz w:val="24"/>
          <w:szCs w:val="24"/>
        </w:rPr>
        <w:t>En este bloque de despachos se ubican ocho juzgados: de Familia y Violencia Doméstica del Primer Circuito Judicial Guanacaste, de Familia y Violencia Doméstica del Segundo Circuito Judicial Guanacaste (Nicoya), de Familia y Violencia Doméstica del Segundo  Circuito Judicial Zona Sur, de Familia y Violencia Doméstica del Tercer Circuito Judicial Alajuela (San Ramón), de Familia y Violencia Doméstica Golfito, de Familia y Violencia Doméstica Santa Cruz, de Familia y Violencia Doméstica de Grecia y finalmente el Juzgado de Trabajo y Familia Hatillo, San Sebastián y Alajuelita.</w:t>
      </w:r>
      <w:r w:rsidR="00EA2D4E">
        <w:rPr>
          <w:rFonts w:ascii="Book Antiqua" w:eastAsia="Calibri" w:hAnsi="Book Antiqua" w:cs="Arial"/>
          <w:sz w:val="24"/>
          <w:szCs w:val="24"/>
        </w:rPr>
        <w:t xml:space="preserve"> </w:t>
      </w:r>
    </w:p>
    <w:p w14:paraId="5741458D" w14:textId="77777777" w:rsidR="00234A2B" w:rsidRPr="00234A2B" w:rsidRDefault="00234A2B" w:rsidP="00234A2B">
      <w:pPr>
        <w:spacing w:after="0" w:line="276" w:lineRule="auto"/>
        <w:jc w:val="both"/>
        <w:rPr>
          <w:rFonts w:ascii="Book Antiqua" w:eastAsia="Calibri" w:hAnsi="Book Antiqua" w:cs="Arial"/>
          <w:sz w:val="24"/>
          <w:szCs w:val="24"/>
        </w:rPr>
      </w:pPr>
    </w:p>
    <w:p w14:paraId="729B0DE9" w14:textId="7A719E4F" w:rsidR="00234A2B" w:rsidRDefault="00234A2B" w:rsidP="00234A2B">
      <w:pPr>
        <w:spacing w:after="0" w:line="276" w:lineRule="auto"/>
        <w:jc w:val="both"/>
        <w:rPr>
          <w:rFonts w:ascii="Book Antiqua" w:eastAsia="Calibri" w:hAnsi="Book Antiqua" w:cs="Arial"/>
          <w:sz w:val="24"/>
          <w:szCs w:val="24"/>
        </w:rPr>
      </w:pPr>
      <w:r w:rsidRPr="00234A2B">
        <w:rPr>
          <w:rFonts w:ascii="Book Antiqua" w:eastAsia="Calibri" w:hAnsi="Book Antiqua" w:cs="Arial"/>
          <w:sz w:val="24"/>
          <w:szCs w:val="24"/>
        </w:rPr>
        <w:t>Los despachos mixtos atienden Familia y Violencia Doméstica, a excepción del Juzgado de Trabajo y Familia de Hatillo, San Sebastián y Alajuelita que lleva materias Trabajo y Familia. Estos despachos cuentan con dos personas juzgadoras los cuales atienden cada materia en un 50%, a salvedad del Juzgado Familia y Violencia Doméstica de Golfito que solamente cuenta con una Jueza o Juez, como se muestra en el cuadro siguiente.</w:t>
      </w:r>
    </w:p>
    <w:p w14:paraId="73D32838" w14:textId="06BADF5D" w:rsidR="008F717E" w:rsidRDefault="008F717E" w:rsidP="00234A2B">
      <w:pPr>
        <w:spacing w:after="0" w:line="276" w:lineRule="auto"/>
        <w:jc w:val="both"/>
        <w:rPr>
          <w:rFonts w:ascii="Book Antiqua" w:eastAsia="Calibri" w:hAnsi="Book Antiqua" w:cs="Arial"/>
          <w:sz w:val="24"/>
          <w:szCs w:val="24"/>
        </w:rPr>
      </w:pPr>
    </w:p>
    <w:p w14:paraId="3D0C83C8" w14:textId="0603B1A7"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 xml:space="preserve">Cuadro </w:t>
      </w:r>
      <w:r w:rsidRPr="00234A2B">
        <w:rPr>
          <w:rFonts w:ascii="Book Antiqua" w:eastAsia="Calibri" w:hAnsi="Book Antiqua" w:cs="Arial"/>
          <w:b/>
          <w:bCs/>
          <w:color w:val="1F497D"/>
          <w:szCs w:val="24"/>
          <w:lang w:val="es-ES" w:eastAsia="es-ES"/>
        </w:rPr>
        <w:fldChar w:fldCharType="begin"/>
      </w:r>
      <w:r w:rsidRPr="00234A2B">
        <w:rPr>
          <w:rFonts w:ascii="Book Antiqua" w:eastAsia="Calibri" w:hAnsi="Book Antiqua" w:cs="Arial"/>
          <w:b/>
          <w:bCs/>
          <w:color w:val="1F497D"/>
          <w:szCs w:val="24"/>
          <w:lang w:val="es-ES" w:eastAsia="es-ES"/>
        </w:rPr>
        <w:instrText xml:space="preserve"> SEQ Cuadro \* ARABIC </w:instrText>
      </w:r>
      <w:r w:rsidRPr="00234A2B">
        <w:rPr>
          <w:rFonts w:ascii="Book Antiqua" w:eastAsia="Calibri" w:hAnsi="Book Antiqua" w:cs="Arial"/>
          <w:b/>
          <w:bCs/>
          <w:color w:val="1F497D"/>
          <w:szCs w:val="24"/>
          <w:lang w:val="es-ES" w:eastAsia="es-ES"/>
        </w:rPr>
        <w:fldChar w:fldCharType="separate"/>
      </w:r>
      <w:r w:rsidR="00E13F9A">
        <w:rPr>
          <w:rFonts w:ascii="Book Antiqua" w:eastAsia="Calibri" w:hAnsi="Book Antiqua" w:cs="Arial"/>
          <w:b/>
          <w:bCs/>
          <w:noProof/>
          <w:color w:val="1F497D"/>
          <w:szCs w:val="24"/>
          <w:lang w:val="es-ES" w:eastAsia="es-ES"/>
        </w:rPr>
        <w:t>41</w:t>
      </w:r>
      <w:r w:rsidRPr="00234A2B">
        <w:rPr>
          <w:rFonts w:ascii="Book Antiqua" w:eastAsia="Calibri" w:hAnsi="Book Antiqua" w:cs="Arial"/>
          <w:b/>
          <w:bCs/>
          <w:color w:val="1F497D"/>
          <w:szCs w:val="24"/>
          <w:lang w:val="es-ES" w:eastAsia="es-ES"/>
        </w:rPr>
        <w:fldChar w:fldCharType="end"/>
      </w:r>
      <w:r w:rsidRPr="00234A2B">
        <w:rPr>
          <w:rFonts w:ascii="Book Antiqua" w:eastAsia="Calibri" w:hAnsi="Book Antiqua" w:cs="Arial"/>
          <w:b/>
          <w:bCs/>
          <w:color w:val="1F497D"/>
          <w:szCs w:val="24"/>
          <w:lang w:val="es-ES" w:eastAsia="es-ES"/>
        </w:rPr>
        <w:t xml:space="preserve"> </w:t>
      </w:r>
    </w:p>
    <w:p w14:paraId="242860BB" w14:textId="77777777"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Carga de trabajo juzgado de Familia mixtos</w:t>
      </w:r>
    </w:p>
    <w:p w14:paraId="3C13ADF1" w14:textId="5BAF4B65"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 xml:space="preserve"> de Familia y Violencia Doméstica 201</w:t>
      </w:r>
      <w:r w:rsidR="00320EB1">
        <w:rPr>
          <w:rFonts w:ascii="Book Antiqua" w:eastAsia="Calibri" w:hAnsi="Book Antiqua" w:cs="Arial"/>
          <w:b/>
          <w:bCs/>
          <w:color w:val="1F497D"/>
          <w:szCs w:val="24"/>
          <w:lang w:val="es-ES" w:eastAsia="es-ES"/>
        </w:rPr>
        <w:t>7</w:t>
      </w:r>
      <w:r w:rsidRPr="00234A2B">
        <w:rPr>
          <w:rFonts w:ascii="Book Antiqua" w:eastAsia="Calibri" w:hAnsi="Book Antiqua" w:cs="Arial"/>
          <w:b/>
          <w:bCs/>
          <w:color w:val="1F497D"/>
          <w:szCs w:val="24"/>
          <w:lang w:val="es-ES" w:eastAsia="es-ES"/>
        </w:rPr>
        <w:t xml:space="preserve"> a 20</w:t>
      </w:r>
      <w:r w:rsidR="00320EB1">
        <w:rPr>
          <w:rFonts w:ascii="Book Antiqua" w:eastAsia="Calibri" w:hAnsi="Book Antiqua" w:cs="Arial"/>
          <w:b/>
          <w:bCs/>
          <w:color w:val="1F497D"/>
          <w:szCs w:val="24"/>
          <w:lang w:val="es-ES" w:eastAsia="es-ES"/>
        </w:rPr>
        <w:t>2</w:t>
      </w:r>
      <w:r w:rsidR="007118DC">
        <w:rPr>
          <w:rFonts w:ascii="Book Antiqua" w:eastAsia="Calibri" w:hAnsi="Book Antiqua" w:cs="Arial"/>
          <w:b/>
          <w:bCs/>
          <w:color w:val="1F497D"/>
          <w:szCs w:val="24"/>
          <w:lang w:val="es-ES" w:eastAsia="es-ES"/>
        </w:rPr>
        <w:t>2</w:t>
      </w:r>
    </w:p>
    <w:tbl>
      <w:tblPr>
        <w:tblW w:w="5283" w:type="pct"/>
        <w:tblCellMar>
          <w:left w:w="70" w:type="dxa"/>
          <w:right w:w="70" w:type="dxa"/>
        </w:tblCellMar>
        <w:tblLook w:val="04A0" w:firstRow="1" w:lastRow="0" w:firstColumn="1" w:lastColumn="0" w:noHBand="0" w:noVBand="1"/>
      </w:tblPr>
      <w:tblGrid>
        <w:gridCol w:w="1090"/>
        <w:gridCol w:w="1010"/>
        <w:gridCol w:w="724"/>
        <w:gridCol w:w="791"/>
        <w:gridCol w:w="1000"/>
        <w:gridCol w:w="870"/>
        <w:gridCol w:w="1130"/>
        <w:gridCol w:w="971"/>
        <w:gridCol w:w="870"/>
        <w:gridCol w:w="861"/>
      </w:tblGrid>
      <w:tr w:rsidR="002C30B5" w:rsidRPr="00B833E5" w14:paraId="7A0F3859" w14:textId="77777777" w:rsidTr="004A324F">
        <w:trPr>
          <w:trHeight w:val="433"/>
        </w:trPr>
        <w:tc>
          <w:tcPr>
            <w:tcW w:w="5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949C2BB"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54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DC083BC"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813" w:type="pct"/>
            <w:gridSpan w:val="2"/>
            <w:tcBorders>
              <w:top w:val="single" w:sz="8" w:space="0" w:color="auto"/>
              <w:left w:val="nil"/>
              <w:bottom w:val="single" w:sz="8" w:space="0" w:color="auto"/>
              <w:right w:val="single" w:sz="8" w:space="0" w:color="000000"/>
            </w:tcBorders>
            <w:shd w:val="clear" w:color="000000" w:fill="002060"/>
            <w:vAlign w:val="center"/>
            <w:hideMark/>
          </w:tcPr>
          <w:p w14:paraId="7D8A8A40"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53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6E6B9FA"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dedicado por materia por Juez o Jueza</w:t>
            </w:r>
          </w:p>
        </w:tc>
        <w:tc>
          <w:tcPr>
            <w:tcW w:w="1073" w:type="pct"/>
            <w:gridSpan w:val="2"/>
            <w:tcBorders>
              <w:top w:val="single" w:sz="8" w:space="0" w:color="auto"/>
              <w:left w:val="nil"/>
              <w:bottom w:val="single" w:sz="8" w:space="0" w:color="auto"/>
              <w:right w:val="single" w:sz="8" w:space="0" w:color="000000"/>
            </w:tcBorders>
            <w:shd w:val="clear" w:color="000000" w:fill="002060"/>
            <w:vAlign w:val="center"/>
            <w:hideMark/>
          </w:tcPr>
          <w:p w14:paraId="1C79880F"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Promedios totales mensual</w:t>
            </w:r>
          </w:p>
        </w:tc>
        <w:tc>
          <w:tcPr>
            <w:tcW w:w="52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D6571ED"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6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7D08011"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6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4CDE677"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320EB1" w:rsidRPr="00B833E5" w14:paraId="38568677" w14:textId="77777777" w:rsidTr="001D0C10">
        <w:trPr>
          <w:trHeight w:val="590"/>
        </w:trPr>
        <w:tc>
          <w:tcPr>
            <w:tcW w:w="585" w:type="pct"/>
            <w:vMerge/>
            <w:tcBorders>
              <w:top w:val="single" w:sz="8" w:space="0" w:color="auto"/>
              <w:left w:val="single" w:sz="8" w:space="0" w:color="auto"/>
              <w:bottom w:val="single" w:sz="8" w:space="0" w:color="000000"/>
              <w:right w:val="single" w:sz="8" w:space="0" w:color="auto"/>
            </w:tcBorders>
            <w:vAlign w:val="center"/>
            <w:hideMark/>
          </w:tcPr>
          <w:p w14:paraId="34F1955C"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542" w:type="pct"/>
            <w:vMerge/>
            <w:tcBorders>
              <w:top w:val="single" w:sz="8" w:space="0" w:color="auto"/>
              <w:left w:val="single" w:sz="8" w:space="0" w:color="auto"/>
              <w:bottom w:val="single" w:sz="8" w:space="0" w:color="000000"/>
              <w:right w:val="single" w:sz="8" w:space="0" w:color="auto"/>
            </w:tcBorders>
            <w:vAlign w:val="center"/>
            <w:hideMark/>
          </w:tcPr>
          <w:p w14:paraId="32FBBAF9"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389" w:type="pct"/>
            <w:tcBorders>
              <w:top w:val="nil"/>
              <w:left w:val="nil"/>
              <w:bottom w:val="single" w:sz="8" w:space="0" w:color="auto"/>
              <w:right w:val="single" w:sz="8" w:space="0" w:color="auto"/>
            </w:tcBorders>
            <w:shd w:val="clear" w:color="000000" w:fill="002060"/>
            <w:vAlign w:val="center"/>
            <w:hideMark/>
          </w:tcPr>
          <w:p w14:paraId="7E40A00B"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24" w:type="pct"/>
            <w:tcBorders>
              <w:top w:val="nil"/>
              <w:left w:val="nil"/>
              <w:bottom w:val="single" w:sz="8" w:space="0" w:color="auto"/>
              <w:right w:val="single" w:sz="8" w:space="0" w:color="auto"/>
            </w:tcBorders>
            <w:shd w:val="clear" w:color="000000" w:fill="002060"/>
            <w:vAlign w:val="center"/>
            <w:hideMark/>
          </w:tcPr>
          <w:p w14:paraId="1048D20A" w14:textId="3A5A8851"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303AE6">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37" w:type="pct"/>
            <w:vMerge/>
            <w:tcBorders>
              <w:top w:val="single" w:sz="8" w:space="0" w:color="auto"/>
              <w:left w:val="single" w:sz="8" w:space="0" w:color="auto"/>
              <w:bottom w:val="single" w:sz="8" w:space="0" w:color="000000"/>
              <w:right w:val="single" w:sz="8" w:space="0" w:color="auto"/>
            </w:tcBorders>
            <w:vAlign w:val="center"/>
            <w:hideMark/>
          </w:tcPr>
          <w:p w14:paraId="54AE8FD7"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7" w:type="pct"/>
            <w:tcBorders>
              <w:top w:val="nil"/>
              <w:left w:val="nil"/>
              <w:bottom w:val="single" w:sz="8" w:space="0" w:color="auto"/>
              <w:right w:val="single" w:sz="8" w:space="0" w:color="auto"/>
            </w:tcBorders>
            <w:shd w:val="clear" w:color="000000" w:fill="002060"/>
            <w:vAlign w:val="center"/>
            <w:hideMark/>
          </w:tcPr>
          <w:p w14:paraId="47D10C83"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w:t>
            </w:r>
          </w:p>
        </w:tc>
        <w:tc>
          <w:tcPr>
            <w:tcW w:w="606" w:type="pct"/>
            <w:tcBorders>
              <w:top w:val="nil"/>
              <w:left w:val="nil"/>
              <w:bottom w:val="single" w:sz="8" w:space="0" w:color="auto"/>
              <w:right w:val="single" w:sz="8" w:space="0" w:color="auto"/>
            </w:tcBorders>
            <w:shd w:val="clear" w:color="000000" w:fill="002060"/>
            <w:vAlign w:val="center"/>
            <w:hideMark/>
          </w:tcPr>
          <w:p w14:paraId="39D9DC86"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w:t>
            </w:r>
          </w:p>
        </w:tc>
        <w:tc>
          <w:tcPr>
            <w:tcW w:w="521" w:type="pct"/>
            <w:vMerge/>
            <w:tcBorders>
              <w:top w:val="single" w:sz="8" w:space="0" w:color="auto"/>
              <w:left w:val="single" w:sz="8" w:space="0" w:color="auto"/>
              <w:bottom w:val="single" w:sz="8" w:space="0" w:color="000000"/>
              <w:right w:val="single" w:sz="8" w:space="0" w:color="auto"/>
            </w:tcBorders>
            <w:vAlign w:val="center"/>
            <w:hideMark/>
          </w:tcPr>
          <w:p w14:paraId="75EDDFD6"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7" w:type="pct"/>
            <w:vMerge/>
            <w:tcBorders>
              <w:top w:val="single" w:sz="8" w:space="0" w:color="auto"/>
              <w:left w:val="single" w:sz="8" w:space="0" w:color="auto"/>
              <w:bottom w:val="single" w:sz="8" w:space="0" w:color="000000"/>
              <w:right w:val="single" w:sz="8" w:space="0" w:color="auto"/>
            </w:tcBorders>
            <w:vAlign w:val="center"/>
            <w:hideMark/>
          </w:tcPr>
          <w:p w14:paraId="41B108CE"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2" w:type="pct"/>
            <w:vMerge/>
            <w:tcBorders>
              <w:top w:val="single" w:sz="8" w:space="0" w:color="auto"/>
              <w:left w:val="single" w:sz="8" w:space="0" w:color="auto"/>
              <w:bottom w:val="single" w:sz="8" w:space="0" w:color="000000"/>
              <w:right w:val="single" w:sz="8" w:space="0" w:color="auto"/>
            </w:tcBorders>
            <w:vAlign w:val="center"/>
            <w:hideMark/>
          </w:tcPr>
          <w:p w14:paraId="3FABAE9D"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r>
      <w:tr w:rsidR="004A324F" w:rsidRPr="00B833E5" w14:paraId="5DF7F164" w14:textId="77777777" w:rsidTr="00B833E5">
        <w:trPr>
          <w:trHeight w:val="538"/>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A715D5E"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I Circ. Jud. Guanacaste </w:t>
            </w:r>
          </w:p>
        </w:tc>
        <w:tc>
          <w:tcPr>
            <w:tcW w:w="542" w:type="pct"/>
            <w:tcBorders>
              <w:top w:val="nil"/>
              <w:left w:val="nil"/>
              <w:bottom w:val="single" w:sz="8" w:space="0" w:color="auto"/>
              <w:right w:val="single" w:sz="8" w:space="0" w:color="auto"/>
            </w:tcBorders>
            <w:shd w:val="clear" w:color="000000" w:fill="D9D9D9"/>
            <w:vAlign w:val="center"/>
            <w:hideMark/>
          </w:tcPr>
          <w:p w14:paraId="1A17CCB2"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E149192"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6215DC4"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537" w:type="pct"/>
            <w:tcBorders>
              <w:top w:val="nil"/>
              <w:left w:val="nil"/>
              <w:bottom w:val="single" w:sz="8" w:space="0" w:color="auto"/>
              <w:right w:val="single" w:sz="8" w:space="0" w:color="auto"/>
            </w:tcBorders>
            <w:shd w:val="clear" w:color="000000" w:fill="D9D9D9"/>
            <w:noWrap/>
            <w:vAlign w:val="center"/>
            <w:hideMark/>
          </w:tcPr>
          <w:p w14:paraId="1916E5DF"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E7D624C" w14:textId="700CD156"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85</w:t>
            </w:r>
          </w:p>
        </w:tc>
        <w:tc>
          <w:tcPr>
            <w:tcW w:w="606" w:type="pct"/>
            <w:tcBorders>
              <w:top w:val="nil"/>
              <w:left w:val="nil"/>
              <w:bottom w:val="single" w:sz="8" w:space="0" w:color="auto"/>
              <w:right w:val="single" w:sz="8" w:space="0" w:color="auto"/>
            </w:tcBorders>
            <w:shd w:val="clear" w:color="000000" w:fill="D9D9D9"/>
            <w:noWrap/>
            <w:vAlign w:val="center"/>
            <w:hideMark/>
          </w:tcPr>
          <w:p w14:paraId="4B30BF9F" w14:textId="298C030F"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55</w:t>
            </w:r>
          </w:p>
        </w:tc>
        <w:tc>
          <w:tcPr>
            <w:tcW w:w="521" w:type="pct"/>
            <w:tcBorders>
              <w:top w:val="nil"/>
              <w:left w:val="nil"/>
              <w:bottom w:val="single" w:sz="8" w:space="0" w:color="auto"/>
              <w:right w:val="single" w:sz="8" w:space="0" w:color="auto"/>
            </w:tcBorders>
            <w:shd w:val="clear" w:color="000000" w:fill="D9D9D9"/>
            <w:noWrap/>
            <w:vAlign w:val="center"/>
            <w:hideMark/>
          </w:tcPr>
          <w:p w14:paraId="28341194" w14:textId="67BCF510"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43</w:t>
            </w:r>
          </w:p>
        </w:tc>
        <w:tc>
          <w:tcPr>
            <w:tcW w:w="467" w:type="pct"/>
            <w:tcBorders>
              <w:top w:val="nil"/>
              <w:left w:val="nil"/>
              <w:bottom w:val="single" w:sz="8" w:space="0" w:color="auto"/>
              <w:right w:val="single" w:sz="8" w:space="0" w:color="auto"/>
            </w:tcBorders>
            <w:shd w:val="clear" w:color="000000" w:fill="D9D9D9"/>
            <w:noWrap/>
            <w:vAlign w:val="center"/>
            <w:hideMark/>
          </w:tcPr>
          <w:p w14:paraId="709313EF" w14:textId="72CB5263"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21</w:t>
            </w:r>
          </w:p>
        </w:tc>
        <w:tc>
          <w:tcPr>
            <w:tcW w:w="462" w:type="pct"/>
            <w:tcBorders>
              <w:top w:val="nil"/>
              <w:left w:val="nil"/>
              <w:bottom w:val="single" w:sz="8" w:space="0" w:color="auto"/>
              <w:right w:val="single" w:sz="8" w:space="0" w:color="auto"/>
            </w:tcBorders>
            <w:shd w:val="clear" w:color="000000" w:fill="D9D9D9"/>
            <w:noWrap/>
            <w:vAlign w:val="center"/>
            <w:hideMark/>
          </w:tcPr>
          <w:p w14:paraId="5570A85E" w14:textId="01666045"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65%</w:t>
            </w:r>
          </w:p>
        </w:tc>
      </w:tr>
      <w:tr w:rsidR="004A324F" w:rsidRPr="00B833E5" w14:paraId="4BF9AE12"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0BF481F7"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3E2AA524"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050E29B4"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0B6286C8"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5DD95676"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75D6C25B" w14:textId="29E7C312"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105</w:t>
            </w:r>
          </w:p>
        </w:tc>
        <w:tc>
          <w:tcPr>
            <w:tcW w:w="606" w:type="pct"/>
            <w:tcBorders>
              <w:top w:val="nil"/>
              <w:left w:val="nil"/>
              <w:bottom w:val="single" w:sz="8" w:space="0" w:color="auto"/>
              <w:right w:val="single" w:sz="8" w:space="0" w:color="auto"/>
            </w:tcBorders>
            <w:shd w:val="clear" w:color="000000" w:fill="D9D9D9"/>
            <w:noWrap/>
            <w:vAlign w:val="center"/>
            <w:hideMark/>
          </w:tcPr>
          <w:p w14:paraId="4AEB26ED" w14:textId="3B590A5A"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89</w:t>
            </w:r>
          </w:p>
        </w:tc>
        <w:tc>
          <w:tcPr>
            <w:tcW w:w="521" w:type="pct"/>
            <w:tcBorders>
              <w:top w:val="nil"/>
              <w:left w:val="nil"/>
              <w:bottom w:val="single" w:sz="8" w:space="0" w:color="auto"/>
              <w:right w:val="single" w:sz="8" w:space="0" w:color="auto"/>
            </w:tcBorders>
            <w:shd w:val="clear" w:color="000000" w:fill="D9D9D9"/>
            <w:noWrap/>
            <w:vAlign w:val="center"/>
            <w:hideMark/>
          </w:tcPr>
          <w:p w14:paraId="3A413454" w14:textId="296DBE2C"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52</w:t>
            </w:r>
          </w:p>
        </w:tc>
        <w:tc>
          <w:tcPr>
            <w:tcW w:w="467" w:type="pct"/>
            <w:tcBorders>
              <w:top w:val="nil"/>
              <w:left w:val="nil"/>
              <w:bottom w:val="single" w:sz="8" w:space="0" w:color="auto"/>
              <w:right w:val="single" w:sz="8" w:space="0" w:color="auto"/>
            </w:tcBorders>
            <w:shd w:val="clear" w:color="000000" w:fill="D9D9D9"/>
            <w:noWrap/>
            <w:vAlign w:val="center"/>
            <w:hideMark/>
          </w:tcPr>
          <w:p w14:paraId="7281595F" w14:textId="2258CC7E"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26</w:t>
            </w:r>
          </w:p>
        </w:tc>
        <w:tc>
          <w:tcPr>
            <w:tcW w:w="462" w:type="pct"/>
            <w:tcBorders>
              <w:top w:val="nil"/>
              <w:left w:val="nil"/>
              <w:bottom w:val="single" w:sz="8" w:space="0" w:color="auto"/>
              <w:right w:val="single" w:sz="8" w:space="0" w:color="auto"/>
            </w:tcBorders>
            <w:shd w:val="clear" w:color="000000" w:fill="D9D9D9"/>
            <w:noWrap/>
            <w:vAlign w:val="center"/>
            <w:hideMark/>
          </w:tcPr>
          <w:p w14:paraId="674E9010" w14:textId="5FC278C4"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85%</w:t>
            </w:r>
          </w:p>
        </w:tc>
      </w:tr>
      <w:tr w:rsidR="004A324F" w:rsidRPr="00B833E5" w14:paraId="0DA04895" w14:textId="77777777" w:rsidTr="00B833E5">
        <w:trPr>
          <w:trHeight w:val="327"/>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4497D6D5"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Guanacaste (Nicoya)</w:t>
            </w:r>
          </w:p>
        </w:tc>
        <w:tc>
          <w:tcPr>
            <w:tcW w:w="542" w:type="pct"/>
            <w:tcBorders>
              <w:top w:val="nil"/>
              <w:left w:val="nil"/>
              <w:bottom w:val="single" w:sz="8" w:space="0" w:color="auto"/>
              <w:right w:val="single" w:sz="8" w:space="0" w:color="auto"/>
            </w:tcBorders>
            <w:shd w:val="clear" w:color="auto" w:fill="auto"/>
            <w:vAlign w:val="center"/>
            <w:hideMark/>
          </w:tcPr>
          <w:p w14:paraId="1019919B"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FF3B42F"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35456DB"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5594B2A0"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44957E44" w14:textId="3BF976C2"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45</w:t>
            </w:r>
          </w:p>
        </w:tc>
        <w:tc>
          <w:tcPr>
            <w:tcW w:w="606" w:type="pct"/>
            <w:tcBorders>
              <w:top w:val="nil"/>
              <w:left w:val="nil"/>
              <w:bottom w:val="single" w:sz="8" w:space="0" w:color="auto"/>
              <w:right w:val="single" w:sz="8" w:space="0" w:color="auto"/>
            </w:tcBorders>
            <w:shd w:val="clear" w:color="auto" w:fill="auto"/>
            <w:noWrap/>
            <w:vAlign w:val="center"/>
            <w:hideMark/>
          </w:tcPr>
          <w:p w14:paraId="3619D4E4" w14:textId="7C749855"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28</w:t>
            </w:r>
          </w:p>
        </w:tc>
        <w:tc>
          <w:tcPr>
            <w:tcW w:w="521" w:type="pct"/>
            <w:tcBorders>
              <w:top w:val="nil"/>
              <w:left w:val="nil"/>
              <w:bottom w:val="single" w:sz="8" w:space="0" w:color="auto"/>
              <w:right w:val="single" w:sz="8" w:space="0" w:color="auto"/>
            </w:tcBorders>
            <w:shd w:val="clear" w:color="auto" w:fill="auto"/>
            <w:noWrap/>
            <w:vAlign w:val="center"/>
            <w:hideMark/>
          </w:tcPr>
          <w:p w14:paraId="1808EEAB" w14:textId="76EAD304"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22</w:t>
            </w:r>
          </w:p>
        </w:tc>
        <w:tc>
          <w:tcPr>
            <w:tcW w:w="467" w:type="pct"/>
            <w:tcBorders>
              <w:top w:val="nil"/>
              <w:left w:val="nil"/>
              <w:bottom w:val="single" w:sz="8" w:space="0" w:color="auto"/>
              <w:right w:val="single" w:sz="8" w:space="0" w:color="auto"/>
            </w:tcBorders>
            <w:shd w:val="clear" w:color="auto" w:fill="auto"/>
            <w:noWrap/>
            <w:vAlign w:val="center"/>
            <w:hideMark/>
          </w:tcPr>
          <w:p w14:paraId="29B8E6AC" w14:textId="18EB4D22"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15</w:t>
            </w:r>
          </w:p>
        </w:tc>
        <w:tc>
          <w:tcPr>
            <w:tcW w:w="462" w:type="pct"/>
            <w:tcBorders>
              <w:top w:val="nil"/>
              <w:left w:val="nil"/>
              <w:bottom w:val="single" w:sz="8" w:space="0" w:color="auto"/>
              <w:right w:val="single" w:sz="8" w:space="0" w:color="auto"/>
            </w:tcBorders>
            <w:shd w:val="clear" w:color="auto" w:fill="auto"/>
            <w:noWrap/>
            <w:vAlign w:val="center"/>
            <w:hideMark/>
          </w:tcPr>
          <w:p w14:paraId="35761214" w14:textId="538B4616"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62%</w:t>
            </w:r>
          </w:p>
        </w:tc>
      </w:tr>
      <w:tr w:rsidR="004A324F" w:rsidRPr="00B833E5" w14:paraId="2F54DECA"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590D4243"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6CB3DEC7"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4B765B59"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169B4445"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5D96C3DC"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7BE4C2FC" w14:textId="7DF15D1F"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93</w:t>
            </w:r>
          </w:p>
        </w:tc>
        <w:tc>
          <w:tcPr>
            <w:tcW w:w="606" w:type="pct"/>
            <w:tcBorders>
              <w:top w:val="nil"/>
              <w:left w:val="nil"/>
              <w:bottom w:val="single" w:sz="8" w:space="0" w:color="auto"/>
              <w:right w:val="single" w:sz="8" w:space="0" w:color="auto"/>
            </w:tcBorders>
            <w:shd w:val="clear" w:color="auto" w:fill="auto"/>
            <w:noWrap/>
            <w:vAlign w:val="center"/>
            <w:hideMark/>
          </w:tcPr>
          <w:p w14:paraId="12192540" w14:textId="0433D3F2"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81</w:t>
            </w:r>
          </w:p>
        </w:tc>
        <w:tc>
          <w:tcPr>
            <w:tcW w:w="521" w:type="pct"/>
            <w:tcBorders>
              <w:top w:val="nil"/>
              <w:left w:val="nil"/>
              <w:bottom w:val="single" w:sz="8" w:space="0" w:color="auto"/>
              <w:right w:val="single" w:sz="8" w:space="0" w:color="auto"/>
            </w:tcBorders>
            <w:shd w:val="clear" w:color="auto" w:fill="auto"/>
            <w:noWrap/>
            <w:vAlign w:val="center"/>
            <w:hideMark/>
          </w:tcPr>
          <w:p w14:paraId="69B6CAB6" w14:textId="3F20BBD1"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46</w:t>
            </w:r>
          </w:p>
        </w:tc>
        <w:tc>
          <w:tcPr>
            <w:tcW w:w="467" w:type="pct"/>
            <w:tcBorders>
              <w:top w:val="nil"/>
              <w:left w:val="nil"/>
              <w:bottom w:val="single" w:sz="8" w:space="0" w:color="auto"/>
              <w:right w:val="single" w:sz="8" w:space="0" w:color="auto"/>
            </w:tcBorders>
            <w:shd w:val="clear" w:color="auto" w:fill="auto"/>
            <w:noWrap/>
            <w:vAlign w:val="center"/>
            <w:hideMark/>
          </w:tcPr>
          <w:p w14:paraId="248B8661" w14:textId="47C70978"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31</w:t>
            </w:r>
          </w:p>
        </w:tc>
        <w:tc>
          <w:tcPr>
            <w:tcW w:w="462" w:type="pct"/>
            <w:tcBorders>
              <w:top w:val="nil"/>
              <w:left w:val="nil"/>
              <w:bottom w:val="single" w:sz="8" w:space="0" w:color="auto"/>
              <w:right w:val="single" w:sz="8" w:space="0" w:color="auto"/>
            </w:tcBorders>
            <w:shd w:val="clear" w:color="auto" w:fill="auto"/>
            <w:noWrap/>
            <w:vAlign w:val="center"/>
            <w:hideMark/>
          </w:tcPr>
          <w:p w14:paraId="17AEFE0C" w14:textId="0F88E717"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87%</w:t>
            </w:r>
          </w:p>
        </w:tc>
      </w:tr>
      <w:tr w:rsidR="004A324F" w:rsidRPr="00B833E5" w14:paraId="740EF3EE" w14:textId="77777777" w:rsidTr="001D0C10">
        <w:trPr>
          <w:trHeight w:val="448"/>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5F3A959"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Zona Sur</w:t>
            </w:r>
          </w:p>
        </w:tc>
        <w:tc>
          <w:tcPr>
            <w:tcW w:w="542" w:type="pct"/>
            <w:tcBorders>
              <w:top w:val="nil"/>
              <w:left w:val="nil"/>
              <w:bottom w:val="single" w:sz="8" w:space="0" w:color="auto"/>
              <w:right w:val="single" w:sz="8" w:space="0" w:color="auto"/>
            </w:tcBorders>
            <w:shd w:val="clear" w:color="000000" w:fill="D9D9D9"/>
            <w:vAlign w:val="center"/>
            <w:hideMark/>
          </w:tcPr>
          <w:p w14:paraId="4FB49D7D"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F0A9C4D"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51B1249"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000000" w:fill="D9D9D9"/>
            <w:noWrap/>
            <w:vAlign w:val="center"/>
            <w:hideMark/>
          </w:tcPr>
          <w:p w14:paraId="6A994BF7"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6042D95" w14:textId="0D888B7E"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71</w:t>
            </w:r>
          </w:p>
        </w:tc>
        <w:tc>
          <w:tcPr>
            <w:tcW w:w="606" w:type="pct"/>
            <w:tcBorders>
              <w:top w:val="nil"/>
              <w:left w:val="nil"/>
              <w:bottom w:val="single" w:sz="8" w:space="0" w:color="auto"/>
              <w:right w:val="single" w:sz="8" w:space="0" w:color="auto"/>
            </w:tcBorders>
            <w:shd w:val="clear" w:color="000000" w:fill="D9D9D9"/>
            <w:noWrap/>
            <w:vAlign w:val="center"/>
            <w:hideMark/>
          </w:tcPr>
          <w:p w14:paraId="3955615B" w14:textId="4AC67E4F"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45</w:t>
            </w:r>
          </w:p>
        </w:tc>
        <w:tc>
          <w:tcPr>
            <w:tcW w:w="521" w:type="pct"/>
            <w:tcBorders>
              <w:top w:val="nil"/>
              <w:left w:val="nil"/>
              <w:bottom w:val="single" w:sz="8" w:space="0" w:color="auto"/>
              <w:right w:val="single" w:sz="8" w:space="0" w:color="auto"/>
            </w:tcBorders>
            <w:shd w:val="clear" w:color="000000" w:fill="D9D9D9"/>
            <w:noWrap/>
            <w:vAlign w:val="center"/>
            <w:hideMark/>
          </w:tcPr>
          <w:p w14:paraId="1B84AAB1" w14:textId="5F3B07C3"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36</w:t>
            </w:r>
          </w:p>
        </w:tc>
        <w:tc>
          <w:tcPr>
            <w:tcW w:w="467" w:type="pct"/>
            <w:tcBorders>
              <w:top w:val="nil"/>
              <w:left w:val="nil"/>
              <w:bottom w:val="single" w:sz="8" w:space="0" w:color="auto"/>
              <w:right w:val="single" w:sz="8" w:space="0" w:color="auto"/>
            </w:tcBorders>
            <w:shd w:val="clear" w:color="000000" w:fill="D9D9D9"/>
            <w:noWrap/>
            <w:vAlign w:val="center"/>
            <w:hideMark/>
          </w:tcPr>
          <w:p w14:paraId="4B94F87B" w14:textId="4C1D3CAF"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24</w:t>
            </w:r>
          </w:p>
        </w:tc>
        <w:tc>
          <w:tcPr>
            <w:tcW w:w="462" w:type="pct"/>
            <w:tcBorders>
              <w:top w:val="nil"/>
              <w:left w:val="nil"/>
              <w:bottom w:val="single" w:sz="8" w:space="0" w:color="auto"/>
              <w:right w:val="single" w:sz="8" w:space="0" w:color="auto"/>
            </w:tcBorders>
            <w:shd w:val="clear" w:color="000000" w:fill="D9D9D9"/>
            <w:noWrap/>
            <w:vAlign w:val="center"/>
            <w:hideMark/>
          </w:tcPr>
          <w:p w14:paraId="2D0D58A8" w14:textId="5FABCAD6"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63%</w:t>
            </w:r>
          </w:p>
        </w:tc>
      </w:tr>
      <w:tr w:rsidR="004A324F" w:rsidRPr="00B833E5" w14:paraId="1BD9CC5F"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7CB0D590"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26FDE8EE"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75DDB06C"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54C627C1"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50EFEF27"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FB6956B" w14:textId="4F2BC9D9"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78</w:t>
            </w:r>
          </w:p>
        </w:tc>
        <w:tc>
          <w:tcPr>
            <w:tcW w:w="606" w:type="pct"/>
            <w:tcBorders>
              <w:top w:val="nil"/>
              <w:left w:val="nil"/>
              <w:bottom w:val="single" w:sz="8" w:space="0" w:color="auto"/>
              <w:right w:val="single" w:sz="8" w:space="0" w:color="auto"/>
            </w:tcBorders>
            <w:shd w:val="clear" w:color="000000" w:fill="D9D9D9"/>
            <w:noWrap/>
            <w:vAlign w:val="center"/>
            <w:hideMark/>
          </w:tcPr>
          <w:p w14:paraId="3A8EF314" w14:textId="2DB9E85C"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66</w:t>
            </w:r>
          </w:p>
        </w:tc>
        <w:tc>
          <w:tcPr>
            <w:tcW w:w="521" w:type="pct"/>
            <w:tcBorders>
              <w:top w:val="nil"/>
              <w:left w:val="nil"/>
              <w:bottom w:val="single" w:sz="8" w:space="0" w:color="auto"/>
              <w:right w:val="single" w:sz="8" w:space="0" w:color="auto"/>
            </w:tcBorders>
            <w:shd w:val="clear" w:color="000000" w:fill="D9D9D9"/>
            <w:noWrap/>
            <w:vAlign w:val="center"/>
            <w:hideMark/>
          </w:tcPr>
          <w:p w14:paraId="19100B81" w14:textId="25D68ACB"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39</w:t>
            </w:r>
          </w:p>
        </w:tc>
        <w:tc>
          <w:tcPr>
            <w:tcW w:w="467" w:type="pct"/>
            <w:tcBorders>
              <w:top w:val="nil"/>
              <w:left w:val="nil"/>
              <w:bottom w:val="single" w:sz="8" w:space="0" w:color="auto"/>
              <w:right w:val="single" w:sz="8" w:space="0" w:color="auto"/>
            </w:tcBorders>
            <w:shd w:val="clear" w:color="000000" w:fill="D9D9D9"/>
            <w:noWrap/>
            <w:vAlign w:val="center"/>
            <w:hideMark/>
          </w:tcPr>
          <w:p w14:paraId="1796010C" w14:textId="7037F32B"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26</w:t>
            </w:r>
          </w:p>
        </w:tc>
        <w:tc>
          <w:tcPr>
            <w:tcW w:w="462" w:type="pct"/>
            <w:tcBorders>
              <w:top w:val="nil"/>
              <w:left w:val="nil"/>
              <w:bottom w:val="single" w:sz="8" w:space="0" w:color="auto"/>
              <w:right w:val="single" w:sz="8" w:space="0" w:color="auto"/>
            </w:tcBorders>
            <w:shd w:val="clear" w:color="000000" w:fill="D9D9D9"/>
            <w:noWrap/>
            <w:vAlign w:val="center"/>
            <w:hideMark/>
          </w:tcPr>
          <w:p w14:paraId="70B2F123" w14:textId="0A601386"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86%</w:t>
            </w:r>
          </w:p>
        </w:tc>
      </w:tr>
      <w:tr w:rsidR="004A324F" w:rsidRPr="00B833E5" w14:paraId="5326AE18" w14:textId="77777777" w:rsidTr="00B833E5">
        <w:trPr>
          <w:trHeight w:val="902"/>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0D820758"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III Circ. Jud. Alajuela (San Ramón)*</w:t>
            </w:r>
          </w:p>
        </w:tc>
        <w:tc>
          <w:tcPr>
            <w:tcW w:w="542" w:type="pct"/>
            <w:tcBorders>
              <w:top w:val="nil"/>
              <w:left w:val="nil"/>
              <w:bottom w:val="single" w:sz="8" w:space="0" w:color="auto"/>
              <w:right w:val="single" w:sz="8" w:space="0" w:color="auto"/>
            </w:tcBorders>
            <w:shd w:val="clear" w:color="auto" w:fill="auto"/>
            <w:vAlign w:val="center"/>
            <w:hideMark/>
          </w:tcPr>
          <w:p w14:paraId="50608299"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17F1A4D"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420B2F9"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157EBA60"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39C0A607" w14:textId="2CBD074B"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85</w:t>
            </w:r>
          </w:p>
        </w:tc>
        <w:tc>
          <w:tcPr>
            <w:tcW w:w="606" w:type="pct"/>
            <w:tcBorders>
              <w:top w:val="nil"/>
              <w:left w:val="nil"/>
              <w:bottom w:val="single" w:sz="8" w:space="0" w:color="auto"/>
              <w:right w:val="single" w:sz="8" w:space="0" w:color="auto"/>
            </w:tcBorders>
            <w:shd w:val="clear" w:color="auto" w:fill="auto"/>
            <w:noWrap/>
            <w:vAlign w:val="center"/>
            <w:hideMark/>
          </w:tcPr>
          <w:p w14:paraId="2EAE3A61" w14:textId="6D4E9D7B"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57</w:t>
            </w:r>
          </w:p>
        </w:tc>
        <w:tc>
          <w:tcPr>
            <w:tcW w:w="521" w:type="pct"/>
            <w:tcBorders>
              <w:top w:val="nil"/>
              <w:left w:val="nil"/>
              <w:bottom w:val="single" w:sz="8" w:space="0" w:color="auto"/>
              <w:right w:val="single" w:sz="8" w:space="0" w:color="auto"/>
            </w:tcBorders>
            <w:shd w:val="clear" w:color="auto" w:fill="auto"/>
            <w:noWrap/>
            <w:vAlign w:val="center"/>
            <w:hideMark/>
          </w:tcPr>
          <w:p w14:paraId="6D025AED" w14:textId="1E8D5CDA"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42</w:t>
            </w:r>
          </w:p>
        </w:tc>
        <w:tc>
          <w:tcPr>
            <w:tcW w:w="467" w:type="pct"/>
            <w:tcBorders>
              <w:top w:val="nil"/>
              <w:left w:val="nil"/>
              <w:bottom w:val="single" w:sz="8" w:space="0" w:color="auto"/>
              <w:right w:val="single" w:sz="8" w:space="0" w:color="auto"/>
            </w:tcBorders>
            <w:shd w:val="clear" w:color="auto" w:fill="auto"/>
            <w:noWrap/>
            <w:vAlign w:val="center"/>
            <w:hideMark/>
          </w:tcPr>
          <w:p w14:paraId="0E671F13" w14:textId="3953028C"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28</w:t>
            </w:r>
          </w:p>
        </w:tc>
        <w:tc>
          <w:tcPr>
            <w:tcW w:w="462" w:type="pct"/>
            <w:tcBorders>
              <w:top w:val="nil"/>
              <w:left w:val="nil"/>
              <w:bottom w:val="single" w:sz="8" w:space="0" w:color="auto"/>
              <w:right w:val="single" w:sz="8" w:space="0" w:color="auto"/>
            </w:tcBorders>
            <w:shd w:val="clear" w:color="auto" w:fill="auto"/>
            <w:noWrap/>
            <w:vAlign w:val="center"/>
            <w:hideMark/>
          </w:tcPr>
          <w:p w14:paraId="251FE1D0" w14:textId="43654826"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67%</w:t>
            </w:r>
          </w:p>
        </w:tc>
      </w:tr>
      <w:tr w:rsidR="004A324F" w:rsidRPr="00B833E5" w14:paraId="6CAEFAFE"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0DF1BE24"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0E182261"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4EEB98A9"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3F4C78CA"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73C2BEB6"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111B4A73" w14:textId="1B1D4803"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82</w:t>
            </w:r>
          </w:p>
        </w:tc>
        <w:tc>
          <w:tcPr>
            <w:tcW w:w="606" w:type="pct"/>
            <w:tcBorders>
              <w:top w:val="nil"/>
              <w:left w:val="nil"/>
              <w:bottom w:val="single" w:sz="8" w:space="0" w:color="auto"/>
              <w:right w:val="single" w:sz="8" w:space="0" w:color="auto"/>
            </w:tcBorders>
            <w:shd w:val="clear" w:color="auto" w:fill="auto"/>
            <w:noWrap/>
            <w:vAlign w:val="center"/>
            <w:hideMark/>
          </w:tcPr>
          <w:p w14:paraId="5F03DAD8" w14:textId="03BB5674"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70</w:t>
            </w:r>
          </w:p>
        </w:tc>
        <w:tc>
          <w:tcPr>
            <w:tcW w:w="521" w:type="pct"/>
            <w:tcBorders>
              <w:top w:val="nil"/>
              <w:left w:val="nil"/>
              <w:bottom w:val="single" w:sz="8" w:space="0" w:color="auto"/>
              <w:right w:val="single" w:sz="8" w:space="0" w:color="auto"/>
            </w:tcBorders>
            <w:shd w:val="clear" w:color="auto" w:fill="auto"/>
            <w:noWrap/>
            <w:vAlign w:val="center"/>
            <w:hideMark/>
          </w:tcPr>
          <w:p w14:paraId="31EF6BBC" w14:textId="535FDF16"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41</w:t>
            </w:r>
          </w:p>
        </w:tc>
        <w:tc>
          <w:tcPr>
            <w:tcW w:w="467" w:type="pct"/>
            <w:tcBorders>
              <w:top w:val="nil"/>
              <w:left w:val="nil"/>
              <w:bottom w:val="single" w:sz="8" w:space="0" w:color="auto"/>
              <w:right w:val="single" w:sz="8" w:space="0" w:color="auto"/>
            </w:tcBorders>
            <w:shd w:val="clear" w:color="auto" w:fill="auto"/>
            <w:noWrap/>
            <w:vAlign w:val="center"/>
            <w:hideMark/>
          </w:tcPr>
          <w:p w14:paraId="4904C7EA" w14:textId="758538A2"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27</w:t>
            </w:r>
          </w:p>
        </w:tc>
        <w:tc>
          <w:tcPr>
            <w:tcW w:w="462" w:type="pct"/>
            <w:tcBorders>
              <w:top w:val="nil"/>
              <w:left w:val="nil"/>
              <w:bottom w:val="single" w:sz="8" w:space="0" w:color="auto"/>
              <w:right w:val="single" w:sz="8" w:space="0" w:color="auto"/>
            </w:tcBorders>
            <w:shd w:val="clear" w:color="auto" w:fill="auto"/>
            <w:noWrap/>
            <w:vAlign w:val="center"/>
            <w:hideMark/>
          </w:tcPr>
          <w:p w14:paraId="577633D3" w14:textId="6637834C"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86%</w:t>
            </w:r>
          </w:p>
        </w:tc>
      </w:tr>
      <w:tr w:rsidR="002C30B5" w:rsidRPr="00B833E5" w14:paraId="1F29C48E" w14:textId="77777777" w:rsidTr="004A324F">
        <w:trPr>
          <w:trHeight w:val="1140"/>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0FDFDE35" w14:textId="3272E6DF"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Penal Juv. </w:t>
            </w:r>
            <w:r w:rsidR="00E85731" w:rsidRPr="00E85731">
              <w:rPr>
                <w:rFonts w:ascii="Book Antiqua" w:eastAsia="Times New Roman" w:hAnsi="Book Antiqua" w:cs="Calibri"/>
                <w:b/>
                <w:bCs/>
                <w:color w:val="000000"/>
                <w:sz w:val="18"/>
                <w:szCs w:val="18"/>
                <w:lang w:eastAsia="es-CR"/>
              </w:rPr>
              <w:t>Y</w:t>
            </w:r>
            <w:r w:rsidRPr="001D0C10">
              <w:rPr>
                <w:rFonts w:ascii="Book Antiqua" w:eastAsia="Times New Roman" w:hAnsi="Book Antiqua" w:cs="Calibri"/>
                <w:b/>
                <w:bCs/>
                <w:color w:val="000000"/>
                <w:sz w:val="18"/>
                <w:szCs w:val="18"/>
                <w:lang w:eastAsia="es-CR"/>
              </w:rPr>
              <w:t xml:space="preserve"> Viol. Dom. Doméstica de Golfito</w:t>
            </w:r>
          </w:p>
        </w:tc>
        <w:tc>
          <w:tcPr>
            <w:tcW w:w="542" w:type="pct"/>
            <w:tcBorders>
              <w:top w:val="nil"/>
              <w:left w:val="nil"/>
              <w:bottom w:val="nil"/>
              <w:right w:val="single" w:sz="8" w:space="0" w:color="auto"/>
            </w:tcBorders>
            <w:shd w:val="clear" w:color="000000" w:fill="D9D9D9"/>
            <w:vAlign w:val="center"/>
            <w:hideMark/>
          </w:tcPr>
          <w:p w14:paraId="1A5C5B8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42F9CA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198F03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53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343F6A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67" w:type="pct"/>
            <w:vMerge w:val="restart"/>
            <w:tcBorders>
              <w:top w:val="nil"/>
              <w:left w:val="single" w:sz="8" w:space="0" w:color="auto"/>
              <w:bottom w:val="single" w:sz="8" w:space="0" w:color="000000"/>
              <w:right w:val="single" w:sz="8" w:space="0" w:color="auto"/>
            </w:tcBorders>
            <w:shd w:val="clear" w:color="000000" w:fill="D9D9D9"/>
            <w:noWrap/>
            <w:vAlign w:val="center"/>
          </w:tcPr>
          <w:p w14:paraId="515B0105" w14:textId="3A37C9AB"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31</w:t>
            </w:r>
          </w:p>
        </w:tc>
        <w:tc>
          <w:tcPr>
            <w:tcW w:w="606" w:type="pct"/>
            <w:vMerge w:val="restart"/>
            <w:tcBorders>
              <w:top w:val="nil"/>
              <w:left w:val="single" w:sz="8" w:space="0" w:color="auto"/>
              <w:bottom w:val="single" w:sz="8" w:space="0" w:color="000000"/>
              <w:right w:val="single" w:sz="8" w:space="0" w:color="auto"/>
            </w:tcBorders>
            <w:shd w:val="clear" w:color="000000" w:fill="D9D9D9"/>
            <w:noWrap/>
            <w:vAlign w:val="center"/>
          </w:tcPr>
          <w:p w14:paraId="2B43032C" w14:textId="0953A08D"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w:t>
            </w:r>
          </w:p>
        </w:tc>
        <w:tc>
          <w:tcPr>
            <w:tcW w:w="521" w:type="pct"/>
            <w:vMerge w:val="restart"/>
            <w:tcBorders>
              <w:top w:val="nil"/>
              <w:left w:val="single" w:sz="8" w:space="0" w:color="auto"/>
              <w:bottom w:val="single" w:sz="8" w:space="0" w:color="000000"/>
              <w:right w:val="single" w:sz="8" w:space="0" w:color="auto"/>
            </w:tcBorders>
            <w:shd w:val="clear" w:color="000000" w:fill="D9D9D9"/>
            <w:noWrap/>
            <w:vAlign w:val="center"/>
          </w:tcPr>
          <w:p w14:paraId="44DD671B" w14:textId="6EDA045B"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31</w:t>
            </w:r>
          </w:p>
        </w:tc>
        <w:tc>
          <w:tcPr>
            <w:tcW w:w="467" w:type="pct"/>
            <w:vMerge w:val="restart"/>
            <w:tcBorders>
              <w:top w:val="nil"/>
              <w:left w:val="single" w:sz="8" w:space="0" w:color="auto"/>
              <w:bottom w:val="single" w:sz="8" w:space="0" w:color="000000"/>
              <w:right w:val="single" w:sz="8" w:space="0" w:color="auto"/>
            </w:tcBorders>
            <w:shd w:val="clear" w:color="000000" w:fill="D9D9D9"/>
            <w:noWrap/>
            <w:vAlign w:val="center"/>
          </w:tcPr>
          <w:p w14:paraId="7CC95284" w14:textId="60F4E439"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15</w:t>
            </w:r>
          </w:p>
        </w:tc>
        <w:tc>
          <w:tcPr>
            <w:tcW w:w="462" w:type="pct"/>
            <w:vMerge w:val="restart"/>
            <w:tcBorders>
              <w:top w:val="nil"/>
              <w:left w:val="single" w:sz="8" w:space="0" w:color="auto"/>
              <w:bottom w:val="single" w:sz="8" w:space="0" w:color="000000"/>
              <w:right w:val="single" w:sz="8" w:space="0" w:color="auto"/>
            </w:tcBorders>
            <w:shd w:val="clear" w:color="000000" w:fill="D9D9D9"/>
            <w:noWrap/>
            <w:vAlign w:val="center"/>
          </w:tcPr>
          <w:p w14:paraId="526F9EBE" w14:textId="268CE989"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67%</w:t>
            </w:r>
          </w:p>
        </w:tc>
      </w:tr>
      <w:tr w:rsidR="00B833E5" w:rsidRPr="00B833E5" w14:paraId="2C5BAFCA" w14:textId="77777777" w:rsidTr="004A324F">
        <w:trPr>
          <w:trHeight w:val="40"/>
        </w:trPr>
        <w:tc>
          <w:tcPr>
            <w:tcW w:w="585" w:type="pct"/>
            <w:vMerge/>
            <w:tcBorders>
              <w:top w:val="nil"/>
              <w:left w:val="single" w:sz="8" w:space="0" w:color="auto"/>
              <w:bottom w:val="single" w:sz="8" w:space="0" w:color="000000"/>
              <w:right w:val="single" w:sz="8" w:space="0" w:color="auto"/>
            </w:tcBorders>
            <w:vAlign w:val="center"/>
            <w:hideMark/>
          </w:tcPr>
          <w:p w14:paraId="206633C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0BDD625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tcBorders>
              <w:top w:val="nil"/>
              <w:left w:val="single" w:sz="8" w:space="0" w:color="auto"/>
              <w:bottom w:val="single" w:sz="8" w:space="0" w:color="000000"/>
              <w:right w:val="single" w:sz="8" w:space="0" w:color="auto"/>
            </w:tcBorders>
            <w:vAlign w:val="center"/>
            <w:hideMark/>
          </w:tcPr>
          <w:p w14:paraId="47125F8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6E863B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vMerge/>
            <w:tcBorders>
              <w:top w:val="nil"/>
              <w:left w:val="single" w:sz="8" w:space="0" w:color="auto"/>
              <w:bottom w:val="single" w:sz="8" w:space="0" w:color="000000"/>
              <w:right w:val="single" w:sz="8" w:space="0" w:color="auto"/>
            </w:tcBorders>
            <w:vAlign w:val="center"/>
            <w:hideMark/>
          </w:tcPr>
          <w:p w14:paraId="3C452B02"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7" w:type="pct"/>
            <w:vMerge/>
            <w:tcBorders>
              <w:top w:val="nil"/>
              <w:left w:val="single" w:sz="8" w:space="0" w:color="auto"/>
              <w:bottom w:val="single" w:sz="8" w:space="0" w:color="000000"/>
              <w:right w:val="single" w:sz="8" w:space="0" w:color="auto"/>
            </w:tcBorders>
            <w:vAlign w:val="center"/>
          </w:tcPr>
          <w:p w14:paraId="448FBDE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606" w:type="pct"/>
            <w:vMerge/>
            <w:tcBorders>
              <w:top w:val="nil"/>
              <w:left w:val="single" w:sz="8" w:space="0" w:color="auto"/>
              <w:bottom w:val="single" w:sz="8" w:space="0" w:color="000000"/>
              <w:right w:val="single" w:sz="8" w:space="0" w:color="auto"/>
            </w:tcBorders>
            <w:vAlign w:val="center"/>
          </w:tcPr>
          <w:p w14:paraId="5975EA8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21" w:type="pct"/>
            <w:vMerge/>
            <w:tcBorders>
              <w:top w:val="nil"/>
              <w:left w:val="single" w:sz="8" w:space="0" w:color="auto"/>
              <w:bottom w:val="single" w:sz="8" w:space="0" w:color="000000"/>
              <w:right w:val="single" w:sz="8" w:space="0" w:color="auto"/>
            </w:tcBorders>
            <w:vAlign w:val="center"/>
          </w:tcPr>
          <w:p w14:paraId="1BB387E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7" w:type="pct"/>
            <w:vMerge/>
            <w:tcBorders>
              <w:top w:val="nil"/>
              <w:left w:val="single" w:sz="8" w:space="0" w:color="auto"/>
              <w:bottom w:val="single" w:sz="8" w:space="0" w:color="000000"/>
              <w:right w:val="single" w:sz="8" w:space="0" w:color="auto"/>
            </w:tcBorders>
            <w:vAlign w:val="center"/>
          </w:tcPr>
          <w:p w14:paraId="51706AC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2" w:type="pct"/>
            <w:vMerge/>
            <w:tcBorders>
              <w:top w:val="nil"/>
              <w:left w:val="single" w:sz="8" w:space="0" w:color="auto"/>
              <w:bottom w:val="single" w:sz="8" w:space="0" w:color="000000"/>
              <w:right w:val="single" w:sz="8" w:space="0" w:color="auto"/>
            </w:tcBorders>
            <w:vAlign w:val="center"/>
          </w:tcPr>
          <w:p w14:paraId="60BC217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r>
      <w:tr w:rsidR="002C30B5" w:rsidRPr="00B833E5" w14:paraId="345551B5" w14:textId="77777777" w:rsidTr="004A324F">
        <w:trPr>
          <w:trHeight w:val="590"/>
        </w:trPr>
        <w:tc>
          <w:tcPr>
            <w:tcW w:w="585" w:type="pct"/>
            <w:vMerge/>
            <w:tcBorders>
              <w:top w:val="nil"/>
              <w:left w:val="single" w:sz="8" w:space="0" w:color="auto"/>
              <w:bottom w:val="single" w:sz="8" w:space="0" w:color="000000"/>
              <w:right w:val="single" w:sz="8" w:space="0" w:color="auto"/>
            </w:tcBorders>
            <w:vAlign w:val="center"/>
            <w:hideMark/>
          </w:tcPr>
          <w:p w14:paraId="547393A6"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70F43B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648DCD3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F076C1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4AC95F8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67" w:type="pct"/>
            <w:tcBorders>
              <w:top w:val="nil"/>
              <w:left w:val="nil"/>
              <w:bottom w:val="single" w:sz="8" w:space="0" w:color="auto"/>
              <w:right w:val="single" w:sz="8" w:space="0" w:color="auto"/>
            </w:tcBorders>
            <w:shd w:val="clear" w:color="000000" w:fill="D9D9D9"/>
            <w:noWrap/>
            <w:vAlign w:val="center"/>
          </w:tcPr>
          <w:p w14:paraId="2A6397D7" w14:textId="0C9D7401"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43</w:t>
            </w:r>
          </w:p>
        </w:tc>
        <w:tc>
          <w:tcPr>
            <w:tcW w:w="606" w:type="pct"/>
            <w:tcBorders>
              <w:top w:val="nil"/>
              <w:left w:val="nil"/>
              <w:bottom w:val="single" w:sz="8" w:space="0" w:color="auto"/>
              <w:right w:val="single" w:sz="8" w:space="0" w:color="auto"/>
            </w:tcBorders>
            <w:shd w:val="clear" w:color="000000" w:fill="D9D9D9"/>
            <w:noWrap/>
            <w:vAlign w:val="center"/>
          </w:tcPr>
          <w:p w14:paraId="49C4D0FF" w14:textId="0B239DD4"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39</w:t>
            </w:r>
          </w:p>
        </w:tc>
        <w:tc>
          <w:tcPr>
            <w:tcW w:w="521" w:type="pct"/>
            <w:tcBorders>
              <w:top w:val="nil"/>
              <w:left w:val="nil"/>
              <w:bottom w:val="single" w:sz="8" w:space="0" w:color="auto"/>
              <w:right w:val="single" w:sz="8" w:space="0" w:color="auto"/>
            </w:tcBorders>
            <w:shd w:val="clear" w:color="000000" w:fill="D9D9D9"/>
            <w:noWrap/>
            <w:vAlign w:val="center"/>
          </w:tcPr>
          <w:p w14:paraId="1E92A1D4" w14:textId="4454E9A6"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43</w:t>
            </w:r>
          </w:p>
        </w:tc>
        <w:tc>
          <w:tcPr>
            <w:tcW w:w="467" w:type="pct"/>
            <w:tcBorders>
              <w:top w:val="nil"/>
              <w:left w:val="nil"/>
              <w:bottom w:val="single" w:sz="8" w:space="0" w:color="auto"/>
              <w:right w:val="single" w:sz="8" w:space="0" w:color="auto"/>
            </w:tcBorders>
            <w:shd w:val="clear" w:color="000000" w:fill="D9D9D9"/>
            <w:noWrap/>
            <w:vAlign w:val="center"/>
          </w:tcPr>
          <w:p w14:paraId="7A56F7A9" w14:textId="3DB9EFA2"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22</w:t>
            </w:r>
          </w:p>
        </w:tc>
        <w:tc>
          <w:tcPr>
            <w:tcW w:w="462" w:type="pct"/>
            <w:tcBorders>
              <w:top w:val="nil"/>
              <w:left w:val="nil"/>
              <w:bottom w:val="single" w:sz="8" w:space="0" w:color="auto"/>
              <w:right w:val="single" w:sz="8" w:space="0" w:color="auto"/>
            </w:tcBorders>
            <w:shd w:val="clear" w:color="000000" w:fill="D9D9D9"/>
            <w:noWrap/>
            <w:vAlign w:val="center"/>
          </w:tcPr>
          <w:p w14:paraId="756810B1" w14:textId="64CDD97C" w:rsidR="00320EB1" w:rsidRPr="001D0C10" w:rsidRDefault="004A324F" w:rsidP="00320EB1">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111%</w:t>
            </w:r>
          </w:p>
        </w:tc>
      </w:tr>
      <w:tr w:rsidR="004A324F" w:rsidRPr="00B833E5" w14:paraId="517948C6" w14:textId="77777777" w:rsidTr="00B833E5">
        <w:trPr>
          <w:trHeight w:val="545"/>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482C6CE3"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Santa Cruz</w:t>
            </w:r>
          </w:p>
        </w:tc>
        <w:tc>
          <w:tcPr>
            <w:tcW w:w="542" w:type="pct"/>
            <w:tcBorders>
              <w:top w:val="nil"/>
              <w:left w:val="nil"/>
              <w:bottom w:val="single" w:sz="8" w:space="0" w:color="auto"/>
              <w:right w:val="single" w:sz="8" w:space="0" w:color="auto"/>
            </w:tcBorders>
            <w:shd w:val="clear" w:color="auto" w:fill="auto"/>
            <w:vAlign w:val="center"/>
            <w:hideMark/>
          </w:tcPr>
          <w:p w14:paraId="6B5A1C06"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AF21108"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3844DAD"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75A4C3BB"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4CF5CDA0" w14:textId="6128202A"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49</w:t>
            </w:r>
          </w:p>
        </w:tc>
        <w:tc>
          <w:tcPr>
            <w:tcW w:w="606" w:type="pct"/>
            <w:tcBorders>
              <w:top w:val="nil"/>
              <w:left w:val="nil"/>
              <w:bottom w:val="single" w:sz="8" w:space="0" w:color="auto"/>
              <w:right w:val="single" w:sz="8" w:space="0" w:color="auto"/>
            </w:tcBorders>
            <w:shd w:val="clear" w:color="auto" w:fill="auto"/>
            <w:noWrap/>
            <w:vAlign w:val="center"/>
            <w:hideMark/>
          </w:tcPr>
          <w:p w14:paraId="0CDE5429" w14:textId="11703893"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31</w:t>
            </w:r>
          </w:p>
        </w:tc>
        <w:tc>
          <w:tcPr>
            <w:tcW w:w="521" w:type="pct"/>
            <w:tcBorders>
              <w:top w:val="nil"/>
              <w:left w:val="nil"/>
              <w:bottom w:val="single" w:sz="8" w:space="0" w:color="auto"/>
              <w:right w:val="single" w:sz="8" w:space="0" w:color="auto"/>
            </w:tcBorders>
            <w:shd w:val="clear" w:color="auto" w:fill="auto"/>
            <w:noWrap/>
            <w:vAlign w:val="center"/>
            <w:hideMark/>
          </w:tcPr>
          <w:p w14:paraId="484F64FD" w14:textId="72EFDB7B"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24</w:t>
            </w:r>
          </w:p>
        </w:tc>
        <w:tc>
          <w:tcPr>
            <w:tcW w:w="467" w:type="pct"/>
            <w:tcBorders>
              <w:top w:val="nil"/>
              <w:left w:val="nil"/>
              <w:bottom w:val="single" w:sz="8" w:space="0" w:color="auto"/>
              <w:right w:val="single" w:sz="8" w:space="0" w:color="auto"/>
            </w:tcBorders>
            <w:shd w:val="clear" w:color="auto" w:fill="auto"/>
            <w:noWrap/>
            <w:vAlign w:val="center"/>
            <w:hideMark/>
          </w:tcPr>
          <w:p w14:paraId="28E20B50" w14:textId="589957A8"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16</w:t>
            </w:r>
          </w:p>
        </w:tc>
        <w:tc>
          <w:tcPr>
            <w:tcW w:w="462" w:type="pct"/>
            <w:tcBorders>
              <w:top w:val="nil"/>
              <w:left w:val="nil"/>
              <w:bottom w:val="single" w:sz="8" w:space="0" w:color="auto"/>
              <w:right w:val="single" w:sz="8" w:space="0" w:color="auto"/>
            </w:tcBorders>
            <w:shd w:val="clear" w:color="auto" w:fill="auto"/>
            <w:noWrap/>
            <w:vAlign w:val="center"/>
            <w:hideMark/>
          </w:tcPr>
          <w:p w14:paraId="02D8C7E5" w14:textId="4B99B8A6"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78%</w:t>
            </w:r>
          </w:p>
        </w:tc>
      </w:tr>
      <w:tr w:rsidR="004A324F" w:rsidRPr="00B833E5" w14:paraId="59CE54D4"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34E9B0B2"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042C6234"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35C00795"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2EFBCCB"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622A6D2B"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10AAF805" w14:textId="32AA1E94"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125</w:t>
            </w:r>
          </w:p>
        </w:tc>
        <w:tc>
          <w:tcPr>
            <w:tcW w:w="606" w:type="pct"/>
            <w:tcBorders>
              <w:top w:val="nil"/>
              <w:left w:val="nil"/>
              <w:bottom w:val="single" w:sz="8" w:space="0" w:color="auto"/>
              <w:right w:val="single" w:sz="8" w:space="0" w:color="auto"/>
            </w:tcBorders>
            <w:shd w:val="clear" w:color="auto" w:fill="auto"/>
            <w:noWrap/>
            <w:vAlign w:val="center"/>
            <w:hideMark/>
          </w:tcPr>
          <w:p w14:paraId="09F992CA" w14:textId="6B09ABB4"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105</w:t>
            </w:r>
          </w:p>
        </w:tc>
        <w:tc>
          <w:tcPr>
            <w:tcW w:w="521" w:type="pct"/>
            <w:tcBorders>
              <w:top w:val="nil"/>
              <w:left w:val="nil"/>
              <w:bottom w:val="single" w:sz="8" w:space="0" w:color="auto"/>
              <w:right w:val="single" w:sz="8" w:space="0" w:color="auto"/>
            </w:tcBorders>
            <w:shd w:val="clear" w:color="auto" w:fill="auto"/>
            <w:noWrap/>
            <w:vAlign w:val="center"/>
            <w:hideMark/>
          </w:tcPr>
          <w:p w14:paraId="468100FC" w14:textId="2802AD29"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62</w:t>
            </w:r>
          </w:p>
        </w:tc>
        <w:tc>
          <w:tcPr>
            <w:tcW w:w="467" w:type="pct"/>
            <w:tcBorders>
              <w:top w:val="nil"/>
              <w:left w:val="nil"/>
              <w:bottom w:val="single" w:sz="8" w:space="0" w:color="auto"/>
              <w:right w:val="single" w:sz="8" w:space="0" w:color="auto"/>
            </w:tcBorders>
            <w:shd w:val="clear" w:color="auto" w:fill="auto"/>
            <w:noWrap/>
            <w:vAlign w:val="center"/>
            <w:hideMark/>
          </w:tcPr>
          <w:p w14:paraId="5E0FA6D3" w14:textId="373A7421"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42</w:t>
            </w:r>
          </w:p>
        </w:tc>
        <w:tc>
          <w:tcPr>
            <w:tcW w:w="462" w:type="pct"/>
            <w:tcBorders>
              <w:top w:val="nil"/>
              <w:left w:val="nil"/>
              <w:bottom w:val="single" w:sz="8" w:space="0" w:color="auto"/>
              <w:right w:val="single" w:sz="8" w:space="0" w:color="auto"/>
            </w:tcBorders>
            <w:shd w:val="clear" w:color="auto" w:fill="auto"/>
            <w:noWrap/>
            <w:vAlign w:val="center"/>
            <w:hideMark/>
          </w:tcPr>
          <w:p w14:paraId="197FE058" w14:textId="22B387B1"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84%</w:t>
            </w:r>
          </w:p>
        </w:tc>
      </w:tr>
      <w:tr w:rsidR="004A324F" w:rsidRPr="00B833E5" w14:paraId="5F249A6F" w14:textId="77777777" w:rsidTr="00B833E5">
        <w:trPr>
          <w:trHeight w:val="570"/>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5B992015"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Grecia</w:t>
            </w:r>
          </w:p>
        </w:tc>
        <w:tc>
          <w:tcPr>
            <w:tcW w:w="542" w:type="pct"/>
            <w:tcBorders>
              <w:top w:val="nil"/>
              <w:left w:val="nil"/>
              <w:bottom w:val="single" w:sz="8" w:space="0" w:color="auto"/>
              <w:right w:val="single" w:sz="8" w:space="0" w:color="auto"/>
            </w:tcBorders>
            <w:shd w:val="clear" w:color="000000" w:fill="D9D9D9"/>
            <w:vAlign w:val="center"/>
            <w:hideMark/>
          </w:tcPr>
          <w:p w14:paraId="1C70A205"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28044BDF"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7DF6A60"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000000" w:fill="D9D9D9"/>
            <w:noWrap/>
            <w:vAlign w:val="center"/>
            <w:hideMark/>
          </w:tcPr>
          <w:p w14:paraId="6100BFD6"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74CC6236" w14:textId="278E56C8"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98</w:t>
            </w:r>
          </w:p>
        </w:tc>
        <w:tc>
          <w:tcPr>
            <w:tcW w:w="606" w:type="pct"/>
            <w:tcBorders>
              <w:top w:val="nil"/>
              <w:left w:val="nil"/>
              <w:bottom w:val="single" w:sz="8" w:space="0" w:color="auto"/>
              <w:right w:val="single" w:sz="8" w:space="0" w:color="auto"/>
            </w:tcBorders>
            <w:shd w:val="clear" w:color="000000" w:fill="D9D9D9"/>
            <w:noWrap/>
            <w:vAlign w:val="center"/>
            <w:hideMark/>
          </w:tcPr>
          <w:p w14:paraId="5FE099EA" w14:textId="1EB2DC82"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68</w:t>
            </w:r>
          </w:p>
        </w:tc>
        <w:tc>
          <w:tcPr>
            <w:tcW w:w="521" w:type="pct"/>
            <w:tcBorders>
              <w:top w:val="nil"/>
              <w:left w:val="nil"/>
              <w:bottom w:val="single" w:sz="8" w:space="0" w:color="auto"/>
              <w:right w:val="single" w:sz="8" w:space="0" w:color="auto"/>
            </w:tcBorders>
            <w:shd w:val="clear" w:color="000000" w:fill="D9D9D9"/>
            <w:noWrap/>
            <w:vAlign w:val="center"/>
            <w:hideMark/>
          </w:tcPr>
          <w:p w14:paraId="467DA037" w14:textId="0816F69A"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49</w:t>
            </w:r>
          </w:p>
        </w:tc>
        <w:tc>
          <w:tcPr>
            <w:tcW w:w="467" w:type="pct"/>
            <w:tcBorders>
              <w:top w:val="nil"/>
              <w:left w:val="nil"/>
              <w:bottom w:val="single" w:sz="8" w:space="0" w:color="auto"/>
              <w:right w:val="single" w:sz="8" w:space="0" w:color="auto"/>
            </w:tcBorders>
            <w:shd w:val="clear" w:color="000000" w:fill="D9D9D9"/>
            <w:noWrap/>
            <w:vAlign w:val="center"/>
            <w:hideMark/>
          </w:tcPr>
          <w:p w14:paraId="5C7841A2" w14:textId="1C180B42"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33</w:t>
            </w:r>
          </w:p>
        </w:tc>
        <w:tc>
          <w:tcPr>
            <w:tcW w:w="462" w:type="pct"/>
            <w:tcBorders>
              <w:top w:val="nil"/>
              <w:left w:val="nil"/>
              <w:bottom w:val="single" w:sz="8" w:space="0" w:color="auto"/>
              <w:right w:val="single" w:sz="8" w:space="0" w:color="auto"/>
            </w:tcBorders>
            <w:shd w:val="clear" w:color="000000" w:fill="D9D9D9"/>
            <w:vAlign w:val="center"/>
            <w:hideMark/>
          </w:tcPr>
          <w:p w14:paraId="0C7AD406" w14:textId="5101AEB5"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69%</w:t>
            </w:r>
          </w:p>
        </w:tc>
      </w:tr>
      <w:tr w:rsidR="004A324F" w:rsidRPr="00B833E5" w14:paraId="74E7B047"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1A456D44"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747D947B" w14:textId="77777777" w:rsidR="004A324F" w:rsidRPr="001D0C10" w:rsidRDefault="004A324F" w:rsidP="004A324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10B6172A"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34A37010" w14:textId="77777777" w:rsidR="004A324F" w:rsidRPr="001D0C10" w:rsidRDefault="004A324F" w:rsidP="004A324F">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7D0EEC6D" w14:textId="77777777" w:rsidR="004A324F" w:rsidRPr="001D0C10" w:rsidRDefault="004A324F" w:rsidP="004A324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409110E7" w14:textId="13C250BC"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81</w:t>
            </w:r>
          </w:p>
        </w:tc>
        <w:tc>
          <w:tcPr>
            <w:tcW w:w="606" w:type="pct"/>
            <w:tcBorders>
              <w:top w:val="nil"/>
              <w:left w:val="nil"/>
              <w:bottom w:val="single" w:sz="8" w:space="0" w:color="auto"/>
              <w:right w:val="single" w:sz="8" w:space="0" w:color="auto"/>
            </w:tcBorders>
            <w:shd w:val="clear" w:color="000000" w:fill="D9D9D9"/>
            <w:noWrap/>
            <w:vAlign w:val="center"/>
            <w:hideMark/>
          </w:tcPr>
          <w:p w14:paraId="184238C6" w14:textId="3536B427"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67</w:t>
            </w:r>
          </w:p>
        </w:tc>
        <w:tc>
          <w:tcPr>
            <w:tcW w:w="521" w:type="pct"/>
            <w:tcBorders>
              <w:top w:val="nil"/>
              <w:left w:val="nil"/>
              <w:bottom w:val="single" w:sz="8" w:space="0" w:color="auto"/>
              <w:right w:val="single" w:sz="8" w:space="0" w:color="auto"/>
            </w:tcBorders>
            <w:shd w:val="clear" w:color="000000" w:fill="D9D9D9"/>
            <w:noWrap/>
            <w:vAlign w:val="center"/>
            <w:hideMark/>
          </w:tcPr>
          <w:p w14:paraId="3F88C904" w14:textId="2A668714"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40</w:t>
            </w:r>
          </w:p>
        </w:tc>
        <w:tc>
          <w:tcPr>
            <w:tcW w:w="467" w:type="pct"/>
            <w:tcBorders>
              <w:top w:val="nil"/>
              <w:left w:val="nil"/>
              <w:bottom w:val="single" w:sz="8" w:space="0" w:color="auto"/>
              <w:right w:val="single" w:sz="8" w:space="0" w:color="auto"/>
            </w:tcBorders>
            <w:shd w:val="clear" w:color="000000" w:fill="D9D9D9"/>
            <w:noWrap/>
            <w:vAlign w:val="center"/>
            <w:hideMark/>
          </w:tcPr>
          <w:p w14:paraId="7D94640F" w14:textId="7BF7D6B9"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27</w:t>
            </w:r>
          </w:p>
        </w:tc>
        <w:tc>
          <w:tcPr>
            <w:tcW w:w="462" w:type="pct"/>
            <w:tcBorders>
              <w:top w:val="nil"/>
              <w:left w:val="nil"/>
              <w:bottom w:val="single" w:sz="8" w:space="0" w:color="auto"/>
              <w:right w:val="single" w:sz="8" w:space="0" w:color="auto"/>
            </w:tcBorders>
            <w:shd w:val="clear" w:color="000000" w:fill="D9D9D9"/>
            <w:vAlign w:val="center"/>
            <w:hideMark/>
          </w:tcPr>
          <w:p w14:paraId="40CF89D6" w14:textId="7C858DCD" w:rsidR="004A324F" w:rsidRPr="004A324F" w:rsidRDefault="004A324F" w:rsidP="004A324F">
            <w:pPr>
              <w:spacing w:after="0" w:line="240" w:lineRule="auto"/>
              <w:jc w:val="center"/>
              <w:rPr>
                <w:rFonts w:ascii="Book Antiqua" w:eastAsia="Times New Roman" w:hAnsi="Book Antiqua" w:cs="Calibri"/>
                <w:color w:val="000000"/>
                <w:sz w:val="18"/>
                <w:szCs w:val="18"/>
                <w:lang w:eastAsia="es-CR"/>
              </w:rPr>
            </w:pPr>
            <w:r w:rsidRPr="004A324F">
              <w:rPr>
                <w:rFonts w:ascii="Book Antiqua" w:hAnsi="Book Antiqua" w:cs="Calibri"/>
                <w:color w:val="000000"/>
                <w:sz w:val="18"/>
                <w:szCs w:val="18"/>
              </w:rPr>
              <w:t>83%</w:t>
            </w:r>
          </w:p>
        </w:tc>
      </w:tr>
    </w:tbl>
    <w:p w14:paraId="3F235387" w14:textId="40D3C1F7" w:rsidR="00234A2B" w:rsidRPr="00320EB1" w:rsidRDefault="00320EB1" w:rsidP="00355630">
      <w:pPr>
        <w:spacing w:after="0" w:line="276" w:lineRule="auto"/>
        <w:jc w:val="both"/>
        <w:rPr>
          <w:rFonts w:ascii="Book Antiqua" w:eastAsia="Calibri" w:hAnsi="Book Antiqua" w:cs="Arial"/>
          <w:i/>
          <w:iCs/>
          <w:sz w:val="20"/>
          <w:szCs w:val="20"/>
        </w:rPr>
      </w:pPr>
      <w:r w:rsidRPr="007118DC">
        <w:rPr>
          <w:rFonts w:ascii="Book Antiqua" w:eastAsia="Calibri" w:hAnsi="Book Antiqua" w:cs="Arial"/>
          <w:b/>
          <w:bCs/>
          <w:i/>
          <w:iCs/>
          <w:sz w:val="20"/>
          <w:szCs w:val="20"/>
        </w:rPr>
        <w:t>Fuente:</w:t>
      </w:r>
      <w:r w:rsidRPr="00320EB1">
        <w:rPr>
          <w:rFonts w:ascii="Book Antiqua" w:eastAsia="Calibri" w:hAnsi="Book Antiqua" w:cs="Arial"/>
          <w:i/>
          <w:iCs/>
          <w:sz w:val="20"/>
          <w:szCs w:val="20"/>
        </w:rPr>
        <w:t xml:space="preserve"> </w:t>
      </w:r>
      <w:r w:rsidR="004A324F">
        <w:rPr>
          <w:rFonts w:ascii="Book Antiqua" w:eastAsia="Calibri" w:hAnsi="Book Antiqua" w:cs="Arial"/>
          <w:i/>
          <w:iCs/>
          <w:sz w:val="20"/>
          <w:szCs w:val="20"/>
        </w:rPr>
        <w:t xml:space="preserve">Subproceso de </w:t>
      </w:r>
      <w:r w:rsidRPr="00320EB1">
        <w:rPr>
          <w:rFonts w:ascii="Book Antiqua" w:eastAsia="Calibri" w:hAnsi="Book Antiqua" w:cs="Arial"/>
          <w:i/>
          <w:iCs/>
          <w:sz w:val="20"/>
          <w:szCs w:val="20"/>
        </w:rPr>
        <w:t xml:space="preserve">Modernización Institucional </w:t>
      </w:r>
      <w:r w:rsidR="004A324F">
        <w:rPr>
          <w:rFonts w:ascii="Book Antiqua" w:eastAsia="Calibri" w:hAnsi="Book Antiqua" w:cs="Arial"/>
          <w:i/>
          <w:iCs/>
          <w:sz w:val="20"/>
          <w:szCs w:val="20"/>
        </w:rPr>
        <w:t xml:space="preserve">con datos del Subproceso de </w:t>
      </w:r>
      <w:r w:rsidRPr="00320EB1">
        <w:rPr>
          <w:rFonts w:ascii="Book Antiqua" w:eastAsia="Calibri" w:hAnsi="Book Antiqua" w:cs="Arial"/>
          <w:i/>
          <w:iCs/>
          <w:sz w:val="20"/>
          <w:szCs w:val="20"/>
        </w:rPr>
        <w:t>Estadístic</w:t>
      </w:r>
      <w:r w:rsidR="004A324F">
        <w:rPr>
          <w:rFonts w:ascii="Book Antiqua" w:eastAsia="Calibri" w:hAnsi="Book Antiqua" w:cs="Arial"/>
          <w:i/>
          <w:iCs/>
          <w:sz w:val="20"/>
          <w:szCs w:val="20"/>
        </w:rPr>
        <w:t>a del 2017 al 2022 y consulta del Balance General Interactivo del 23/2/2023</w:t>
      </w:r>
      <w:r w:rsidRPr="00320EB1">
        <w:rPr>
          <w:rFonts w:ascii="Book Antiqua" w:eastAsia="Calibri" w:hAnsi="Book Antiqua" w:cs="Arial"/>
          <w:i/>
          <w:iCs/>
          <w:sz w:val="20"/>
          <w:szCs w:val="20"/>
        </w:rPr>
        <w:t>.</w:t>
      </w:r>
      <w:r>
        <w:rPr>
          <w:rFonts w:ascii="Book Antiqua" w:eastAsia="Calibri" w:hAnsi="Book Antiqua" w:cs="Arial"/>
          <w:i/>
          <w:iCs/>
          <w:sz w:val="20"/>
          <w:szCs w:val="20"/>
        </w:rPr>
        <w:t xml:space="preserve"> </w:t>
      </w:r>
      <w:r w:rsidRPr="00320EB1">
        <w:rPr>
          <w:rFonts w:ascii="Book Antiqua" w:eastAsia="Calibri" w:hAnsi="Book Antiqua" w:cs="Arial"/>
          <w:i/>
          <w:iCs/>
          <w:sz w:val="20"/>
          <w:szCs w:val="20"/>
        </w:rPr>
        <w:t xml:space="preserve">La entrada y terminados para materia Familia incluye Principales, </w:t>
      </w:r>
      <w:r w:rsidR="004A324F">
        <w:rPr>
          <w:rFonts w:ascii="Book Antiqua" w:eastAsia="Calibri" w:hAnsi="Book Antiqua" w:cs="Arial"/>
          <w:i/>
          <w:iCs/>
          <w:sz w:val="20"/>
          <w:szCs w:val="20"/>
        </w:rPr>
        <w:t>R</w:t>
      </w:r>
      <w:r w:rsidRPr="00320EB1">
        <w:rPr>
          <w:rFonts w:ascii="Book Antiqua" w:eastAsia="Calibri" w:hAnsi="Book Antiqua" w:cs="Arial"/>
          <w:i/>
          <w:iCs/>
          <w:sz w:val="20"/>
          <w:szCs w:val="20"/>
        </w:rPr>
        <w:t>eentrados, Incidentes y Segunda Instancia</w:t>
      </w:r>
      <w:r w:rsidR="004A324F">
        <w:rPr>
          <w:rFonts w:ascii="Book Antiqua" w:eastAsia="Calibri" w:hAnsi="Book Antiqua" w:cs="Arial"/>
          <w:i/>
          <w:iCs/>
          <w:sz w:val="20"/>
          <w:szCs w:val="20"/>
        </w:rPr>
        <w:t xml:space="preserve"> y</w:t>
      </w:r>
      <w:r w:rsidRPr="00320EB1">
        <w:rPr>
          <w:rFonts w:ascii="Book Antiqua" w:eastAsia="Calibri" w:hAnsi="Book Antiqua" w:cs="Arial"/>
          <w:i/>
          <w:iCs/>
          <w:sz w:val="20"/>
          <w:szCs w:val="20"/>
        </w:rPr>
        <w:t xml:space="preserve"> la entrada en VD incluye nuevos, reentrados y testimonios</w:t>
      </w:r>
      <w:r w:rsidR="008A22FA">
        <w:rPr>
          <w:rFonts w:ascii="Book Antiqua" w:eastAsia="Calibri" w:hAnsi="Book Antiqua" w:cs="Arial"/>
          <w:i/>
          <w:iCs/>
          <w:sz w:val="20"/>
          <w:szCs w:val="20"/>
        </w:rPr>
        <w:t xml:space="preserve"> de piezas</w:t>
      </w:r>
      <w:r w:rsidRPr="00320EB1">
        <w:rPr>
          <w:rFonts w:ascii="Book Antiqua" w:eastAsia="Calibri" w:hAnsi="Book Antiqua" w:cs="Arial"/>
          <w:i/>
          <w:iCs/>
          <w:sz w:val="20"/>
          <w:szCs w:val="20"/>
        </w:rPr>
        <w:t>.</w:t>
      </w:r>
    </w:p>
    <w:p w14:paraId="73D1F766" w14:textId="7461F869" w:rsidR="00234A2B" w:rsidRDefault="00E46376" w:rsidP="00355630">
      <w:pPr>
        <w:spacing w:after="0" w:line="276" w:lineRule="auto"/>
        <w:jc w:val="both"/>
        <w:rPr>
          <w:rFonts w:ascii="Book Antiqua" w:eastAsia="Calibri" w:hAnsi="Book Antiqua" w:cs="Arial"/>
          <w:i/>
          <w:iCs/>
          <w:sz w:val="20"/>
          <w:szCs w:val="20"/>
        </w:rPr>
      </w:pPr>
      <w:r w:rsidRPr="004A324F">
        <w:rPr>
          <w:rFonts w:ascii="Book Antiqua" w:eastAsia="Calibri" w:hAnsi="Book Antiqua" w:cs="Arial"/>
          <w:b/>
          <w:bCs/>
          <w:i/>
          <w:iCs/>
          <w:sz w:val="20"/>
          <w:szCs w:val="20"/>
        </w:rPr>
        <w:t>Nota *:</w:t>
      </w:r>
      <w:r w:rsidRPr="00E46376">
        <w:rPr>
          <w:rFonts w:ascii="Book Antiqua" w:eastAsia="Calibri" w:hAnsi="Book Antiqua" w:cs="Arial"/>
          <w:i/>
          <w:iCs/>
          <w:sz w:val="20"/>
          <w:szCs w:val="20"/>
        </w:rPr>
        <w:t xml:space="preserve"> El Juzgado de Familia y Violencia Doméstica de San Ramon, tiene 3 técnicos que tramitan y manifiestan, adicionalmente comparte una plaza de Técnico con el Juzgado Civil y Trabajo de San Ramón</w:t>
      </w:r>
      <w:r>
        <w:rPr>
          <w:rFonts w:ascii="Book Antiqua" w:eastAsia="Calibri" w:hAnsi="Book Antiqua" w:cs="Arial"/>
          <w:i/>
          <w:iCs/>
          <w:sz w:val="20"/>
          <w:szCs w:val="20"/>
        </w:rPr>
        <w:t>.</w:t>
      </w:r>
    </w:p>
    <w:p w14:paraId="6D83B8EC" w14:textId="77777777" w:rsidR="00845ADF" w:rsidRPr="00E46376" w:rsidRDefault="00845ADF" w:rsidP="00355630">
      <w:pPr>
        <w:spacing w:after="0" w:line="276" w:lineRule="auto"/>
        <w:jc w:val="both"/>
        <w:rPr>
          <w:rFonts w:ascii="Book Antiqua" w:eastAsia="Calibri" w:hAnsi="Book Antiqua" w:cs="Arial"/>
          <w:i/>
          <w:iCs/>
          <w:sz w:val="20"/>
          <w:szCs w:val="20"/>
        </w:rPr>
      </w:pPr>
    </w:p>
    <w:p w14:paraId="2E83582A" w14:textId="29304EE1" w:rsidR="00D026F9" w:rsidRPr="00D026F9" w:rsidRDefault="00D026F9" w:rsidP="00845AD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026F9">
        <w:rPr>
          <w:rFonts w:ascii="Book Antiqua" w:eastAsia="Calibri" w:hAnsi="Book Antiqua" w:cs="Arial"/>
          <w:b/>
          <w:bCs/>
          <w:color w:val="1F497D"/>
          <w:szCs w:val="24"/>
          <w:lang w:val="es-ES" w:eastAsia="es-ES"/>
        </w:rPr>
        <w:t xml:space="preserve">Cuadro </w:t>
      </w:r>
      <w:r w:rsidRPr="00D026F9">
        <w:rPr>
          <w:rFonts w:ascii="Book Antiqua" w:eastAsia="Calibri" w:hAnsi="Book Antiqua" w:cs="Arial"/>
          <w:b/>
          <w:bCs/>
          <w:color w:val="1F497D"/>
          <w:szCs w:val="24"/>
          <w:lang w:val="es-ES" w:eastAsia="es-ES"/>
        </w:rPr>
        <w:fldChar w:fldCharType="begin"/>
      </w:r>
      <w:r w:rsidRPr="00D026F9">
        <w:rPr>
          <w:rFonts w:ascii="Book Antiqua" w:eastAsia="Calibri" w:hAnsi="Book Antiqua" w:cs="Arial"/>
          <w:b/>
          <w:bCs/>
          <w:color w:val="1F497D"/>
          <w:szCs w:val="24"/>
          <w:lang w:val="es-ES" w:eastAsia="es-ES"/>
        </w:rPr>
        <w:instrText xml:space="preserve"> SEQ Cuadro \* ARABIC </w:instrText>
      </w:r>
      <w:r w:rsidRPr="00D026F9">
        <w:rPr>
          <w:rFonts w:ascii="Book Antiqua" w:eastAsia="Calibri" w:hAnsi="Book Antiqua" w:cs="Arial"/>
          <w:b/>
          <w:bCs/>
          <w:color w:val="1F497D"/>
          <w:szCs w:val="24"/>
          <w:lang w:val="es-ES" w:eastAsia="es-ES"/>
        </w:rPr>
        <w:fldChar w:fldCharType="separate"/>
      </w:r>
      <w:r w:rsidR="00BE283E">
        <w:rPr>
          <w:rFonts w:ascii="Book Antiqua" w:eastAsia="Calibri" w:hAnsi="Book Antiqua" w:cs="Arial"/>
          <w:b/>
          <w:bCs/>
          <w:noProof/>
          <w:color w:val="1F497D"/>
          <w:szCs w:val="24"/>
          <w:lang w:val="es-ES" w:eastAsia="es-ES"/>
        </w:rPr>
        <w:t>42</w:t>
      </w:r>
      <w:r w:rsidRPr="00D026F9">
        <w:rPr>
          <w:rFonts w:ascii="Book Antiqua" w:eastAsia="Calibri" w:hAnsi="Book Antiqua" w:cs="Arial"/>
          <w:b/>
          <w:bCs/>
          <w:color w:val="1F497D"/>
          <w:szCs w:val="24"/>
          <w:lang w:val="es-ES" w:eastAsia="es-ES"/>
        </w:rPr>
        <w:fldChar w:fldCharType="end"/>
      </w:r>
      <w:r w:rsidRPr="00D026F9">
        <w:rPr>
          <w:rFonts w:ascii="Book Antiqua" w:eastAsia="Calibri" w:hAnsi="Book Antiqua" w:cs="Arial"/>
          <w:b/>
          <w:bCs/>
          <w:color w:val="1F497D"/>
          <w:szCs w:val="24"/>
          <w:lang w:val="es-ES" w:eastAsia="es-ES"/>
        </w:rPr>
        <w:t xml:space="preserve"> </w:t>
      </w:r>
    </w:p>
    <w:p w14:paraId="7FDA0532" w14:textId="1AD40A50" w:rsidR="00D026F9" w:rsidRDefault="00D026F9" w:rsidP="00D026F9">
      <w:pPr>
        <w:keepNext/>
        <w:numPr>
          <w:ilvl w:val="12"/>
          <w:numId w:val="0"/>
        </w:numPr>
        <w:spacing w:after="0" w:line="240" w:lineRule="auto"/>
        <w:jc w:val="center"/>
        <w:rPr>
          <w:rFonts w:ascii="Book Antiqua" w:eastAsia="Calibri" w:hAnsi="Book Antiqua" w:cs="Arial"/>
          <w:b/>
          <w:bCs/>
          <w:color w:val="1F497D"/>
          <w:szCs w:val="24"/>
          <w:lang w:val="es-ES" w:eastAsia="es-ES"/>
        </w:rPr>
      </w:pPr>
      <w:r w:rsidRPr="00D026F9">
        <w:rPr>
          <w:rFonts w:ascii="Book Antiqua" w:eastAsia="Calibri" w:hAnsi="Book Antiqua" w:cs="Arial"/>
          <w:b/>
          <w:bCs/>
          <w:color w:val="1F497D"/>
          <w:szCs w:val="24"/>
          <w:lang w:val="es-ES" w:eastAsia="es-ES"/>
        </w:rPr>
        <w:t>Carga de trabajo juzgado de Familia mixtos de Familia y Trabajo 201</w:t>
      </w:r>
      <w:r>
        <w:rPr>
          <w:rFonts w:ascii="Book Antiqua" w:eastAsia="Calibri" w:hAnsi="Book Antiqua" w:cs="Arial"/>
          <w:b/>
          <w:bCs/>
          <w:color w:val="1F497D"/>
          <w:szCs w:val="24"/>
          <w:lang w:val="es-ES" w:eastAsia="es-ES"/>
        </w:rPr>
        <w:t>7</w:t>
      </w:r>
      <w:r w:rsidRPr="00D026F9">
        <w:rPr>
          <w:rFonts w:ascii="Book Antiqua" w:eastAsia="Calibri" w:hAnsi="Book Antiqua" w:cs="Arial"/>
          <w:b/>
          <w:bCs/>
          <w:color w:val="1F497D"/>
          <w:szCs w:val="24"/>
          <w:lang w:val="es-ES" w:eastAsia="es-ES"/>
        </w:rPr>
        <w:t xml:space="preserve"> a 20</w:t>
      </w:r>
      <w:r>
        <w:rPr>
          <w:rFonts w:ascii="Book Antiqua" w:eastAsia="Calibri" w:hAnsi="Book Antiqua" w:cs="Arial"/>
          <w:b/>
          <w:bCs/>
          <w:color w:val="1F497D"/>
          <w:szCs w:val="24"/>
          <w:lang w:val="es-ES" w:eastAsia="es-ES"/>
        </w:rPr>
        <w:t>2</w:t>
      </w:r>
      <w:r w:rsidR="007118DC">
        <w:rPr>
          <w:rFonts w:ascii="Book Antiqua" w:eastAsia="Calibri" w:hAnsi="Book Antiqua" w:cs="Arial"/>
          <w:b/>
          <w:bCs/>
          <w:color w:val="1F497D"/>
          <w:szCs w:val="24"/>
          <w:lang w:val="es-ES" w:eastAsia="es-ES"/>
        </w:rPr>
        <w:t>2</w:t>
      </w:r>
    </w:p>
    <w:tbl>
      <w:tblPr>
        <w:tblW w:w="9928" w:type="dxa"/>
        <w:jc w:val="center"/>
        <w:tblCellMar>
          <w:left w:w="70" w:type="dxa"/>
          <w:right w:w="70" w:type="dxa"/>
        </w:tblCellMar>
        <w:tblLook w:val="04A0" w:firstRow="1" w:lastRow="0" w:firstColumn="1" w:lastColumn="0" w:noHBand="0" w:noVBand="1"/>
      </w:tblPr>
      <w:tblGrid>
        <w:gridCol w:w="1051"/>
        <w:gridCol w:w="924"/>
        <w:gridCol w:w="676"/>
        <w:gridCol w:w="978"/>
        <w:gridCol w:w="1096"/>
        <w:gridCol w:w="978"/>
        <w:gridCol w:w="1240"/>
        <w:gridCol w:w="1063"/>
        <w:gridCol w:w="978"/>
        <w:gridCol w:w="944"/>
      </w:tblGrid>
      <w:tr w:rsidR="00B60001" w:rsidRPr="00B60001" w14:paraId="7FC814C4" w14:textId="77777777" w:rsidTr="00B60001">
        <w:trPr>
          <w:trHeight w:val="316"/>
          <w:jc w:val="center"/>
        </w:trPr>
        <w:tc>
          <w:tcPr>
            <w:tcW w:w="97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75B2C30" w14:textId="77777777"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bookmarkStart w:id="55" w:name="_Hlk128687053"/>
            <w:r w:rsidRPr="00B60001">
              <w:rPr>
                <w:rFonts w:ascii="Book Antiqua" w:eastAsia="Times New Roman" w:hAnsi="Book Antiqua" w:cs="Calibri"/>
                <w:b/>
                <w:bCs/>
                <w:color w:val="FFFFFF"/>
                <w:sz w:val="20"/>
                <w:szCs w:val="20"/>
                <w:lang w:eastAsia="es-CR"/>
              </w:rPr>
              <w:t>Despacho</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BB0AA6" w14:textId="77777777"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Materia</w:t>
            </w:r>
          </w:p>
        </w:tc>
        <w:tc>
          <w:tcPr>
            <w:tcW w:w="1957" w:type="dxa"/>
            <w:gridSpan w:val="2"/>
            <w:tcBorders>
              <w:top w:val="single" w:sz="8" w:space="0" w:color="auto"/>
              <w:left w:val="nil"/>
              <w:bottom w:val="single" w:sz="8" w:space="0" w:color="auto"/>
              <w:right w:val="single" w:sz="8" w:space="0" w:color="000000"/>
            </w:tcBorders>
            <w:shd w:val="clear" w:color="000000" w:fill="002060"/>
            <w:vAlign w:val="center"/>
            <w:hideMark/>
          </w:tcPr>
          <w:p w14:paraId="05945AA6" w14:textId="77777777"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Recurso humano</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7664BB4" w14:textId="11A44D47"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 xml:space="preserve">Porcentaje dedicado por materia por </w:t>
            </w:r>
            <w:r w:rsidR="00303AE6">
              <w:rPr>
                <w:rFonts w:ascii="Book Antiqua" w:eastAsia="Times New Roman" w:hAnsi="Book Antiqua" w:cs="Calibri"/>
                <w:b/>
                <w:bCs/>
                <w:color w:val="FFFFFF"/>
                <w:sz w:val="20"/>
                <w:szCs w:val="20"/>
                <w:lang w:eastAsia="es-CR"/>
              </w:rPr>
              <w:t>J</w:t>
            </w:r>
            <w:r w:rsidRPr="00B60001">
              <w:rPr>
                <w:rFonts w:ascii="Book Antiqua" w:eastAsia="Times New Roman" w:hAnsi="Book Antiqua" w:cs="Calibri"/>
                <w:b/>
                <w:bCs/>
                <w:color w:val="FFFFFF"/>
                <w:sz w:val="20"/>
                <w:szCs w:val="20"/>
                <w:lang w:eastAsia="es-CR"/>
              </w:rPr>
              <w:t>uez</w:t>
            </w:r>
          </w:p>
        </w:tc>
        <w:tc>
          <w:tcPr>
            <w:tcW w:w="2103" w:type="dxa"/>
            <w:gridSpan w:val="2"/>
            <w:tcBorders>
              <w:top w:val="single" w:sz="8" w:space="0" w:color="auto"/>
              <w:left w:val="nil"/>
              <w:bottom w:val="single" w:sz="8" w:space="0" w:color="auto"/>
              <w:right w:val="single" w:sz="8" w:space="0" w:color="000000"/>
            </w:tcBorders>
            <w:shd w:val="clear" w:color="000000" w:fill="002060"/>
            <w:vAlign w:val="center"/>
            <w:hideMark/>
          </w:tcPr>
          <w:p w14:paraId="1A72F11D" w14:textId="77777777"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Promedios totales mensual</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698AC44" w14:textId="1324B43B"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 xml:space="preserve">Entrados al mes por persona </w:t>
            </w:r>
            <w:r w:rsidR="00303AE6">
              <w:rPr>
                <w:rFonts w:ascii="Book Antiqua" w:eastAsia="Times New Roman" w:hAnsi="Book Antiqua" w:cs="Calibri"/>
                <w:b/>
                <w:bCs/>
                <w:color w:val="FFFFFF"/>
                <w:sz w:val="20"/>
                <w:szCs w:val="20"/>
                <w:lang w:eastAsia="es-CR"/>
              </w:rPr>
              <w:t>J</w:t>
            </w:r>
            <w:r w:rsidRPr="00B60001">
              <w:rPr>
                <w:rFonts w:ascii="Book Antiqua" w:eastAsia="Times New Roman" w:hAnsi="Book Antiqua" w:cs="Calibri"/>
                <w:b/>
                <w:bCs/>
                <w:color w:val="FFFFFF"/>
                <w:sz w:val="20"/>
                <w:szCs w:val="20"/>
                <w:lang w:eastAsia="es-CR"/>
              </w:rPr>
              <w:t>uzgadora</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A159886" w14:textId="77777777"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Entrados al mes por persona Tec. Jud. Trámite</w:t>
            </w:r>
          </w:p>
        </w:tc>
        <w:tc>
          <w:tcPr>
            <w:tcW w:w="97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9893521" w14:textId="77777777"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Relación salida entre entrada</w:t>
            </w:r>
          </w:p>
        </w:tc>
      </w:tr>
      <w:tr w:rsidR="00B60001" w:rsidRPr="00B60001" w14:paraId="7E52E98E" w14:textId="77777777" w:rsidTr="00B60001">
        <w:trPr>
          <w:trHeight w:val="195"/>
          <w:jc w:val="center"/>
        </w:trPr>
        <w:tc>
          <w:tcPr>
            <w:tcW w:w="978" w:type="dxa"/>
            <w:vMerge/>
            <w:tcBorders>
              <w:top w:val="single" w:sz="8" w:space="0" w:color="auto"/>
              <w:left w:val="single" w:sz="8" w:space="0" w:color="auto"/>
              <w:bottom w:val="single" w:sz="8" w:space="0" w:color="000000"/>
              <w:right w:val="single" w:sz="8" w:space="0" w:color="auto"/>
            </w:tcBorders>
            <w:vAlign w:val="center"/>
            <w:hideMark/>
          </w:tcPr>
          <w:p w14:paraId="39D1A4FB" w14:textId="77777777" w:rsidR="00B60001" w:rsidRPr="00B60001" w:rsidRDefault="00B60001" w:rsidP="00B60001">
            <w:pPr>
              <w:spacing w:after="0" w:line="240" w:lineRule="auto"/>
              <w:rPr>
                <w:rFonts w:ascii="Book Antiqua" w:eastAsia="Times New Roman" w:hAnsi="Book Antiqua" w:cs="Calibri"/>
                <w:b/>
                <w:bCs/>
                <w:color w:val="FFFFFF"/>
                <w:sz w:val="20"/>
                <w:szCs w:val="20"/>
                <w:lang w:eastAsia="es-CR"/>
              </w:rPr>
            </w:pPr>
          </w:p>
        </w:tc>
        <w:tc>
          <w:tcPr>
            <w:tcW w:w="978" w:type="dxa"/>
            <w:vMerge/>
            <w:tcBorders>
              <w:top w:val="single" w:sz="8" w:space="0" w:color="auto"/>
              <w:left w:val="single" w:sz="8" w:space="0" w:color="auto"/>
              <w:bottom w:val="single" w:sz="8" w:space="0" w:color="000000"/>
              <w:right w:val="single" w:sz="8" w:space="0" w:color="auto"/>
            </w:tcBorders>
            <w:vAlign w:val="center"/>
            <w:hideMark/>
          </w:tcPr>
          <w:p w14:paraId="3AB2FBBD" w14:textId="77777777" w:rsidR="00B60001" w:rsidRPr="00B60001" w:rsidRDefault="00B60001" w:rsidP="00B60001">
            <w:pPr>
              <w:spacing w:after="0" w:line="240" w:lineRule="auto"/>
              <w:rPr>
                <w:rFonts w:ascii="Book Antiqua" w:eastAsia="Times New Roman" w:hAnsi="Book Antiqua" w:cs="Calibri"/>
                <w:b/>
                <w:bCs/>
                <w:color w:val="FFFFFF"/>
                <w:sz w:val="20"/>
                <w:szCs w:val="20"/>
                <w:lang w:eastAsia="es-CR"/>
              </w:rPr>
            </w:pPr>
          </w:p>
        </w:tc>
        <w:tc>
          <w:tcPr>
            <w:tcW w:w="978" w:type="dxa"/>
            <w:tcBorders>
              <w:top w:val="nil"/>
              <w:left w:val="nil"/>
              <w:bottom w:val="single" w:sz="8" w:space="0" w:color="auto"/>
              <w:right w:val="single" w:sz="8" w:space="0" w:color="auto"/>
            </w:tcBorders>
            <w:shd w:val="clear" w:color="000000" w:fill="002060"/>
            <w:vAlign w:val="center"/>
            <w:hideMark/>
          </w:tcPr>
          <w:p w14:paraId="7F70513B" w14:textId="77777777"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Jueza o Juez</w:t>
            </w:r>
          </w:p>
        </w:tc>
        <w:tc>
          <w:tcPr>
            <w:tcW w:w="978" w:type="dxa"/>
            <w:tcBorders>
              <w:top w:val="nil"/>
              <w:left w:val="nil"/>
              <w:bottom w:val="single" w:sz="8" w:space="0" w:color="auto"/>
              <w:right w:val="single" w:sz="8" w:space="0" w:color="auto"/>
            </w:tcBorders>
            <w:shd w:val="clear" w:color="000000" w:fill="002060"/>
            <w:vAlign w:val="center"/>
            <w:hideMark/>
          </w:tcPr>
          <w:p w14:paraId="12E940E4" w14:textId="4FBEC523" w:rsidR="00B60001" w:rsidRPr="00B60001" w:rsidRDefault="00B60001" w:rsidP="00B60001">
            <w:pPr>
              <w:spacing w:after="0" w:line="240" w:lineRule="auto"/>
              <w:jc w:val="center"/>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 xml:space="preserve">Téc. Jud. </w:t>
            </w:r>
            <w:r w:rsidR="00303AE6">
              <w:rPr>
                <w:rFonts w:ascii="Book Antiqua" w:eastAsia="Times New Roman" w:hAnsi="Book Antiqua" w:cs="Calibri"/>
                <w:b/>
                <w:bCs/>
                <w:color w:val="FFFFFF"/>
                <w:sz w:val="20"/>
                <w:szCs w:val="20"/>
                <w:lang w:eastAsia="es-CR"/>
              </w:rPr>
              <w:t>T</w:t>
            </w:r>
            <w:r w:rsidRPr="00B60001">
              <w:rPr>
                <w:rFonts w:ascii="Book Antiqua" w:eastAsia="Times New Roman" w:hAnsi="Book Antiqua" w:cs="Calibri"/>
                <w:b/>
                <w:bCs/>
                <w:color w:val="FFFFFF"/>
                <w:sz w:val="20"/>
                <w:szCs w:val="20"/>
                <w:lang w:eastAsia="es-CR"/>
              </w:rPr>
              <w:t>rámite</w:t>
            </w:r>
          </w:p>
        </w:tc>
        <w:tc>
          <w:tcPr>
            <w:tcW w:w="978" w:type="dxa"/>
            <w:vMerge/>
            <w:tcBorders>
              <w:top w:val="single" w:sz="8" w:space="0" w:color="auto"/>
              <w:left w:val="single" w:sz="8" w:space="0" w:color="auto"/>
              <w:bottom w:val="single" w:sz="8" w:space="0" w:color="000000"/>
              <w:right w:val="single" w:sz="8" w:space="0" w:color="auto"/>
            </w:tcBorders>
            <w:vAlign w:val="center"/>
            <w:hideMark/>
          </w:tcPr>
          <w:p w14:paraId="196B396E" w14:textId="77777777" w:rsidR="00B60001" w:rsidRPr="00B60001" w:rsidRDefault="00B60001" w:rsidP="00B60001">
            <w:pPr>
              <w:spacing w:after="0" w:line="240" w:lineRule="auto"/>
              <w:rPr>
                <w:rFonts w:ascii="Book Antiqua" w:eastAsia="Times New Roman" w:hAnsi="Book Antiqua" w:cs="Calibri"/>
                <w:b/>
                <w:bCs/>
                <w:color w:val="FFFFFF"/>
                <w:sz w:val="20"/>
                <w:szCs w:val="20"/>
                <w:lang w:eastAsia="es-CR"/>
              </w:rPr>
            </w:pPr>
          </w:p>
        </w:tc>
        <w:tc>
          <w:tcPr>
            <w:tcW w:w="978" w:type="dxa"/>
            <w:tcBorders>
              <w:top w:val="nil"/>
              <w:left w:val="nil"/>
              <w:bottom w:val="single" w:sz="8" w:space="0" w:color="auto"/>
              <w:right w:val="single" w:sz="8" w:space="0" w:color="auto"/>
            </w:tcBorders>
            <w:shd w:val="clear" w:color="000000" w:fill="002060"/>
            <w:vAlign w:val="center"/>
            <w:hideMark/>
          </w:tcPr>
          <w:p w14:paraId="4186F931" w14:textId="77777777" w:rsidR="00B60001" w:rsidRPr="00B60001" w:rsidRDefault="00B60001" w:rsidP="00B60001">
            <w:pPr>
              <w:spacing w:after="0" w:line="240" w:lineRule="auto"/>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Entrados</w:t>
            </w:r>
          </w:p>
        </w:tc>
        <w:tc>
          <w:tcPr>
            <w:tcW w:w="1125" w:type="dxa"/>
            <w:tcBorders>
              <w:top w:val="nil"/>
              <w:left w:val="nil"/>
              <w:bottom w:val="single" w:sz="8" w:space="0" w:color="auto"/>
              <w:right w:val="single" w:sz="8" w:space="0" w:color="auto"/>
            </w:tcBorders>
            <w:shd w:val="clear" w:color="000000" w:fill="002060"/>
            <w:vAlign w:val="center"/>
            <w:hideMark/>
          </w:tcPr>
          <w:p w14:paraId="7212AA89" w14:textId="77777777" w:rsidR="00B60001" w:rsidRPr="00B60001" w:rsidRDefault="00B60001" w:rsidP="00B60001">
            <w:pPr>
              <w:spacing w:after="0" w:line="240" w:lineRule="auto"/>
              <w:rPr>
                <w:rFonts w:ascii="Book Antiqua" w:eastAsia="Times New Roman" w:hAnsi="Book Antiqua" w:cs="Calibri"/>
                <w:b/>
                <w:bCs/>
                <w:color w:val="FFFFFF"/>
                <w:sz w:val="20"/>
                <w:szCs w:val="20"/>
                <w:lang w:eastAsia="es-CR"/>
              </w:rPr>
            </w:pPr>
            <w:r w:rsidRPr="00B60001">
              <w:rPr>
                <w:rFonts w:ascii="Book Antiqua" w:eastAsia="Times New Roman" w:hAnsi="Book Antiqua" w:cs="Calibri"/>
                <w:b/>
                <w:bCs/>
                <w:color w:val="FFFFFF"/>
                <w:sz w:val="20"/>
                <w:szCs w:val="20"/>
                <w:lang w:eastAsia="es-CR"/>
              </w:rPr>
              <w:t>Terminados</w:t>
            </w:r>
          </w:p>
        </w:tc>
        <w:tc>
          <w:tcPr>
            <w:tcW w:w="978" w:type="dxa"/>
            <w:vMerge/>
            <w:tcBorders>
              <w:top w:val="single" w:sz="8" w:space="0" w:color="auto"/>
              <w:left w:val="single" w:sz="8" w:space="0" w:color="auto"/>
              <w:bottom w:val="single" w:sz="8" w:space="0" w:color="000000"/>
              <w:right w:val="single" w:sz="8" w:space="0" w:color="auto"/>
            </w:tcBorders>
            <w:vAlign w:val="center"/>
            <w:hideMark/>
          </w:tcPr>
          <w:p w14:paraId="51252C86" w14:textId="77777777" w:rsidR="00B60001" w:rsidRPr="00B60001" w:rsidRDefault="00B60001" w:rsidP="00B60001">
            <w:pPr>
              <w:spacing w:after="0" w:line="240" w:lineRule="auto"/>
              <w:rPr>
                <w:rFonts w:ascii="Book Antiqua" w:eastAsia="Times New Roman" w:hAnsi="Book Antiqua" w:cs="Calibri"/>
                <w:b/>
                <w:bCs/>
                <w:color w:val="FFFFFF"/>
                <w:sz w:val="20"/>
                <w:szCs w:val="20"/>
                <w:lang w:eastAsia="es-CR"/>
              </w:rPr>
            </w:pPr>
          </w:p>
        </w:tc>
        <w:tc>
          <w:tcPr>
            <w:tcW w:w="978" w:type="dxa"/>
            <w:vMerge/>
            <w:tcBorders>
              <w:top w:val="single" w:sz="8" w:space="0" w:color="auto"/>
              <w:left w:val="single" w:sz="8" w:space="0" w:color="auto"/>
              <w:bottom w:val="single" w:sz="8" w:space="0" w:color="000000"/>
              <w:right w:val="single" w:sz="8" w:space="0" w:color="auto"/>
            </w:tcBorders>
            <w:vAlign w:val="center"/>
            <w:hideMark/>
          </w:tcPr>
          <w:p w14:paraId="1A29FA1B" w14:textId="77777777" w:rsidR="00B60001" w:rsidRPr="00B60001" w:rsidRDefault="00B60001" w:rsidP="00B60001">
            <w:pPr>
              <w:spacing w:after="0" w:line="240" w:lineRule="auto"/>
              <w:rPr>
                <w:rFonts w:ascii="Book Antiqua" w:eastAsia="Times New Roman" w:hAnsi="Book Antiqua" w:cs="Calibri"/>
                <w:b/>
                <w:bCs/>
                <w:color w:val="FFFFFF"/>
                <w:sz w:val="20"/>
                <w:szCs w:val="20"/>
                <w:lang w:eastAsia="es-CR"/>
              </w:rPr>
            </w:pPr>
          </w:p>
        </w:tc>
        <w:tc>
          <w:tcPr>
            <w:tcW w:w="978" w:type="dxa"/>
            <w:vMerge/>
            <w:tcBorders>
              <w:top w:val="single" w:sz="8" w:space="0" w:color="auto"/>
              <w:left w:val="single" w:sz="8" w:space="0" w:color="auto"/>
              <w:bottom w:val="single" w:sz="8" w:space="0" w:color="000000"/>
              <w:right w:val="single" w:sz="8" w:space="0" w:color="auto"/>
            </w:tcBorders>
            <w:vAlign w:val="center"/>
            <w:hideMark/>
          </w:tcPr>
          <w:p w14:paraId="576CA716" w14:textId="77777777" w:rsidR="00B60001" w:rsidRPr="00B60001" w:rsidRDefault="00B60001" w:rsidP="00B60001">
            <w:pPr>
              <w:spacing w:after="0" w:line="240" w:lineRule="auto"/>
              <w:rPr>
                <w:rFonts w:ascii="Book Antiqua" w:eastAsia="Times New Roman" w:hAnsi="Book Antiqua" w:cs="Calibri"/>
                <w:b/>
                <w:bCs/>
                <w:color w:val="FFFFFF"/>
                <w:sz w:val="20"/>
                <w:szCs w:val="20"/>
                <w:lang w:eastAsia="es-CR"/>
              </w:rPr>
            </w:pPr>
          </w:p>
        </w:tc>
      </w:tr>
      <w:tr w:rsidR="00B60001" w:rsidRPr="00B60001" w14:paraId="083DAB35" w14:textId="77777777" w:rsidTr="00B60001">
        <w:trPr>
          <w:trHeight w:val="464"/>
          <w:jc w:val="center"/>
        </w:trPr>
        <w:tc>
          <w:tcPr>
            <w:tcW w:w="978" w:type="dxa"/>
            <w:vMerge w:val="restart"/>
            <w:tcBorders>
              <w:top w:val="nil"/>
              <w:left w:val="single" w:sz="8" w:space="0" w:color="auto"/>
              <w:bottom w:val="single" w:sz="8" w:space="0" w:color="000000"/>
              <w:right w:val="single" w:sz="8" w:space="0" w:color="auto"/>
            </w:tcBorders>
            <w:shd w:val="clear" w:color="auto" w:fill="auto"/>
            <w:vAlign w:val="center"/>
            <w:hideMark/>
          </w:tcPr>
          <w:p w14:paraId="4DD6E25F" w14:textId="77777777" w:rsidR="00B60001" w:rsidRPr="00B60001" w:rsidRDefault="00B60001" w:rsidP="00B60001">
            <w:pPr>
              <w:spacing w:after="0" w:line="240" w:lineRule="auto"/>
              <w:rPr>
                <w:rFonts w:ascii="Book Antiqua" w:eastAsia="Times New Roman" w:hAnsi="Book Antiqua" w:cs="Calibri"/>
                <w:b/>
                <w:bCs/>
                <w:color w:val="000000"/>
                <w:sz w:val="20"/>
                <w:szCs w:val="20"/>
                <w:lang w:eastAsia="es-CR"/>
              </w:rPr>
            </w:pPr>
            <w:r w:rsidRPr="00B60001">
              <w:rPr>
                <w:rFonts w:ascii="Book Antiqua" w:eastAsia="Times New Roman" w:hAnsi="Book Antiqua" w:cs="Calibri"/>
                <w:b/>
                <w:bCs/>
                <w:color w:val="000000"/>
                <w:sz w:val="20"/>
                <w:szCs w:val="20"/>
                <w:lang w:eastAsia="es-CR"/>
              </w:rPr>
              <w:t>Juzgado Trabajo y Familia Hatillo, San Sebastián y Alajuelita</w:t>
            </w:r>
          </w:p>
        </w:tc>
        <w:tc>
          <w:tcPr>
            <w:tcW w:w="978" w:type="dxa"/>
            <w:tcBorders>
              <w:top w:val="nil"/>
              <w:left w:val="nil"/>
              <w:bottom w:val="single" w:sz="8" w:space="0" w:color="auto"/>
              <w:right w:val="single" w:sz="8" w:space="0" w:color="auto"/>
            </w:tcBorders>
            <w:shd w:val="clear" w:color="auto" w:fill="auto"/>
            <w:vAlign w:val="center"/>
            <w:hideMark/>
          </w:tcPr>
          <w:p w14:paraId="47B74508" w14:textId="77777777" w:rsidR="00B60001" w:rsidRPr="00B60001" w:rsidRDefault="00B60001" w:rsidP="00B60001">
            <w:pPr>
              <w:spacing w:after="0" w:line="240" w:lineRule="auto"/>
              <w:rPr>
                <w:rFonts w:ascii="Book Antiqua" w:eastAsia="Times New Roman" w:hAnsi="Book Antiqua" w:cs="Calibri"/>
                <w:b/>
                <w:bCs/>
                <w:color w:val="000000"/>
                <w:sz w:val="20"/>
                <w:szCs w:val="20"/>
                <w:lang w:eastAsia="es-CR"/>
              </w:rPr>
            </w:pPr>
            <w:r w:rsidRPr="00B60001">
              <w:rPr>
                <w:rFonts w:ascii="Book Antiqua" w:eastAsia="Times New Roman" w:hAnsi="Book Antiqua" w:cs="Calibri"/>
                <w:b/>
                <w:bCs/>
                <w:color w:val="000000"/>
                <w:sz w:val="20"/>
                <w:szCs w:val="20"/>
                <w:lang w:eastAsia="es-CR"/>
              </w:rPr>
              <w:t>Laboral</w:t>
            </w:r>
          </w:p>
        </w:tc>
        <w:tc>
          <w:tcPr>
            <w:tcW w:w="978" w:type="dxa"/>
            <w:tcBorders>
              <w:top w:val="nil"/>
              <w:left w:val="nil"/>
              <w:bottom w:val="single" w:sz="8" w:space="0" w:color="auto"/>
              <w:right w:val="single" w:sz="8" w:space="0" w:color="auto"/>
            </w:tcBorders>
            <w:shd w:val="clear" w:color="auto" w:fill="auto"/>
            <w:vAlign w:val="center"/>
            <w:hideMark/>
          </w:tcPr>
          <w:p w14:paraId="5CE01AAC"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1</w:t>
            </w:r>
          </w:p>
        </w:tc>
        <w:tc>
          <w:tcPr>
            <w:tcW w:w="97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C6C1F5D"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3</w:t>
            </w:r>
          </w:p>
        </w:tc>
        <w:tc>
          <w:tcPr>
            <w:tcW w:w="978" w:type="dxa"/>
            <w:tcBorders>
              <w:top w:val="nil"/>
              <w:left w:val="nil"/>
              <w:bottom w:val="single" w:sz="8" w:space="0" w:color="auto"/>
              <w:right w:val="single" w:sz="8" w:space="0" w:color="auto"/>
            </w:tcBorders>
            <w:shd w:val="clear" w:color="auto" w:fill="auto"/>
            <w:noWrap/>
            <w:vAlign w:val="center"/>
            <w:hideMark/>
          </w:tcPr>
          <w:p w14:paraId="7AFBF551"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100%</w:t>
            </w:r>
          </w:p>
        </w:tc>
        <w:tc>
          <w:tcPr>
            <w:tcW w:w="978" w:type="dxa"/>
            <w:tcBorders>
              <w:top w:val="nil"/>
              <w:left w:val="nil"/>
              <w:bottom w:val="single" w:sz="8" w:space="0" w:color="auto"/>
              <w:right w:val="single" w:sz="8" w:space="0" w:color="auto"/>
            </w:tcBorders>
            <w:shd w:val="clear" w:color="auto" w:fill="auto"/>
            <w:noWrap/>
            <w:vAlign w:val="center"/>
            <w:hideMark/>
          </w:tcPr>
          <w:p w14:paraId="2EFF3005"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17</w:t>
            </w:r>
          </w:p>
        </w:tc>
        <w:tc>
          <w:tcPr>
            <w:tcW w:w="1125" w:type="dxa"/>
            <w:tcBorders>
              <w:top w:val="nil"/>
              <w:left w:val="nil"/>
              <w:bottom w:val="single" w:sz="8" w:space="0" w:color="auto"/>
              <w:right w:val="single" w:sz="8" w:space="0" w:color="auto"/>
            </w:tcBorders>
            <w:shd w:val="clear" w:color="auto" w:fill="auto"/>
            <w:noWrap/>
            <w:vAlign w:val="center"/>
            <w:hideMark/>
          </w:tcPr>
          <w:p w14:paraId="0EE1F295"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14</w:t>
            </w:r>
          </w:p>
        </w:tc>
        <w:tc>
          <w:tcPr>
            <w:tcW w:w="978" w:type="dxa"/>
            <w:tcBorders>
              <w:top w:val="nil"/>
              <w:left w:val="nil"/>
              <w:bottom w:val="single" w:sz="8" w:space="0" w:color="auto"/>
              <w:right w:val="single" w:sz="8" w:space="0" w:color="auto"/>
            </w:tcBorders>
            <w:shd w:val="clear" w:color="auto" w:fill="auto"/>
            <w:noWrap/>
            <w:vAlign w:val="center"/>
            <w:hideMark/>
          </w:tcPr>
          <w:p w14:paraId="0D23EB8A"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17</w:t>
            </w:r>
          </w:p>
        </w:tc>
        <w:tc>
          <w:tcPr>
            <w:tcW w:w="978" w:type="dxa"/>
            <w:tcBorders>
              <w:top w:val="nil"/>
              <w:left w:val="nil"/>
              <w:bottom w:val="single" w:sz="8" w:space="0" w:color="auto"/>
              <w:right w:val="single" w:sz="8" w:space="0" w:color="auto"/>
            </w:tcBorders>
            <w:shd w:val="clear" w:color="auto" w:fill="auto"/>
            <w:noWrap/>
            <w:vAlign w:val="center"/>
            <w:hideMark/>
          </w:tcPr>
          <w:p w14:paraId="360FC375"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6</w:t>
            </w:r>
          </w:p>
        </w:tc>
        <w:tc>
          <w:tcPr>
            <w:tcW w:w="978" w:type="dxa"/>
            <w:tcBorders>
              <w:top w:val="nil"/>
              <w:left w:val="nil"/>
              <w:bottom w:val="single" w:sz="8" w:space="0" w:color="auto"/>
              <w:right w:val="single" w:sz="8" w:space="0" w:color="auto"/>
            </w:tcBorders>
            <w:shd w:val="clear" w:color="auto" w:fill="auto"/>
            <w:vAlign w:val="center"/>
            <w:hideMark/>
          </w:tcPr>
          <w:p w14:paraId="15CA2D6F"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83%</w:t>
            </w:r>
          </w:p>
        </w:tc>
      </w:tr>
      <w:tr w:rsidR="00B60001" w:rsidRPr="00B60001" w14:paraId="38703EC0" w14:textId="77777777" w:rsidTr="00B60001">
        <w:trPr>
          <w:trHeight w:val="110"/>
          <w:jc w:val="center"/>
        </w:trPr>
        <w:tc>
          <w:tcPr>
            <w:tcW w:w="978" w:type="dxa"/>
            <w:vMerge/>
            <w:tcBorders>
              <w:top w:val="nil"/>
              <w:left w:val="single" w:sz="8" w:space="0" w:color="auto"/>
              <w:bottom w:val="single" w:sz="8" w:space="0" w:color="000000"/>
              <w:right w:val="single" w:sz="8" w:space="0" w:color="auto"/>
            </w:tcBorders>
            <w:vAlign w:val="center"/>
            <w:hideMark/>
          </w:tcPr>
          <w:p w14:paraId="40DDC65A" w14:textId="77777777" w:rsidR="00B60001" w:rsidRPr="00B60001" w:rsidRDefault="00B60001" w:rsidP="00B60001">
            <w:pPr>
              <w:spacing w:after="0" w:line="240" w:lineRule="auto"/>
              <w:rPr>
                <w:rFonts w:ascii="Book Antiqua" w:eastAsia="Times New Roman" w:hAnsi="Book Antiqua" w:cs="Calibri"/>
                <w:b/>
                <w:bCs/>
                <w:color w:val="000000"/>
                <w:sz w:val="20"/>
                <w:szCs w:val="20"/>
                <w:lang w:eastAsia="es-CR"/>
              </w:rPr>
            </w:pPr>
          </w:p>
        </w:tc>
        <w:tc>
          <w:tcPr>
            <w:tcW w:w="978" w:type="dxa"/>
            <w:tcBorders>
              <w:top w:val="nil"/>
              <w:left w:val="nil"/>
              <w:bottom w:val="single" w:sz="8" w:space="0" w:color="auto"/>
              <w:right w:val="single" w:sz="8" w:space="0" w:color="auto"/>
            </w:tcBorders>
            <w:shd w:val="clear" w:color="auto" w:fill="auto"/>
            <w:vAlign w:val="center"/>
            <w:hideMark/>
          </w:tcPr>
          <w:p w14:paraId="170F4A15" w14:textId="77777777" w:rsidR="00B60001" w:rsidRPr="00B60001" w:rsidRDefault="00B60001" w:rsidP="00B60001">
            <w:pPr>
              <w:spacing w:after="0" w:line="240" w:lineRule="auto"/>
              <w:rPr>
                <w:rFonts w:ascii="Book Antiqua" w:eastAsia="Times New Roman" w:hAnsi="Book Antiqua" w:cs="Calibri"/>
                <w:b/>
                <w:bCs/>
                <w:color w:val="000000"/>
                <w:sz w:val="20"/>
                <w:szCs w:val="20"/>
                <w:lang w:eastAsia="es-CR"/>
              </w:rPr>
            </w:pPr>
            <w:r w:rsidRPr="00B60001">
              <w:rPr>
                <w:rFonts w:ascii="Book Antiqua" w:eastAsia="Times New Roman" w:hAnsi="Book Antiqua" w:cs="Calibri"/>
                <w:b/>
                <w:bCs/>
                <w:color w:val="000000"/>
                <w:sz w:val="20"/>
                <w:szCs w:val="20"/>
                <w:lang w:eastAsia="es-CR"/>
              </w:rPr>
              <w:t>Familia*</w:t>
            </w:r>
          </w:p>
        </w:tc>
        <w:tc>
          <w:tcPr>
            <w:tcW w:w="978" w:type="dxa"/>
            <w:tcBorders>
              <w:top w:val="nil"/>
              <w:left w:val="nil"/>
              <w:bottom w:val="single" w:sz="8" w:space="0" w:color="auto"/>
              <w:right w:val="single" w:sz="8" w:space="0" w:color="auto"/>
            </w:tcBorders>
            <w:shd w:val="clear" w:color="auto" w:fill="auto"/>
            <w:vAlign w:val="center"/>
            <w:hideMark/>
          </w:tcPr>
          <w:p w14:paraId="4099C3DF"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1</w:t>
            </w:r>
          </w:p>
        </w:tc>
        <w:tc>
          <w:tcPr>
            <w:tcW w:w="978" w:type="dxa"/>
            <w:vMerge/>
            <w:tcBorders>
              <w:top w:val="nil"/>
              <w:left w:val="single" w:sz="8" w:space="0" w:color="auto"/>
              <w:bottom w:val="single" w:sz="8" w:space="0" w:color="000000"/>
              <w:right w:val="single" w:sz="8" w:space="0" w:color="auto"/>
            </w:tcBorders>
            <w:vAlign w:val="center"/>
            <w:hideMark/>
          </w:tcPr>
          <w:p w14:paraId="65FC1D59" w14:textId="77777777" w:rsidR="00B60001" w:rsidRPr="00B60001" w:rsidRDefault="00B60001" w:rsidP="00B60001">
            <w:pPr>
              <w:spacing w:after="0" w:line="240" w:lineRule="auto"/>
              <w:rPr>
                <w:rFonts w:ascii="Book Antiqua" w:eastAsia="Times New Roman" w:hAnsi="Book Antiqua" w:cs="Calibri"/>
                <w:color w:val="000000"/>
                <w:sz w:val="20"/>
                <w:szCs w:val="20"/>
                <w:lang w:eastAsia="es-CR"/>
              </w:rPr>
            </w:pPr>
          </w:p>
        </w:tc>
        <w:tc>
          <w:tcPr>
            <w:tcW w:w="978" w:type="dxa"/>
            <w:tcBorders>
              <w:top w:val="nil"/>
              <w:left w:val="nil"/>
              <w:bottom w:val="single" w:sz="8" w:space="0" w:color="auto"/>
              <w:right w:val="single" w:sz="8" w:space="0" w:color="auto"/>
            </w:tcBorders>
            <w:shd w:val="clear" w:color="auto" w:fill="auto"/>
            <w:noWrap/>
            <w:vAlign w:val="center"/>
            <w:hideMark/>
          </w:tcPr>
          <w:p w14:paraId="13FEC949"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100%</w:t>
            </w:r>
          </w:p>
        </w:tc>
        <w:tc>
          <w:tcPr>
            <w:tcW w:w="978" w:type="dxa"/>
            <w:tcBorders>
              <w:top w:val="nil"/>
              <w:left w:val="nil"/>
              <w:bottom w:val="single" w:sz="8" w:space="0" w:color="auto"/>
              <w:right w:val="single" w:sz="8" w:space="0" w:color="auto"/>
            </w:tcBorders>
            <w:shd w:val="clear" w:color="auto" w:fill="auto"/>
            <w:noWrap/>
            <w:vAlign w:val="center"/>
            <w:hideMark/>
          </w:tcPr>
          <w:p w14:paraId="307CA2DA"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81</w:t>
            </w:r>
          </w:p>
        </w:tc>
        <w:tc>
          <w:tcPr>
            <w:tcW w:w="1125" w:type="dxa"/>
            <w:tcBorders>
              <w:top w:val="nil"/>
              <w:left w:val="nil"/>
              <w:bottom w:val="single" w:sz="8" w:space="0" w:color="auto"/>
              <w:right w:val="single" w:sz="8" w:space="0" w:color="auto"/>
            </w:tcBorders>
            <w:shd w:val="clear" w:color="auto" w:fill="auto"/>
            <w:noWrap/>
            <w:vAlign w:val="center"/>
            <w:hideMark/>
          </w:tcPr>
          <w:p w14:paraId="38805AEA"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67</w:t>
            </w:r>
          </w:p>
        </w:tc>
        <w:tc>
          <w:tcPr>
            <w:tcW w:w="978" w:type="dxa"/>
            <w:tcBorders>
              <w:top w:val="nil"/>
              <w:left w:val="nil"/>
              <w:bottom w:val="single" w:sz="8" w:space="0" w:color="auto"/>
              <w:right w:val="single" w:sz="8" w:space="0" w:color="auto"/>
            </w:tcBorders>
            <w:shd w:val="clear" w:color="auto" w:fill="auto"/>
            <w:noWrap/>
            <w:vAlign w:val="center"/>
            <w:hideMark/>
          </w:tcPr>
          <w:p w14:paraId="2F2C950E"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81</w:t>
            </w:r>
          </w:p>
        </w:tc>
        <w:tc>
          <w:tcPr>
            <w:tcW w:w="978" w:type="dxa"/>
            <w:tcBorders>
              <w:top w:val="nil"/>
              <w:left w:val="nil"/>
              <w:bottom w:val="single" w:sz="8" w:space="0" w:color="auto"/>
              <w:right w:val="single" w:sz="8" w:space="0" w:color="auto"/>
            </w:tcBorders>
            <w:shd w:val="clear" w:color="auto" w:fill="auto"/>
            <w:noWrap/>
            <w:vAlign w:val="center"/>
            <w:hideMark/>
          </w:tcPr>
          <w:p w14:paraId="5C5F0FF4"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27</w:t>
            </w:r>
          </w:p>
        </w:tc>
        <w:tc>
          <w:tcPr>
            <w:tcW w:w="978" w:type="dxa"/>
            <w:tcBorders>
              <w:top w:val="nil"/>
              <w:left w:val="nil"/>
              <w:bottom w:val="single" w:sz="8" w:space="0" w:color="auto"/>
              <w:right w:val="single" w:sz="8" w:space="0" w:color="auto"/>
            </w:tcBorders>
            <w:shd w:val="clear" w:color="auto" w:fill="auto"/>
            <w:vAlign w:val="center"/>
            <w:hideMark/>
          </w:tcPr>
          <w:p w14:paraId="45F3E3A0" w14:textId="77777777" w:rsidR="00B60001" w:rsidRPr="00B60001" w:rsidRDefault="00B60001" w:rsidP="00B60001">
            <w:pPr>
              <w:spacing w:after="0" w:line="240" w:lineRule="auto"/>
              <w:jc w:val="center"/>
              <w:rPr>
                <w:rFonts w:ascii="Book Antiqua" w:eastAsia="Times New Roman" w:hAnsi="Book Antiqua" w:cs="Calibri"/>
                <w:color w:val="000000"/>
                <w:sz w:val="20"/>
                <w:szCs w:val="20"/>
                <w:lang w:eastAsia="es-CR"/>
              </w:rPr>
            </w:pPr>
            <w:r w:rsidRPr="00B60001">
              <w:rPr>
                <w:rFonts w:ascii="Book Antiqua" w:eastAsia="Times New Roman" w:hAnsi="Book Antiqua" w:cs="Calibri"/>
                <w:color w:val="000000"/>
                <w:sz w:val="20"/>
                <w:szCs w:val="20"/>
                <w:lang w:eastAsia="es-CR"/>
              </w:rPr>
              <w:t>83%</w:t>
            </w:r>
          </w:p>
        </w:tc>
      </w:tr>
    </w:tbl>
    <w:bookmarkEnd w:id="55"/>
    <w:p w14:paraId="6934037A" w14:textId="77777777" w:rsidR="00BE283E" w:rsidRDefault="004C518F" w:rsidP="004C518F">
      <w:pPr>
        <w:spacing w:after="0" w:line="276" w:lineRule="auto"/>
        <w:jc w:val="both"/>
        <w:rPr>
          <w:rFonts w:ascii="Book Antiqua" w:eastAsia="Calibri" w:hAnsi="Book Antiqua" w:cs="Arial"/>
          <w:i/>
          <w:iCs/>
          <w:sz w:val="20"/>
          <w:szCs w:val="20"/>
        </w:rPr>
      </w:pPr>
      <w:r w:rsidRPr="007118DC">
        <w:rPr>
          <w:rFonts w:ascii="Book Antiqua" w:eastAsia="Calibri" w:hAnsi="Book Antiqua" w:cs="Arial"/>
          <w:b/>
          <w:bCs/>
          <w:i/>
          <w:iCs/>
          <w:sz w:val="20"/>
          <w:szCs w:val="20"/>
        </w:rPr>
        <w:t>Fuente:</w:t>
      </w:r>
      <w:r w:rsidRPr="004C518F">
        <w:rPr>
          <w:rFonts w:ascii="Book Antiqua" w:eastAsia="Calibri" w:hAnsi="Book Antiqua" w:cs="Arial"/>
          <w:i/>
          <w:iCs/>
          <w:sz w:val="20"/>
          <w:szCs w:val="20"/>
        </w:rPr>
        <w:t xml:space="preserve"> </w:t>
      </w:r>
      <w:r w:rsidR="00BE283E" w:rsidRPr="00BE283E">
        <w:rPr>
          <w:rFonts w:ascii="Book Antiqua" w:eastAsia="Calibri" w:hAnsi="Book Antiqua" w:cs="Arial"/>
          <w:i/>
          <w:iCs/>
          <w:sz w:val="20"/>
          <w:szCs w:val="20"/>
        </w:rPr>
        <w:t>Subproceso de Modernización Institucional con datos del Subproceso de Estadística del 2017 al 2022 y consulta del Balance General Interactivo del 23/2/2023</w:t>
      </w:r>
      <w:r w:rsidRPr="004C518F">
        <w:rPr>
          <w:rFonts w:ascii="Book Antiqua" w:eastAsia="Calibri" w:hAnsi="Book Antiqua" w:cs="Arial"/>
          <w:i/>
          <w:iCs/>
          <w:sz w:val="20"/>
          <w:szCs w:val="20"/>
        </w:rPr>
        <w:t>.</w:t>
      </w:r>
      <w:r w:rsidR="00BE283E">
        <w:rPr>
          <w:rFonts w:ascii="Book Antiqua" w:eastAsia="Calibri" w:hAnsi="Book Antiqua" w:cs="Arial"/>
          <w:i/>
          <w:iCs/>
          <w:sz w:val="20"/>
          <w:szCs w:val="20"/>
        </w:rPr>
        <w:t xml:space="preserve"> </w:t>
      </w:r>
    </w:p>
    <w:p w14:paraId="5FED1F55" w14:textId="27FE7E7E" w:rsidR="00320EB1" w:rsidRPr="004C518F" w:rsidRDefault="00BE283E" w:rsidP="004C518F">
      <w:pPr>
        <w:spacing w:after="0" w:line="276" w:lineRule="auto"/>
        <w:jc w:val="both"/>
        <w:rPr>
          <w:rFonts w:ascii="Book Antiqua" w:eastAsia="Calibri" w:hAnsi="Book Antiqua" w:cs="Arial"/>
          <w:i/>
          <w:iCs/>
          <w:sz w:val="20"/>
          <w:szCs w:val="20"/>
        </w:rPr>
      </w:pPr>
      <w:r w:rsidRPr="00BE283E">
        <w:rPr>
          <w:rFonts w:ascii="Book Antiqua" w:eastAsia="Calibri" w:hAnsi="Book Antiqua" w:cs="Arial"/>
          <w:b/>
          <w:bCs/>
          <w:i/>
          <w:iCs/>
          <w:sz w:val="20"/>
          <w:szCs w:val="20"/>
        </w:rPr>
        <w:t>Nota</w:t>
      </w:r>
      <w:r w:rsidR="004C518F" w:rsidRPr="00BE283E">
        <w:rPr>
          <w:rFonts w:ascii="Book Antiqua" w:eastAsia="Calibri" w:hAnsi="Book Antiqua" w:cs="Arial"/>
          <w:b/>
          <w:bCs/>
          <w:i/>
          <w:iCs/>
          <w:sz w:val="20"/>
          <w:szCs w:val="20"/>
        </w:rPr>
        <w:t>*</w:t>
      </w:r>
      <w:r w:rsidRPr="00BE283E">
        <w:rPr>
          <w:rFonts w:ascii="Book Antiqua" w:eastAsia="Calibri" w:hAnsi="Book Antiqua" w:cs="Arial"/>
          <w:b/>
          <w:bCs/>
          <w:i/>
          <w:iCs/>
          <w:sz w:val="20"/>
          <w:szCs w:val="20"/>
        </w:rPr>
        <w:t>:</w:t>
      </w:r>
      <w:r>
        <w:rPr>
          <w:rFonts w:ascii="Book Antiqua" w:eastAsia="Calibri" w:hAnsi="Book Antiqua" w:cs="Arial"/>
          <w:i/>
          <w:iCs/>
          <w:sz w:val="20"/>
          <w:szCs w:val="20"/>
        </w:rPr>
        <w:t xml:space="preserve"> </w:t>
      </w:r>
      <w:r w:rsidR="004C518F" w:rsidRPr="004C518F">
        <w:rPr>
          <w:rFonts w:ascii="Book Antiqua" w:eastAsia="Calibri" w:hAnsi="Book Antiqua" w:cs="Arial"/>
          <w:i/>
          <w:iCs/>
          <w:sz w:val="20"/>
          <w:szCs w:val="20"/>
        </w:rPr>
        <w:t xml:space="preserve">La entrada y terminados para materia Familia incluye Principales, </w:t>
      </w:r>
      <w:r>
        <w:rPr>
          <w:rFonts w:ascii="Book Antiqua" w:eastAsia="Calibri" w:hAnsi="Book Antiqua" w:cs="Arial"/>
          <w:i/>
          <w:iCs/>
          <w:sz w:val="20"/>
          <w:szCs w:val="20"/>
        </w:rPr>
        <w:t>R</w:t>
      </w:r>
      <w:r w:rsidR="004C518F" w:rsidRPr="004C518F">
        <w:rPr>
          <w:rFonts w:ascii="Book Antiqua" w:eastAsia="Calibri" w:hAnsi="Book Antiqua" w:cs="Arial"/>
          <w:i/>
          <w:iCs/>
          <w:sz w:val="20"/>
          <w:szCs w:val="20"/>
        </w:rPr>
        <w:t>eentrados, Incidentes y Segunda Instancia.</w:t>
      </w:r>
    </w:p>
    <w:p w14:paraId="21A8AF7E" w14:textId="5F6143BF" w:rsidR="00D026F9" w:rsidRDefault="00D026F9" w:rsidP="00355630">
      <w:pPr>
        <w:spacing w:after="0" w:line="276" w:lineRule="auto"/>
        <w:jc w:val="both"/>
        <w:rPr>
          <w:rFonts w:ascii="Book Antiqua" w:eastAsia="Calibri" w:hAnsi="Book Antiqua" w:cs="Arial"/>
          <w:sz w:val="24"/>
          <w:szCs w:val="24"/>
        </w:rPr>
      </w:pPr>
    </w:p>
    <w:p w14:paraId="2B43E4EB" w14:textId="016750C5"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 xml:space="preserve">La entrada promedio en estas oficinas en materia de Familia es de </w:t>
      </w:r>
      <w:r w:rsidR="008B1D25">
        <w:rPr>
          <w:rFonts w:ascii="Book Antiqua" w:eastAsia="Calibri" w:hAnsi="Book Antiqua" w:cs="Arial"/>
          <w:sz w:val="24"/>
          <w:szCs w:val="24"/>
        </w:rPr>
        <w:t>66</w:t>
      </w:r>
      <w:r w:rsidRPr="004C518F">
        <w:rPr>
          <w:rFonts w:ascii="Book Antiqua" w:eastAsia="Calibri" w:hAnsi="Book Antiqua" w:cs="Arial"/>
          <w:sz w:val="24"/>
          <w:szCs w:val="24"/>
        </w:rPr>
        <w:t xml:space="preserve"> casos por mes y la salida de </w:t>
      </w:r>
      <w:r w:rsidR="00712505">
        <w:rPr>
          <w:rFonts w:ascii="Book Antiqua" w:eastAsia="Calibri" w:hAnsi="Book Antiqua" w:cs="Arial"/>
          <w:sz w:val="24"/>
          <w:szCs w:val="24"/>
        </w:rPr>
        <w:t>4</w:t>
      </w:r>
      <w:r w:rsidR="008B1D25">
        <w:rPr>
          <w:rFonts w:ascii="Book Antiqua" w:eastAsia="Calibri" w:hAnsi="Book Antiqua" w:cs="Arial"/>
          <w:sz w:val="24"/>
          <w:szCs w:val="24"/>
        </w:rPr>
        <w:t>3</w:t>
      </w:r>
      <w:r w:rsidRPr="004C518F">
        <w:rPr>
          <w:rFonts w:ascii="Book Antiqua" w:eastAsia="Calibri" w:hAnsi="Book Antiqua" w:cs="Arial"/>
          <w:sz w:val="24"/>
          <w:szCs w:val="24"/>
        </w:rPr>
        <w:t xml:space="preserve"> para un </w:t>
      </w:r>
      <w:r w:rsidR="00712505">
        <w:rPr>
          <w:rFonts w:ascii="Book Antiqua" w:eastAsia="Calibri" w:hAnsi="Book Antiqua" w:cs="Arial"/>
          <w:sz w:val="24"/>
          <w:szCs w:val="24"/>
        </w:rPr>
        <w:t>6</w:t>
      </w:r>
      <w:r w:rsidR="008B1D25">
        <w:rPr>
          <w:rFonts w:ascii="Book Antiqua" w:eastAsia="Calibri" w:hAnsi="Book Antiqua" w:cs="Arial"/>
          <w:sz w:val="24"/>
          <w:szCs w:val="24"/>
        </w:rPr>
        <w:t>5</w:t>
      </w:r>
      <w:r w:rsidRPr="004C518F">
        <w:rPr>
          <w:rFonts w:ascii="Book Antiqua" w:eastAsia="Calibri" w:hAnsi="Book Antiqua" w:cs="Arial"/>
          <w:sz w:val="24"/>
          <w:szCs w:val="24"/>
        </w:rPr>
        <w:t>% de rendimiento. Por persona juzgadora ingresan en promedio por mes 3</w:t>
      </w:r>
      <w:r w:rsidR="008B1D25">
        <w:rPr>
          <w:rFonts w:ascii="Book Antiqua" w:eastAsia="Calibri" w:hAnsi="Book Antiqua" w:cs="Arial"/>
          <w:sz w:val="24"/>
          <w:szCs w:val="24"/>
        </w:rPr>
        <w:t>5</w:t>
      </w:r>
      <w:r w:rsidRPr="004C518F">
        <w:rPr>
          <w:rFonts w:ascii="Book Antiqua" w:eastAsia="Calibri" w:hAnsi="Book Antiqua" w:cs="Arial"/>
          <w:sz w:val="24"/>
          <w:szCs w:val="24"/>
        </w:rPr>
        <w:t xml:space="preserve"> asuntos. Encontrándose por debajo del promedio de entrada por plaza los Juzgados de Familia y Violencia de Nicoya </w:t>
      </w:r>
      <w:r w:rsidR="008B1D25">
        <w:rPr>
          <w:rFonts w:ascii="Book Antiqua" w:eastAsia="Calibri" w:hAnsi="Book Antiqua" w:cs="Arial"/>
          <w:sz w:val="24"/>
          <w:szCs w:val="24"/>
        </w:rPr>
        <w:t xml:space="preserve">con </w:t>
      </w:r>
      <w:r w:rsidRPr="004C518F">
        <w:rPr>
          <w:rFonts w:ascii="Book Antiqua" w:eastAsia="Calibri" w:hAnsi="Book Antiqua" w:cs="Arial"/>
          <w:sz w:val="24"/>
          <w:szCs w:val="24"/>
        </w:rPr>
        <w:t>2</w:t>
      </w:r>
      <w:r w:rsidR="008B1D25">
        <w:rPr>
          <w:rFonts w:ascii="Book Antiqua" w:eastAsia="Calibri" w:hAnsi="Book Antiqua" w:cs="Arial"/>
          <w:sz w:val="24"/>
          <w:szCs w:val="24"/>
        </w:rPr>
        <w:t xml:space="preserve">2, </w:t>
      </w:r>
      <w:r w:rsidR="008B1D25" w:rsidRPr="008B1D25">
        <w:rPr>
          <w:rFonts w:ascii="Book Antiqua" w:eastAsia="Calibri" w:hAnsi="Book Antiqua" w:cs="Arial"/>
          <w:sz w:val="24"/>
          <w:szCs w:val="24"/>
        </w:rPr>
        <w:t>Juzgado Familia, Penal Juv</w:t>
      </w:r>
      <w:r w:rsidR="008B1D25">
        <w:rPr>
          <w:rFonts w:ascii="Book Antiqua" w:eastAsia="Calibri" w:hAnsi="Book Antiqua" w:cs="Arial"/>
          <w:sz w:val="24"/>
          <w:szCs w:val="24"/>
        </w:rPr>
        <w:t xml:space="preserve">enil </w:t>
      </w:r>
      <w:r w:rsidR="008B1D25" w:rsidRPr="008B1D25">
        <w:rPr>
          <w:rFonts w:ascii="Book Antiqua" w:eastAsia="Calibri" w:hAnsi="Book Antiqua" w:cs="Arial"/>
          <w:sz w:val="24"/>
          <w:szCs w:val="24"/>
        </w:rPr>
        <w:t>y Viol</w:t>
      </w:r>
      <w:r w:rsidR="008B1D25">
        <w:rPr>
          <w:rFonts w:ascii="Book Antiqua" w:eastAsia="Calibri" w:hAnsi="Book Antiqua" w:cs="Arial"/>
          <w:sz w:val="24"/>
          <w:szCs w:val="24"/>
        </w:rPr>
        <w:t xml:space="preserve">encia </w:t>
      </w:r>
      <w:r w:rsidR="008B1D25" w:rsidRPr="008B1D25">
        <w:rPr>
          <w:rFonts w:ascii="Book Antiqua" w:eastAsia="Calibri" w:hAnsi="Book Antiqua" w:cs="Arial"/>
          <w:sz w:val="24"/>
          <w:szCs w:val="24"/>
        </w:rPr>
        <w:t>Dom</w:t>
      </w:r>
      <w:r w:rsidR="008B1D25">
        <w:rPr>
          <w:rFonts w:ascii="Book Antiqua" w:eastAsia="Calibri" w:hAnsi="Book Antiqua" w:cs="Arial"/>
          <w:sz w:val="24"/>
          <w:szCs w:val="24"/>
        </w:rPr>
        <w:t>éstica</w:t>
      </w:r>
      <w:r w:rsidR="008B1D25" w:rsidRPr="008B1D25">
        <w:rPr>
          <w:rFonts w:ascii="Book Antiqua" w:eastAsia="Calibri" w:hAnsi="Book Antiqua" w:cs="Arial"/>
          <w:sz w:val="24"/>
          <w:szCs w:val="24"/>
        </w:rPr>
        <w:t xml:space="preserve"> de Golfito</w:t>
      </w:r>
      <w:r w:rsidR="008B1D25">
        <w:rPr>
          <w:rFonts w:ascii="Book Antiqua" w:eastAsia="Calibri" w:hAnsi="Book Antiqua" w:cs="Arial"/>
          <w:sz w:val="24"/>
          <w:szCs w:val="24"/>
        </w:rPr>
        <w:t xml:space="preserve"> con 31 y </w:t>
      </w:r>
      <w:r w:rsidRPr="004C518F">
        <w:rPr>
          <w:rFonts w:ascii="Book Antiqua" w:eastAsia="Calibri" w:hAnsi="Book Antiqua" w:cs="Arial"/>
          <w:sz w:val="24"/>
          <w:szCs w:val="24"/>
        </w:rPr>
        <w:t xml:space="preserve">Santa Cruz </w:t>
      </w:r>
      <w:r w:rsidR="008B1D25">
        <w:rPr>
          <w:rFonts w:ascii="Book Antiqua" w:eastAsia="Calibri" w:hAnsi="Book Antiqua" w:cs="Arial"/>
          <w:sz w:val="24"/>
          <w:szCs w:val="24"/>
        </w:rPr>
        <w:t>con 24 asuntos nuevos por plaza de persona juzgadora</w:t>
      </w:r>
      <w:r w:rsidRPr="004C518F">
        <w:rPr>
          <w:rFonts w:ascii="Book Antiqua" w:eastAsia="Calibri" w:hAnsi="Book Antiqua" w:cs="Arial"/>
          <w:sz w:val="24"/>
          <w:szCs w:val="24"/>
        </w:rPr>
        <w:t xml:space="preserve">.   </w:t>
      </w:r>
    </w:p>
    <w:p w14:paraId="66B1D5EC" w14:textId="77777777" w:rsidR="004C518F" w:rsidRPr="004C518F" w:rsidRDefault="004C518F" w:rsidP="004C518F">
      <w:pPr>
        <w:spacing w:after="0" w:line="276" w:lineRule="auto"/>
        <w:jc w:val="both"/>
        <w:rPr>
          <w:rFonts w:ascii="Book Antiqua" w:eastAsia="Calibri" w:hAnsi="Book Antiqua" w:cs="Arial"/>
          <w:sz w:val="24"/>
          <w:szCs w:val="24"/>
        </w:rPr>
      </w:pPr>
    </w:p>
    <w:p w14:paraId="4F68B4AC" w14:textId="36B07041"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Y superando la entrada mensual definida de 7</w:t>
      </w:r>
      <w:r w:rsidR="00A87815">
        <w:rPr>
          <w:rFonts w:ascii="Book Antiqua" w:eastAsia="Calibri" w:hAnsi="Book Antiqua" w:cs="Arial"/>
          <w:sz w:val="24"/>
          <w:szCs w:val="24"/>
        </w:rPr>
        <w:t>6</w:t>
      </w:r>
      <w:r w:rsidRPr="004C518F">
        <w:rPr>
          <w:rFonts w:ascii="Book Antiqua" w:eastAsia="Calibri" w:hAnsi="Book Antiqua" w:cs="Arial"/>
          <w:sz w:val="24"/>
          <w:szCs w:val="24"/>
        </w:rPr>
        <w:t xml:space="preserve"> casos (3</w:t>
      </w:r>
      <w:r w:rsidR="00A87815">
        <w:rPr>
          <w:rFonts w:ascii="Book Antiqua" w:eastAsia="Calibri" w:hAnsi="Book Antiqua" w:cs="Arial"/>
          <w:sz w:val="24"/>
          <w:szCs w:val="24"/>
        </w:rPr>
        <w:t>8</w:t>
      </w:r>
      <w:r w:rsidRPr="004C518F">
        <w:rPr>
          <w:rFonts w:ascii="Book Antiqua" w:eastAsia="Calibri" w:hAnsi="Book Antiqua" w:cs="Arial"/>
          <w:sz w:val="24"/>
          <w:szCs w:val="24"/>
        </w:rPr>
        <w:t xml:space="preserve"> para una persona dedicada el 50% de su tiempo a atender familia), se ubican los despachos del </w:t>
      </w:r>
      <w:r w:rsidR="00A87815">
        <w:rPr>
          <w:rFonts w:ascii="Book Antiqua" w:eastAsia="Calibri" w:hAnsi="Book Antiqua" w:cs="Arial"/>
          <w:sz w:val="24"/>
          <w:szCs w:val="24"/>
        </w:rPr>
        <w:t xml:space="preserve">Primer Circuito Judicial de Guanacaste </w:t>
      </w:r>
      <w:r w:rsidRPr="004C518F">
        <w:rPr>
          <w:rFonts w:ascii="Book Antiqua" w:eastAsia="Calibri" w:hAnsi="Book Antiqua" w:cs="Arial"/>
          <w:sz w:val="24"/>
          <w:szCs w:val="24"/>
        </w:rPr>
        <w:t>(</w:t>
      </w:r>
      <w:r w:rsidR="00A87815">
        <w:rPr>
          <w:rFonts w:ascii="Book Antiqua" w:eastAsia="Calibri" w:hAnsi="Book Antiqua" w:cs="Arial"/>
          <w:sz w:val="24"/>
          <w:szCs w:val="24"/>
        </w:rPr>
        <w:t>4</w:t>
      </w:r>
      <w:r w:rsidR="008B1D25">
        <w:rPr>
          <w:rFonts w:ascii="Book Antiqua" w:eastAsia="Calibri" w:hAnsi="Book Antiqua" w:cs="Arial"/>
          <w:sz w:val="24"/>
          <w:szCs w:val="24"/>
        </w:rPr>
        <w:t>3</w:t>
      </w:r>
      <w:r w:rsidRPr="004C518F">
        <w:rPr>
          <w:rFonts w:ascii="Book Antiqua" w:eastAsia="Calibri" w:hAnsi="Book Antiqua" w:cs="Arial"/>
          <w:sz w:val="24"/>
          <w:szCs w:val="24"/>
        </w:rPr>
        <w:t xml:space="preserve"> nuevos por mes por plaza), Tercer Circuito Judicial de Alajuela-San Ramón (4</w:t>
      </w:r>
      <w:r w:rsidR="00374D38">
        <w:rPr>
          <w:rFonts w:ascii="Book Antiqua" w:eastAsia="Calibri" w:hAnsi="Book Antiqua" w:cs="Arial"/>
          <w:sz w:val="24"/>
          <w:szCs w:val="24"/>
        </w:rPr>
        <w:t>2</w:t>
      </w:r>
      <w:r w:rsidRPr="004C518F">
        <w:rPr>
          <w:rFonts w:ascii="Book Antiqua" w:eastAsia="Calibri" w:hAnsi="Book Antiqua" w:cs="Arial"/>
          <w:sz w:val="24"/>
          <w:szCs w:val="24"/>
        </w:rPr>
        <w:t>) y Grecia (</w:t>
      </w:r>
      <w:r w:rsidR="00374D38">
        <w:rPr>
          <w:rFonts w:ascii="Book Antiqua" w:eastAsia="Calibri" w:hAnsi="Book Antiqua" w:cs="Arial"/>
          <w:sz w:val="24"/>
          <w:szCs w:val="24"/>
        </w:rPr>
        <w:t>49</w:t>
      </w:r>
      <w:r w:rsidRPr="004C518F">
        <w:rPr>
          <w:rFonts w:ascii="Book Antiqua" w:eastAsia="Calibri" w:hAnsi="Book Antiqua" w:cs="Arial"/>
          <w:sz w:val="24"/>
          <w:szCs w:val="24"/>
        </w:rPr>
        <w:t xml:space="preserve">). </w:t>
      </w:r>
    </w:p>
    <w:p w14:paraId="256AFC4B" w14:textId="5716557D"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Sin embargo, la diferencia no justifica la asignación de una plaza de persona juzgadora adicional. La entrada eventualmente disminuiría a partir de la desjudicialización de algunos procesos con la entrada en vigencia de la Ley 9747 a partir del 1 de octubre 202</w:t>
      </w:r>
      <w:r w:rsidR="00374D38">
        <w:rPr>
          <w:rFonts w:ascii="Book Antiqua" w:eastAsia="Calibri" w:hAnsi="Book Antiqua" w:cs="Arial"/>
          <w:sz w:val="24"/>
          <w:szCs w:val="24"/>
        </w:rPr>
        <w:t>4</w:t>
      </w:r>
      <w:r w:rsidR="00DC70A2">
        <w:rPr>
          <w:rFonts w:ascii="Book Antiqua" w:eastAsia="Calibri" w:hAnsi="Book Antiqua" w:cs="Arial"/>
          <w:sz w:val="24"/>
          <w:szCs w:val="24"/>
        </w:rPr>
        <w:t xml:space="preserve">, </w:t>
      </w:r>
      <w:r w:rsidRPr="004C518F">
        <w:rPr>
          <w:rFonts w:ascii="Book Antiqua" w:eastAsia="Calibri" w:hAnsi="Book Antiqua" w:cs="Arial"/>
          <w:sz w:val="24"/>
          <w:szCs w:val="24"/>
        </w:rPr>
        <w:t xml:space="preserve">ver estimación en el siguiente cuadro.  </w:t>
      </w:r>
    </w:p>
    <w:p w14:paraId="3170E176" w14:textId="528634FF" w:rsidR="00D026F9" w:rsidRDefault="00D026F9" w:rsidP="00355630">
      <w:pPr>
        <w:spacing w:after="0" w:line="276" w:lineRule="auto"/>
        <w:jc w:val="both"/>
        <w:rPr>
          <w:rFonts w:ascii="Book Antiqua" w:eastAsia="Calibri" w:hAnsi="Book Antiqua" w:cs="Arial"/>
          <w:sz w:val="24"/>
          <w:szCs w:val="24"/>
        </w:rPr>
      </w:pPr>
    </w:p>
    <w:p w14:paraId="76B490F1" w14:textId="00107597" w:rsidR="00565659" w:rsidRDefault="004C518F" w:rsidP="00355630">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 xml:space="preserve">La entrada promedio en estas oficinas en materia de Violencia Doméstica es de </w:t>
      </w:r>
      <w:r w:rsidR="00374D38">
        <w:rPr>
          <w:rFonts w:ascii="Book Antiqua" w:eastAsia="Calibri" w:hAnsi="Book Antiqua" w:cs="Arial"/>
          <w:sz w:val="24"/>
          <w:szCs w:val="24"/>
        </w:rPr>
        <w:t>86</w:t>
      </w:r>
      <w:r w:rsidRPr="004C518F">
        <w:rPr>
          <w:rFonts w:ascii="Book Antiqua" w:eastAsia="Calibri" w:hAnsi="Book Antiqua" w:cs="Arial"/>
          <w:sz w:val="24"/>
          <w:szCs w:val="24"/>
        </w:rPr>
        <w:t xml:space="preserve"> casos por mes y la salida de </w:t>
      </w:r>
      <w:r w:rsidR="00374D38">
        <w:rPr>
          <w:rFonts w:ascii="Book Antiqua" w:eastAsia="Calibri" w:hAnsi="Book Antiqua" w:cs="Arial"/>
          <w:sz w:val="24"/>
          <w:szCs w:val="24"/>
        </w:rPr>
        <w:t>74</w:t>
      </w:r>
      <w:r w:rsidRPr="004C518F">
        <w:rPr>
          <w:rFonts w:ascii="Book Antiqua" w:eastAsia="Calibri" w:hAnsi="Book Antiqua" w:cs="Arial"/>
          <w:sz w:val="24"/>
          <w:szCs w:val="24"/>
        </w:rPr>
        <w:t xml:space="preserve">, lo que representa un </w:t>
      </w:r>
      <w:r w:rsidR="00374D38">
        <w:rPr>
          <w:rFonts w:ascii="Book Antiqua" w:eastAsia="Calibri" w:hAnsi="Book Antiqua" w:cs="Arial"/>
          <w:sz w:val="24"/>
          <w:szCs w:val="24"/>
        </w:rPr>
        <w:t>85</w:t>
      </w:r>
      <w:r w:rsidRPr="004C518F">
        <w:rPr>
          <w:rFonts w:ascii="Book Antiqua" w:eastAsia="Calibri" w:hAnsi="Book Antiqua" w:cs="Arial"/>
          <w:sz w:val="24"/>
          <w:szCs w:val="24"/>
        </w:rPr>
        <w:t xml:space="preserve">% de rendimiento general. </w:t>
      </w:r>
    </w:p>
    <w:p w14:paraId="35C0D52D" w14:textId="77777777" w:rsidR="00565659" w:rsidRDefault="00565659" w:rsidP="00355630">
      <w:pPr>
        <w:spacing w:after="0" w:line="276" w:lineRule="auto"/>
        <w:jc w:val="both"/>
        <w:rPr>
          <w:rFonts w:ascii="Book Antiqua" w:eastAsia="Calibri" w:hAnsi="Book Antiqua" w:cs="Arial"/>
          <w:sz w:val="24"/>
          <w:szCs w:val="24"/>
        </w:rPr>
      </w:pPr>
    </w:p>
    <w:p w14:paraId="01ABFF45" w14:textId="6D3DFA1B" w:rsidR="00D026F9" w:rsidRDefault="004C518F" w:rsidP="00355630">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 xml:space="preserve">Por persona juzgadora ingresan en promedio </w:t>
      </w:r>
      <w:r w:rsidR="00026705">
        <w:rPr>
          <w:rFonts w:ascii="Book Antiqua" w:eastAsia="Calibri" w:hAnsi="Book Antiqua" w:cs="Arial"/>
          <w:sz w:val="24"/>
          <w:szCs w:val="24"/>
        </w:rPr>
        <w:t>4</w:t>
      </w:r>
      <w:r w:rsidR="00374D38">
        <w:rPr>
          <w:rFonts w:ascii="Book Antiqua" w:eastAsia="Calibri" w:hAnsi="Book Antiqua" w:cs="Arial"/>
          <w:sz w:val="24"/>
          <w:szCs w:val="24"/>
        </w:rPr>
        <w:t>6</w:t>
      </w:r>
      <w:r w:rsidRPr="004C518F">
        <w:rPr>
          <w:rFonts w:ascii="Book Antiqua" w:eastAsia="Calibri" w:hAnsi="Book Antiqua" w:cs="Arial"/>
          <w:sz w:val="24"/>
          <w:szCs w:val="24"/>
        </w:rPr>
        <w:t xml:space="preserve"> casos nuevos por mes. El caso más significativo es Santa Cruz que reporta una entrada de 6</w:t>
      </w:r>
      <w:r w:rsidR="00374D38">
        <w:rPr>
          <w:rFonts w:ascii="Book Antiqua" w:eastAsia="Calibri" w:hAnsi="Book Antiqua" w:cs="Arial"/>
          <w:sz w:val="24"/>
          <w:szCs w:val="24"/>
        </w:rPr>
        <w:t>2</w:t>
      </w:r>
      <w:r w:rsidRPr="004C518F">
        <w:rPr>
          <w:rFonts w:ascii="Book Antiqua" w:eastAsia="Calibri" w:hAnsi="Book Antiqua" w:cs="Arial"/>
          <w:sz w:val="24"/>
          <w:szCs w:val="24"/>
        </w:rPr>
        <w:t xml:space="preserve"> nuevos por plaza, aun así, reporta un rendimiento del </w:t>
      </w:r>
      <w:r w:rsidR="00026705">
        <w:rPr>
          <w:rFonts w:ascii="Book Antiqua" w:eastAsia="Calibri" w:hAnsi="Book Antiqua" w:cs="Arial"/>
          <w:sz w:val="24"/>
          <w:szCs w:val="24"/>
        </w:rPr>
        <w:t>8</w:t>
      </w:r>
      <w:r w:rsidR="00374D38">
        <w:rPr>
          <w:rFonts w:ascii="Book Antiqua" w:eastAsia="Calibri" w:hAnsi="Book Antiqua" w:cs="Arial"/>
          <w:sz w:val="24"/>
          <w:szCs w:val="24"/>
        </w:rPr>
        <w:t>4</w:t>
      </w:r>
      <w:r w:rsidRPr="004C518F">
        <w:rPr>
          <w:rFonts w:ascii="Book Antiqua" w:eastAsia="Calibri" w:hAnsi="Book Antiqua" w:cs="Arial"/>
          <w:sz w:val="24"/>
          <w:szCs w:val="24"/>
        </w:rPr>
        <w:t>% respecto a la relación salida</w:t>
      </w:r>
      <w:r w:rsidR="00374D38">
        <w:rPr>
          <w:rFonts w:ascii="Book Antiqua" w:eastAsia="Calibri" w:hAnsi="Book Antiqua" w:cs="Arial"/>
          <w:sz w:val="24"/>
          <w:szCs w:val="24"/>
        </w:rPr>
        <w:t>/</w:t>
      </w:r>
      <w:r w:rsidR="00374D38" w:rsidRPr="004C518F">
        <w:rPr>
          <w:rFonts w:ascii="Book Antiqua" w:eastAsia="Calibri" w:hAnsi="Book Antiqua" w:cs="Arial"/>
          <w:sz w:val="24"/>
          <w:szCs w:val="24"/>
        </w:rPr>
        <w:t>entrada</w:t>
      </w:r>
      <w:r w:rsidRPr="004C518F">
        <w:rPr>
          <w:rFonts w:ascii="Book Antiqua" w:eastAsia="Calibri" w:hAnsi="Book Antiqua" w:cs="Arial"/>
          <w:sz w:val="24"/>
          <w:szCs w:val="24"/>
        </w:rPr>
        <w:t xml:space="preserve">.  </w:t>
      </w:r>
    </w:p>
    <w:p w14:paraId="69F722EB" w14:textId="4903862F" w:rsidR="00D026F9" w:rsidRDefault="00D026F9" w:rsidP="00355630">
      <w:pPr>
        <w:spacing w:after="0" w:line="276" w:lineRule="auto"/>
        <w:jc w:val="both"/>
        <w:rPr>
          <w:rFonts w:ascii="Book Antiqua" w:eastAsia="Calibri" w:hAnsi="Book Antiqua" w:cs="Arial"/>
          <w:sz w:val="24"/>
          <w:szCs w:val="24"/>
        </w:rPr>
      </w:pPr>
    </w:p>
    <w:p w14:paraId="2A3B78E2" w14:textId="6EC6BE6E"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 xml:space="preserve">Cuadro </w:t>
      </w:r>
      <w:r w:rsidRPr="00026705">
        <w:rPr>
          <w:rFonts w:ascii="Book Antiqua" w:eastAsia="Calibri" w:hAnsi="Book Antiqua" w:cs="Arial"/>
          <w:b/>
          <w:bCs/>
          <w:color w:val="1F497D"/>
          <w:szCs w:val="24"/>
          <w:lang w:val="es-ES" w:eastAsia="es-ES"/>
        </w:rPr>
        <w:fldChar w:fldCharType="begin"/>
      </w:r>
      <w:r w:rsidRPr="00026705">
        <w:rPr>
          <w:rFonts w:ascii="Book Antiqua" w:eastAsia="Calibri" w:hAnsi="Book Antiqua" w:cs="Arial"/>
          <w:b/>
          <w:bCs/>
          <w:color w:val="1F497D"/>
          <w:szCs w:val="24"/>
          <w:lang w:val="es-ES" w:eastAsia="es-ES"/>
        </w:rPr>
        <w:instrText xml:space="preserve"> SEQ Cuadro \* ARABIC </w:instrText>
      </w:r>
      <w:r w:rsidRPr="00026705">
        <w:rPr>
          <w:rFonts w:ascii="Book Antiqua" w:eastAsia="Calibri" w:hAnsi="Book Antiqua" w:cs="Arial"/>
          <w:b/>
          <w:bCs/>
          <w:color w:val="1F497D"/>
          <w:szCs w:val="24"/>
          <w:lang w:val="es-ES" w:eastAsia="es-ES"/>
        </w:rPr>
        <w:fldChar w:fldCharType="separate"/>
      </w:r>
      <w:r w:rsidR="00457203">
        <w:rPr>
          <w:rFonts w:ascii="Book Antiqua" w:eastAsia="Calibri" w:hAnsi="Book Antiqua" w:cs="Arial"/>
          <w:b/>
          <w:bCs/>
          <w:noProof/>
          <w:color w:val="1F497D"/>
          <w:szCs w:val="24"/>
          <w:lang w:val="es-ES" w:eastAsia="es-ES"/>
        </w:rPr>
        <w:t>43</w:t>
      </w:r>
      <w:r w:rsidRPr="00026705">
        <w:rPr>
          <w:rFonts w:ascii="Book Antiqua" w:eastAsia="Calibri" w:hAnsi="Book Antiqua" w:cs="Arial"/>
          <w:b/>
          <w:bCs/>
          <w:color w:val="1F497D"/>
          <w:szCs w:val="24"/>
          <w:lang w:val="es-ES" w:eastAsia="es-ES"/>
        </w:rPr>
        <w:fldChar w:fldCharType="end"/>
      </w:r>
      <w:r w:rsidRPr="00026705">
        <w:rPr>
          <w:rFonts w:ascii="Book Antiqua" w:eastAsia="Calibri" w:hAnsi="Book Antiqua" w:cs="Arial"/>
          <w:b/>
          <w:bCs/>
          <w:color w:val="1F497D"/>
          <w:szCs w:val="24"/>
          <w:lang w:val="es-ES" w:eastAsia="es-ES"/>
        </w:rPr>
        <w:t xml:space="preserve"> </w:t>
      </w:r>
    </w:p>
    <w:p w14:paraId="46993724" w14:textId="77777777" w:rsidR="00026705" w:rsidRPr="00F14A3F"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14A3F">
        <w:rPr>
          <w:rFonts w:ascii="Book Antiqua" w:eastAsia="Calibri" w:hAnsi="Book Antiqua" w:cs="Arial"/>
          <w:b/>
          <w:bCs/>
          <w:color w:val="1F497D"/>
          <w:szCs w:val="24"/>
          <w:lang w:val="es-ES" w:eastAsia="es-ES"/>
        </w:rPr>
        <w:t xml:space="preserve">Carga de trabajo por persona juzgadora y por </w:t>
      </w:r>
    </w:p>
    <w:p w14:paraId="7EE52D07" w14:textId="0FC807DD" w:rsid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14A3F">
        <w:rPr>
          <w:rFonts w:ascii="Book Antiqua" w:eastAsia="Calibri" w:hAnsi="Book Antiqua" w:cs="Arial"/>
          <w:b/>
          <w:bCs/>
          <w:color w:val="1F497D"/>
          <w:szCs w:val="24"/>
          <w:lang w:val="es-ES" w:eastAsia="es-ES"/>
        </w:rPr>
        <w:t>persona técnica judicial con la desjudicialización</w:t>
      </w:r>
      <w:r w:rsidR="004D6EE2" w:rsidRPr="00F14A3F">
        <w:rPr>
          <w:rFonts w:ascii="Book Antiqua" w:eastAsia="Calibri" w:hAnsi="Book Antiqua" w:cs="Arial"/>
          <w:b/>
          <w:bCs/>
          <w:color w:val="1F497D"/>
          <w:szCs w:val="24"/>
          <w:lang w:val="es-ES" w:eastAsia="es-ES"/>
        </w:rPr>
        <w:t xml:space="preserve">, </w:t>
      </w:r>
      <w:r w:rsidR="00E11F20" w:rsidRPr="00F14A3F">
        <w:rPr>
          <w:rFonts w:ascii="Book Antiqua" w:eastAsia="Calibri" w:hAnsi="Book Antiqua" w:cs="Arial"/>
          <w:b/>
          <w:bCs/>
          <w:color w:val="1F497D"/>
          <w:szCs w:val="24"/>
          <w:lang w:val="es-ES" w:eastAsia="es-ES"/>
        </w:rPr>
        <w:t>2017</w:t>
      </w:r>
      <w:r w:rsidR="00105542" w:rsidRPr="00F14A3F">
        <w:rPr>
          <w:rFonts w:ascii="Book Antiqua" w:eastAsia="Calibri" w:hAnsi="Book Antiqua" w:cs="Arial"/>
          <w:b/>
          <w:bCs/>
          <w:color w:val="1F497D"/>
          <w:szCs w:val="24"/>
          <w:lang w:val="es-ES" w:eastAsia="es-ES"/>
        </w:rPr>
        <w:t xml:space="preserve"> a </w:t>
      </w:r>
      <w:r w:rsidR="004D6EE2" w:rsidRPr="00F14A3F">
        <w:rPr>
          <w:rFonts w:ascii="Book Antiqua" w:eastAsia="Calibri" w:hAnsi="Book Antiqua" w:cs="Arial"/>
          <w:b/>
          <w:bCs/>
          <w:color w:val="1F497D"/>
          <w:szCs w:val="24"/>
          <w:lang w:val="es-ES" w:eastAsia="es-ES"/>
        </w:rPr>
        <w:t>202</w:t>
      </w:r>
      <w:r w:rsidR="00457203" w:rsidRPr="00F14A3F">
        <w:rPr>
          <w:rFonts w:ascii="Book Antiqua" w:eastAsia="Calibri" w:hAnsi="Book Antiqua" w:cs="Arial"/>
          <w:b/>
          <w:bCs/>
          <w:color w:val="1F497D"/>
          <w:szCs w:val="24"/>
          <w:lang w:val="es-ES" w:eastAsia="es-ES"/>
        </w:rPr>
        <w:t>2</w:t>
      </w:r>
    </w:p>
    <w:tbl>
      <w:tblPr>
        <w:tblW w:w="11520" w:type="dxa"/>
        <w:jc w:val="center"/>
        <w:tblCellMar>
          <w:left w:w="70" w:type="dxa"/>
          <w:right w:w="70" w:type="dxa"/>
        </w:tblCellMar>
        <w:tblLook w:val="04A0" w:firstRow="1" w:lastRow="0" w:firstColumn="1" w:lastColumn="0" w:noHBand="0" w:noVBand="1"/>
      </w:tblPr>
      <w:tblGrid>
        <w:gridCol w:w="1442"/>
        <w:gridCol w:w="1187"/>
        <w:gridCol w:w="940"/>
        <w:gridCol w:w="880"/>
        <w:gridCol w:w="1280"/>
        <w:gridCol w:w="951"/>
        <w:gridCol w:w="1240"/>
        <w:gridCol w:w="1200"/>
        <w:gridCol w:w="1200"/>
        <w:gridCol w:w="1200"/>
      </w:tblGrid>
      <w:tr w:rsidR="00906C43" w:rsidRPr="00906C43" w14:paraId="32786B7A" w14:textId="77777777" w:rsidTr="00906C43">
        <w:trPr>
          <w:trHeight w:val="860"/>
          <w:jc w:val="center"/>
        </w:trPr>
        <w:tc>
          <w:tcPr>
            <w:tcW w:w="14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B6BD4A8"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bookmarkStart w:id="56" w:name="_Hlk128685652"/>
            <w:r w:rsidRPr="00906C43">
              <w:rPr>
                <w:rFonts w:ascii="Book Antiqua" w:eastAsia="Times New Roman" w:hAnsi="Book Antiqua" w:cs="Calibri"/>
                <w:b/>
                <w:bCs/>
                <w:color w:val="FFFFFF"/>
                <w:sz w:val="20"/>
                <w:szCs w:val="20"/>
                <w:lang w:eastAsia="es-CR"/>
              </w:rPr>
              <w:t>Despacho</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2CA1FB4"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Materia*</w:t>
            </w:r>
          </w:p>
        </w:tc>
        <w:tc>
          <w:tcPr>
            <w:tcW w:w="1820" w:type="dxa"/>
            <w:gridSpan w:val="2"/>
            <w:tcBorders>
              <w:top w:val="single" w:sz="8" w:space="0" w:color="auto"/>
              <w:left w:val="nil"/>
              <w:bottom w:val="single" w:sz="8" w:space="0" w:color="auto"/>
              <w:right w:val="single" w:sz="8" w:space="0" w:color="000000"/>
            </w:tcBorders>
            <w:shd w:val="clear" w:color="000000" w:fill="002060"/>
            <w:vAlign w:val="center"/>
            <w:hideMark/>
          </w:tcPr>
          <w:p w14:paraId="3F2EFACE"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Recurso humano</w:t>
            </w:r>
          </w:p>
        </w:tc>
        <w:tc>
          <w:tcPr>
            <w:tcW w:w="12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8589671"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Porcentaje dedicado por materia por Juez o Jueza</w:t>
            </w:r>
          </w:p>
        </w:tc>
        <w:tc>
          <w:tcPr>
            <w:tcW w:w="2140" w:type="dxa"/>
            <w:gridSpan w:val="2"/>
            <w:tcBorders>
              <w:top w:val="single" w:sz="8" w:space="0" w:color="auto"/>
              <w:left w:val="nil"/>
              <w:bottom w:val="single" w:sz="8" w:space="0" w:color="auto"/>
              <w:right w:val="single" w:sz="8" w:space="0" w:color="000000"/>
            </w:tcBorders>
            <w:shd w:val="clear" w:color="000000" w:fill="002060"/>
            <w:vAlign w:val="center"/>
            <w:hideMark/>
          </w:tcPr>
          <w:p w14:paraId="49902C37"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Promedios totales mensual</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AFD188A"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Entrados al mes por persona Juzgadora</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AA348D1"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Entrados al mes por persona Tec. Jud. Trámite</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52D35DF"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Relación salida entre entrada</w:t>
            </w:r>
          </w:p>
        </w:tc>
      </w:tr>
      <w:tr w:rsidR="00906C43" w:rsidRPr="00906C43" w14:paraId="6C78AA55" w14:textId="77777777" w:rsidTr="00906C43">
        <w:trPr>
          <w:trHeight w:val="650"/>
          <w:jc w:val="center"/>
        </w:trPr>
        <w:tc>
          <w:tcPr>
            <w:tcW w:w="1480" w:type="dxa"/>
            <w:vMerge/>
            <w:tcBorders>
              <w:top w:val="single" w:sz="8" w:space="0" w:color="auto"/>
              <w:left w:val="single" w:sz="8" w:space="0" w:color="auto"/>
              <w:bottom w:val="single" w:sz="8" w:space="0" w:color="000000"/>
              <w:right w:val="single" w:sz="8" w:space="0" w:color="auto"/>
            </w:tcBorders>
            <w:vAlign w:val="center"/>
            <w:hideMark/>
          </w:tcPr>
          <w:p w14:paraId="50BFFB64" w14:textId="77777777" w:rsidR="00906C43" w:rsidRPr="00906C43" w:rsidRDefault="00906C43" w:rsidP="00906C43">
            <w:pPr>
              <w:spacing w:after="0" w:line="240" w:lineRule="auto"/>
              <w:rPr>
                <w:rFonts w:ascii="Book Antiqua" w:eastAsia="Times New Roman" w:hAnsi="Book Antiqua" w:cs="Calibri"/>
                <w:b/>
                <w:bCs/>
                <w:color w:val="FFFFFF"/>
                <w:sz w:val="20"/>
                <w:szCs w:val="20"/>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701BFD86" w14:textId="77777777" w:rsidR="00906C43" w:rsidRPr="00906C43" w:rsidRDefault="00906C43" w:rsidP="00906C43">
            <w:pPr>
              <w:spacing w:after="0" w:line="240" w:lineRule="auto"/>
              <w:rPr>
                <w:rFonts w:ascii="Book Antiqua" w:eastAsia="Times New Roman" w:hAnsi="Book Antiqua" w:cs="Calibri"/>
                <w:b/>
                <w:bCs/>
                <w:color w:val="FFFFFF"/>
                <w:sz w:val="20"/>
                <w:szCs w:val="20"/>
                <w:lang w:eastAsia="es-CR"/>
              </w:rPr>
            </w:pPr>
          </w:p>
        </w:tc>
        <w:tc>
          <w:tcPr>
            <w:tcW w:w="940" w:type="dxa"/>
            <w:tcBorders>
              <w:top w:val="nil"/>
              <w:left w:val="nil"/>
              <w:bottom w:val="single" w:sz="8" w:space="0" w:color="auto"/>
              <w:right w:val="single" w:sz="8" w:space="0" w:color="auto"/>
            </w:tcBorders>
            <w:shd w:val="clear" w:color="000000" w:fill="002060"/>
            <w:vAlign w:val="center"/>
            <w:hideMark/>
          </w:tcPr>
          <w:p w14:paraId="7CD9E17B"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Jueza o Juez</w:t>
            </w:r>
          </w:p>
        </w:tc>
        <w:tc>
          <w:tcPr>
            <w:tcW w:w="880" w:type="dxa"/>
            <w:tcBorders>
              <w:top w:val="nil"/>
              <w:left w:val="nil"/>
              <w:bottom w:val="single" w:sz="8" w:space="0" w:color="auto"/>
              <w:right w:val="single" w:sz="8" w:space="0" w:color="auto"/>
            </w:tcBorders>
            <w:shd w:val="clear" w:color="000000" w:fill="002060"/>
            <w:vAlign w:val="center"/>
            <w:hideMark/>
          </w:tcPr>
          <w:p w14:paraId="4DAC29CA" w14:textId="77777777" w:rsidR="00906C43" w:rsidRPr="00906C43" w:rsidRDefault="00906C43" w:rsidP="00906C43">
            <w:pPr>
              <w:spacing w:after="0" w:line="240" w:lineRule="auto"/>
              <w:jc w:val="center"/>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Téc. Jud. Trámite</w:t>
            </w:r>
          </w:p>
        </w:tc>
        <w:tc>
          <w:tcPr>
            <w:tcW w:w="1280" w:type="dxa"/>
            <w:vMerge/>
            <w:tcBorders>
              <w:top w:val="single" w:sz="8" w:space="0" w:color="auto"/>
              <w:left w:val="single" w:sz="8" w:space="0" w:color="auto"/>
              <w:bottom w:val="single" w:sz="8" w:space="0" w:color="000000"/>
              <w:right w:val="single" w:sz="8" w:space="0" w:color="auto"/>
            </w:tcBorders>
            <w:vAlign w:val="center"/>
            <w:hideMark/>
          </w:tcPr>
          <w:p w14:paraId="60CBF8D5" w14:textId="77777777" w:rsidR="00906C43" w:rsidRPr="00906C43" w:rsidRDefault="00906C43" w:rsidP="00906C43">
            <w:pPr>
              <w:spacing w:after="0" w:line="240" w:lineRule="auto"/>
              <w:rPr>
                <w:rFonts w:ascii="Book Antiqua" w:eastAsia="Times New Roman" w:hAnsi="Book Antiqua" w:cs="Calibri"/>
                <w:b/>
                <w:bCs/>
                <w:color w:val="FFFFFF"/>
                <w:sz w:val="20"/>
                <w:szCs w:val="20"/>
                <w:lang w:eastAsia="es-CR"/>
              </w:rPr>
            </w:pPr>
          </w:p>
        </w:tc>
        <w:tc>
          <w:tcPr>
            <w:tcW w:w="940" w:type="dxa"/>
            <w:tcBorders>
              <w:top w:val="nil"/>
              <w:left w:val="nil"/>
              <w:bottom w:val="single" w:sz="8" w:space="0" w:color="auto"/>
              <w:right w:val="single" w:sz="8" w:space="0" w:color="auto"/>
            </w:tcBorders>
            <w:shd w:val="clear" w:color="000000" w:fill="002060"/>
            <w:vAlign w:val="center"/>
            <w:hideMark/>
          </w:tcPr>
          <w:p w14:paraId="0C15E40A" w14:textId="77777777" w:rsidR="00906C43" w:rsidRPr="00906C43" w:rsidRDefault="00906C43" w:rsidP="00906C43">
            <w:pPr>
              <w:spacing w:after="0" w:line="240" w:lineRule="auto"/>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Entrados</w:t>
            </w:r>
          </w:p>
        </w:tc>
        <w:tc>
          <w:tcPr>
            <w:tcW w:w="1200" w:type="dxa"/>
            <w:tcBorders>
              <w:top w:val="nil"/>
              <w:left w:val="nil"/>
              <w:bottom w:val="single" w:sz="8" w:space="0" w:color="auto"/>
              <w:right w:val="single" w:sz="8" w:space="0" w:color="auto"/>
            </w:tcBorders>
            <w:shd w:val="clear" w:color="000000" w:fill="002060"/>
            <w:vAlign w:val="center"/>
            <w:hideMark/>
          </w:tcPr>
          <w:p w14:paraId="3EDA133F" w14:textId="77777777" w:rsidR="00906C43" w:rsidRPr="00906C43" w:rsidRDefault="00906C43" w:rsidP="00906C43">
            <w:pPr>
              <w:spacing w:after="0" w:line="240" w:lineRule="auto"/>
              <w:rPr>
                <w:rFonts w:ascii="Book Antiqua" w:eastAsia="Times New Roman" w:hAnsi="Book Antiqua" w:cs="Calibri"/>
                <w:b/>
                <w:bCs/>
                <w:color w:val="FFFFFF"/>
                <w:sz w:val="20"/>
                <w:szCs w:val="20"/>
                <w:lang w:eastAsia="es-CR"/>
              </w:rPr>
            </w:pPr>
            <w:r w:rsidRPr="00906C43">
              <w:rPr>
                <w:rFonts w:ascii="Book Antiqua" w:eastAsia="Times New Roman" w:hAnsi="Book Antiqua" w:cs="Calibri"/>
                <w:b/>
                <w:bCs/>
                <w:color w:val="FFFFFF"/>
                <w:sz w:val="20"/>
                <w:szCs w:val="20"/>
                <w:lang w:eastAsia="es-CR"/>
              </w:rPr>
              <w:t>Terminados</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4F2139E4" w14:textId="77777777" w:rsidR="00906C43" w:rsidRPr="00906C43" w:rsidRDefault="00906C43" w:rsidP="00906C43">
            <w:pPr>
              <w:spacing w:after="0" w:line="240" w:lineRule="auto"/>
              <w:rPr>
                <w:rFonts w:ascii="Book Antiqua" w:eastAsia="Times New Roman" w:hAnsi="Book Antiqua" w:cs="Calibri"/>
                <w:b/>
                <w:bCs/>
                <w:color w:val="FFFFFF"/>
                <w:sz w:val="20"/>
                <w:szCs w:val="20"/>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48B6D025" w14:textId="77777777" w:rsidR="00906C43" w:rsidRPr="00906C43" w:rsidRDefault="00906C43" w:rsidP="00906C43">
            <w:pPr>
              <w:spacing w:after="0" w:line="240" w:lineRule="auto"/>
              <w:rPr>
                <w:rFonts w:ascii="Book Antiqua" w:eastAsia="Times New Roman" w:hAnsi="Book Antiqua" w:cs="Calibri"/>
                <w:b/>
                <w:bCs/>
                <w:color w:val="FFFFFF"/>
                <w:sz w:val="20"/>
                <w:szCs w:val="20"/>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285BFFFF" w14:textId="77777777" w:rsidR="00906C43" w:rsidRPr="00906C43" w:rsidRDefault="00906C43" w:rsidP="00906C43">
            <w:pPr>
              <w:spacing w:after="0" w:line="240" w:lineRule="auto"/>
              <w:rPr>
                <w:rFonts w:ascii="Book Antiqua" w:eastAsia="Times New Roman" w:hAnsi="Book Antiqua" w:cs="Calibri"/>
                <w:b/>
                <w:bCs/>
                <w:color w:val="FFFFFF"/>
                <w:sz w:val="20"/>
                <w:szCs w:val="20"/>
                <w:lang w:eastAsia="es-CR"/>
              </w:rPr>
            </w:pPr>
          </w:p>
        </w:tc>
      </w:tr>
      <w:tr w:rsidR="00906C43" w:rsidRPr="00906C43" w14:paraId="54A0D713" w14:textId="77777777" w:rsidTr="00906C43">
        <w:trPr>
          <w:trHeight w:val="1150"/>
          <w:jc w:val="center"/>
        </w:trPr>
        <w:tc>
          <w:tcPr>
            <w:tcW w:w="148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6C2B70C4"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 xml:space="preserve">Juzgado Familia y Viol. Dom. I Circ. Jud. Guanacaste </w:t>
            </w:r>
          </w:p>
        </w:tc>
        <w:tc>
          <w:tcPr>
            <w:tcW w:w="1200" w:type="dxa"/>
            <w:tcBorders>
              <w:top w:val="nil"/>
              <w:left w:val="nil"/>
              <w:bottom w:val="single" w:sz="8" w:space="0" w:color="auto"/>
              <w:right w:val="single" w:sz="8" w:space="0" w:color="auto"/>
            </w:tcBorders>
            <w:shd w:val="clear" w:color="000000" w:fill="D9D9D9"/>
            <w:vAlign w:val="center"/>
            <w:hideMark/>
          </w:tcPr>
          <w:p w14:paraId="59921300"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Familia</w:t>
            </w:r>
          </w:p>
        </w:tc>
        <w:tc>
          <w:tcPr>
            <w:tcW w:w="94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3EFD45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w:t>
            </w:r>
          </w:p>
        </w:tc>
        <w:tc>
          <w:tcPr>
            <w:tcW w:w="88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2B12827"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w:t>
            </w:r>
          </w:p>
        </w:tc>
        <w:tc>
          <w:tcPr>
            <w:tcW w:w="1280" w:type="dxa"/>
            <w:tcBorders>
              <w:top w:val="nil"/>
              <w:left w:val="nil"/>
              <w:bottom w:val="single" w:sz="8" w:space="0" w:color="auto"/>
              <w:right w:val="single" w:sz="8" w:space="0" w:color="auto"/>
            </w:tcBorders>
            <w:shd w:val="clear" w:color="000000" w:fill="D9D9D9"/>
            <w:noWrap/>
            <w:vAlign w:val="center"/>
            <w:hideMark/>
          </w:tcPr>
          <w:p w14:paraId="515E3C41"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000000" w:fill="D9D9D9"/>
            <w:noWrap/>
            <w:vAlign w:val="center"/>
            <w:hideMark/>
          </w:tcPr>
          <w:p w14:paraId="273A6C85"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85</w:t>
            </w:r>
          </w:p>
        </w:tc>
        <w:tc>
          <w:tcPr>
            <w:tcW w:w="1200" w:type="dxa"/>
            <w:tcBorders>
              <w:top w:val="nil"/>
              <w:left w:val="nil"/>
              <w:bottom w:val="single" w:sz="8" w:space="0" w:color="auto"/>
              <w:right w:val="single" w:sz="8" w:space="0" w:color="auto"/>
            </w:tcBorders>
            <w:shd w:val="clear" w:color="000000" w:fill="D9D9D9"/>
            <w:noWrap/>
            <w:vAlign w:val="center"/>
            <w:hideMark/>
          </w:tcPr>
          <w:p w14:paraId="0761FB2B"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55</w:t>
            </w:r>
          </w:p>
        </w:tc>
        <w:tc>
          <w:tcPr>
            <w:tcW w:w="1200" w:type="dxa"/>
            <w:tcBorders>
              <w:top w:val="nil"/>
              <w:left w:val="nil"/>
              <w:bottom w:val="single" w:sz="8" w:space="0" w:color="auto"/>
              <w:right w:val="single" w:sz="8" w:space="0" w:color="auto"/>
            </w:tcBorders>
            <w:shd w:val="clear" w:color="000000" w:fill="D9D9D9"/>
            <w:noWrap/>
            <w:vAlign w:val="center"/>
            <w:hideMark/>
          </w:tcPr>
          <w:p w14:paraId="54ED53B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43</w:t>
            </w:r>
          </w:p>
        </w:tc>
        <w:tc>
          <w:tcPr>
            <w:tcW w:w="1200" w:type="dxa"/>
            <w:tcBorders>
              <w:top w:val="nil"/>
              <w:left w:val="nil"/>
              <w:bottom w:val="single" w:sz="8" w:space="0" w:color="auto"/>
              <w:right w:val="single" w:sz="8" w:space="0" w:color="auto"/>
            </w:tcBorders>
            <w:shd w:val="clear" w:color="000000" w:fill="D9D9D9"/>
            <w:noWrap/>
            <w:vAlign w:val="center"/>
            <w:hideMark/>
          </w:tcPr>
          <w:p w14:paraId="2FB1B567"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21</w:t>
            </w:r>
          </w:p>
        </w:tc>
        <w:tc>
          <w:tcPr>
            <w:tcW w:w="1200" w:type="dxa"/>
            <w:tcBorders>
              <w:top w:val="nil"/>
              <w:left w:val="nil"/>
              <w:bottom w:val="single" w:sz="8" w:space="0" w:color="auto"/>
              <w:right w:val="single" w:sz="8" w:space="0" w:color="auto"/>
            </w:tcBorders>
            <w:shd w:val="clear" w:color="000000" w:fill="D9D9D9"/>
            <w:noWrap/>
            <w:vAlign w:val="center"/>
            <w:hideMark/>
          </w:tcPr>
          <w:p w14:paraId="4F88F80C"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65%</w:t>
            </w:r>
          </w:p>
        </w:tc>
      </w:tr>
      <w:tr w:rsidR="00906C43" w:rsidRPr="00906C43" w14:paraId="0A60E8E2" w14:textId="77777777" w:rsidTr="00906C43">
        <w:trPr>
          <w:trHeight w:val="530"/>
          <w:jc w:val="center"/>
        </w:trPr>
        <w:tc>
          <w:tcPr>
            <w:tcW w:w="1480" w:type="dxa"/>
            <w:vMerge/>
            <w:tcBorders>
              <w:top w:val="nil"/>
              <w:left w:val="single" w:sz="8" w:space="0" w:color="auto"/>
              <w:bottom w:val="single" w:sz="8" w:space="0" w:color="000000"/>
              <w:right w:val="single" w:sz="8" w:space="0" w:color="auto"/>
            </w:tcBorders>
            <w:vAlign w:val="center"/>
            <w:hideMark/>
          </w:tcPr>
          <w:p w14:paraId="3967D144"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D9D9D9"/>
            <w:vAlign w:val="center"/>
            <w:hideMark/>
          </w:tcPr>
          <w:p w14:paraId="5ED3DD9E"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Viol. Doméstica</w:t>
            </w:r>
          </w:p>
        </w:tc>
        <w:tc>
          <w:tcPr>
            <w:tcW w:w="940" w:type="dxa"/>
            <w:vMerge/>
            <w:tcBorders>
              <w:top w:val="nil"/>
              <w:left w:val="single" w:sz="8" w:space="0" w:color="auto"/>
              <w:bottom w:val="single" w:sz="8" w:space="0" w:color="000000"/>
              <w:right w:val="single" w:sz="8" w:space="0" w:color="auto"/>
            </w:tcBorders>
            <w:vAlign w:val="center"/>
            <w:hideMark/>
          </w:tcPr>
          <w:p w14:paraId="00E9CDEB"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880" w:type="dxa"/>
            <w:vMerge/>
            <w:tcBorders>
              <w:top w:val="nil"/>
              <w:left w:val="single" w:sz="8" w:space="0" w:color="auto"/>
              <w:bottom w:val="single" w:sz="8" w:space="0" w:color="000000"/>
              <w:right w:val="single" w:sz="8" w:space="0" w:color="auto"/>
            </w:tcBorders>
            <w:vAlign w:val="center"/>
            <w:hideMark/>
          </w:tcPr>
          <w:p w14:paraId="248D69D8"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80" w:type="dxa"/>
            <w:tcBorders>
              <w:top w:val="nil"/>
              <w:left w:val="nil"/>
              <w:bottom w:val="single" w:sz="8" w:space="0" w:color="auto"/>
              <w:right w:val="single" w:sz="8" w:space="0" w:color="auto"/>
            </w:tcBorders>
            <w:shd w:val="clear" w:color="000000" w:fill="D9D9D9"/>
            <w:noWrap/>
            <w:vAlign w:val="center"/>
            <w:hideMark/>
          </w:tcPr>
          <w:p w14:paraId="6022432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000000" w:fill="D9D9D9"/>
            <w:noWrap/>
            <w:vAlign w:val="center"/>
            <w:hideMark/>
          </w:tcPr>
          <w:p w14:paraId="1D774A0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105</w:t>
            </w:r>
          </w:p>
        </w:tc>
        <w:tc>
          <w:tcPr>
            <w:tcW w:w="1200" w:type="dxa"/>
            <w:tcBorders>
              <w:top w:val="nil"/>
              <w:left w:val="nil"/>
              <w:bottom w:val="single" w:sz="8" w:space="0" w:color="auto"/>
              <w:right w:val="single" w:sz="8" w:space="0" w:color="auto"/>
            </w:tcBorders>
            <w:shd w:val="clear" w:color="000000" w:fill="D9D9D9"/>
            <w:noWrap/>
            <w:vAlign w:val="center"/>
            <w:hideMark/>
          </w:tcPr>
          <w:p w14:paraId="045F0340"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89</w:t>
            </w:r>
          </w:p>
        </w:tc>
        <w:tc>
          <w:tcPr>
            <w:tcW w:w="1200" w:type="dxa"/>
            <w:tcBorders>
              <w:top w:val="nil"/>
              <w:left w:val="nil"/>
              <w:bottom w:val="single" w:sz="8" w:space="0" w:color="auto"/>
              <w:right w:val="single" w:sz="8" w:space="0" w:color="auto"/>
            </w:tcBorders>
            <w:shd w:val="clear" w:color="000000" w:fill="D9D9D9"/>
            <w:noWrap/>
            <w:vAlign w:val="center"/>
            <w:hideMark/>
          </w:tcPr>
          <w:p w14:paraId="4C0C5D8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52</w:t>
            </w:r>
          </w:p>
        </w:tc>
        <w:tc>
          <w:tcPr>
            <w:tcW w:w="1200" w:type="dxa"/>
            <w:tcBorders>
              <w:top w:val="nil"/>
              <w:left w:val="nil"/>
              <w:bottom w:val="single" w:sz="8" w:space="0" w:color="auto"/>
              <w:right w:val="single" w:sz="8" w:space="0" w:color="auto"/>
            </w:tcBorders>
            <w:shd w:val="clear" w:color="000000" w:fill="D9D9D9"/>
            <w:noWrap/>
            <w:vAlign w:val="center"/>
            <w:hideMark/>
          </w:tcPr>
          <w:p w14:paraId="116CF57D"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26</w:t>
            </w:r>
          </w:p>
        </w:tc>
        <w:tc>
          <w:tcPr>
            <w:tcW w:w="1200" w:type="dxa"/>
            <w:tcBorders>
              <w:top w:val="nil"/>
              <w:left w:val="nil"/>
              <w:bottom w:val="single" w:sz="8" w:space="0" w:color="auto"/>
              <w:right w:val="single" w:sz="8" w:space="0" w:color="auto"/>
            </w:tcBorders>
            <w:shd w:val="clear" w:color="000000" w:fill="D9D9D9"/>
            <w:noWrap/>
            <w:vAlign w:val="center"/>
            <w:hideMark/>
          </w:tcPr>
          <w:p w14:paraId="1C12700A"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85%</w:t>
            </w:r>
          </w:p>
        </w:tc>
      </w:tr>
      <w:tr w:rsidR="00906C43" w:rsidRPr="00906C43" w14:paraId="2241AFD4" w14:textId="77777777" w:rsidTr="00906C43">
        <w:trPr>
          <w:trHeight w:val="1440"/>
          <w:jc w:val="center"/>
        </w:trPr>
        <w:tc>
          <w:tcPr>
            <w:tcW w:w="1480" w:type="dxa"/>
            <w:vMerge w:val="restart"/>
            <w:tcBorders>
              <w:top w:val="nil"/>
              <w:left w:val="single" w:sz="8" w:space="0" w:color="auto"/>
              <w:bottom w:val="single" w:sz="8" w:space="0" w:color="000000"/>
              <w:right w:val="single" w:sz="8" w:space="0" w:color="auto"/>
            </w:tcBorders>
            <w:shd w:val="clear" w:color="auto" w:fill="auto"/>
            <w:vAlign w:val="center"/>
            <w:hideMark/>
          </w:tcPr>
          <w:p w14:paraId="42D2D0E3"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Juzgado Familia y Viol. Dom. II Circ. Jud. Guanacaste (Nicoya)</w:t>
            </w:r>
          </w:p>
        </w:tc>
        <w:tc>
          <w:tcPr>
            <w:tcW w:w="1200" w:type="dxa"/>
            <w:tcBorders>
              <w:top w:val="nil"/>
              <w:left w:val="nil"/>
              <w:bottom w:val="single" w:sz="8" w:space="0" w:color="auto"/>
              <w:right w:val="single" w:sz="8" w:space="0" w:color="auto"/>
            </w:tcBorders>
            <w:shd w:val="clear" w:color="auto" w:fill="auto"/>
            <w:vAlign w:val="center"/>
            <w:hideMark/>
          </w:tcPr>
          <w:p w14:paraId="2CA46371"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Familia</w:t>
            </w:r>
          </w:p>
        </w:tc>
        <w:tc>
          <w:tcPr>
            <w:tcW w:w="94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987AAC3"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w:t>
            </w:r>
          </w:p>
        </w:tc>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4AEC3F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w:t>
            </w:r>
          </w:p>
        </w:tc>
        <w:tc>
          <w:tcPr>
            <w:tcW w:w="1280" w:type="dxa"/>
            <w:tcBorders>
              <w:top w:val="nil"/>
              <w:left w:val="nil"/>
              <w:bottom w:val="single" w:sz="8" w:space="0" w:color="auto"/>
              <w:right w:val="single" w:sz="8" w:space="0" w:color="auto"/>
            </w:tcBorders>
            <w:shd w:val="clear" w:color="auto" w:fill="auto"/>
            <w:noWrap/>
            <w:vAlign w:val="center"/>
            <w:hideMark/>
          </w:tcPr>
          <w:p w14:paraId="5FA0E5B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auto" w:fill="auto"/>
            <w:noWrap/>
            <w:vAlign w:val="center"/>
            <w:hideMark/>
          </w:tcPr>
          <w:p w14:paraId="3A99C1E0"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45</w:t>
            </w:r>
          </w:p>
        </w:tc>
        <w:tc>
          <w:tcPr>
            <w:tcW w:w="1200" w:type="dxa"/>
            <w:tcBorders>
              <w:top w:val="nil"/>
              <w:left w:val="nil"/>
              <w:bottom w:val="single" w:sz="8" w:space="0" w:color="auto"/>
              <w:right w:val="single" w:sz="8" w:space="0" w:color="auto"/>
            </w:tcBorders>
            <w:shd w:val="clear" w:color="auto" w:fill="auto"/>
            <w:noWrap/>
            <w:vAlign w:val="center"/>
            <w:hideMark/>
          </w:tcPr>
          <w:p w14:paraId="37AF75C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28</w:t>
            </w:r>
          </w:p>
        </w:tc>
        <w:tc>
          <w:tcPr>
            <w:tcW w:w="1200" w:type="dxa"/>
            <w:tcBorders>
              <w:top w:val="nil"/>
              <w:left w:val="nil"/>
              <w:bottom w:val="single" w:sz="8" w:space="0" w:color="auto"/>
              <w:right w:val="single" w:sz="8" w:space="0" w:color="auto"/>
            </w:tcBorders>
            <w:shd w:val="clear" w:color="auto" w:fill="auto"/>
            <w:noWrap/>
            <w:vAlign w:val="center"/>
            <w:hideMark/>
          </w:tcPr>
          <w:p w14:paraId="61465777"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22</w:t>
            </w:r>
          </w:p>
        </w:tc>
        <w:tc>
          <w:tcPr>
            <w:tcW w:w="1200" w:type="dxa"/>
            <w:tcBorders>
              <w:top w:val="nil"/>
              <w:left w:val="nil"/>
              <w:bottom w:val="single" w:sz="8" w:space="0" w:color="auto"/>
              <w:right w:val="single" w:sz="8" w:space="0" w:color="auto"/>
            </w:tcBorders>
            <w:shd w:val="clear" w:color="auto" w:fill="auto"/>
            <w:noWrap/>
            <w:vAlign w:val="center"/>
            <w:hideMark/>
          </w:tcPr>
          <w:p w14:paraId="629659F4"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15</w:t>
            </w:r>
          </w:p>
        </w:tc>
        <w:tc>
          <w:tcPr>
            <w:tcW w:w="1200" w:type="dxa"/>
            <w:tcBorders>
              <w:top w:val="nil"/>
              <w:left w:val="nil"/>
              <w:bottom w:val="single" w:sz="8" w:space="0" w:color="auto"/>
              <w:right w:val="single" w:sz="8" w:space="0" w:color="auto"/>
            </w:tcBorders>
            <w:shd w:val="clear" w:color="auto" w:fill="auto"/>
            <w:noWrap/>
            <w:vAlign w:val="center"/>
            <w:hideMark/>
          </w:tcPr>
          <w:p w14:paraId="3D05CACB"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62%</w:t>
            </w:r>
          </w:p>
        </w:tc>
      </w:tr>
      <w:tr w:rsidR="00906C43" w:rsidRPr="00906C43" w14:paraId="57B5A8D2" w14:textId="77777777" w:rsidTr="00906C43">
        <w:trPr>
          <w:trHeight w:val="530"/>
          <w:jc w:val="center"/>
        </w:trPr>
        <w:tc>
          <w:tcPr>
            <w:tcW w:w="1480" w:type="dxa"/>
            <w:vMerge/>
            <w:tcBorders>
              <w:top w:val="nil"/>
              <w:left w:val="single" w:sz="8" w:space="0" w:color="auto"/>
              <w:bottom w:val="single" w:sz="8" w:space="0" w:color="000000"/>
              <w:right w:val="single" w:sz="8" w:space="0" w:color="auto"/>
            </w:tcBorders>
            <w:vAlign w:val="center"/>
            <w:hideMark/>
          </w:tcPr>
          <w:p w14:paraId="4D0328F0"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0D465FA0"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Viol. Doméstica</w:t>
            </w:r>
          </w:p>
        </w:tc>
        <w:tc>
          <w:tcPr>
            <w:tcW w:w="940" w:type="dxa"/>
            <w:vMerge/>
            <w:tcBorders>
              <w:top w:val="nil"/>
              <w:left w:val="single" w:sz="8" w:space="0" w:color="auto"/>
              <w:bottom w:val="single" w:sz="8" w:space="0" w:color="000000"/>
              <w:right w:val="single" w:sz="8" w:space="0" w:color="auto"/>
            </w:tcBorders>
            <w:vAlign w:val="center"/>
            <w:hideMark/>
          </w:tcPr>
          <w:p w14:paraId="5FCF27D5"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880" w:type="dxa"/>
            <w:vMerge/>
            <w:tcBorders>
              <w:top w:val="nil"/>
              <w:left w:val="single" w:sz="8" w:space="0" w:color="auto"/>
              <w:bottom w:val="single" w:sz="8" w:space="0" w:color="000000"/>
              <w:right w:val="single" w:sz="8" w:space="0" w:color="auto"/>
            </w:tcBorders>
            <w:vAlign w:val="center"/>
            <w:hideMark/>
          </w:tcPr>
          <w:p w14:paraId="293804C0"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80" w:type="dxa"/>
            <w:tcBorders>
              <w:top w:val="nil"/>
              <w:left w:val="nil"/>
              <w:bottom w:val="single" w:sz="8" w:space="0" w:color="auto"/>
              <w:right w:val="single" w:sz="8" w:space="0" w:color="auto"/>
            </w:tcBorders>
            <w:shd w:val="clear" w:color="auto" w:fill="auto"/>
            <w:noWrap/>
            <w:vAlign w:val="center"/>
            <w:hideMark/>
          </w:tcPr>
          <w:p w14:paraId="651B0294"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auto" w:fill="auto"/>
            <w:noWrap/>
            <w:vAlign w:val="center"/>
            <w:hideMark/>
          </w:tcPr>
          <w:p w14:paraId="583ED6E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93</w:t>
            </w:r>
          </w:p>
        </w:tc>
        <w:tc>
          <w:tcPr>
            <w:tcW w:w="1200" w:type="dxa"/>
            <w:tcBorders>
              <w:top w:val="nil"/>
              <w:left w:val="nil"/>
              <w:bottom w:val="single" w:sz="8" w:space="0" w:color="auto"/>
              <w:right w:val="single" w:sz="8" w:space="0" w:color="auto"/>
            </w:tcBorders>
            <w:shd w:val="clear" w:color="auto" w:fill="auto"/>
            <w:noWrap/>
            <w:vAlign w:val="center"/>
            <w:hideMark/>
          </w:tcPr>
          <w:p w14:paraId="7DC68440"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81</w:t>
            </w:r>
          </w:p>
        </w:tc>
        <w:tc>
          <w:tcPr>
            <w:tcW w:w="1200" w:type="dxa"/>
            <w:tcBorders>
              <w:top w:val="nil"/>
              <w:left w:val="nil"/>
              <w:bottom w:val="single" w:sz="8" w:space="0" w:color="auto"/>
              <w:right w:val="single" w:sz="8" w:space="0" w:color="auto"/>
            </w:tcBorders>
            <w:shd w:val="clear" w:color="auto" w:fill="auto"/>
            <w:noWrap/>
            <w:vAlign w:val="center"/>
            <w:hideMark/>
          </w:tcPr>
          <w:p w14:paraId="43CC7785"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46</w:t>
            </w:r>
          </w:p>
        </w:tc>
        <w:tc>
          <w:tcPr>
            <w:tcW w:w="1200" w:type="dxa"/>
            <w:tcBorders>
              <w:top w:val="nil"/>
              <w:left w:val="nil"/>
              <w:bottom w:val="single" w:sz="8" w:space="0" w:color="auto"/>
              <w:right w:val="single" w:sz="8" w:space="0" w:color="auto"/>
            </w:tcBorders>
            <w:shd w:val="clear" w:color="auto" w:fill="auto"/>
            <w:noWrap/>
            <w:vAlign w:val="center"/>
            <w:hideMark/>
          </w:tcPr>
          <w:p w14:paraId="1612154A"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31</w:t>
            </w:r>
          </w:p>
        </w:tc>
        <w:tc>
          <w:tcPr>
            <w:tcW w:w="1200" w:type="dxa"/>
            <w:tcBorders>
              <w:top w:val="nil"/>
              <w:left w:val="nil"/>
              <w:bottom w:val="single" w:sz="8" w:space="0" w:color="auto"/>
              <w:right w:val="single" w:sz="8" w:space="0" w:color="auto"/>
            </w:tcBorders>
            <w:shd w:val="clear" w:color="auto" w:fill="auto"/>
            <w:noWrap/>
            <w:vAlign w:val="center"/>
            <w:hideMark/>
          </w:tcPr>
          <w:p w14:paraId="4EC787E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87%</w:t>
            </w:r>
          </w:p>
        </w:tc>
      </w:tr>
      <w:tr w:rsidR="00906C43" w:rsidRPr="00906C43" w14:paraId="55BEFC74" w14:textId="77777777" w:rsidTr="00906C43">
        <w:trPr>
          <w:trHeight w:val="1150"/>
          <w:jc w:val="center"/>
        </w:trPr>
        <w:tc>
          <w:tcPr>
            <w:tcW w:w="148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6F1A5C73"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Juzgado Familia y Viol. Dom. II Circ. Jud. Zona Sur</w:t>
            </w:r>
          </w:p>
        </w:tc>
        <w:tc>
          <w:tcPr>
            <w:tcW w:w="1200" w:type="dxa"/>
            <w:tcBorders>
              <w:top w:val="nil"/>
              <w:left w:val="nil"/>
              <w:bottom w:val="single" w:sz="8" w:space="0" w:color="auto"/>
              <w:right w:val="single" w:sz="8" w:space="0" w:color="auto"/>
            </w:tcBorders>
            <w:shd w:val="clear" w:color="000000" w:fill="D9D9D9"/>
            <w:vAlign w:val="center"/>
            <w:hideMark/>
          </w:tcPr>
          <w:p w14:paraId="615991A6"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Familia</w:t>
            </w:r>
          </w:p>
        </w:tc>
        <w:tc>
          <w:tcPr>
            <w:tcW w:w="94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4435807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w:t>
            </w:r>
          </w:p>
        </w:tc>
        <w:tc>
          <w:tcPr>
            <w:tcW w:w="88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38E5C66"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w:t>
            </w:r>
          </w:p>
        </w:tc>
        <w:tc>
          <w:tcPr>
            <w:tcW w:w="1280" w:type="dxa"/>
            <w:tcBorders>
              <w:top w:val="nil"/>
              <w:left w:val="nil"/>
              <w:bottom w:val="single" w:sz="8" w:space="0" w:color="auto"/>
              <w:right w:val="single" w:sz="8" w:space="0" w:color="auto"/>
            </w:tcBorders>
            <w:shd w:val="clear" w:color="000000" w:fill="D9D9D9"/>
            <w:noWrap/>
            <w:vAlign w:val="center"/>
            <w:hideMark/>
          </w:tcPr>
          <w:p w14:paraId="177BA8F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000000" w:fill="D9D9D9"/>
            <w:noWrap/>
            <w:vAlign w:val="center"/>
            <w:hideMark/>
          </w:tcPr>
          <w:p w14:paraId="7E0E0BDB"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71</w:t>
            </w:r>
          </w:p>
        </w:tc>
        <w:tc>
          <w:tcPr>
            <w:tcW w:w="1200" w:type="dxa"/>
            <w:tcBorders>
              <w:top w:val="nil"/>
              <w:left w:val="nil"/>
              <w:bottom w:val="single" w:sz="8" w:space="0" w:color="auto"/>
              <w:right w:val="single" w:sz="8" w:space="0" w:color="auto"/>
            </w:tcBorders>
            <w:shd w:val="clear" w:color="000000" w:fill="D9D9D9"/>
            <w:noWrap/>
            <w:vAlign w:val="center"/>
            <w:hideMark/>
          </w:tcPr>
          <w:p w14:paraId="7BE9C19F"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45</w:t>
            </w:r>
          </w:p>
        </w:tc>
        <w:tc>
          <w:tcPr>
            <w:tcW w:w="1200" w:type="dxa"/>
            <w:tcBorders>
              <w:top w:val="nil"/>
              <w:left w:val="nil"/>
              <w:bottom w:val="single" w:sz="8" w:space="0" w:color="auto"/>
              <w:right w:val="single" w:sz="8" w:space="0" w:color="auto"/>
            </w:tcBorders>
            <w:shd w:val="clear" w:color="000000" w:fill="D9D9D9"/>
            <w:noWrap/>
            <w:vAlign w:val="center"/>
            <w:hideMark/>
          </w:tcPr>
          <w:p w14:paraId="51B5F4B6"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36</w:t>
            </w:r>
          </w:p>
        </w:tc>
        <w:tc>
          <w:tcPr>
            <w:tcW w:w="1200" w:type="dxa"/>
            <w:tcBorders>
              <w:top w:val="nil"/>
              <w:left w:val="nil"/>
              <w:bottom w:val="single" w:sz="8" w:space="0" w:color="auto"/>
              <w:right w:val="single" w:sz="8" w:space="0" w:color="auto"/>
            </w:tcBorders>
            <w:shd w:val="clear" w:color="000000" w:fill="D9D9D9"/>
            <w:noWrap/>
            <w:vAlign w:val="center"/>
            <w:hideMark/>
          </w:tcPr>
          <w:p w14:paraId="4C79BF03"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24</w:t>
            </w:r>
          </w:p>
        </w:tc>
        <w:tc>
          <w:tcPr>
            <w:tcW w:w="1200" w:type="dxa"/>
            <w:tcBorders>
              <w:top w:val="nil"/>
              <w:left w:val="nil"/>
              <w:bottom w:val="single" w:sz="8" w:space="0" w:color="auto"/>
              <w:right w:val="single" w:sz="8" w:space="0" w:color="auto"/>
            </w:tcBorders>
            <w:shd w:val="clear" w:color="000000" w:fill="D9D9D9"/>
            <w:noWrap/>
            <w:vAlign w:val="center"/>
            <w:hideMark/>
          </w:tcPr>
          <w:p w14:paraId="75A1A835"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63%</w:t>
            </w:r>
          </w:p>
        </w:tc>
      </w:tr>
      <w:tr w:rsidR="00906C43" w:rsidRPr="00906C43" w14:paraId="5C302DE7" w14:textId="77777777" w:rsidTr="00906C43">
        <w:trPr>
          <w:trHeight w:val="530"/>
          <w:jc w:val="center"/>
        </w:trPr>
        <w:tc>
          <w:tcPr>
            <w:tcW w:w="1480" w:type="dxa"/>
            <w:vMerge/>
            <w:tcBorders>
              <w:top w:val="nil"/>
              <w:left w:val="single" w:sz="8" w:space="0" w:color="auto"/>
              <w:bottom w:val="single" w:sz="8" w:space="0" w:color="000000"/>
              <w:right w:val="single" w:sz="8" w:space="0" w:color="auto"/>
            </w:tcBorders>
            <w:vAlign w:val="center"/>
            <w:hideMark/>
          </w:tcPr>
          <w:p w14:paraId="1AE7CA15"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D9D9D9"/>
            <w:vAlign w:val="center"/>
            <w:hideMark/>
          </w:tcPr>
          <w:p w14:paraId="4940363C"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Viol. Doméstica</w:t>
            </w:r>
          </w:p>
        </w:tc>
        <w:tc>
          <w:tcPr>
            <w:tcW w:w="940" w:type="dxa"/>
            <w:vMerge/>
            <w:tcBorders>
              <w:top w:val="nil"/>
              <w:left w:val="single" w:sz="8" w:space="0" w:color="auto"/>
              <w:bottom w:val="single" w:sz="8" w:space="0" w:color="000000"/>
              <w:right w:val="single" w:sz="8" w:space="0" w:color="auto"/>
            </w:tcBorders>
            <w:vAlign w:val="center"/>
            <w:hideMark/>
          </w:tcPr>
          <w:p w14:paraId="3F6D74E3"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880" w:type="dxa"/>
            <w:vMerge/>
            <w:tcBorders>
              <w:top w:val="nil"/>
              <w:left w:val="single" w:sz="8" w:space="0" w:color="auto"/>
              <w:bottom w:val="single" w:sz="8" w:space="0" w:color="000000"/>
              <w:right w:val="single" w:sz="8" w:space="0" w:color="auto"/>
            </w:tcBorders>
            <w:vAlign w:val="center"/>
            <w:hideMark/>
          </w:tcPr>
          <w:p w14:paraId="652A012E"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80" w:type="dxa"/>
            <w:tcBorders>
              <w:top w:val="nil"/>
              <w:left w:val="nil"/>
              <w:bottom w:val="single" w:sz="8" w:space="0" w:color="auto"/>
              <w:right w:val="single" w:sz="8" w:space="0" w:color="auto"/>
            </w:tcBorders>
            <w:shd w:val="clear" w:color="000000" w:fill="D9D9D9"/>
            <w:noWrap/>
            <w:vAlign w:val="center"/>
            <w:hideMark/>
          </w:tcPr>
          <w:p w14:paraId="177C1DF3"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000000" w:fill="D9D9D9"/>
            <w:noWrap/>
            <w:vAlign w:val="center"/>
            <w:hideMark/>
          </w:tcPr>
          <w:p w14:paraId="0F95BDC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78</w:t>
            </w:r>
          </w:p>
        </w:tc>
        <w:tc>
          <w:tcPr>
            <w:tcW w:w="1200" w:type="dxa"/>
            <w:tcBorders>
              <w:top w:val="nil"/>
              <w:left w:val="nil"/>
              <w:bottom w:val="single" w:sz="8" w:space="0" w:color="auto"/>
              <w:right w:val="single" w:sz="8" w:space="0" w:color="auto"/>
            </w:tcBorders>
            <w:shd w:val="clear" w:color="000000" w:fill="D9D9D9"/>
            <w:noWrap/>
            <w:vAlign w:val="center"/>
            <w:hideMark/>
          </w:tcPr>
          <w:p w14:paraId="7E9D8414"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66</w:t>
            </w:r>
          </w:p>
        </w:tc>
        <w:tc>
          <w:tcPr>
            <w:tcW w:w="1200" w:type="dxa"/>
            <w:tcBorders>
              <w:top w:val="nil"/>
              <w:left w:val="nil"/>
              <w:bottom w:val="single" w:sz="8" w:space="0" w:color="auto"/>
              <w:right w:val="single" w:sz="8" w:space="0" w:color="auto"/>
            </w:tcBorders>
            <w:shd w:val="clear" w:color="000000" w:fill="D9D9D9"/>
            <w:noWrap/>
            <w:vAlign w:val="center"/>
            <w:hideMark/>
          </w:tcPr>
          <w:p w14:paraId="7BE0F3D7"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39</w:t>
            </w:r>
          </w:p>
        </w:tc>
        <w:tc>
          <w:tcPr>
            <w:tcW w:w="1200" w:type="dxa"/>
            <w:tcBorders>
              <w:top w:val="nil"/>
              <w:left w:val="nil"/>
              <w:bottom w:val="single" w:sz="8" w:space="0" w:color="auto"/>
              <w:right w:val="single" w:sz="8" w:space="0" w:color="auto"/>
            </w:tcBorders>
            <w:shd w:val="clear" w:color="000000" w:fill="D9D9D9"/>
            <w:noWrap/>
            <w:vAlign w:val="center"/>
            <w:hideMark/>
          </w:tcPr>
          <w:p w14:paraId="7FF7739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26</w:t>
            </w:r>
          </w:p>
        </w:tc>
        <w:tc>
          <w:tcPr>
            <w:tcW w:w="1200" w:type="dxa"/>
            <w:tcBorders>
              <w:top w:val="nil"/>
              <w:left w:val="nil"/>
              <w:bottom w:val="single" w:sz="8" w:space="0" w:color="auto"/>
              <w:right w:val="single" w:sz="8" w:space="0" w:color="auto"/>
            </w:tcBorders>
            <w:shd w:val="clear" w:color="000000" w:fill="D9D9D9"/>
            <w:noWrap/>
            <w:vAlign w:val="center"/>
            <w:hideMark/>
          </w:tcPr>
          <w:p w14:paraId="531B5F9F"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86%</w:t>
            </w:r>
          </w:p>
        </w:tc>
      </w:tr>
      <w:tr w:rsidR="00906C43" w:rsidRPr="00906C43" w14:paraId="7AEF382F" w14:textId="77777777" w:rsidTr="00906C43">
        <w:trPr>
          <w:trHeight w:val="1730"/>
          <w:jc w:val="center"/>
        </w:trPr>
        <w:tc>
          <w:tcPr>
            <w:tcW w:w="1480" w:type="dxa"/>
            <w:vMerge w:val="restart"/>
            <w:tcBorders>
              <w:top w:val="nil"/>
              <w:left w:val="single" w:sz="8" w:space="0" w:color="auto"/>
              <w:bottom w:val="single" w:sz="8" w:space="0" w:color="000000"/>
              <w:right w:val="single" w:sz="8" w:space="0" w:color="auto"/>
            </w:tcBorders>
            <w:shd w:val="clear" w:color="auto" w:fill="auto"/>
            <w:vAlign w:val="center"/>
            <w:hideMark/>
          </w:tcPr>
          <w:p w14:paraId="3F5DDA46"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Juzgado Familia y Viol. Dom. III Circ. Jud. Alajuela (San Ramón)*</w:t>
            </w:r>
          </w:p>
        </w:tc>
        <w:tc>
          <w:tcPr>
            <w:tcW w:w="1200" w:type="dxa"/>
            <w:tcBorders>
              <w:top w:val="nil"/>
              <w:left w:val="nil"/>
              <w:bottom w:val="single" w:sz="8" w:space="0" w:color="auto"/>
              <w:right w:val="single" w:sz="8" w:space="0" w:color="auto"/>
            </w:tcBorders>
            <w:shd w:val="clear" w:color="auto" w:fill="auto"/>
            <w:vAlign w:val="center"/>
            <w:hideMark/>
          </w:tcPr>
          <w:p w14:paraId="0E8B83BA"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Familia</w:t>
            </w:r>
          </w:p>
        </w:tc>
        <w:tc>
          <w:tcPr>
            <w:tcW w:w="94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9493750"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w:t>
            </w:r>
          </w:p>
        </w:tc>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8DBA924"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w:t>
            </w:r>
          </w:p>
        </w:tc>
        <w:tc>
          <w:tcPr>
            <w:tcW w:w="1280" w:type="dxa"/>
            <w:tcBorders>
              <w:top w:val="nil"/>
              <w:left w:val="nil"/>
              <w:bottom w:val="single" w:sz="8" w:space="0" w:color="auto"/>
              <w:right w:val="single" w:sz="8" w:space="0" w:color="auto"/>
            </w:tcBorders>
            <w:shd w:val="clear" w:color="auto" w:fill="auto"/>
            <w:noWrap/>
            <w:vAlign w:val="center"/>
            <w:hideMark/>
          </w:tcPr>
          <w:p w14:paraId="0DF4A2F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auto" w:fill="auto"/>
            <w:noWrap/>
            <w:vAlign w:val="center"/>
            <w:hideMark/>
          </w:tcPr>
          <w:p w14:paraId="7D1BE1B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85</w:t>
            </w:r>
          </w:p>
        </w:tc>
        <w:tc>
          <w:tcPr>
            <w:tcW w:w="1200" w:type="dxa"/>
            <w:tcBorders>
              <w:top w:val="nil"/>
              <w:left w:val="nil"/>
              <w:bottom w:val="single" w:sz="8" w:space="0" w:color="auto"/>
              <w:right w:val="single" w:sz="8" w:space="0" w:color="auto"/>
            </w:tcBorders>
            <w:shd w:val="clear" w:color="auto" w:fill="auto"/>
            <w:noWrap/>
            <w:vAlign w:val="center"/>
            <w:hideMark/>
          </w:tcPr>
          <w:p w14:paraId="31AF5ECF"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57</w:t>
            </w:r>
          </w:p>
        </w:tc>
        <w:tc>
          <w:tcPr>
            <w:tcW w:w="1200" w:type="dxa"/>
            <w:tcBorders>
              <w:top w:val="nil"/>
              <w:left w:val="nil"/>
              <w:bottom w:val="single" w:sz="8" w:space="0" w:color="auto"/>
              <w:right w:val="single" w:sz="8" w:space="0" w:color="auto"/>
            </w:tcBorders>
            <w:shd w:val="clear" w:color="auto" w:fill="auto"/>
            <w:noWrap/>
            <w:vAlign w:val="center"/>
            <w:hideMark/>
          </w:tcPr>
          <w:p w14:paraId="2FD4F48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42</w:t>
            </w:r>
          </w:p>
        </w:tc>
        <w:tc>
          <w:tcPr>
            <w:tcW w:w="1200" w:type="dxa"/>
            <w:tcBorders>
              <w:top w:val="nil"/>
              <w:left w:val="nil"/>
              <w:bottom w:val="single" w:sz="8" w:space="0" w:color="auto"/>
              <w:right w:val="single" w:sz="8" w:space="0" w:color="auto"/>
            </w:tcBorders>
            <w:shd w:val="clear" w:color="auto" w:fill="auto"/>
            <w:noWrap/>
            <w:vAlign w:val="center"/>
            <w:hideMark/>
          </w:tcPr>
          <w:p w14:paraId="17B6BEC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28</w:t>
            </w:r>
          </w:p>
        </w:tc>
        <w:tc>
          <w:tcPr>
            <w:tcW w:w="1200" w:type="dxa"/>
            <w:tcBorders>
              <w:top w:val="nil"/>
              <w:left w:val="nil"/>
              <w:bottom w:val="single" w:sz="8" w:space="0" w:color="auto"/>
              <w:right w:val="single" w:sz="8" w:space="0" w:color="auto"/>
            </w:tcBorders>
            <w:shd w:val="clear" w:color="auto" w:fill="auto"/>
            <w:noWrap/>
            <w:vAlign w:val="center"/>
            <w:hideMark/>
          </w:tcPr>
          <w:p w14:paraId="58C0E3C7"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67%</w:t>
            </w:r>
          </w:p>
        </w:tc>
      </w:tr>
      <w:tr w:rsidR="00906C43" w:rsidRPr="00906C43" w14:paraId="1307A631" w14:textId="77777777" w:rsidTr="00906C43">
        <w:trPr>
          <w:trHeight w:val="530"/>
          <w:jc w:val="center"/>
        </w:trPr>
        <w:tc>
          <w:tcPr>
            <w:tcW w:w="1480" w:type="dxa"/>
            <w:vMerge/>
            <w:tcBorders>
              <w:top w:val="nil"/>
              <w:left w:val="single" w:sz="8" w:space="0" w:color="auto"/>
              <w:bottom w:val="single" w:sz="8" w:space="0" w:color="000000"/>
              <w:right w:val="single" w:sz="8" w:space="0" w:color="auto"/>
            </w:tcBorders>
            <w:vAlign w:val="center"/>
            <w:hideMark/>
          </w:tcPr>
          <w:p w14:paraId="464B5CAF"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542F77EB"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Viol. Doméstica</w:t>
            </w:r>
          </w:p>
        </w:tc>
        <w:tc>
          <w:tcPr>
            <w:tcW w:w="940" w:type="dxa"/>
            <w:vMerge/>
            <w:tcBorders>
              <w:top w:val="nil"/>
              <w:left w:val="single" w:sz="8" w:space="0" w:color="auto"/>
              <w:bottom w:val="single" w:sz="8" w:space="0" w:color="000000"/>
              <w:right w:val="single" w:sz="8" w:space="0" w:color="auto"/>
            </w:tcBorders>
            <w:vAlign w:val="center"/>
            <w:hideMark/>
          </w:tcPr>
          <w:p w14:paraId="3C18641D"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880" w:type="dxa"/>
            <w:vMerge/>
            <w:tcBorders>
              <w:top w:val="nil"/>
              <w:left w:val="single" w:sz="8" w:space="0" w:color="auto"/>
              <w:bottom w:val="single" w:sz="8" w:space="0" w:color="000000"/>
              <w:right w:val="single" w:sz="8" w:space="0" w:color="auto"/>
            </w:tcBorders>
            <w:vAlign w:val="center"/>
            <w:hideMark/>
          </w:tcPr>
          <w:p w14:paraId="0EC57C0A"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80" w:type="dxa"/>
            <w:tcBorders>
              <w:top w:val="nil"/>
              <w:left w:val="nil"/>
              <w:bottom w:val="single" w:sz="8" w:space="0" w:color="auto"/>
              <w:right w:val="single" w:sz="8" w:space="0" w:color="auto"/>
            </w:tcBorders>
            <w:shd w:val="clear" w:color="auto" w:fill="auto"/>
            <w:noWrap/>
            <w:vAlign w:val="center"/>
            <w:hideMark/>
          </w:tcPr>
          <w:p w14:paraId="49343465"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auto" w:fill="auto"/>
            <w:noWrap/>
            <w:vAlign w:val="center"/>
            <w:hideMark/>
          </w:tcPr>
          <w:p w14:paraId="72CAD956"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82</w:t>
            </w:r>
          </w:p>
        </w:tc>
        <w:tc>
          <w:tcPr>
            <w:tcW w:w="1200" w:type="dxa"/>
            <w:tcBorders>
              <w:top w:val="nil"/>
              <w:left w:val="nil"/>
              <w:bottom w:val="single" w:sz="8" w:space="0" w:color="auto"/>
              <w:right w:val="single" w:sz="8" w:space="0" w:color="auto"/>
            </w:tcBorders>
            <w:shd w:val="clear" w:color="auto" w:fill="auto"/>
            <w:noWrap/>
            <w:vAlign w:val="center"/>
            <w:hideMark/>
          </w:tcPr>
          <w:p w14:paraId="6B009F7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70</w:t>
            </w:r>
          </w:p>
        </w:tc>
        <w:tc>
          <w:tcPr>
            <w:tcW w:w="1200" w:type="dxa"/>
            <w:tcBorders>
              <w:top w:val="nil"/>
              <w:left w:val="nil"/>
              <w:bottom w:val="single" w:sz="8" w:space="0" w:color="auto"/>
              <w:right w:val="single" w:sz="8" w:space="0" w:color="auto"/>
            </w:tcBorders>
            <w:shd w:val="clear" w:color="auto" w:fill="auto"/>
            <w:noWrap/>
            <w:vAlign w:val="center"/>
            <w:hideMark/>
          </w:tcPr>
          <w:p w14:paraId="11F38A4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41</w:t>
            </w:r>
          </w:p>
        </w:tc>
        <w:tc>
          <w:tcPr>
            <w:tcW w:w="1200" w:type="dxa"/>
            <w:tcBorders>
              <w:top w:val="nil"/>
              <w:left w:val="nil"/>
              <w:bottom w:val="single" w:sz="8" w:space="0" w:color="auto"/>
              <w:right w:val="single" w:sz="8" w:space="0" w:color="auto"/>
            </w:tcBorders>
            <w:shd w:val="clear" w:color="auto" w:fill="auto"/>
            <w:noWrap/>
            <w:vAlign w:val="center"/>
            <w:hideMark/>
          </w:tcPr>
          <w:p w14:paraId="470D8A9B"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27</w:t>
            </w:r>
          </w:p>
        </w:tc>
        <w:tc>
          <w:tcPr>
            <w:tcW w:w="1200" w:type="dxa"/>
            <w:tcBorders>
              <w:top w:val="nil"/>
              <w:left w:val="nil"/>
              <w:bottom w:val="single" w:sz="8" w:space="0" w:color="auto"/>
              <w:right w:val="single" w:sz="8" w:space="0" w:color="auto"/>
            </w:tcBorders>
            <w:shd w:val="clear" w:color="auto" w:fill="auto"/>
            <w:noWrap/>
            <w:vAlign w:val="center"/>
            <w:hideMark/>
          </w:tcPr>
          <w:p w14:paraId="6D8B45F4"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86%</w:t>
            </w:r>
          </w:p>
        </w:tc>
      </w:tr>
      <w:tr w:rsidR="00906C43" w:rsidRPr="00906C43" w14:paraId="201104FB" w14:textId="77777777" w:rsidTr="00906C43">
        <w:trPr>
          <w:trHeight w:val="1140"/>
          <w:jc w:val="center"/>
        </w:trPr>
        <w:tc>
          <w:tcPr>
            <w:tcW w:w="148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277F65B7"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Juzgado Familia, Penal Juv. y Viol. Dom. Doméstica de Golfito</w:t>
            </w:r>
          </w:p>
        </w:tc>
        <w:tc>
          <w:tcPr>
            <w:tcW w:w="1200" w:type="dxa"/>
            <w:tcBorders>
              <w:top w:val="nil"/>
              <w:left w:val="nil"/>
              <w:bottom w:val="nil"/>
              <w:right w:val="single" w:sz="8" w:space="0" w:color="auto"/>
            </w:tcBorders>
            <w:shd w:val="clear" w:color="000000" w:fill="D9D9D9"/>
            <w:vAlign w:val="center"/>
            <w:hideMark/>
          </w:tcPr>
          <w:p w14:paraId="5D6DF4FF"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 </w:t>
            </w:r>
          </w:p>
        </w:tc>
        <w:tc>
          <w:tcPr>
            <w:tcW w:w="94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E5CBA7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w:t>
            </w:r>
          </w:p>
        </w:tc>
        <w:tc>
          <w:tcPr>
            <w:tcW w:w="88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66A73A6"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w:t>
            </w:r>
          </w:p>
        </w:tc>
        <w:tc>
          <w:tcPr>
            <w:tcW w:w="128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CE369EA"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100%</w:t>
            </w:r>
          </w:p>
        </w:tc>
        <w:tc>
          <w:tcPr>
            <w:tcW w:w="94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B632235"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31</w:t>
            </w:r>
          </w:p>
        </w:tc>
        <w:tc>
          <w:tcPr>
            <w:tcW w:w="120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452409D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20</w:t>
            </w:r>
          </w:p>
        </w:tc>
        <w:tc>
          <w:tcPr>
            <w:tcW w:w="120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2998A7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31</w:t>
            </w:r>
          </w:p>
        </w:tc>
        <w:tc>
          <w:tcPr>
            <w:tcW w:w="120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761D485"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15</w:t>
            </w:r>
          </w:p>
        </w:tc>
        <w:tc>
          <w:tcPr>
            <w:tcW w:w="120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F22AB4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67%</w:t>
            </w:r>
          </w:p>
        </w:tc>
      </w:tr>
      <w:tr w:rsidR="00906C43" w:rsidRPr="00906C43" w14:paraId="3AEECB9F" w14:textId="77777777" w:rsidTr="00906C43">
        <w:trPr>
          <w:trHeight w:val="300"/>
          <w:jc w:val="center"/>
        </w:trPr>
        <w:tc>
          <w:tcPr>
            <w:tcW w:w="1480" w:type="dxa"/>
            <w:vMerge/>
            <w:tcBorders>
              <w:top w:val="nil"/>
              <w:left w:val="single" w:sz="8" w:space="0" w:color="auto"/>
              <w:bottom w:val="single" w:sz="8" w:space="0" w:color="000000"/>
              <w:right w:val="single" w:sz="8" w:space="0" w:color="auto"/>
            </w:tcBorders>
            <w:vAlign w:val="center"/>
            <w:hideMark/>
          </w:tcPr>
          <w:p w14:paraId="47F8CA5B"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D9D9D9"/>
            <w:vAlign w:val="center"/>
            <w:hideMark/>
          </w:tcPr>
          <w:p w14:paraId="2E77CF3D"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Familia</w:t>
            </w:r>
          </w:p>
        </w:tc>
        <w:tc>
          <w:tcPr>
            <w:tcW w:w="940" w:type="dxa"/>
            <w:vMerge/>
            <w:tcBorders>
              <w:top w:val="nil"/>
              <w:left w:val="single" w:sz="8" w:space="0" w:color="auto"/>
              <w:bottom w:val="single" w:sz="8" w:space="0" w:color="000000"/>
              <w:right w:val="single" w:sz="8" w:space="0" w:color="auto"/>
            </w:tcBorders>
            <w:vAlign w:val="center"/>
            <w:hideMark/>
          </w:tcPr>
          <w:p w14:paraId="45562A41"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880" w:type="dxa"/>
            <w:vMerge/>
            <w:tcBorders>
              <w:top w:val="nil"/>
              <w:left w:val="single" w:sz="8" w:space="0" w:color="auto"/>
              <w:bottom w:val="single" w:sz="8" w:space="0" w:color="000000"/>
              <w:right w:val="single" w:sz="8" w:space="0" w:color="auto"/>
            </w:tcBorders>
            <w:vAlign w:val="center"/>
            <w:hideMark/>
          </w:tcPr>
          <w:p w14:paraId="159FEA50"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80" w:type="dxa"/>
            <w:vMerge/>
            <w:tcBorders>
              <w:top w:val="nil"/>
              <w:left w:val="single" w:sz="8" w:space="0" w:color="auto"/>
              <w:bottom w:val="single" w:sz="8" w:space="0" w:color="000000"/>
              <w:right w:val="single" w:sz="8" w:space="0" w:color="auto"/>
            </w:tcBorders>
            <w:vAlign w:val="center"/>
            <w:hideMark/>
          </w:tcPr>
          <w:p w14:paraId="32ECCBB7"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940" w:type="dxa"/>
            <w:vMerge/>
            <w:tcBorders>
              <w:top w:val="nil"/>
              <w:left w:val="single" w:sz="8" w:space="0" w:color="auto"/>
              <w:bottom w:val="single" w:sz="8" w:space="0" w:color="000000"/>
              <w:right w:val="single" w:sz="8" w:space="0" w:color="auto"/>
            </w:tcBorders>
            <w:vAlign w:val="center"/>
            <w:hideMark/>
          </w:tcPr>
          <w:p w14:paraId="414FFE5A"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00" w:type="dxa"/>
            <w:vMerge/>
            <w:tcBorders>
              <w:top w:val="nil"/>
              <w:left w:val="single" w:sz="8" w:space="0" w:color="auto"/>
              <w:bottom w:val="single" w:sz="8" w:space="0" w:color="000000"/>
              <w:right w:val="single" w:sz="8" w:space="0" w:color="auto"/>
            </w:tcBorders>
            <w:vAlign w:val="center"/>
            <w:hideMark/>
          </w:tcPr>
          <w:p w14:paraId="34DD987D"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00" w:type="dxa"/>
            <w:vMerge/>
            <w:tcBorders>
              <w:top w:val="nil"/>
              <w:left w:val="single" w:sz="8" w:space="0" w:color="auto"/>
              <w:bottom w:val="single" w:sz="8" w:space="0" w:color="000000"/>
              <w:right w:val="single" w:sz="8" w:space="0" w:color="auto"/>
            </w:tcBorders>
            <w:vAlign w:val="center"/>
            <w:hideMark/>
          </w:tcPr>
          <w:p w14:paraId="342FCC6D"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00" w:type="dxa"/>
            <w:vMerge/>
            <w:tcBorders>
              <w:top w:val="nil"/>
              <w:left w:val="single" w:sz="8" w:space="0" w:color="auto"/>
              <w:bottom w:val="single" w:sz="8" w:space="0" w:color="000000"/>
              <w:right w:val="single" w:sz="8" w:space="0" w:color="auto"/>
            </w:tcBorders>
            <w:vAlign w:val="center"/>
            <w:hideMark/>
          </w:tcPr>
          <w:p w14:paraId="28C24359"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00" w:type="dxa"/>
            <w:vMerge/>
            <w:tcBorders>
              <w:top w:val="nil"/>
              <w:left w:val="single" w:sz="8" w:space="0" w:color="auto"/>
              <w:bottom w:val="single" w:sz="8" w:space="0" w:color="000000"/>
              <w:right w:val="single" w:sz="8" w:space="0" w:color="auto"/>
            </w:tcBorders>
            <w:vAlign w:val="center"/>
            <w:hideMark/>
          </w:tcPr>
          <w:p w14:paraId="3F9E6754"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r>
      <w:tr w:rsidR="00906C43" w:rsidRPr="00906C43" w14:paraId="4BE506F4" w14:textId="77777777" w:rsidTr="00906C43">
        <w:trPr>
          <w:trHeight w:val="530"/>
          <w:jc w:val="center"/>
        </w:trPr>
        <w:tc>
          <w:tcPr>
            <w:tcW w:w="1480" w:type="dxa"/>
            <w:vMerge/>
            <w:tcBorders>
              <w:top w:val="nil"/>
              <w:left w:val="single" w:sz="8" w:space="0" w:color="auto"/>
              <w:bottom w:val="single" w:sz="8" w:space="0" w:color="000000"/>
              <w:right w:val="single" w:sz="8" w:space="0" w:color="auto"/>
            </w:tcBorders>
            <w:vAlign w:val="center"/>
            <w:hideMark/>
          </w:tcPr>
          <w:p w14:paraId="76065EE3"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D9D9D9"/>
            <w:vAlign w:val="center"/>
            <w:hideMark/>
          </w:tcPr>
          <w:p w14:paraId="6D731948"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Viol. Doméstica</w:t>
            </w:r>
          </w:p>
        </w:tc>
        <w:tc>
          <w:tcPr>
            <w:tcW w:w="940" w:type="dxa"/>
            <w:vMerge/>
            <w:tcBorders>
              <w:top w:val="nil"/>
              <w:left w:val="single" w:sz="8" w:space="0" w:color="auto"/>
              <w:bottom w:val="single" w:sz="8" w:space="0" w:color="000000"/>
              <w:right w:val="single" w:sz="8" w:space="0" w:color="auto"/>
            </w:tcBorders>
            <w:vAlign w:val="center"/>
            <w:hideMark/>
          </w:tcPr>
          <w:p w14:paraId="739DD1DE"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880" w:type="dxa"/>
            <w:vMerge/>
            <w:tcBorders>
              <w:top w:val="nil"/>
              <w:left w:val="single" w:sz="8" w:space="0" w:color="auto"/>
              <w:bottom w:val="single" w:sz="8" w:space="0" w:color="000000"/>
              <w:right w:val="single" w:sz="8" w:space="0" w:color="auto"/>
            </w:tcBorders>
            <w:vAlign w:val="center"/>
            <w:hideMark/>
          </w:tcPr>
          <w:p w14:paraId="08893573"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80" w:type="dxa"/>
            <w:tcBorders>
              <w:top w:val="nil"/>
              <w:left w:val="nil"/>
              <w:bottom w:val="single" w:sz="8" w:space="0" w:color="auto"/>
              <w:right w:val="single" w:sz="8" w:space="0" w:color="auto"/>
            </w:tcBorders>
            <w:shd w:val="clear" w:color="000000" w:fill="D9D9D9"/>
            <w:noWrap/>
            <w:vAlign w:val="center"/>
            <w:hideMark/>
          </w:tcPr>
          <w:p w14:paraId="12D443BD"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100%</w:t>
            </w:r>
          </w:p>
        </w:tc>
        <w:tc>
          <w:tcPr>
            <w:tcW w:w="940" w:type="dxa"/>
            <w:tcBorders>
              <w:top w:val="nil"/>
              <w:left w:val="nil"/>
              <w:bottom w:val="single" w:sz="8" w:space="0" w:color="auto"/>
              <w:right w:val="single" w:sz="8" w:space="0" w:color="auto"/>
            </w:tcBorders>
            <w:shd w:val="clear" w:color="000000" w:fill="D9D9D9"/>
            <w:noWrap/>
            <w:vAlign w:val="center"/>
            <w:hideMark/>
          </w:tcPr>
          <w:p w14:paraId="74375DA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43</w:t>
            </w:r>
          </w:p>
        </w:tc>
        <w:tc>
          <w:tcPr>
            <w:tcW w:w="1200" w:type="dxa"/>
            <w:tcBorders>
              <w:top w:val="nil"/>
              <w:left w:val="nil"/>
              <w:bottom w:val="single" w:sz="8" w:space="0" w:color="auto"/>
              <w:right w:val="single" w:sz="8" w:space="0" w:color="auto"/>
            </w:tcBorders>
            <w:shd w:val="clear" w:color="000000" w:fill="D9D9D9"/>
            <w:noWrap/>
            <w:vAlign w:val="center"/>
            <w:hideMark/>
          </w:tcPr>
          <w:p w14:paraId="0B10F87C"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39</w:t>
            </w:r>
          </w:p>
        </w:tc>
        <w:tc>
          <w:tcPr>
            <w:tcW w:w="1200" w:type="dxa"/>
            <w:tcBorders>
              <w:top w:val="nil"/>
              <w:left w:val="nil"/>
              <w:bottom w:val="single" w:sz="8" w:space="0" w:color="auto"/>
              <w:right w:val="single" w:sz="8" w:space="0" w:color="auto"/>
            </w:tcBorders>
            <w:shd w:val="clear" w:color="000000" w:fill="D9D9D9"/>
            <w:noWrap/>
            <w:vAlign w:val="center"/>
            <w:hideMark/>
          </w:tcPr>
          <w:p w14:paraId="251969AA"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43</w:t>
            </w:r>
          </w:p>
        </w:tc>
        <w:tc>
          <w:tcPr>
            <w:tcW w:w="1200" w:type="dxa"/>
            <w:tcBorders>
              <w:top w:val="nil"/>
              <w:left w:val="nil"/>
              <w:bottom w:val="single" w:sz="8" w:space="0" w:color="auto"/>
              <w:right w:val="single" w:sz="8" w:space="0" w:color="auto"/>
            </w:tcBorders>
            <w:shd w:val="clear" w:color="000000" w:fill="D9D9D9"/>
            <w:noWrap/>
            <w:vAlign w:val="center"/>
            <w:hideMark/>
          </w:tcPr>
          <w:p w14:paraId="5AF77693"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22</w:t>
            </w:r>
          </w:p>
        </w:tc>
        <w:tc>
          <w:tcPr>
            <w:tcW w:w="1200" w:type="dxa"/>
            <w:tcBorders>
              <w:top w:val="nil"/>
              <w:left w:val="nil"/>
              <w:bottom w:val="single" w:sz="8" w:space="0" w:color="auto"/>
              <w:right w:val="single" w:sz="8" w:space="0" w:color="auto"/>
            </w:tcBorders>
            <w:shd w:val="clear" w:color="000000" w:fill="D9D9D9"/>
            <w:noWrap/>
            <w:vAlign w:val="center"/>
            <w:hideMark/>
          </w:tcPr>
          <w:p w14:paraId="628CBAB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111%</w:t>
            </w:r>
          </w:p>
        </w:tc>
      </w:tr>
      <w:tr w:rsidR="00906C43" w:rsidRPr="00906C43" w14:paraId="29DD1299" w14:textId="77777777" w:rsidTr="00906C43">
        <w:trPr>
          <w:trHeight w:val="1150"/>
          <w:jc w:val="center"/>
        </w:trPr>
        <w:tc>
          <w:tcPr>
            <w:tcW w:w="1480" w:type="dxa"/>
            <w:vMerge w:val="restart"/>
            <w:tcBorders>
              <w:top w:val="nil"/>
              <w:left w:val="single" w:sz="8" w:space="0" w:color="auto"/>
              <w:bottom w:val="single" w:sz="8" w:space="0" w:color="000000"/>
              <w:right w:val="single" w:sz="8" w:space="0" w:color="auto"/>
            </w:tcBorders>
            <w:shd w:val="clear" w:color="auto" w:fill="auto"/>
            <w:vAlign w:val="center"/>
            <w:hideMark/>
          </w:tcPr>
          <w:p w14:paraId="2C48A91E"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Juzgado Familia, Penal Juvenil y Viol. Dom. Santa Cruz</w:t>
            </w:r>
          </w:p>
        </w:tc>
        <w:tc>
          <w:tcPr>
            <w:tcW w:w="1200" w:type="dxa"/>
            <w:tcBorders>
              <w:top w:val="nil"/>
              <w:left w:val="nil"/>
              <w:bottom w:val="single" w:sz="8" w:space="0" w:color="auto"/>
              <w:right w:val="single" w:sz="8" w:space="0" w:color="auto"/>
            </w:tcBorders>
            <w:shd w:val="clear" w:color="auto" w:fill="auto"/>
            <w:vAlign w:val="center"/>
            <w:hideMark/>
          </w:tcPr>
          <w:p w14:paraId="7A8C9BA4"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Familia</w:t>
            </w:r>
          </w:p>
        </w:tc>
        <w:tc>
          <w:tcPr>
            <w:tcW w:w="94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F3BE82C"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w:t>
            </w:r>
          </w:p>
        </w:tc>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846DB1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w:t>
            </w:r>
          </w:p>
        </w:tc>
        <w:tc>
          <w:tcPr>
            <w:tcW w:w="1280" w:type="dxa"/>
            <w:tcBorders>
              <w:top w:val="nil"/>
              <w:left w:val="nil"/>
              <w:bottom w:val="single" w:sz="8" w:space="0" w:color="auto"/>
              <w:right w:val="single" w:sz="8" w:space="0" w:color="auto"/>
            </w:tcBorders>
            <w:shd w:val="clear" w:color="auto" w:fill="auto"/>
            <w:noWrap/>
            <w:vAlign w:val="center"/>
            <w:hideMark/>
          </w:tcPr>
          <w:p w14:paraId="114FEBFB"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auto" w:fill="auto"/>
            <w:noWrap/>
            <w:vAlign w:val="center"/>
            <w:hideMark/>
          </w:tcPr>
          <w:p w14:paraId="421CC1D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49</w:t>
            </w:r>
          </w:p>
        </w:tc>
        <w:tc>
          <w:tcPr>
            <w:tcW w:w="1200" w:type="dxa"/>
            <w:tcBorders>
              <w:top w:val="nil"/>
              <w:left w:val="nil"/>
              <w:bottom w:val="single" w:sz="8" w:space="0" w:color="auto"/>
              <w:right w:val="single" w:sz="8" w:space="0" w:color="auto"/>
            </w:tcBorders>
            <w:shd w:val="clear" w:color="auto" w:fill="auto"/>
            <w:noWrap/>
            <w:vAlign w:val="center"/>
            <w:hideMark/>
          </w:tcPr>
          <w:p w14:paraId="644638A3"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31</w:t>
            </w:r>
          </w:p>
        </w:tc>
        <w:tc>
          <w:tcPr>
            <w:tcW w:w="1200" w:type="dxa"/>
            <w:tcBorders>
              <w:top w:val="nil"/>
              <w:left w:val="nil"/>
              <w:bottom w:val="single" w:sz="8" w:space="0" w:color="auto"/>
              <w:right w:val="single" w:sz="8" w:space="0" w:color="auto"/>
            </w:tcBorders>
            <w:shd w:val="clear" w:color="auto" w:fill="auto"/>
            <w:noWrap/>
            <w:vAlign w:val="center"/>
            <w:hideMark/>
          </w:tcPr>
          <w:p w14:paraId="74F7C0F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24</w:t>
            </w:r>
          </w:p>
        </w:tc>
        <w:tc>
          <w:tcPr>
            <w:tcW w:w="1200" w:type="dxa"/>
            <w:tcBorders>
              <w:top w:val="nil"/>
              <w:left w:val="nil"/>
              <w:bottom w:val="single" w:sz="8" w:space="0" w:color="auto"/>
              <w:right w:val="single" w:sz="8" w:space="0" w:color="auto"/>
            </w:tcBorders>
            <w:shd w:val="clear" w:color="auto" w:fill="auto"/>
            <w:noWrap/>
            <w:vAlign w:val="center"/>
            <w:hideMark/>
          </w:tcPr>
          <w:p w14:paraId="5FB3D32C"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16</w:t>
            </w:r>
          </w:p>
        </w:tc>
        <w:tc>
          <w:tcPr>
            <w:tcW w:w="1200" w:type="dxa"/>
            <w:tcBorders>
              <w:top w:val="nil"/>
              <w:left w:val="nil"/>
              <w:bottom w:val="single" w:sz="8" w:space="0" w:color="auto"/>
              <w:right w:val="single" w:sz="8" w:space="0" w:color="auto"/>
            </w:tcBorders>
            <w:shd w:val="clear" w:color="auto" w:fill="auto"/>
            <w:noWrap/>
            <w:vAlign w:val="center"/>
            <w:hideMark/>
          </w:tcPr>
          <w:p w14:paraId="10B9256A"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78%</w:t>
            </w:r>
          </w:p>
        </w:tc>
      </w:tr>
      <w:tr w:rsidR="00906C43" w:rsidRPr="00906C43" w14:paraId="198274B7" w14:textId="77777777" w:rsidTr="00906C43">
        <w:trPr>
          <w:trHeight w:val="530"/>
          <w:jc w:val="center"/>
        </w:trPr>
        <w:tc>
          <w:tcPr>
            <w:tcW w:w="1480" w:type="dxa"/>
            <w:vMerge/>
            <w:tcBorders>
              <w:top w:val="nil"/>
              <w:left w:val="single" w:sz="8" w:space="0" w:color="auto"/>
              <w:bottom w:val="single" w:sz="8" w:space="0" w:color="000000"/>
              <w:right w:val="single" w:sz="8" w:space="0" w:color="auto"/>
            </w:tcBorders>
            <w:vAlign w:val="center"/>
            <w:hideMark/>
          </w:tcPr>
          <w:p w14:paraId="211F4F2D"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492D31C9"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Viol. Doméstica</w:t>
            </w:r>
          </w:p>
        </w:tc>
        <w:tc>
          <w:tcPr>
            <w:tcW w:w="940" w:type="dxa"/>
            <w:vMerge/>
            <w:tcBorders>
              <w:top w:val="nil"/>
              <w:left w:val="single" w:sz="8" w:space="0" w:color="auto"/>
              <w:bottom w:val="single" w:sz="8" w:space="0" w:color="000000"/>
              <w:right w:val="single" w:sz="8" w:space="0" w:color="auto"/>
            </w:tcBorders>
            <w:vAlign w:val="center"/>
            <w:hideMark/>
          </w:tcPr>
          <w:p w14:paraId="65DBCDF3"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880" w:type="dxa"/>
            <w:vMerge/>
            <w:tcBorders>
              <w:top w:val="nil"/>
              <w:left w:val="single" w:sz="8" w:space="0" w:color="auto"/>
              <w:bottom w:val="single" w:sz="8" w:space="0" w:color="000000"/>
              <w:right w:val="single" w:sz="8" w:space="0" w:color="auto"/>
            </w:tcBorders>
            <w:vAlign w:val="center"/>
            <w:hideMark/>
          </w:tcPr>
          <w:p w14:paraId="3C78CCA1"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80" w:type="dxa"/>
            <w:tcBorders>
              <w:top w:val="nil"/>
              <w:left w:val="nil"/>
              <w:bottom w:val="single" w:sz="8" w:space="0" w:color="auto"/>
              <w:right w:val="single" w:sz="8" w:space="0" w:color="auto"/>
            </w:tcBorders>
            <w:shd w:val="clear" w:color="auto" w:fill="auto"/>
            <w:noWrap/>
            <w:vAlign w:val="center"/>
            <w:hideMark/>
          </w:tcPr>
          <w:p w14:paraId="014EFEC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auto" w:fill="auto"/>
            <w:noWrap/>
            <w:vAlign w:val="center"/>
            <w:hideMark/>
          </w:tcPr>
          <w:p w14:paraId="4E91CECC"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125</w:t>
            </w:r>
          </w:p>
        </w:tc>
        <w:tc>
          <w:tcPr>
            <w:tcW w:w="1200" w:type="dxa"/>
            <w:tcBorders>
              <w:top w:val="nil"/>
              <w:left w:val="nil"/>
              <w:bottom w:val="single" w:sz="8" w:space="0" w:color="auto"/>
              <w:right w:val="single" w:sz="8" w:space="0" w:color="auto"/>
            </w:tcBorders>
            <w:shd w:val="clear" w:color="auto" w:fill="auto"/>
            <w:noWrap/>
            <w:vAlign w:val="center"/>
            <w:hideMark/>
          </w:tcPr>
          <w:p w14:paraId="4AB7372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105</w:t>
            </w:r>
          </w:p>
        </w:tc>
        <w:tc>
          <w:tcPr>
            <w:tcW w:w="1200" w:type="dxa"/>
            <w:tcBorders>
              <w:top w:val="nil"/>
              <w:left w:val="nil"/>
              <w:bottom w:val="single" w:sz="8" w:space="0" w:color="auto"/>
              <w:right w:val="single" w:sz="8" w:space="0" w:color="auto"/>
            </w:tcBorders>
            <w:shd w:val="clear" w:color="auto" w:fill="auto"/>
            <w:noWrap/>
            <w:vAlign w:val="center"/>
            <w:hideMark/>
          </w:tcPr>
          <w:p w14:paraId="71CBF70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62</w:t>
            </w:r>
          </w:p>
        </w:tc>
        <w:tc>
          <w:tcPr>
            <w:tcW w:w="1200" w:type="dxa"/>
            <w:tcBorders>
              <w:top w:val="nil"/>
              <w:left w:val="nil"/>
              <w:bottom w:val="single" w:sz="8" w:space="0" w:color="auto"/>
              <w:right w:val="single" w:sz="8" w:space="0" w:color="auto"/>
            </w:tcBorders>
            <w:shd w:val="clear" w:color="auto" w:fill="auto"/>
            <w:noWrap/>
            <w:vAlign w:val="center"/>
            <w:hideMark/>
          </w:tcPr>
          <w:p w14:paraId="38D0F7A0"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42</w:t>
            </w:r>
          </w:p>
        </w:tc>
        <w:tc>
          <w:tcPr>
            <w:tcW w:w="1200" w:type="dxa"/>
            <w:tcBorders>
              <w:top w:val="nil"/>
              <w:left w:val="nil"/>
              <w:bottom w:val="single" w:sz="8" w:space="0" w:color="auto"/>
              <w:right w:val="single" w:sz="8" w:space="0" w:color="auto"/>
            </w:tcBorders>
            <w:shd w:val="clear" w:color="auto" w:fill="auto"/>
            <w:noWrap/>
            <w:vAlign w:val="center"/>
            <w:hideMark/>
          </w:tcPr>
          <w:p w14:paraId="43B88992"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84%</w:t>
            </w:r>
          </w:p>
        </w:tc>
      </w:tr>
      <w:tr w:rsidR="00906C43" w:rsidRPr="00906C43" w14:paraId="3C0C99B5" w14:textId="77777777" w:rsidTr="00906C43">
        <w:trPr>
          <w:trHeight w:val="570"/>
          <w:jc w:val="center"/>
        </w:trPr>
        <w:tc>
          <w:tcPr>
            <w:tcW w:w="148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3CC45FAE"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Juzgado Familia y Viol. Dom. Grecia</w:t>
            </w:r>
          </w:p>
        </w:tc>
        <w:tc>
          <w:tcPr>
            <w:tcW w:w="1200" w:type="dxa"/>
            <w:tcBorders>
              <w:top w:val="nil"/>
              <w:left w:val="nil"/>
              <w:bottom w:val="single" w:sz="8" w:space="0" w:color="auto"/>
              <w:right w:val="single" w:sz="8" w:space="0" w:color="auto"/>
            </w:tcBorders>
            <w:shd w:val="clear" w:color="000000" w:fill="D9D9D9"/>
            <w:vAlign w:val="center"/>
            <w:hideMark/>
          </w:tcPr>
          <w:p w14:paraId="54976FD3"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Familia</w:t>
            </w:r>
          </w:p>
        </w:tc>
        <w:tc>
          <w:tcPr>
            <w:tcW w:w="94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50A9D4C8"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w:t>
            </w:r>
          </w:p>
        </w:tc>
        <w:tc>
          <w:tcPr>
            <w:tcW w:w="88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1E54E26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w:t>
            </w:r>
          </w:p>
        </w:tc>
        <w:tc>
          <w:tcPr>
            <w:tcW w:w="1280" w:type="dxa"/>
            <w:tcBorders>
              <w:top w:val="nil"/>
              <w:left w:val="nil"/>
              <w:bottom w:val="single" w:sz="8" w:space="0" w:color="auto"/>
              <w:right w:val="single" w:sz="8" w:space="0" w:color="auto"/>
            </w:tcBorders>
            <w:shd w:val="clear" w:color="000000" w:fill="D9D9D9"/>
            <w:noWrap/>
            <w:vAlign w:val="center"/>
            <w:hideMark/>
          </w:tcPr>
          <w:p w14:paraId="397EA33F"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000000" w:fill="D9D9D9"/>
            <w:noWrap/>
            <w:vAlign w:val="center"/>
            <w:hideMark/>
          </w:tcPr>
          <w:p w14:paraId="4A497E34"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98</w:t>
            </w:r>
          </w:p>
        </w:tc>
        <w:tc>
          <w:tcPr>
            <w:tcW w:w="1200" w:type="dxa"/>
            <w:tcBorders>
              <w:top w:val="nil"/>
              <w:left w:val="nil"/>
              <w:bottom w:val="single" w:sz="8" w:space="0" w:color="auto"/>
              <w:right w:val="single" w:sz="8" w:space="0" w:color="auto"/>
            </w:tcBorders>
            <w:shd w:val="clear" w:color="000000" w:fill="D9D9D9"/>
            <w:noWrap/>
            <w:vAlign w:val="center"/>
            <w:hideMark/>
          </w:tcPr>
          <w:p w14:paraId="007B7453"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68</w:t>
            </w:r>
          </w:p>
        </w:tc>
        <w:tc>
          <w:tcPr>
            <w:tcW w:w="1200" w:type="dxa"/>
            <w:tcBorders>
              <w:top w:val="nil"/>
              <w:left w:val="nil"/>
              <w:bottom w:val="single" w:sz="8" w:space="0" w:color="auto"/>
              <w:right w:val="single" w:sz="8" w:space="0" w:color="auto"/>
            </w:tcBorders>
            <w:shd w:val="clear" w:color="000000" w:fill="D9D9D9"/>
            <w:noWrap/>
            <w:vAlign w:val="center"/>
            <w:hideMark/>
          </w:tcPr>
          <w:p w14:paraId="1B2A490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49</w:t>
            </w:r>
          </w:p>
        </w:tc>
        <w:tc>
          <w:tcPr>
            <w:tcW w:w="1200" w:type="dxa"/>
            <w:tcBorders>
              <w:top w:val="nil"/>
              <w:left w:val="nil"/>
              <w:bottom w:val="single" w:sz="8" w:space="0" w:color="auto"/>
              <w:right w:val="single" w:sz="8" w:space="0" w:color="auto"/>
            </w:tcBorders>
            <w:shd w:val="clear" w:color="000000" w:fill="D9D9D9"/>
            <w:noWrap/>
            <w:vAlign w:val="center"/>
            <w:hideMark/>
          </w:tcPr>
          <w:p w14:paraId="40415AB4"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33</w:t>
            </w:r>
          </w:p>
        </w:tc>
        <w:tc>
          <w:tcPr>
            <w:tcW w:w="1200" w:type="dxa"/>
            <w:tcBorders>
              <w:top w:val="nil"/>
              <w:left w:val="nil"/>
              <w:bottom w:val="single" w:sz="8" w:space="0" w:color="auto"/>
              <w:right w:val="single" w:sz="8" w:space="0" w:color="auto"/>
            </w:tcBorders>
            <w:shd w:val="clear" w:color="000000" w:fill="D9D9D9"/>
            <w:vAlign w:val="center"/>
            <w:hideMark/>
          </w:tcPr>
          <w:p w14:paraId="26418EB6"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69%</w:t>
            </w:r>
          </w:p>
        </w:tc>
      </w:tr>
      <w:tr w:rsidR="00906C43" w:rsidRPr="00906C43" w14:paraId="68B4C603" w14:textId="77777777" w:rsidTr="00906C43">
        <w:trPr>
          <w:trHeight w:val="530"/>
          <w:jc w:val="center"/>
        </w:trPr>
        <w:tc>
          <w:tcPr>
            <w:tcW w:w="1480" w:type="dxa"/>
            <w:vMerge/>
            <w:tcBorders>
              <w:top w:val="nil"/>
              <w:left w:val="single" w:sz="8" w:space="0" w:color="auto"/>
              <w:bottom w:val="single" w:sz="8" w:space="0" w:color="000000"/>
              <w:right w:val="single" w:sz="8" w:space="0" w:color="auto"/>
            </w:tcBorders>
            <w:vAlign w:val="center"/>
            <w:hideMark/>
          </w:tcPr>
          <w:p w14:paraId="4A719A6E"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D9D9D9"/>
            <w:vAlign w:val="center"/>
            <w:hideMark/>
          </w:tcPr>
          <w:p w14:paraId="033E5A76" w14:textId="77777777" w:rsidR="00906C43" w:rsidRPr="00906C43" w:rsidRDefault="00906C43" w:rsidP="00906C43">
            <w:pPr>
              <w:spacing w:after="0" w:line="240" w:lineRule="auto"/>
              <w:rPr>
                <w:rFonts w:ascii="Book Antiqua" w:eastAsia="Times New Roman" w:hAnsi="Book Antiqua" w:cs="Calibri"/>
                <w:b/>
                <w:bCs/>
                <w:color w:val="000000"/>
                <w:sz w:val="20"/>
                <w:szCs w:val="20"/>
                <w:lang w:eastAsia="es-CR"/>
              </w:rPr>
            </w:pPr>
            <w:r w:rsidRPr="00906C43">
              <w:rPr>
                <w:rFonts w:ascii="Book Antiqua" w:eastAsia="Times New Roman" w:hAnsi="Book Antiqua" w:cs="Calibri"/>
                <w:b/>
                <w:bCs/>
                <w:color w:val="000000"/>
                <w:sz w:val="20"/>
                <w:szCs w:val="20"/>
                <w:lang w:eastAsia="es-CR"/>
              </w:rPr>
              <w:t>Viol. Doméstica</w:t>
            </w:r>
          </w:p>
        </w:tc>
        <w:tc>
          <w:tcPr>
            <w:tcW w:w="940" w:type="dxa"/>
            <w:vMerge/>
            <w:tcBorders>
              <w:top w:val="nil"/>
              <w:left w:val="single" w:sz="8" w:space="0" w:color="auto"/>
              <w:bottom w:val="single" w:sz="8" w:space="0" w:color="000000"/>
              <w:right w:val="single" w:sz="8" w:space="0" w:color="auto"/>
            </w:tcBorders>
            <w:vAlign w:val="center"/>
            <w:hideMark/>
          </w:tcPr>
          <w:p w14:paraId="0A2114F2"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880" w:type="dxa"/>
            <w:vMerge/>
            <w:tcBorders>
              <w:top w:val="nil"/>
              <w:left w:val="single" w:sz="8" w:space="0" w:color="auto"/>
              <w:bottom w:val="single" w:sz="8" w:space="0" w:color="000000"/>
              <w:right w:val="single" w:sz="8" w:space="0" w:color="auto"/>
            </w:tcBorders>
            <w:vAlign w:val="center"/>
            <w:hideMark/>
          </w:tcPr>
          <w:p w14:paraId="322D449C" w14:textId="77777777" w:rsidR="00906C43" w:rsidRPr="00906C43" w:rsidRDefault="00906C43" w:rsidP="00906C43">
            <w:pPr>
              <w:spacing w:after="0" w:line="240" w:lineRule="auto"/>
              <w:rPr>
                <w:rFonts w:ascii="Book Antiqua" w:eastAsia="Times New Roman" w:hAnsi="Book Antiqua" w:cs="Calibri"/>
                <w:color w:val="000000"/>
                <w:sz w:val="20"/>
                <w:szCs w:val="20"/>
                <w:lang w:eastAsia="es-CR"/>
              </w:rPr>
            </w:pPr>
          </w:p>
        </w:tc>
        <w:tc>
          <w:tcPr>
            <w:tcW w:w="1280" w:type="dxa"/>
            <w:tcBorders>
              <w:top w:val="nil"/>
              <w:left w:val="nil"/>
              <w:bottom w:val="single" w:sz="8" w:space="0" w:color="auto"/>
              <w:right w:val="single" w:sz="8" w:space="0" w:color="auto"/>
            </w:tcBorders>
            <w:shd w:val="clear" w:color="000000" w:fill="D9D9D9"/>
            <w:noWrap/>
            <w:vAlign w:val="center"/>
            <w:hideMark/>
          </w:tcPr>
          <w:p w14:paraId="0DADE417"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50%</w:t>
            </w:r>
          </w:p>
        </w:tc>
        <w:tc>
          <w:tcPr>
            <w:tcW w:w="940" w:type="dxa"/>
            <w:tcBorders>
              <w:top w:val="nil"/>
              <w:left w:val="nil"/>
              <w:bottom w:val="single" w:sz="8" w:space="0" w:color="auto"/>
              <w:right w:val="single" w:sz="8" w:space="0" w:color="auto"/>
            </w:tcBorders>
            <w:shd w:val="clear" w:color="000000" w:fill="D9D9D9"/>
            <w:noWrap/>
            <w:vAlign w:val="center"/>
            <w:hideMark/>
          </w:tcPr>
          <w:p w14:paraId="6313FF43"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81</w:t>
            </w:r>
          </w:p>
        </w:tc>
        <w:tc>
          <w:tcPr>
            <w:tcW w:w="1200" w:type="dxa"/>
            <w:tcBorders>
              <w:top w:val="nil"/>
              <w:left w:val="nil"/>
              <w:bottom w:val="single" w:sz="8" w:space="0" w:color="auto"/>
              <w:right w:val="single" w:sz="8" w:space="0" w:color="auto"/>
            </w:tcBorders>
            <w:shd w:val="clear" w:color="000000" w:fill="D9D9D9"/>
            <w:noWrap/>
            <w:vAlign w:val="center"/>
            <w:hideMark/>
          </w:tcPr>
          <w:p w14:paraId="113498AE"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67</w:t>
            </w:r>
          </w:p>
        </w:tc>
        <w:tc>
          <w:tcPr>
            <w:tcW w:w="1200" w:type="dxa"/>
            <w:tcBorders>
              <w:top w:val="nil"/>
              <w:left w:val="nil"/>
              <w:bottom w:val="single" w:sz="8" w:space="0" w:color="auto"/>
              <w:right w:val="single" w:sz="8" w:space="0" w:color="auto"/>
            </w:tcBorders>
            <w:shd w:val="clear" w:color="000000" w:fill="D9D9D9"/>
            <w:noWrap/>
            <w:vAlign w:val="center"/>
            <w:hideMark/>
          </w:tcPr>
          <w:p w14:paraId="29D1F339"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40</w:t>
            </w:r>
          </w:p>
        </w:tc>
        <w:tc>
          <w:tcPr>
            <w:tcW w:w="1200" w:type="dxa"/>
            <w:tcBorders>
              <w:top w:val="nil"/>
              <w:left w:val="nil"/>
              <w:bottom w:val="single" w:sz="8" w:space="0" w:color="auto"/>
              <w:right w:val="single" w:sz="8" w:space="0" w:color="auto"/>
            </w:tcBorders>
            <w:shd w:val="clear" w:color="000000" w:fill="D9D9D9"/>
            <w:noWrap/>
            <w:vAlign w:val="center"/>
            <w:hideMark/>
          </w:tcPr>
          <w:p w14:paraId="766CAB65"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27</w:t>
            </w:r>
          </w:p>
        </w:tc>
        <w:tc>
          <w:tcPr>
            <w:tcW w:w="1200" w:type="dxa"/>
            <w:tcBorders>
              <w:top w:val="nil"/>
              <w:left w:val="nil"/>
              <w:bottom w:val="single" w:sz="8" w:space="0" w:color="auto"/>
              <w:right w:val="single" w:sz="8" w:space="0" w:color="auto"/>
            </w:tcBorders>
            <w:shd w:val="clear" w:color="000000" w:fill="D9D9D9"/>
            <w:vAlign w:val="center"/>
            <w:hideMark/>
          </w:tcPr>
          <w:p w14:paraId="41F82BCA" w14:textId="77777777" w:rsidR="00906C43" w:rsidRPr="00906C43" w:rsidRDefault="00906C43" w:rsidP="00906C43">
            <w:pPr>
              <w:spacing w:after="0" w:line="240" w:lineRule="auto"/>
              <w:jc w:val="center"/>
              <w:rPr>
                <w:rFonts w:ascii="Book Antiqua" w:eastAsia="Times New Roman" w:hAnsi="Book Antiqua" w:cs="Calibri"/>
                <w:color w:val="000000"/>
                <w:sz w:val="20"/>
                <w:szCs w:val="20"/>
                <w:lang w:eastAsia="es-CR"/>
              </w:rPr>
            </w:pPr>
            <w:r w:rsidRPr="00906C43">
              <w:rPr>
                <w:rFonts w:ascii="Book Antiqua" w:eastAsia="Times New Roman" w:hAnsi="Book Antiqua" w:cs="Calibri"/>
                <w:color w:val="000000"/>
                <w:sz w:val="20"/>
                <w:szCs w:val="20"/>
                <w:lang w:eastAsia="es-CR"/>
              </w:rPr>
              <w:t>83%</w:t>
            </w:r>
          </w:p>
        </w:tc>
      </w:tr>
    </w:tbl>
    <w:bookmarkEnd w:id="56"/>
    <w:p w14:paraId="273F99BC" w14:textId="419983DA" w:rsidR="00D026F9" w:rsidRDefault="004D6EE2" w:rsidP="00355630">
      <w:pPr>
        <w:spacing w:after="0" w:line="276" w:lineRule="auto"/>
        <w:jc w:val="both"/>
        <w:rPr>
          <w:rFonts w:ascii="Book Antiqua" w:eastAsia="Calibri" w:hAnsi="Book Antiqua" w:cs="Arial"/>
          <w:i/>
          <w:iCs/>
          <w:sz w:val="20"/>
          <w:szCs w:val="20"/>
        </w:rPr>
      </w:pPr>
      <w:r w:rsidRPr="007118DC">
        <w:rPr>
          <w:rFonts w:ascii="Book Antiqua" w:eastAsia="Calibri" w:hAnsi="Book Antiqua" w:cs="Arial"/>
          <w:b/>
          <w:bCs/>
          <w:i/>
          <w:iCs/>
          <w:sz w:val="20"/>
          <w:szCs w:val="20"/>
        </w:rPr>
        <w:t>Fuente:</w:t>
      </w:r>
      <w:r w:rsidRPr="004D6EE2">
        <w:rPr>
          <w:rFonts w:ascii="Book Antiqua" w:eastAsia="Calibri" w:hAnsi="Book Antiqua" w:cs="Arial"/>
          <w:i/>
          <w:iCs/>
          <w:sz w:val="20"/>
          <w:szCs w:val="20"/>
        </w:rPr>
        <w:t xml:space="preserve"> Modernización Institucional con base en datos de Cuadros Estadísticos del Subproceso de Estadística de la Dirección de Planificación. </w:t>
      </w:r>
    </w:p>
    <w:p w14:paraId="3964190A" w14:textId="6F9151C5" w:rsidR="00567704" w:rsidRPr="004D6EE2" w:rsidRDefault="00567704" w:rsidP="00355630">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 xml:space="preserve">Nota:* En el informe 159-PLA-MI-2022, se recomienda que la plaza de </w:t>
      </w:r>
      <w:r w:rsidRPr="00567704">
        <w:rPr>
          <w:rFonts w:ascii="Book Antiqua" w:eastAsia="Calibri" w:hAnsi="Book Antiqua" w:cs="Arial"/>
          <w:i/>
          <w:iCs/>
          <w:sz w:val="20"/>
          <w:szCs w:val="20"/>
        </w:rPr>
        <w:t xml:space="preserve">Técnico Judicial 2 (código 44489) </w:t>
      </w:r>
      <w:r>
        <w:rPr>
          <w:rFonts w:ascii="Book Antiqua" w:eastAsia="Calibri" w:hAnsi="Book Antiqua" w:cs="Arial"/>
          <w:i/>
          <w:iCs/>
          <w:sz w:val="20"/>
          <w:szCs w:val="20"/>
        </w:rPr>
        <w:t xml:space="preserve">pase </w:t>
      </w:r>
      <w:r w:rsidRPr="00567704">
        <w:rPr>
          <w:rFonts w:ascii="Book Antiqua" w:eastAsia="Calibri" w:hAnsi="Book Antiqua" w:cs="Arial"/>
          <w:i/>
          <w:iCs/>
          <w:sz w:val="20"/>
          <w:szCs w:val="20"/>
        </w:rPr>
        <w:t>a tiempo completo en el Juzgado de Familia y Violencia Doméstica del Tercer Circuito Judicial de Alajuela, San Ramón, para atender la carga de trabajo que</w:t>
      </w:r>
      <w:r>
        <w:rPr>
          <w:rFonts w:ascii="Book Antiqua" w:eastAsia="Calibri" w:hAnsi="Book Antiqua" w:cs="Arial"/>
          <w:i/>
          <w:iCs/>
          <w:sz w:val="20"/>
          <w:szCs w:val="20"/>
        </w:rPr>
        <w:t xml:space="preserve"> tiene este despacho</w:t>
      </w:r>
      <w:r w:rsidRPr="00567704">
        <w:t xml:space="preserve"> </w:t>
      </w:r>
      <w:r w:rsidRPr="00567704">
        <w:rPr>
          <w:rFonts w:ascii="Book Antiqua" w:eastAsia="Calibri" w:hAnsi="Book Antiqua" w:cs="Arial"/>
          <w:i/>
          <w:iCs/>
          <w:sz w:val="20"/>
          <w:szCs w:val="20"/>
        </w:rPr>
        <w:t>en la tramitación de expedientes</w:t>
      </w:r>
      <w:r>
        <w:rPr>
          <w:rFonts w:ascii="Book Antiqua" w:eastAsia="Calibri" w:hAnsi="Book Antiqua" w:cs="Arial"/>
          <w:i/>
          <w:iCs/>
          <w:sz w:val="20"/>
          <w:szCs w:val="20"/>
        </w:rPr>
        <w:t xml:space="preserve"> </w:t>
      </w:r>
      <w:r w:rsidR="008B711E">
        <w:rPr>
          <w:rFonts w:ascii="Book Antiqua" w:eastAsia="Calibri" w:hAnsi="Book Antiqua" w:cs="Arial"/>
          <w:i/>
          <w:iCs/>
          <w:sz w:val="20"/>
          <w:szCs w:val="20"/>
        </w:rPr>
        <w:t>y en</w:t>
      </w:r>
      <w:r w:rsidRPr="00567704">
        <w:rPr>
          <w:rFonts w:ascii="Book Antiqua" w:eastAsia="Calibri" w:hAnsi="Book Antiqua" w:cs="Arial"/>
          <w:i/>
          <w:iCs/>
          <w:sz w:val="20"/>
          <w:szCs w:val="20"/>
        </w:rPr>
        <w:t xml:space="preserve"> la atención de usuarios en el área de manifestación.</w:t>
      </w:r>
    </w:p>
    <w:p w14:paraId="63F2B811" w14:textId="204C4CCE" w:rsidR="004D6EE2" w:rsidRDefault="004D6EE2" w:rsidP="00355630">
      <w:pPr>
        <w:spacing w:after="0" w:line="276" w:lineRule="auto"/>
        <w:jc w:val="both"/>
        <w:rPr>
          <w:rFonts w:ascii="Book Antiqua" w:eastAsia="Calibri" w:hAnsi="Book Antiqua" w:cs="Arial"/>
          <w:sz w:val="24"/>
          <w:szCs w:val="24"/>
        </w:rPr>
      </w:pPr>
    </w:p>
    <w:p w14:paraId="5521B9A5" w14:textId="4931CA03" w:rsidR="004D6EE2" w:rsidRPr="004D6EE2" w:rsidRDefault="00B833E5" w:rsidP="004D6EE2">
      <w:pPr>
        <w:spacing w:after="0" w:line="276" w:lineRule="auto"/>
        <w:jc w:val="both"/>
        <w:rPr>
          <w:rFonts w:ascii="Book Antiqua" w:eastAsia="Calibri" w:hAnsi="Book Antiqua" w:cs="Arial"/>
          <w:sz w:val="24"/>
          <w:szCs w:val="24"/>
        </w:rPr>
      </w:pPr>
      <w:r w:rsidRPr="00E11F20">
        <w:rPr>
          <w:rFonts w:ascii="Book Antiqua" w:eastAsia="Calibri" w:hAnsi="Book Antiqua" w:cs="Arial"/>
          <w:sz w:val="24"/>
          <w:szCs w:val="24"/>
        </w:rPr>
        <w:t>En el</w:t>
      </w:r>
      <w:r w:rsidR="004D6EE2" w:rsidRPr="00E11F20">
        <w:rPr>
          <w:rFonts w:ascii="Book Antiqua" w:eastAsia="Calibri" w:hAnsi="Book Antiqua" w:cs="Arial"/>
          <w:sz w:val="24"/>
          <w:szCs w:val="24"/>
        </w:rPr>
        <w:t xml:space="preserve"> caso específico del Juzgado de Familia y Violencia Doméstica del Primer Circuito Judicial de Guanacaste (Liberia), Juzgado Familia y Violencia Doméstica del Tercer Circuito Judicial Alajuela (San Ramón), Juzgado Familia y Violencia Doméstica de Grecia y el Juzgado Trabajo y Fam</w:t>
      </w:r>
      <w:r w:rsidR="00E11F20" w:rsidRPr="00E11F20">
        <w:rPr>
          <w:rFonts w:ascii="Book Antiqua" w:eastAsia="Calibri" w:hAnsi="Book Antiqua" w:cs="Arial"/>
          <w:sz w:val="24"/>
          <w:szCs w:val="24"/>
        </w:rPr>
        <w:t>ilia</w:t>
      </w:r>
      <w:r w:rsidR="004D6EE2" w:rsidRPr="00E11F20">
        <w:rPr>
          <w:rFonts w:ascii="Book Antiqua" w:eastAsia="Calibri" w:hAnsi="Book Antiqua" w:cs="Arial"/>
          <w:sz w:val="24"/>
          <w:szCs w:val="24"/>
        </w:rPr>
        <w:t xml:space="preserve"> Hatillo, San Sebastián y Alajuelita, que presentan el promedio mensual de asuntos ingresados totales más altos, y se valor</w:t>
      </w:r>
      <w:r w:rsidRPr="00E11F20">
        <w:rPr>
          <w:rFonts w:ascii="Book Antiqua" w:eastAsia="Calibri" w:hAnsi="Book Antiqua" w:cs="Arial"/>
          <w:sz w:val="24"/>
          <w:szCs w:val="24"/>
        </w:rPr>
        <w:t>ó desde el 2021 la posibilidad de especialización, sin embargo, la carga de trabajo ni la cantidad de persona</w:t>
      </w:r>
      <w:r w:rsidR="00B55CDC" w:rsidRPr="00E11F20">
        <w:rPr>
          <w:rFonts w:ascii="Book Antiqua" w:eastAsia="Calibri" w:hAnsi="Book Antiqua" w:cs="Arial"/>
          <w:sz w:val="24"/>
          <w:szCs w:val="24"/>
        </w:rPr>
        <w:t>l</w:t>
      </w:r>
      <w:r w:rsidRPr="00E11F20">
        <w:rPr>
          <w:rFonts w:ascii="Book Antiqua" w:eastAsia="Calibri" w:hAnsi="Book Antiqua" w:cs="Arial"/>
          <w:sz w:val="24"/>
          <w:szCs w:val="24"/>
        </w:rPr>
        <w:t xml:space="preserve"> justificó la especialización</w:t>
      </w:r>
      <w:r w:rsidR="00B55CDC" w:rsidRPr="00E11F20">
        <w:rPr>
          <w:rFonts w:ascii="Book Antiqua" w:eastAsia="Calibri" w:hAnsi="Book Antiqua" w:cs="Arial"/>
          <w:sz w:val="24"/>
          <w:szCs w:val="24"/>
        </w:rPr>
        <w:t xml:space="preserve">; ya que en todos los casos se requeriría personal adicional y (o) recalificaciones de puestos; </w:t>
      </w:r>
      <w:r w:rsidR="00A15DBE" w:rsidRPr="00E11F20">
        <w:rPr>
          <w:rFonts w:ascii="Book Antiqua" w:eastAsia="Calibri" w:hAnsi="Book Antiqua" w:cs="Arial"/>
          <w:sz w:val="24"/>
          <w:szCs w:val="24"/>
        </w:rPr>
        <w:t>existiendo</w:t>
      </w:r>
      <w:r w:rsidR="00B55CDC" w:rsidRPr="00E11F20">
        <w:rPr>
          <w:rFonts w:ascii="Book Antiqua" w:eastAsia="Calibri" w:hAnsi="Book Antiqua" w:cs="Arial"/>
          <w:sz w:val="24"/>
          <w:szCs w:val="24"/>
        </w:rPr>
        <w:t xml:space="preserve"> las limitaciones presupuestarias de crecimiento en plazas no solo en la Institución sino a nivel país; además considerando que en los ejercicios de formulación presupuestaria anteriores, por la situación fiscal del país no se otorgó contenido presupuestario para la implementación de la Ley 9747 “Código Procesal de Familia”. </w:t>
      </w:r>
    </w:p>
    <w:p w14:paraId="2A2B2CBD" w14:textId="55602773" w:rsidR="004D6EE2" w:rsidRDefault="004D6EE2" w:rsidP="00355630">
      <w:pPr>
        <w:spacing w:after="0" w:line="276" w:lineRule="auto"/>
        <w:jc w:val="both"/>
        <w:rPr>
          <w:rFonts w:ascii="Book Antiqua" w:eastAsia="Calibri" w:hAnsi="Book Antiqua" w:cs="Arial"/>
          <w:sz w:val="24"/>
          <w:szCs w:val="24"/>
        </w:rPr>
      </w:pPr>
    </w:p>
    <w:p w14:paraId="120F5DC0" w14:textId="77777777" w:rsidR="002C7F01" w:rsidRPr="004A3198" w:rsidRDefault="002C7F01"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Juzgados de Familia (mixtos de 3 materias)</w:t>
      </w:r>
    </w:p>
    <w:p w14:paraId="728C4179" w14:textId="77777777" w:rsidR="002C7F01" w:rsidRPr="002C7F01" w:rsidRDefault="002C7F01" w:rsidP="002C7F01">
      <w:pPr>
        <w:spacing w:after="0" w:line="240" w:lineRule="auto"/>
        <w:jc w:val="both"/>
        <w:rPr>
          <w:rFonts w:ascii="Book Antiqua" w:eastAsia="Calibri" w:hAnsi="Book Antiqua" w:cs="Arial"/>
        </w:rPr>
      </w:pPr>
    </w:p>
    <w:p w14:paraId="09B8BE0A" w14:textId="22A71E5E" w:rsidR="002C7F01" w:rsidRPr="002C7F01" w:rsidRDefault="002C7F01" w:rsidP="002C7F01">
      <w:pPr>
        <w:spacing w:after="0" w:line="276" w:lineRule="auto"/>
        <w:jc w:val="both"/>
        <w:rPr>
          <w:rFonts w:ascii="Book Antiqua" w:eastAsia="Calibri" w:hAnsi="Book Antiqua" w:cs="Arial"/>
          <w:sz w:val="24"/>
          <w:szCs w:val="24"/>
        </w:rPr>
      </w:pPr>
      <w:r w:rsidRPr="002C7F01">
        <w:rPr>
          <w:rFonts w:ascii="Book Antiqua" w:eastAsia="Calibri" w:hAnsi="Book Antiqua" w:cs="Arial"/>
          <w:sz w:val="24"/>
          <w:szCs w:val="24"/>
        </w:rPr>
        <w:t>En este bloque de despachos se ubican tres juzgados: Familia, Penal Juvenil y Violencia Doméstica de Cañas; Familia, Penal Juvenil y Violencia Doméstica Turrialba y Familia, Penal Juvenil y Violencia Doméstica Quepos.</w:t>
      </w:r>
    </w:p>
    <w:p w14:paraId="0F5F3B82" w14:textId="77777777" w:rsidR="002C7F01" w:rsidRPr="002C7F01" w:rsidRDefault="002C7F01" w:rsidP="002C7F01">
      <w:pPr>
        <w:spacing w:after="0" w:line="276" w:lineRule="auto"/>
        <w:jc w:val="both"/>
        <w:rPr>
          <w:rFonts w:ascii="Book Antiqua" w:eastAsia="Calibri" w:hAnsi="Book Antiqua" w:cs="Arial"/>
          <w:sz w:val="24"/>
          <w:szCs w:val="24"/>
        </w:rPr>
      </w:pPr>
    </w:p>
    <w:p w14:paraId="537AB4B4" w14:textId="77777777" w:rsidR="002C7F01" w:rsidRPr="002C7F01" w:rsidRDefault="002C7F01" w:rsidP="002C7F01">
      <w:pPr>
        <w:spacing w:after="0" w:line="276" w:lineRule="auto"/>
        <w:jc w:val="both"/>
        <w:rPr>
          <w:rFonts w:ascii="Book Antiqua" w:eastAsia="Calibri" w:hAnsi="Book Antiqua" w:cs="Arial"/>
          <w:sz w:val="24"/>
          <w:szCs w:val="24"/>
        </w:rPr>
      </w:pPr>
      <w:r w:rsidRPr="002C7F01">
        <w:rPr>
          <w:rFonts w:ascii="Book Antiqua" w:eastAsia="Calibri" w:hAnsi="Book Antiqua" w:cs="Arial"/>
          <w:sz w:val="24"/>
          <w:szCs w:val="24"/>
        </w:rPr>
        <w:t>Al tratarse de despachos que conocen varias materias, los cálculos se realizaron sobre la carga laboral total, como se muestra en el siguiente cuadro.</w:t>
      </w:r>
    </w:p>
    <w:p w14:paraId="294D4A3B" w14:textId="483FE8D8" w:rsidR="00357D09" w:rsidRDefault="00357D09" w:rsidP="00355630">
      <w:pPr>
        <w:spacing w:after="0" w:line="276" w:lineRule="auto"/>
        <w:jc w:val="both"/>
        <w:rPr>
          <w:rFonts w:ascii="Book Antiqua" w:eastAsia="Calibri" w:hAnsi="Book Antiqua" w:cs="Arial"/>
          <w:sz w:val="24"/>
          <w:szCs w:val="24"/>
        </w:rPr>
      </w:pPr>
    </w:p>
    <w:p w14:paraId="583F70C0" w14:textId="115CDA0E" w:rsidR="002C7F01" w:rsidRPr="002C7F01" w:rsidRDefault="002C7F01" w:rsidP="002C7F0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7F01">
        <w:rPr>
          <w:rFonts w:ascii="Book Antiqua" w:eastAsia="Calibri" w:hAnsi="Book Antiqua" w:cs="Arial"/>
          <w:b/>
          <w:bCs/>
          <w:color w:val="1F497D"/>
          <w:szCs w:val="24"/>
          <w:lang w:val="es-ES" w:eastAsia="es-ES"/>
        </w:rPr>
        <w:t xml:space="preserve">Cuadro </w:t>
      </w:r>
      <w:r w:rsidRPr="002C7F01">
        <w:rPr>
          <w:rFonts w:ascii="Book Antiqua" w:eastAsia="Calibri" w:hAnsi="Book Antiqua" w:cs="Arial"/>
          <w:b/>
          <w:bCs/>
          <w:color w:val="1F497D"/>
          <w:szCs w:val="24"/>
          <w:lang w:val="es-ES" w:eastAsia="es-ES"/>
        </w:rPr>
        <w:fldChar w:fldCharType="begin"/>
      </w:r>
      <w:r w:rsidRPr="002C7F01">
        <w:rPr>
          <w:rFonts w:ascii="Book Antiqua" w:eastAsia="Calibri" w:hAnsi="Book Antiqua" w:cs="Arial"/>
          <w:b/>
          <w:bCs/>
          <w:color w:val="1F497D"/>
          <w:szCs w:val="24"/>
          <w:lang w:val="es-ES" w:eastAsia="es-ES"/>
        </w:rPr>
        <w:instrText xml:space="preserve"> SEQ Cuadro \* ARABIC </w:instrText>
      </w:r>
      <w:r w:rsidRPr="002C7F01">
        <w:rPr>
          <w:rFonts w:ascii="Book Antiqua" w:eastAsia="Calibri" w:hAnsi="Book Antiqua" w:cs="Arial"/>
          <w:b/>
          <w:bCs/>
          <w:color w:val="1F497D"/>
          <w:szCs w:val="24"/>
          <w:lang w:val="es-ES" w:eastAsia="es-ES"/>
        </w:rPr>
        <w:fldChar w:fldCharType="separate"/>
      </w:r>
      <w:r w:rsidR="00457203">
        <w:rPr>
          <w:rFonts w:ascii="Book Antiqua" w:eastAsia="Calibri" w:hAnsi="Book Antiqua" w:cs="Arial"/>
          <w:b/>
          <w:bCs/>
          <w:noProof/>
          <w:color w:val="1F497D"/>
          <w:szCs w:val="24"/>
          <w:lang w:val="es-ES" w:eastAsia="es-ES"/>
        </w:rPr>
        <w:t>44</w:t>
      </w:r>
      <w:r w:rsidRPr="002C7F01">
        <w:rPr>
          <w:rFonts w:ascii="Book Antiqua" w:eastAsia="Calibri" w:hAnsi="Book Antiqua" w:cs="Arial"/>
          <w:b/>
          <w:bCs/>
          <w:color w:val="1F497D"/>
          <w:szCs w:val="24"/>
          <w:lang w:val="es-ES" w:eastAsia="es-ES"/>
        </w:rPr>
        <w:fldChar w:fldCharType="end"/>
      </w:r>
    </w:p>
    <w:p w14:paraId="14D5659F" w14:textId="2105A5AB" w:rsidR="002C7F01" w:rsidRDefault="002C7F01" w:rsidP="002C7F0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7F01">
        <w:rPr>
          <w:rFonts w:ascii="Book Antiqua" w:eastAsia="Calibri" w:hAnsi="Book Antiqua" w:cs="Arial"/>
          <w:b/>
          <w:bCs/>
          <w:color w:val="1F497D"/>
          <w:szCs w:val="24"/>
          <w:lang w:val="es-ES" w:eastAsia="es-ES"/>
        </w:rPr>
        <w:t>Carga de trabajo juzgado de Familia mixtos de tres materias 201</w:t>
      </w:r>
      <w:r>
        <w:rPr>
          <w:rFonts w:ascii="Book Antiqua" w:eastAsia="Calibri" w:hAnsi="Book Antiqua" w:cs="Arial"/>
          <w:b/>
          <w:bCs/>
          <w:color w:val="1F497D"/>
          <w:szCs w:val="24"/>
          <w:lang w:val="es-ES" w:eastAsia="es-ES"/>
        </w:rPr>
        <w:t>7</w:t>
      </w:r>
      <w:r w:rsidRPr="002C7F01">
        <w:rPr>
          <w:rFonts w:ascii="Book Antiqua" w:eastAsia="Calibri" w:hAnsi="Book Antiqua" w:cs="Arial"/>
          <w:b/>
          <w:bCs/>
          <w:color w:val="1F497D"/>
          <w:szCs w:val="24"/>
          <w:lang w:val="es-ES" w:eastAsia="es-ES"/>
        </w:rPr>
        <w:t xml:space="preserve"> a 20</w:t>
      </w:r>
      <w:r>
        <w:rPr>
          <w:rFonts w:ascii="Book Antiqua" w:eastAsia="Calibri" w:hAnsi="Book Antiqua" w:cs="Arial"/>
          <w:b/>
          <w:bCs/>
          <w:color w:val="1F497D"/>
          <w:szCs w:val="24"/>
          <w:lang w:val="es-ES" w:eastAsia="es-ES"/>
        </w:rPr>
        <w:t>2</w:t>
      </w:r>
      <w:r w:rsidR="00457203">
        <w:rPr>
          <w:rFonts w:ascii="Book Antiqua" w:eastAsia="Calibri" w:hAnsi="Book Antiqua" w:cs="Arial"/>
          <w:b/>
          <w:bCs/>
          <w:color w:val="1F497D"/>
          <w:szCs w:val="24"/>
          <w:lang w:val="es-ES" w:eastAsia="es-ES"/>
        </w:rPr>
        <w:t>2</w:t>
      </w:r>
    </w:p>
    <w:tbl>
      <w:tblPr>
        <w:tblW w:w="5053" w:type="pct"/>
        <w:tblCellMar>
          <w:left w:w="70" w:type="dxa"/>
          <w:right w:w="70" w:type="dxa"/>
        </w:tblCellMar>
        <w:tblLook w:val="04A0" w:firstRow="1" w:lastRow="0" w:firstColumn="1" w:lastColumn="0" w:noHBand="0" w:noVBand="1"/>
      </w:tblPr>
      <w:tblGrid>
        <w:gridCol w:w="1010"/>
        <w:gridCol w:w="1010"/>
        <w:gridCol w:w="590"/>
        <w:gridCol w:w="791"/>
        <w:gridCol w:w="1000"/>
        <w:gridCol w:w="870"/>
        <w:gridCol w:w="1130"/>
        <w:gridCol w:w="971"/>
        <w:gridCol w:w="870"/>
        <w:gridCol w:w="860"/>
      </w:tblGrid>
      <w:tr w:rsidR="00993E10" w:rsidRPr="00993E10" w14:paraId="695223E6" w14:textId="77777777" w:rsidTr="009B14B2">
        <w:trPr>
          <w:trHeight w:val="1150"/>
        </w:trPr>
        <w:tc>
          <w:tcPr>
            <w:tcW w:w="54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C555745" w14:textId="77777777"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Despacho</w:t>
            </w:r>
          </w:p>
        </w:tc>
        <w:tc>
          <w:tcPr>
            <w:tcW w:w="54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101B217" w14:textId="77777777"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Materia</w:t>
            </w:r>
          </w:p>
        </w:tc>
        <w:tc>
          <w:tcPr>
            <w:tcW w:w="805" w:type="pct"/>
            <w:gridSpan w:val="2"/>
            <w:tcBorders>
              <w:top w:val="single" w:sz="8" w:space="0" w:color="auto"/>
              <w:left w:val="nil"/>
              <w:bottom w:val="single" w:sz="8" w:space="0" w:color="auto"/>
              <w:right w:val="single" w:sz="8" w:space="0" w:color="000000"/>
            </w:tcBorders>
            <w:shd w:val="clear" w:color="000000" w:fill="002060"/>
            <w:vAlign w:val="center"/>
            <w:hideMark/>
          </w:tcPr>
          <w:p w14:paraId="191A1182" w14:textId="77777777"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Recurso humano actual</w:t>
            </w:r>
          </w:p>
        </w:tc>
        <w:tc>
          <w:tcPr>
            <w:tcW w:w="54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81E6EA9" w14:textId="24F93946"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 xml:space="preserve">Porcentaje de dedicado por materia por </w:t>
            </w:r>
            <w:r w:rsidR="009B14B2">
              <w:rPr>
                <w:rFonts w:ascii="Book Antiqua" w:eastAsia="Times New Roman" w:hAnsi="Book Antiqua" w:cs="Calibri"/>
                <w:b/>
                <w:bCs/>
                <w:color w:val="FFFFFF"/>
                <w:sz w:val="18"/>
                <w:szCs w:val="18"/>
                <w:lang w:eastAsia="es-CR"/>
              </w:rPr>
              <w:t>J</w:t>
            </w:r>
            <w:r w:rsidRPr="00993E10">
              <w:rPr>
                <w:rFonts w:ascii="Book Antiqua" w:eastAsia="Times New Roman" w:hAnsi="Book Antiqua" w:cs="Calibri"/>
                <w:b/>
                <w:bCs/>
                <w:color w:val="FFFFFF"/>
                <w:sz w:val="18"/>
                <w:szCs w:val="18"/>
                <w:lang w:eastAsia="es-CR"/>
              </w:rPr>
              <w:t>uez</w:t>
            </w:r>
          </w:p>
        </w:tc>
        <w:tc>
          <w:tcPr>
            <w:tcW w:w="47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2881957" w14:textId="77777777"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Entrados al mes</w:t>
            </w:r>
          </w:p>
        </w:tc>
        <w:tc>
          <w:tcPr>
            <w:tcW w:w="61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A41178B" w14:textId="77777777"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Terminados al mes</w:t>
            </w:r>
          </w:p>
        </w:tc>
        <w:tc>
          <w:tcPr>
            <w:tcW w:w="52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E30E96A" w14:textId="759517E0"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 xml:space="preserve">Entrados al mes por persona </w:t>
            </w:r>
            <w:r w:rsidR="009B14B2">
              <w:rPr>
                <w:rFonts w:ascii="Book Antiqua" w:eastAsia="Times New Roman" w:hAnsi="Book Antiqua" w:cs="Calibri"/>
                <w:b/>
                <w:bCs/>
                <w:color w:val="FFFFFF"/>
                <w:sz w:val="18"/>
                <w:szCs w:val="18"/>
                <w:lang w:eastAsia="es-CR"/>
              </w:rPr>
              <w:t>J</w:t>
            </w:r>
            <w:r w:rsidRPr="00993E10">
              <w:rPr>
                <w:rFonts w:ascii="Book Antiqua" w:eastAsia="Times New Roman" w:hAnsi="Book Antiqua" w:cs="Calibri"/>
                <w:b/>
                <w:bCs/>
                <w:color w:val="FFFFFF"/>
                <w:sz w:val="18"/>
                <w:szCs w:val="18"/>
                <w:lang w:eastAsia="es-CR"/>
              </w:rPr>
              <w:t>uzgadora</w:t>
            </w:r>
          </w:p>
        </w:tc>
        <w:tc>
          <w:tcPr>
            <w:tcW w:w="47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5777102" w14:textId="77777777"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Entrados al mes por persona Tec. Jud. Trámite</w:t>
            </w:r>
          </w:p>
        </w:tc>
        <w:tc>
          <w:tcPr>
            <w:tcW w:w="46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3729FA" w14:textId="77777777"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Relación salida entre entrada</w:t>
            </w:r>
          </w:p>
        </w:tc>
      </w:tr>
      <w:tr w:rsidR="00993E10" w:rsidRPr="00993E10" w14:paraId="373C3A52" w14:textId="77777777" w:rsidTr="009B14B2">
        <w:trPr>
          <w:trHeight w:val="490"/>
        </w:trPr>
        <w:tc>
          <w:tcPr>
            <w:tcW w:w="549" w:type="pct"/>
            <w:vMerge/>
            <w:tcBorders>
              <w:top w:val="single" w:sz="8" w:space="0" w:color="auto"/>
              <w:left w:val="single" w:sz="8" w:space="0" w:color="auto"/>
              <w:bottom w:val="single" w:sz="8" w:space="0" w:color="000000"/>
              <w:right w:val="single" w:sz="8" w:space="0" w:color="auto"/>
            </w:tcBorders>
            <w:vAlign w:val="center"/>
            <w:hideMark/>
          </w:tcPr>
          <w:p w14:paraId="0F3824B8" w14:textId="77777777" w:rsidR="00993E10" w:rsidRPr="00993E10" w:rsidRDefault="00993E10" w:rsidP="00993E10">
            <w:pPr>
              <w:spacing w:after="0" w:line="240" w:lineRule="auto"/>
              <w:rPr>
                <w:rFonts w:ascii="Book Antiqua" w:eastAsia="Times New Roman" w:hAnsi="Book Antiqua" w:cs="Calibri"/>
                <w:b/>
                <w:bCs/>
                <w:color w:val="FFFFFF"/>
                <w:sz w:val="18"/>
                <w:szCs w:val="18"/>
                <w:lang w:eastAsia="es-CR"/>
              </w:rPr>
            </w:pPr>
          </w:p>
        </w:tc>
        <w:tc>
          <w:tcPr>
            <w:tcW w:w="549" w:type="pct"/>
            <w:vMerge/>
            <w:tcBorders>
              <w:top w:val="single" w:sz="8" w:space="0" w:color="auto"/>
              <w:left w:val="single" w:sz="8" w:space="0" w:color="auto"/>
              <w:bottom w:val="single" w:sz="8" w:space="0" w:color="000000"/>
              <w:right w:val="single" w:sz="8" w:space="0" w:color="auto"/>
            </w:tcBorders>
            <w:vAlign w:val="center"/>
            <w:hideMark/>
          </w:tcPr>
          <w:p w14:paraId="77E56B7A" w14:textId="77777777" w:rsidR="00993E10" w:rsidRPr="00993E10" w:rsidRDefault="00993E10" w:rsidP="00993E10">
            <w:pPr>
              <w:spacing w:after="0" w:line="240" w:lineRule="auto"/>
              <w:rPr>
                <w:rFonts w:ascii="Book Antiqua" w:eastAsia="Times New Roman" w:hAnsi="Book Antiqua" w:cs="Calibri"/>
                <w:b/>
                <w:bCs/>
                <w:color w:val="FFFFFF"/>
                <w:sz w:val="18"/>
                <w:szCs w:val="18"/>
                <w:lang w:eastAsia="es-CR"/>
              </w:rPr>
            </w:pPr>
          </w:p>
        </w:tc>
        <w:tc>
          <w:tcPr>
            <w:tcW w:w="321" w:type="pct"/>
            <w:tcBorders>
              <w:top w:val="nil"/>
              <w:left w:val="nil"/>
              <w:bottom w:val="single" w:sz="8" w:space="0" w:color="auto"/>
              <w:right w:val="single" w:sz="8" w:space="0" w:color="auto"/>
            </w:tcBorders>
            <w:shd w:val="clear" w:color="000000" w:fill="002060"/>
            <w:vAlign w:val="center"/>
            <w:hideMark/>
          </w:tcPr>
          <w:p w14:paraId="37590FD9" w14:textId="77777777"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Jueza o Juez</w:t>
            </w:r>
          </w:p>
        </w:tc>
        <w:tc>
          <w:tcPr>
            <w:tcW w:w="483" w:type="pct"/>
            <w:tcBorders>
              <w:top w:val="nil"/>
              <w:left w:val="nil"/>
              <w:bottom w:val="single" w:sz="8" w:space="0" w:color="auto"/>
              <w:right w:val="single" w:sz="8" w:space="0" w:color="auto"/>
            </w:tcBorders>
            <w:shd w:val="clear" w:color="000000" w:fill="002060"/>
            <w:vAlign w:val="center"/>
            <w:hideMark/>
          </w:tcPr>
          <w:p w14:paraId="6EC1BA4A" w14:textId="15F4D4FC" w:rsidR="00993E10" w:rsidRPr="00993E10" w:rsidRDefault="00993E10" w:rsidP="00993E10">
            <w:pPr>
              <w:spacing w:after="0" w:line="240" w:lineRule="auto"/>
              <w:jc w:val="center"/>
              <w:rPr>
                <w:rFonts w:ascii="Book Antiqua" w:eastAsia="Times New Roman" w:hAnsi="Book Antiqua" w:cs="Calibri"/>
                <w:b/>
                <w:bCs/>
                <w:color w:val="FFFFFF"/>
                <w:sz w:val="18"/>
                <w:szCs w:val="18"/>
                <w:lang w:eastAsia="es-CR"/>
              </w:rPr>
            </w:pPr>
            <w:r w:rsidRPr="00993E10">
              <w:rPr>
                <w:rFonts w:ascii="Book Antiqua" w:eastAsia="Times New Roman" w:hAnsi="Book Antiqua" w:cs="Calibri"/>
                <w:b/>
                <w:bCs/>
                <w:color w:val="FFFFFF"/>
                <w:sz w:val="18"/>
                <w:szCs w:val="18"/>
                <w:lang w:eastAsia="es-CR"/>
              </w:rPr>
              <w:t xml:space="preserve">Téc. Jud. </w:t>
            </w:r>
            <w:r w:rsidR="009B14B2">
              <w:rPr>
                <w:rFonts w:ascii="Book Antiqua" w:eastAsia="Times New Roman" w:hAnsi="Book Antiqua" w:cs="Calibri"/>
                <w:b/>
                <w:bCs/>
                <w:color w:val="FFFFFF"/>
                <w:sz w:val="18"/>
                <w:szCs w:val="18"/>
                <w:lang w:eastAsia="es-CR"/>
              </w:rPr>
              <w:t>T</w:t>
            </w:r>
            <w:r w:rsidRPr="00993E10">
              <w:rPr>
                <w:rFonts w:ascii="Book Antiqua" w:eastAsia="Times New Roman" w:hAnsi="Book Antiqua" w:cs="Calibri"/>
                <w:b/>
                <w:bCs/>
                <w:color w:val="FFFFFF"/>
                <w:sz w:val="18"/>
                <w:szCs w:val="18"/>
                <w:lang w:eastAsia="es-CR"/>
              </w:rPr>
              <w:t>rámite</w:t>
            </w:r>
          </w:p>
        </w:tc>
        <w:tc>
          <w:tcPr>
            <w:tcW w:w="543" w:type="pct"/>
            <w:vMerge/>
            <w:tcBorders>
              <w:top w:val="single" w:sz="8" w:space="0" w:color="auto"/>
              <w:left w:val="single" w:sz="8" w:space="0" w:color="auto"/>
              <w:bottom w:val="single" w:sz="8" w:space="0" w:color="000000"/>
              <w:right w:val="single" w:sz="8" w:space="0" w:color="auto"/>
            </w:tcBorders>
            <w:vAlign w:val="center"/>
            <w:hideMark/>
          </w:tcPr>
          <w:p w14:paraId="1914AD82" w14:textId="77777777" w:rsidR="00993E10" w:rsidRPr="00993E10" w:rsidRDefault="00993E10" w:rsidP="00993E10">
            <w:pPr>
              <w:spacing w:after="0" w:line="240" w:lineRule="auto"/>
              <w:rPr>
                <w:rFonts w:ascii="Book Antiqua" w:eastAsia="Times New Roman" w:hAnsi="Book Antiqua" w:cs="Calibri"/>
                <w:b/>
                <w:bCs/>
                <w:color w:val="FFFFFF"/>
                <w:sz w:val="18"/>
                <w:szCs w:val="18"/>
                <w:lang w:eastAsia="es-CR"/>
              </w:rPr>
            </w:pPr>
          </w:p>
        </w:tc>
        <w:tc>
          <w:tcPr>
            <w:tcW w:w="473" w:type="pct"/>
            <w:vMerge/>
            <w:tcBorders>
              <w:top w:val="single" w:sz="8" w:space="0" w:color="auto"/>
              <w:left w:val="single" w:sz="8" w:space="0" w:color="auto"/>
              <w:bottom w:val="single" w:sz="8" w:space="0" w:color="000000"/>
              <w:right w:val="single" w:sz="8" w:space="0" w:color="auto"/>
            </w:tcBorders>
            <w:vAlign w:val="center"/>
            <w:hideMark/>
          </w:tcPr>
          <w:p w14:paraId="49511B2F" w14:textId="77777777" w:rsidR="00993E10" w:rsidRPr="00993E10" w:rsidRDefault="00993E10" w:rsidP="00993E10">
            <w:pPr>
              <w:spacing w:after="0" w:line="240" w:lineRule="auto"/>
              <w:rPr>
                <w:rFonts w:ascii="Book Antiqua" w:eastAsia="Times New Roman" w:hAnsi="Book Antiqua" w:cs="Calibri"/>
                <w:b/>
                <w:bCs/>
                <w:color w:val="FFFFFF"/>
                <w:sz w:val="18"/>
                <w:szCs w:val="18"/>
                <w:lang w:eastAsia="es-CR"/>
              </w:rPr>
            </w:pPr>
          </w:p>
        </w:tc>
        <w:tc>
          <w:tcPr>
            <w:tcW w:w="613" w:type="pct"/>
            <w:vMerge/>
            <w:tcBorders>
              <w:top w:val="single" w:sz="8" w:space="0" w:color="auto"/>
              <w:left w:val="single" w:sz="8" w:space="0" w:color="auto"/>
              <w:bottom w:val="single" w:sz="8" w:space="0" w:color="000000"/>
              <w:right w:val="single" w:sz="8" w:space="0" w:color="auto"/>
            </w:tcBorders>
            <w:vAlign w:val="center"/>
            <w:hideMark/>
          </w:tcPr>
          <w:p w14:paraId="478CB470" w14:textId="77777777" w:rsidR="00993E10" w:rsidRPr="00993E10" w:rsidRDefault="00993E10" w:rsidP="00993E10">
            <w:pPr>
              <w:spacing w:after="0" w:line="240" w:lineRule="auto"/>
              <w:rPr>
                <w:rFonts w:ascii="Book Antiqua" w:eastAsia="Times New Roman" w:hAnsi="Book Antiqua" w:cs="Calibri"/>
                <w:b/>
                <w:bCs/>
                <w:color w:val="FFFFFF"/>
                <w:sz w:val="18"/>
                <w:szCs w:val="18"/>
                <w:lang w:eastAsia="es-CR"/>
              </w:rPr>
            </w:pPr>
          </w:p>
        </w:tc>
        <w:tc>
          <w:tcPr>
            <w:tcW w:w="527" w:type="pct"/>
            <w:vMerge/>
            <w:tcBorders>
              <w:top w:val="single" w:sz="8" w:space="0" w:color="auto"/>
              <w:left w:val="single" w:sz="8" w:space="0" w:color="auto"/>
              <w:bottom w:val="single" w:sz="8" w:space="0" w:color="000000"/>
              <w:right w:val="single" w:sz="8" w:space="0" w:color="auto"/>
            </w:tcBorders>
            <w:vAlign w:val="center"/>
            <w:hideMark/>
          </w:tcPr>
          <w:p w14:paraId="7BF308C5" w14:textId="77777777" w:rsidR="00993E10" w:rsidRPr="00993E10" w:rsidRDefault="00993E10" w:rsidP="00993E10">
            <w:pPr>
              <w:spacing w:after="0" w:line="240" w:lineRule="auto"/>
              <w:rPr>
                <w:rFonts w:ascii="Book Antiqua" w:eastAsia="Times New Roman" w:hAnsi="Book Antiqua" w:cs="Calibri"/>
                <w:b/>
                <w:bCs/>
                <w:color w:val="FFFFFF"/>
                <w:sz w:val="18"/>
                <w:szCs w:val="18"/>
                <w:lang w:eastAsia="es-CR"/>
              </w:rPr>
            </w:pPr>
          </w:p>
        </w:tc>
        <w:tc>
          <w:tcPr>
            <w:tcW w:w="473" w:type="pct"/>
            <w:vMerge/>
            <w:tcBorders>
              <w:top w:val="single" w:sz="8" w:space="0" w:color="auto"/>
              <w:left w:val="single" w:sz="8" w:space="0" w:color="auto"/>
              <w:bottom w:val="single" w:sz="8" w:space="0" w:color="000000"/>
              <w:right w:val="single" w:sz="8" w:space="0" w:color="auto"/>
            </w:tcBorders>
            <w:vAlign w:val="center"/>
            <w:hideMark/>
          </w:tcPr>
          <w:p w14:paraId="35A476D6" w14:textId="77777777" w:rsidR="00993E10" w:rsidRPr="00993E10" w:rsidRDefault="00993E10" w:rsidP="00993E10">
            <w:pPr>
              <w:spacing w:after="0" w:line="240" w:lineRule="auto"/>
              <w:rPr>
                <w:rFonts w:ascii="Book Antiqua" w:eastAsia="Times New Roman" w:hAnsi="Book Antiqua" w:cs="Calibri"/>
                <w:b/>
                <w:bCs/>
                <w:color w:val="FFFFFF"/>
                <w:sz w:val="18"/>
                <w:szCs w:val="18"/>
                <w:lang w:eastAsia="es-CR"/>
              </w:rPr>
            </w:pPr>
          </w:p>
        </w:tc>
        <w:tc>
          <w:tcPr>
            <w:tcW w:w="467" w:type="pct"/>
            <w:vMerge/>
            <w:tcBorders>
              <w:top w:val="single" w:sz="8" w:space="0" w:color="auto"/>
              <w:left w:val="single" w:sz="8" w:space="0" w:color="auto"/>
              <w:bottom w:val="single" w:sz="8" w:space="0" w:color="000000"/>
              <w:right w:val="single" w:sz="8" w:space="0" w:color="auto"/>
            </w:tcBorders>
            <w:vAlign w:val="center"/>
            <w:hideMark/>
          </w:tcPr>
          <w:p w14:paraId="016FC098" w14:textId="77777777" w:rsidR="00993E10" w:rsidRPr="00993E10" w:rsidRDefault="00993E10" w:rsidP="00993E10">
            <w:pPr>
              <w:spacing w:after="0" w:line="240" w:lineRule="auto"/>
              <w:rPr>
                <w:rFonts w:ascii="Book Antiqua" w:eastAsia="Times New Roman" w:hAnsi="Book Antiqua" w:cs="Calibri"/>
                <w:b/>
                <w:bCs/>
                <w:color w:val="FFFFFF"/>
                <w:sz w:val="18"/>
                <w:szCs w:val="18"/>
                <w:lang w:eastAsia="es-CR"/>
              </w:rPr>
            </w:pPr>
          </w:p>
        </w:tc>
      </w:tr>
      <w:tr w:rsidR="00993E10" w:rsidRPr="00993E10" w14:paraId="09ACC33B" w14:textId="77777777" w:rsidTr="009B14B2">
        <w:trPr>
          <w:trHeight w:val="850"/>
        </w:trPr>
        <w:tc>
          <w:tcPr>
            <w:tcW w:w="549"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1C9630FC"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Juzgado Familia, Penal Juvenil y Viol. Dom. Cañas</w:t>
            </w:r>
          </w:p>
        </w:tc>
        <w:tc>
          <w:tcPr>
            <w:tcW w:w="549" w:type="pct"/>
            <w:tcBorders>
              <w:top w:val="nil"/>
              <w:left w:val="nil"/>
              <w:bottom w:val="single" w:sz="8" w:space="0" w:color="auto"/>
              <w:right w:val="single" w:sz="8" w:space="0" w:color="auto"/>
            </w:tcBorders>
            <w:shd w:val="clear" w:color="000000" w:fill="D9D9D9"/>
            <w:vAlign w:val="center"/>
            <w:hideMark/>
          </w:tcPr>
          <w:p w14:paraId="48E206A4"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Familia</w:t>
            </w:r>
          </w:p>
        </w:tc>
        <w:tc>
          <w:tcPr>
            <w:tcW w:w="321"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225AC47"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w:t>
            </w:r>
          </w:p>
        </w:tc>
        <w:tc>
          <w:tcPr>
            <w:tcW w:w="483"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A4EEC72"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w:t>
            </w:r>
          </w:p>
        </w:tc>
        <w:tc>
          <w:tcPr>
            <w:tcW w:w="543" w:type="pct"/>
            <w:tcBorders>
              <w:top w:val="nil"/>
              <w:left w:val="nil"/>
              <w:bottom w:val="single" w:sz="8" w:space="0" w:color="auto"/>
              <w:right w:val="single" w:sz="8" w:space="0" w:color="auto"/>
            </w:tcBorders>
            <w:shd w:val="clear" w:color="000000" w:fill="D9D9D9"/>
            <w:noWrap/>
            <w:vAlign w:val="center"/>
            <w:hideMark/>
          </w:tcPr>
          <w:p w14:paraId="60D1A448"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000000" w:fill="D9D9D9"/>
            <w:noWrap/>
            <w:vAlign w:val="center"/>
            <w:hideMark/>
          </w:tcPr>
          <w:p w14:paraId="65985A4F" w14:textId="1057DC81"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4</w:t>
            </w:r>
            <w:r w:rsidR="00B86C44">
              <w:rPr>
                <w:rFonts w:ascii="Book Antiqua" w:eastAsia="Times New Roman" w:hAnsi="Book Antiqua" w:cs="Calibri"/>
                <w:color w:val="000000"/>
                <w:sz w:val="18"/>
                <w:szCs w:val="18"/>
                <w:lang w:eastAsia="es-CR"/>
              </w:rPr>
              <w:t>7</w:t>
            </w:r>
          </w:p>
        </w:tc>
        <w:tc>
          <w:tcPr>
            <w:tcW w:w="613" w:type="pct"/>
            <w:tcBorders>
              <w:top w:val="nil"/>
              <w:left w:val="nil"/>
              <w:bottom w:val="single" w:sz="8" w:space="0" w:color="auto"/>
              <w:right w:val="single" w:sz="8" w:space="0" w:color="auto"/>
            </w:tcBorders>
            <w:shd w:val="clear" w:color="000000" w:fill="D9D9D9"/>
            <w:noWrap/>
            <w:vAlign w:val="center"/>
            <w:hideMark/>
          </w:tcPr>
          <w:p w14:paraId="20CD8814"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34</w:t>
            </w:r>
          </w:p>
        </w:tc>
        <w:tc>
          <w:tcPr>
            <w:tcW w:w="527" w:type="pct"/>
            <w:tcBorders>
              <w:top w:val="nil"/>
              <w:left w:val="nil"/>
              <w:bottom w:val="single" w:sz="8" w:space="0" w:color="auto"/>
              <w:right w:val="single" w:sz="8" w:space="0" w:color="auto"/>
            </w:tcBorders>
            <w:shd w:val="clear" w:color="000000" w:fill="D9D9D9"/>
            <w:noWrap/>
            <w:vAlign w:val="center"/>
            <w:hideMark/>
          </w:tcPr>
          <w:p w14:paraId="07EA3904"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23</w:t>
            </w:r>
          </w:p>
        </w:tc>
        <w:tc>
          <w:tcPr>
            <w:tcW w:w="473" w:type="pct"/>
            <w:tcBorders>
              <w:top w:val="nil"/>
              <w:left w:val="nil"/>
              <w:bottom w:val="single" w:sz="8" w:space="0" w:color="auto"/>
              <w:right w:val="single" w:sz="8" w:space="0" w:color="auto"/>
            </w:tcBorders>
            <w:shd w:val="clear" w:color="000000" w:fill="D9D9D9"/>
            <w:noWrap/>
            <w:vAlign w:val="center"/>
            <w:hideMark/>
          </w:tcPr>
          <w:p w14:paraId="3F9A0873"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23</w:t>
            </w:r>
          </w:p>
        </w:tc>
        <w:tc>
          <w:tcPr>
            <w:tcW w:w="467" w:type="pct"/>
            <w:tcBorders>
              <w:top w:val="nil"/>
              <w:left w:val="nil"/>
              <w:bottom w:val="single" w:sz="8" w:space="0" w:color="auto"/>
              <w:right w:val="single" w:sz="8" w:space="0" w:color="auto"/>
            </w:tcBorders>
            <w:shd w:val="clear" w:color="000000" w:fill="D9D9D9"/>
            <w:noWrap/>
            <w:vAlign w:val="center"/>
            <w:hideMark/>
          </w:tcPr>
          <w:p w14:paraId="1342EDE2" w14:textId="10AFF89D"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7</w:t>
            </w:r>
            <w:r w:rsidR="00B86C44">
              <w:rPr>
                <w:rFonts w:ascii="Book Antiqua" w:eastAsia="Times New Roman" w:hAnsi="Book Antiqua" w:cs="Calibri"/>
                <w:color w:val="000000"/>
                <w:sz w:val="18"/>
                <w:szCs w:val="18"/>
                <w:lang w:eastAsia="es-CR"/>
              </w:rPr>
              <w:t>3</w:t>
            </w:r>
            <w:r w:rsidRPr="00993E10">
              <w:rPr>
                <w:rFonts w:ascii="Book Antiqua" w:eastAsia="Times New Roman" w:hAnsi="Book Antiqua" w:cs="Calibri"/>
                <w:color w:val="000000"/>
                <w:sz w:val="18"/>
                <w:szCs w:val="18"/>
                <w:lang w:eastAsia="es-CR"/>
              </w:rPr>
              <w:t>%</w:t>
            </w:r>
          </w:p>
        </w:tc>
      </w:tr>
      <w:tr w:rsidR="00993E10" w:rsidRPr="00993E10" w14:paraId="4FB87F1E" w14:textId="77777777" w:rsidTr="009B14B2">
        <w:trPr>
          <w:trHeight w:val="490"/>
        </w:trPr>
        <w:tc>
          <w:tcPr>
            <w:tcW w:w="549" w:type="pct"/>
            <w:vMerge/>
            <w:tcBorders>
              <w:top w:val="nil"/>
              <w:left w:val="single" w:sz="8" w:space="0" w:color="auto"/>
              <w:bottom w:val="single" w:sz="8" w:space="0" w:color="000000"/>
              <w:right w:val="single" w:sz="8" w:space="0" w:color="auto"/>
            </w:tcBorders>
            <w:vAlign w:val="center"/>
            <w:hideMark/>
          </w:tcPr>
          <w:p w14:paraId="43CA76E4"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p>
        </w:tc>
        <w:tc>
          <w:tcPr>
            <w:tcW w:w="549" w:type="pct"/>
            <w:tcBorders>
              <w:top w:val="nil"/>
              <w:left w:val="nil"/>
              <w:bottom w:val="single" w:sz="8" w:space="0" w:color="auto"/>
              <w:right w:val="single" w:sz="8" w:space="0" w:color="auto"/>
            </w:tcBorders>
            <w:shd w:val="clear" w:color="000000" w:fill="D9D9D9"/>
            <w:vAlign w:val="center"/>
            <w:hideMark/>
          </w:tcPr>
          <w:p w14:paraId="493FD51B"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Viol. Doméstica</w:t>
            </w:r>
          </w:p>
        </w:tc>
        <w:tc>
          <w:tcPr>
            <w:tcW w:w="321" w:type="pct"/>
            <w:vMerge/>
            <w:tcBorders>
              <w:top w:val="nil"/>
              <w:left w:val="single" w:sz="8" w:space="0" w:color="auto"/>
              <w:bottom w:val="single" w:sz="8" w:space="0" w:color="000000"/>
              <w:right w:val="single" w:sz="8" w:space="0" w:color="auto"/>
            </w:tcBorders>
            <w:vAlign w:val="center"/>
            <w:hideMark/>
          </w:tcPr>
          <w:p w14:paraId="30DF4334"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483" w:type="pct"/>
            <w:vMerge/>
            <w:tcBorders>
              <w:top w:val="nil"/>
              <w:left w:val="single" w:sz="8" w:space="0" w:color="auto"/>
              <w:bottom w:val="single" w:sz="8" w:space="0" w:color="000000"/>
              <w:right w:val="single" w:sz="8" w:space="0" w:color="auto"/>
            </w:tcBorders>
            <w:vAlign w:val="center"/>
            <w:hideMark/>
          </w:tcPr>
          <w:p w14:paraId="0021E5EE"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543" w:type="pct"/>
            <w:tcBorders>
              <w:top w:val="nil"/>
              <w:left w:val="nil"/>
              <w:bottom w:val="single" w:sz="8" w:space="0" w:color="auto"/>
              <w:right w:val="single" w:sz="8" w:space="0" w:color="auto"/>
            </w:tcBorders>
            <w:shd w:val="clear" w:color="000000" w:fill="D9D9D9"/>
            <w:noWrap/>
            <w:vAlign w:val="center"/>
            <w:hideMark/>
          </w:tcPr>
          <w:p w14:paraId="2F7E8C3E"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000000" w:fill="D9D9D9"/>
            <w:noWrap/>
            <w:vAlign w:val="center"/>
            <w:hideMark/>
          </w:tcPr>
          <w:p w14:paraId="24D6E385"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41</w:t>
            </w:r>
          </w:p>
        </w:tc>
        <w:tc>
          <w:tcPr>
            <w:tcW w:w="613" w:type="pct"/>
            <w:tcBorders>
              <w:top w:val="nil"/>
              <w:left w:val="nil"/>
              <w:bottom w:val="single" w:sz="8" w:space="0" w:color="auto"/>
              <w:right w:val="single" w:sz="8" w:space="0" w:color="auto"/>
            </w:tcBorders>
            <w:shd w:val="clear" w:color="000000" w:fill="D9D9D9"/>
            <w:noWrap/>
            <w:vAlign w:val="center"/>
            <w:hideMark/>
          </w:tcPr>
          <w:p w14:paraId="62E321A2"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43</w:t>
            </w:r>
          </w:p>
        </w:tc>
        <w:tc>
          <w:tcPr>
            <w:tcW w:w="527" w:type="pct"/>
            <w:tcBorders>
              <w:top w:val="nil"/>
              <w:left w:val="nil"/>
              <w:bottom w:val="single" w:sz="8" w:space="0" w:color="auto"/>
              <w:right w:val="single" w:sz="8" w:space="0" w:color="auto"/>
            </w:tcBorders>
            <w:shd w:val="clear" w:color="000000" w:fill="D9D9D9"/>
            <w:noWrap/>
            <w:vAlign w:val="center"/>
            <w:hideMark/>
          </w:tcPr>
          <w:p w14:paraId="3E8E2628"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20</w:t>
            </w:r>
          </w:p>
        </w:tc>
        <w:tc>
          <w:tcPr>
            <w:tcW w:w="473" w:type="pct"/>
            <w:tcBorders>
              <w:top w:val="nil"/>
              <w:left w:val="nil"/>
              <w:bottom w:val="single" w:sz="8" w:space="0" w:color="auto"/>
              <w:right w:val="single" w:sz="8" w:space="0" w:color="auto"/>
            </w:tcBorders>
            <w:shd w:val="clear" w:color="000000" w:fill="D9D9D9"/>
            <w:noWrap/>
            <w:vAlign w:val="center"/>
            <w:hideMark/>
          </w:tcPr>
          <w:p w14:paraId="6E5AB25B"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20</w:t>
            </w:r>
          </w:p>
        </w:tc>
        <w:tc>
          <w:tcPr>
            <w:tcW w:w="467" w:type="pct"/>
            <w:tcBorders>
              <w:top w:val="nil"/>
              <w:left w:val="nil"/>
              <w:bottom w:val="single" w:sz="8" w:space="0" w:color="auto"/>
              <w:right w:val="single" w:sz="8" w:space="0" w:color="auto"/>
            </w:tcBorders>
            <w:shd w:val="clear" w:color="000000" w:fill="D9D9D9"/>
            <w:noWrap/>
            <w:vAlign w:val="center"/>
            <w:hideMark/>
          </w:tcPr>
          <w:p w14:paraId="2879477E"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105%</w:t>
            </w:r>
          </w:p>
        </w:tc>
      </w:tr>
      <w:tr w:rsidR="00993E10" w:rsidRPr="00993E10" w14:paraId="27B4411D" w14:textId="77777777" w:rsidTr="009B14B2">
        <w:trPr>
          <w:trHeight w:val="300"/>
        </w:trPr>
        <w:tc>
          <w:tcPr>
            <w:tcW w:w="549" w:type="pct"/>
            <w:vMerge/>
            <w:tcBorders>
              <w:top w:val="nil"/>
              <w:left w:val="single" w:sz="8" w:space="0" w:color="auto"/>
              <w:bottom w:val="single" w:sz="8" w:space="0" w:color="000000"/>
              <w:right w:val="single" w:sz="8" w:space="0" w:color="auto"/>
            </w:tcBorders>
            <w:vAlign w:val="center"/>
            <w:hideMark/>
          </w:tcPr>
          <w:p w14:paraId="73F193A3"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p>
        </w:tc>
        <w:tc>
          <w:tcPr>
            <w:tcW w:w="549" w:type="pct"/>
            <w:tcBorders>
              <w:top w:val="nil"/>
              <w:left w:val="nil"/>
              <w:bottom w:val="single" w:sz="8" w:space="0" w:color="auto"/>
              <w:right w:val="single" w:sz="8" w:space="0" w:color="auto"/>
            </w:tcBorders>
            <w:shd w:val="clear" w:color="000000" w:fill="D9D9D9"/>
            <w:vAlign w:val="center"/>
            <w:hideMark/>
          </w:tcPr>
          <w:p w14:paraId="15B9CA14"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Penal Juvenil</w:t>
            </w:r>
          </w:p>
        </w:tc>
        <w:tc>
          <w:tcPr>
            <w:tcW w:w="321" w:type="pct"/>
            <w:vMerge/>
            <w:tcBorders>
              <w:top w:val="nil"/>
              <w:left w:val="single" w:sz="8" w:space="0" w:color="auto"/>
              <w:bottom w:val="single" w:sz="8" w:space="0" w:color="000000"/>
              <w:right w:val="single" w:sz="8" w:space="0" w:color="auto"/>
            </w:tcBorders>
            <w:vAlign w:val="center"/>
            <w:hideMark/>
          </w:tcPr>
          <w:p w14:paraId="138A3078"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483" w:type="pct"/>
            <w:vMerge/>
            <w:tcBorders>
              <w:top w:val="nil"/>
              <w:left w:val="single" w:sz="8" w:space="0" w:color="auto"/>
              <w:bottom w:val="single" w:sz="8" w:space="0" w:color="000000"/>
              <w:right w:val="single" w:sz="8" w:space="0" w:color="auto"/>
            </w:tcBorders>
            <w:vAlign w:val="center"/>
            <w:hideMark/>
          </w:tcPr>
          <w:p w14:paraId="37721ED8"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543" w:type="pct"/>
            <w:tcBorders>
              <w:top w:val="nil"/>
              <w:left w:val="nil"/>
              <w:bottom w:val="single" w:sz="8" w:space="0" w:color="auto"/>
              <w:right w:val="single" w:sz="8" w:space="0" w:color="auto"/>
            </w:tcBorders>
            <w:shd w:val="clear" w:color="000000" w:fill="D9D9D9"/>
            <w:noWrap/>
            <w:vAlign w:val="center"/>
            <w:hideMark/>
          </w:tcPr>
          <w:p w14:paraId="3016279A"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000000" w:fill="D9D9D9"/>
            <w:noWrap/>
            <w:vAlign w:val="center"/>
            <w:hideMark/>
          </w:tcPr>
          <w:p w14:paraId="5CF9FE55"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12</w:t>
            </w:r>
          </w:p>
        </w:tc>
        <w:tc>
          <w:tcPr>
            <w:tcW w:w="613" w:type="pct"/>
            <w:tcBorders>
              <w:top w:val="nil"/>
              <w:left w:val="nil"/>
              <w:bottom w:val="single" w:sz="8" w:space="0" w:color="auto"/>
              <w:right w:val="single" w:sz="8" w:space="0" w:color="auto"/>
            </w:tcBorders>
            <w:shd w:val="clear" w:color="000000" w:fill="D9D9D9"/>
            <w:noWrap/>
            <w:vAlign w:val="center"/>
            <w:hideMark/>
          </w:tcPr>
          <w:p w14:paraId="7D9EF657"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12</w:t>
            </w:r>
          </w:p>
        </w:tc>
        <w:tc>
          <w:tcPr>
            <w:tcW w:w="527" w:type="pct"/>
            <w:tcBorders>
              <w:top w:val="nil"/>
              <w:left w:val="nil"/>
              <w:bottom w:val="single" w:sz="8" w:space="0" w:color="auto"/>
              <w:right w:val="single" w:sz="8" w:space="0" w:color="auto"/>
            </w:tcBorders>
            <w:shd w:val="clear" w:color="000000" w:fill="D9D9D9"/>
            <w:noWrap/>
            <w:vAlign w:val="center"/>
            <w:hideMark/>
          </w:tcPr>
          <w:p w14:paraId="565D6449"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6</w:t>
            </w:r>
          </w:p>
        </w:tc>
        <w:tc>
          <w:tcPr>
            <w:tcW w:w="473" w:type="pct"/>
            <w:tcBorders>
              <w:top w:val="nil"/>
              <w:left w:val="nil"/>
              <w:bottom w:val="single" w:sz="8" w:space="0" w:color="auto"/>
              <w:right w:val="single" w:sz="8" w:space="0" w:color="auto"/>
            </w:tcBorders>
            <w:shd w:val="clear" w:color="000000" w:fill="D9D9D9"/>
            <w:noWrap/>
            <w:vAlign w:val="center"/>
            <w:hideMark/>
          </w:tcPr>
          <w:p w14:paraId="57DD27F3"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6</w:t>
            </w:r>
          </w:p>
        </w:tc>
        <w:tc>
          <w:tcPr>
            <w:tcW w:w="467" w:type="pct"/>
            <w:tcBorders>
              <w:top w:val="nil"/>
              <w:left w:val="nil"/>
              <w:bottom w:val="single" w:sz="8" w:space="0" w:color="auto"/>
              <w:right w:val="single" w:sz="8" w:space="0" w:color="auto"/>
            </w:tcBorders>
            <w:shd w:val="clear" w:color="000000" w:fill="D9D9D9"/>
            <w:noWrap/>
            <w:vAlign w:val="center"/>
            <w:hideMark/>
          </w:tcPr>
          <w:p w14:paraId="5A52708A"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106%</w:t>
            </w:r>
          </w:p>
        </w:tc>
      </w:tr>
      <w:tr w:rsidR="00993E10" w:rsidRPr="00993E10" w14:paraId="3BE8161F" w14:textId="77777777" w:rsidTr="009B14B2">
        <w:trPr>
          <w:trHeight w:val="850"/>
        </w:trPr>
        <w:tc>
          <w:tcPr>
            <w:tcW w:w="549" w:type="pct"/>
            <w:vMerge w:val="restart"/>
            <w:tcBorders>
              <w:top w:val="nil"/>
              <w:left w:val="single" w:sz="8" w:space="0" w:color="auto"/>
              <w:bottom w:val="single" w:sz="8" w:space="0" w:color="000000"/>
              <w:right w:val="single" w:sz="8" w:space="0" w:color="auto"/>
            </w:tcBorders>
            <w:shd w:val="clear" w:color="auto" w:fill="auto"/>
            <w:vAlign w:val="center"/>
            <w:hideMark/>
          </w:tcPr>
          <w:p w14:paraId="4932CD5A"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Juzgado Familia, Penal Juvenil y Viol. Dom. Turrialba</w:t>
            </w:r>
          </w:p>
        </w:tc>
        <w:tc>
          <w:tcPr>
            <w:tcW w:w="549" w:type="pct"/>
            <w:tcBorders>
              <w:top w:val="nil"/>
              <w:left w:val="nil"/>
              <w:bottom w:val="single" w:sz="8" w:space="0" w:color="auto"/>
              <w:right w:val="single" w:sz="8" w:space="0" w:color="auto"/>
            </w:tcBorders>
            <w:shd w:val="clear" w:color="auto" w:fill="auto"/>
            <w:vAlign w:val="center"/>
            <w:hideMark/>
          </w:tcPr>
          <w:p w14:paraId="3CFCCB0A"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Familia</w:t>
            </w:r>
          </w:p>
        </w:tc>
        <w:tc>
          <w:tcPr>
            <w:tcW w:w="32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9061433"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w:t>
            </w:r>
          </w:p>
        </w:tc>
        <w:tc>
          <w:tcPr>
            <w:tcW w:w="48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941D301"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3**</w:t>
            </w:r>
          </w:p>
        </w:tc>
        <w:tc>
          <w:tcPr>
            <w:tcW w:w="543" w:type="pct"/>
            <w:tcBorders>
              <w:top w:val="nil"/>
              <w:left w:val="nil"/>
              <w:bottom w:val="single" w:sz="8" w:space="0" w:color="auto"/>
              <w:right w:val="single" w:sz="8" w:space="0" w:color="auto"/>
            </w:tcBorders>
            <w:shd w:val="clear" w:color="auto" w:fill="auto"/>
            <w:noWrap/>
            <w:vAlign w:val="center"/>
            <w:hideMark/>
          </w:tcPr>
          <w:p w14:paraId="3D48851C"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auto" w:fill="auto"/>
            <w:noWrap/>
            <w:vAlign w:val="center"/>
            <w:hideMark/>
          </w:tcPr>
          <w:p w14:paraId="22276268"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52</w:t>
            </w:r>
          </w:p>
        </w:tc>
        <w:tc>
          <w:tcPr>
            <w:tcW w:w="613" w:type="pct"/>
            <w:tcBorders>
              <w:top w:val="nil"/>
              <w:left w:val="nil"/>
              <w:bottom w:val="single" w:sz="8" w:space="0" w:color="auto"/>
              <w:right w:val="single" w:sz="8" w:space="0" w:color="auto"/>
            </w:tcBorders>
            <w:shd w:val="clear" w:color="auto" w:fill="auto"/>
            <w:noWrap/>
            <w:vAlign w:val="center"/>
            <w:hideMark/>
          </w:tcPr>
          <w:p w14:paraId="5BF70473"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43</w:t>
            </w:r>
          </w:p>
        </w:tc>
        <w:tc>
          <w:tcPr>
            <w:tcW w:w="527" w:type="pct"/>
            <w:tcBorders>
              <w:top w:val="nil"/>
              <w:left w:val="nil"/>
              <w:bottom w:val="single" w:sz="8" w:space="0" w:color="auto"/>
              <w:right w:val="single" w:sz="8" w:space="0" w:color="auto"/>
            </w:tcBorders>
            <w:shd w:val="clear" w:color="auto" w:fill="auto"/>
            <w:noWrap/>
            <w:vAlign w:val="center"/>
            <w:hideMark/>
          </w:tcPr>
          <w:p w14:paraId="2E72935C"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26</w:t>
            </w:r>
          </w:p>
        </w:tc>
        <w:tc>
          <w:tcPr>
            <w:tcW w:w="473" w:type="pct"/>
            <w:tcBorders>
              <w:top w:val="nil"/>
              <w:left w:val="nil"/>
              <w:bottom w:val="single" w:sz="8" w:space="0" w:color="auto"/>
              <w:right w:val="single" w:sz="8" w:space="0" w:color="auto"/>
            </w:tcBorders>
            <w:shd w:val="clear" w:color="auto" w:fill="auto"/>
            <w:noWrap/>
            <w:vAlign w:val="center"/>
            <w:hideMark/>
          </w:tcPr>
          <w:p w14:paraId="7C8BF341"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17</w:t>
            </w:r>
          </w:p>
        </w:tc>
        <w:tc>
          <w:tcPr>
            <w:tcW w:w="467" w:type="pct"/>
            <w:tcBorders>
              <w:top w:val="nil"/>
              <w:left w:val="nil"/>
              <w:bottom w:val="single" w:sz="8" w:space="0" w:color="auto"/>
              <w:right w:val="single" w:sz="8" w:space="0" w:color="auto"/>
            </w:tcBorders>
            <w:shd w:val="clear" w:color="auto" w:fill="auto"/>
            <w:noWrap/>
            <w:vAlign w:val="center"/>
            <w:hideMark/>
          </w:tcPr>
          <w:p w14:paraId="200005B8"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82%</w:t>
            </w:r>
          </w:p>
        </w:tc>
      </w:tr>
      <w:tr w:rsidR="00993E10" w:rsidRPr="00993E10" w14:paraId="63C05CE3" w14:textId="77777777" w:rsidTr="009B14B2">
        <w:trPr>
          <w:trHeight w:val="490"/>
        </w:trPr>
        <w:tc>
          <w:tcPr>
            <w:tcW w:w="549" w:type="pct"/>
            <w:vMerge/>
            <w:tcBorders>
              <w:top w:val="nil"/>
              <w:left w:val="single" w:sz="8" w:space="0" w:color="auto"/>
              <w:bottom w:val="single" w:sz="8" w:space="0" w:color="000000"/>
              <w:right w:val="single" w:sz="8" w:space="0" w:color="auto"/>
            </w:tcBorders>
            <w:vAlign w:val="center"/>
            <w:hideMark/>
          </w:tcPr>
          <w:p w14:paraId="51A57888"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p>
        </w:tc>
        <w:tc>
          <w:tcPr>
            <w:tcW w:w="549" w:type="pct"/>
            <w:tcBorders>
              <w:top w:val="nil"/>
              <w:left w:val="nil"/>
              <w:bottom w:val="single" w:sz="8" w:space="0" w:color="auto"/>
              <w:right w:val="single" w:sz="8" w:space="0" w:color="auto"/>
            </w:tcBorders>
            <w:shd w:val="clear" w:color="auto" w:fill="auto"/>
            <w:vAlign w:val="center"/>
            <w:hideMark/>
          </w:tcPr>
          <w:p w14:paraId="540DC801"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Viol. Doméstica</w:t>
            </w:r>
          </w:p>
        </w:tc>
        <w:tc>
          <w:tcPr>
            <w:tcW w:w="321" w:type="pct"/>
            <w:vMerge/>
            <w:tcBorders>
              <w:top w:val="nil"/>
              <w:left w:val="single" w:sz="8" w:space="0" w:color="auto"/>
              <w:bottom w:val="single" w:sz="8" w:space="0" w:color="000000"/>
              <w:right w:val="single" w:sz="8" w:space="0" w:color="auto"/>
            </w:tcBorders>
            <w:vAlign w:val="center"/>
            <w:hideMark/>
          </w:tcPr>
          <w:p w14:paraId="2FBEBCF5"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483" w:type="pct"/>
            <w:vMerge/>
            <w:tcBorders>
              <w:top w:val="nil"/>
              <w:left w:val="single" w:sz="8" w:space="0" w:color="auto"/>
              <w:bottom w:val="single" w:sz="8" w:space="0" w:color="000000"/>
              <w:right w:val="single" w:sz="8" w:space="0" w:color="auto"/>
            </w:tcBorders>
            <w:vAlign w:val="center"/>
            <w:hideMark/>
          </w:tcPr>
          <w:p w14:paraId="4363E0BD"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543" w:type="pct"/>
            <w:tcBorders>
              <w:top w:val="nil"/>
              <w:left w:val="nil"/>
              <w:bottom w:val="single" w:sz="8" w:space="0" w:color="auto"/>
              <w:right w:val="single" w:sz="8" w:space="0" w:color="auto"/>
            </w:tcBorders>
            <w:shd w:val="clear" w:color="auto" w:fill="auto"/>
            <w:noWrap/>
            <w:vAlign w:val="center"/>
            <w:hideMark/>
          </w:tcPr>
          <w:p w14:paraId="69B1956A"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auto" w:fill="auto"/>
            <w:noWrap/>
            <w:vAlign w:val="center"/>
            <w:hideMark/>
          </w:tcPr>
          <w:p w14:paraId="5CBDECC8"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76</w:t>
            </w:r>
          </w:p>
        </w:tc>
        <w:tc>
          <w:tcPr>
            <w:tcW w:w="613" w:type="pct"/>
            <w:tcBorders>
              <w:top w:val="nil"/>
              <w:left w:val="nil"/>
              <w:bottom w:val="single" w:sz="8" w:space="0" w:color="auto"/>
              <w:right w:val="single" w:sz="8" w:space="0" w:color="auto"/>
            </w:tcBorders>
            <w:shd w:val="clear" w:color="auto" w:fill="auto"/>
            <w:noWrap/>
            <w:vAlign w:val="center"/>
            <w:hideMark/>
          </w:tcPr>
          <w:p w14:paraId="7D31965C"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79</w:t>
            </w:r>
          </w:p>
        </w:tc>
        <w:tc>
          <w:tcPr>
            <w:tcW w:w="527" w:type="pct"/>
            <w:tcBorders>
              <w:top w:val="nil"/>
              <w:left w:val="nil"/>
              <w:bottom w:val="single" w:sz="8" w:space="0" w:color="auto"/>
              <w:right w:val="single" w:sz="8" w:space="0" w:color="auto"/>
            </w:tcBorders>
            <w:shd w:val="clear" w:color="auto" w:fill="auto"/>
            <w:noWrap/>
            <w:vAlign w:val="center"/>
            <w:hideMark/>
          </w:tcPr>
          <w:p w14:paraId="7262423A"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38</w:t>
            </w:r>
          </w:p>
        </w:tc>
        <w:tc>
          <w:tcPr>
            <w:tcW w:w="473" w:type="pct"/>
            <w:tcBorders>
              <w:top w:val="nil"/>
              <w:left w:val="nil"/>
              <w:bottom w:val="single" w:sz="8" w:space="0" w:color="auto"/>
              <w:right w:val="single" w:sz="8" w:space="0" w:color="auto"/>
            </w:tcBorders>
            <w:shd w:val="clear" w:color="auto" w:fill="auto"/>
            <w:noWrap/>
            <w:vAlign w:val="center"/>
            <w:hideMark/>
          </w:tcPr>
          <w:p w14:paraId="3E93A02F"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25</w:t>
            </w:r>
          </w:p>
        </w:tc>
        <w:tc>
          <w:tcPr>
            <w:tcW w:w="467" w:type="pct"/>
            <w:tcBorders>
              <w:top w:val="nil"/>
              <w:left w:val="nil"/>
              <w:bottom w:val="single" w:sz="8" w:space="0" w:color="auto"/>
              <w:right w:val="single" w:sz="8" w:space="0" w:color="auto"/>
            </w:tcBorders>
            <w:shd w:val="clear" w:color="auto" w:fill="auto"/>
            <w:noWrap/>
            <w:vAlign w:val="center"/>
            <w:hideMark/>
          </w:tcPr>
          <w:p w14:paraId="40750151"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104%</w:t>
            </w:r>
          </w:p>
        </w:tc>
      </w:tr>
      <w:tr w:rsidR="00993E10" w:rsidRPr="00993E10" w14:paraId="0A9CED86" w14:textId="77777777" w:rsidTr="009B14B2">
        <w:trPr>
          <w:trHeight w:val="300"/>
        </w:trPr>
        <w:tc>
          <w:tcPr>
            <w:tcW w:w="549" w:type="pct"/>
            <w:vMerge/>
            <w:tcBorders>
              <w:top w:val="nil"/>
              <w:left w:val="single" w:sz="8" w:space="0" w:color="auto"/>
              <w:bottom w:val="single" w:sz="8" w:space="0" w:color="000000"/>
              <w:right w:val="single" w:sz="8" w:space="0" w:color="auto"/>
            </w:tcBorders>
            <w:vAlign w:val="center"/>
            <w:hideMark/>
          </w:tcPr>
          <w:p w14:paraId="65B84FD9"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p>
        </w:tc>
        <w:tc>
          <w:tcPr>
            <w:tcW w:w="549" w:type="pct"/>
            <w:tcBorders>
              <w:top w:val="nil"/>
              <w:left w:val="nil"/>
              <w:bottom w:val="single" w:sz="8" w:space="0" w:color="auto"/>
              <w:right w:val="single" w:sz="8" w:space="0" w:color="auto"/>
            </w:tcBorders>
            <w:shd w:val="clear" w:color="auto" w:fill="auto"/>
            <w:vAlign w:val="center"/>
            <w:hideMark/>
          </w:tcPr>
          <w:p w14:paraId="6ADC1A6F"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Penal Juvenil</w:t>
            </w:r>
          </w:p>
        </w:tc>
        <w:tc>
          <w:tcPr>
            <w:tcW w:w="321" w:type="pct"/>
            <w:vMerge/>
            <w:tcBorders>
              <w:top w:val="nil"/>
              <w:left w:val="single" w:sz="8" w:space="0" w:color="auto"/>
              <w:bottom w:val="single" w:sz="8" w:space="0" w:color="000000"/>
              <w:right w:val="single" w:sz="8" w:space="0" w:color="auto"/>
            </w:tcBorders>
            <w:vAlign w:val="center"/>
            <w:hideMark/>
          </w:tcPr>
          <w:p w14:paraId="18EF1607"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483" w:type="pct"/>
            <w:vMerge/>
            <w:tcBorders>
              <w:top w:val="nil"/>
              <w:left w:val="single" w:sz="8" w:space="0" w:color="auto"/>
              <w:bottom w:val="single" w:sz="8" w:space="0" w:color="000000"/>
              <w:right w:val="single" w:sz="8" w:space="0" w:color="auto"/>
            </w:tcBorders>
            <w:vAlign w:val="center"/>
            <w:hideMark/>
          </w:tcPr>
          <w:p w14:paraId="272CCE34"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543" w:type="pct"/>
            <w:tcBorders>
              <w:top w:val="nil"/>
              <w:left w:val="nil"/>
              <w:bottom w:val="single" w:sz="8" w:space="0" w:color="auto"/>
              <w:right w:val="single" w:sz="8" w:space="0" w:color="auto"/>
            </w:tcBorders>
            <w:shd w:val="clear" w:color="auto" w:fill="auto"/>
            <w:noWrap/>
            <w:vAlign w:val="center"/>
            <w:hideMark/>
          </w:tcPr>
          <w:p w14:paraId="7CEF7B8D"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auto" w:fill="auto"/>
            <w:noWrap/>
            <w:vAlign w:val="center"/>
            <w:hideMark/>
          </w:tcPr>
          <w:p w14:paraId="0A63C830"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12</w:t>
            </w:r>
          </w:p>
        </w:tc>
        <w:tc>
          <w:tcPr>
            <w:tcW w:w="613" w:type="pct"/>
            <w:tcBorders>
              <w:top w:val="nil"/>
              <w:left w:val="nil"/>
              <w:bottom w:val="single" w:sz="8" w:space="0" w:color="auto"/>
              <w:right w:val="single" w:sz="8" w:space="0" w:color="auto"/>
            </w:tcBorders>
            <w:shd w:val="clear" w:color="auto" w:fill="auto"/>
            <w:noWrap/>
            <w:vAlign w:val="center"/>
            <w:hideMark/>
          </w:tcPr>
          <w:p w14:paraId="31038592"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13</w:t>
            </w:r>
          </w:p>
        </w:tc>
        <w:tc>
          <w:tcPr>
            <w:tcW w:w="527" w:type="pct"/>
            <w:tcBorders>
              <w:top w:val="nil"/>
              <w:left w:val="nil"/>
              <w:bottom w:val="single" w:sz="8" w:space="0" w:color="auto"/>
              <w:right w:val="single" w:sz="8" w:space="0" w:color="auto"/>
            </w:tcBorders>
            <w:shd w:val="clear" w:color="auto" w:fill="auto"/>
            <w:noWrap/>
            <w:vAlign w:val="center"/>
            <w:hideMark/>
          </w:tcPr>
          <w:p w14:paraId="6F280B5A"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6</w:t>
            </w:r>
          </w:p>
        </w:tc>
        <w:tc>
          <w:tcPr>
            <w:tcW w:w="473" w:type="pct"/>
            <w:tcBorders>
              <w:top w:val="nil"/>
              <w:left w:val="nil"/>
              <w:bottom w:val="single" w:sz="8" w:space="0" w:color="auto"/>
              <w:right w:val="single" w:sz="8" w:space="0" w:color="auto"/>
            </w:tcBorders>
            <w:shd w:val="clear" w:color="auto" w:fill="auto"/>
            <w:noWrap/>
            <w:vAlign w:val="center"/>
            <w:hideMark/>
          </w:tcPr>
          <w:p w14:paraId="6E486950"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4</w:t>
            </w:r>
          </w:p>
        </w:tc>
        <w:tc>
          <w:tcPr>
            <w:tcW w:w="467" w:type="pct"/>
            <w:tcBorders>
              <w:top w:val="nil"/>
              <w:left w:val="nil"/>
              <w:bottom w:val="single" w:sz="8" w:space="0" w:color="auto"/>
              <w:right w:val="single" w:sz="8" w:space="0" w:color="auto"/>
            </w:tcBorders>
            <w:shd w:val="clear" w:color="auto" w:fill="auto"/>
            <w:noWrap/>
            <w:vAlign w:val="center"/>
            <w:hideMark/>
          </w:tcPr>
          <w:p w14:paraId="6AFD185F"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106%</w:t>
            </w:r>
          </w:p>
        </w:tc>
      </w:tr>
      <w:tr w:rsidR="00993E10" w:rsidRPr="00993E10" w14:paraId="44661138" w14:textId="77777777" w:rsidTr="009B14B2">
        <w:trPr>
          <w:trHeight w:val="1140"/>
        </w:trPr>
        <w:tc>
          <w:tcPr>
            <w:tcW w:w="549"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150EEA5"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Juzgado de Familia, Penal Juvenil y Viol. Doméstica de Quepos</w:t>
            </w:r>
          </w:p>
        </w:tc>
        <w:tc>
          <w:tcPr>
            <w:tcW w:w="549" w:type="pct"/>
            <w:tcBorders>
              <w:top w:val="nil"/>
              <w:left w:val="nil"/>
              <w:bottom w:val="single" w:sz="8" w:space="0" w:color="auto"/>
              <w:right w:val="single" w:sz="8" w:space="0" w:color="auto"/>
            </w:tcBorders>
            <w:shd w:val="clear" w:color="000000" w:fill="D9D9D9"/>
            <w:vAlign w:val="center"/>
            <w:hideMark/>
          </w:tcPr>
          <w:p w14:paraId="58DFF5EC"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Familia</w:t>
            </w:r>
          </w:p>
        </w:tc>
        <w:tc>
          <w:tcPr>
            <w:tcW w:w="321"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2EA519A"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w:t>
            </w:r>
          </w:p>
        </w:tc>
        <w:tc>
          <w:tcPr>
            <w:tcW w:w="483"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24945E2"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3***</w:t>
            </w:r>
          </w:p>
        </w:tc>
        <w:tc>
          <w:tcPr>
            <w:tcW w:w="543" w:type="pct"/>
            <w:tcBorders>
              <w:top w:val="nil"/>
              <w:left w:val="nil"/>
              <w:bottom w:val="single" w:sz="8" w:space="0" w:color="auto"/>
              <w:right w:val="single" w:sz="8" w:space="0" w:color="auto"/>
            </w:tcBorders>
            <w:shd w:val="clear" w:color="000000" w:fill="D9D9D9"/>
            <w:noWrap/>
            <w:vAlign w:val="center"/>
            <w:hideMark/>
          </w:tcPr>
          <w:p w14:paraId="200AA6C7"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000000" w:fill="D9D9D9"/>
            <w:noWrap/>
            <w:vAlign w:val="center"/>
            <w:hideMark/>
          </w:tcPr>
          <w:p w14:paraId="53ACD232"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33</w:t>
            </w:r>
          </w:p>
        </w:tc>
        <w:tc>
          <w:tcPr>
            <w:tcW w:w="613" w:type="pct"/>
            <w:tcBorders>
              <w:top w:val="nil"/>
              <w:left w:val="nil"/>
              <w:bottom w:val="single" w:sz="8" w:space="0" w:color="auto"/>
              <w:right w:val="single" w:sz="8" w:space="0" w:color="auto"/>
            </w:tcBorders>
            <w:shd w:val="clear" w:color="000000" w:fill="D9D9D9"/>
            <w:noWrap/>
            <w:vAlign w:val="center"/>
            <w:hideMark/>
          </w:tcPr>
          <w:p w14:paraId="2808A0F5"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28</w:t>
            </w:r>
          </w:p>
        </w:tc>
        <w:tc>
          <w:tcPr>
            <w:tcW w:w="527" w:type="pct"/>
            <w:tcBorders>
              <w:top w:val="nil"/>
              <w:left w:val="nil"/>
              <w:bottom w:val="single" w:sz="8" w:space="0" w:color="auto"/>
              <w:right w:val="single" w:sz="8" w:space="0" w:color="auto"/>
            </w:tcBorders>
            <w:shd w:val="clear" w:color="000000" w:fill="D9D9D9"/>
            <w:noWrap/>
            <w:vAlign w:val="center"/>
            <w:hideMark/>
          </w:tcPr>
          <w:p w14:paraId="6E1393D8"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16</w:t>
            </w:r>
          </w:p>
        </w:tc>
        <w:tc>
          <w:tcPr>
            <w:tcW w:w="473" w:type="pct"/>
            <w:tcBorders>
              <w:top w:val="nil"/>
              <w:left w:val="nil"/>
              <w:bottom w:val="single" w:sz="8" w:space="0" w:color="auto"/>
              <w:right w:val="single" w:sz="8" w:space="0" w:color="auto"/>
            </w:tcBorders>
            <w:shd w:val="clear" w:color="000000" w:fill="D9D9D9"/>
            <w:noWrap/>
            <w:vAlign w:val="center"/>
            <w:hideMark/>
          </w:tcPr>
          <w:p w14:paraId="001BB232"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11</w:t>
            </w:r>
          </w:p>
        </w:tc>
        <w:tc>
          <w:tcPr>
            <w:tcW w:w="467" w:type="pct"/>
            <w:tcBorders>
              <w:top w:val="nil"/>
              <w:left w:val="nil"/>
              <w:bottom w:val="single" w:sz="8" w:space="0" w:color="auto"/>
              <w:right w:val="single" w:sz="8" w:space="0" w:color="auto"/>
            </w:tcBorders>
            <w:shd w:val="clear" w:color="000000" w:fill="D9D9D9"/>
            <w:noWrap/>
            <w:vAlign w:val="center"/>
            <w:hideMark/>
          </w:tcPr>
          <w:p w14:paraId="418FCADB"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84%</w:t>
            </w:r>
          </w:p>
        </w:tc>
      </w:tr>
      <w:tr w:rsidR="00993E10" w:rsidRPr="00993E10" w14:paraId="6FF5A973" w14:textId="77777777" w:rsidTr="009B14B2">
        <w:trPr>
          <w:trHeight w:val="490"/>
        </w:trPr>
        <w:tc>
          <w:tcPr>
            <w:tcW w:w="549" w:type="pct"/>
            <w:vMerge/>
            <w:tcBorders>
              <w:top w:val="nil"/>
              <w:left w:val="single" w:sz="8" w:space="0" w:color="auto"/>
              <w:bottom w:val="single" w:sz="8" w:space="0" w:color="000000"/>
              <w:right w:val="single" w:sz="8" w:space="0" w:color="auto"/>
            </w:tcBorders>
            <w:vAlign w:val="center"/>
            <w:hideMark/>
          </w:tcPr>
          <w:p w14:paraId="1AAF7B85"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p>
        </w:tc>
        <w:tc>
          <w:tcPr>
            <w:tcW w:w="549" w:type="pct"/>
            <w:tcBorders>
              <w:top w:val="nil"/>
              <w:left w:val="nil"/>
              <w:bottom w:val="single" w:sz="8" w:space="0" w:color="auto"/>
              <w:right w:val="single" w:sz="8" w:space="0" w:color="auto"/>
            </w:tcBorders>
            <w:shd w:val="clear" w:color="000000" w:fill="D9D9D9"/>
            <w:vAlign w:val="center"/>
            <w:hideMark/>
          </w:tcPr>
          <w:p w14:paraId="59225F8D"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Viol. Doméstica</w:t>
            </w:r>
          </w:p>
        </w:tc>
        <w:tc>
          <w:tcPr>
            <w:tcW w:w="321" w:type="pct"/>
            <w:vMerge/>
            <w:tcBorders>
              <w:top w:val="nil"/>
              <w:left w:val="single" w:sz="8" w:space="0" w:color="auto"/>
              <w:bottom w:val="single" w:sz="8" w:space="0" w:color="000000"/>
              <w:right w:val="single" w:sz="8" w:space="0" w:color="auto"/>
            </w:tcBorders>
            <w:vAlign w:val="center"/>
            <w:hideMark/>
          </w:tcPr>
          <w:p w14:paraId="16B893F2"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483" w:type="pct"/>
            <w:vMerge/>
            <w:tcBorders>
              <w:top w:val="nil"/>
              <w:left w:val="single" w:sz="8" w:space="0" w:color="auto"/>
              <w:bottom w:val="single" w:sz="8" w:space="0" w:color="000000"/>
              <w:right w:val="single" w:sz="8" w:space="0" w:color="auto"/>
            </w:tcBorders>
            <w:vAlign w:val="center"/>
            <w:hideMark/>
          </w:tcPr>
          <w:p w14:paraId="421057B9"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543" w:type="pct"/>
            <w:tcBorders>
              <w:top w:val="nil"/>
              <w:left w:val="nil"/>
              <w:bottom w:val="single" w:sz="8" w:space="0" w:color="auto"/>
              <w:right w:val="single" w:sz="8" w:space="0" w:color="auto"/>
            </w:tcBorders>
            <w:shd w:val="clear" w:color="000000" w:fill="D9D9D9"/>
            <w:noWrap/>
            <w:vAlign w:val="center"/>
            <w:hideMark/>
          </w:tcPr>
          <w:p w14:paraId="08021F84"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000000" w:fill="D9D9D9"/>
            <w:noWrap/>
            <w:vAlign w:val="center"/>
            <w:hideMark/>
          </w:tcPr>
          <w:p w14:paraId="547FAD1F"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46</w:t>
            </w:r>
          </w:p>
        </w:tc>
        <w:tc>
          <w:tcPr>
            <w:tcW w:w="613" w:type="pct"/>
            <w:tcBorders>
              <w:top w:val="nil"/>
              <w:left w:val="nil"/>
              <w:bottom w:val="single" w:sz="8" w:space="0" w:color="auto"/>
              <w:right w:val="single" w:sz="8" w:space="0" w:color="auto"/>
            </w:tcBorders>
            <w:shd w:val="clear" w:color="000000" w:fill="D9D9D9"/>
            <w:noWrap/>
            <w:vAlign w:val="center"/>
            <w:hideMark/>
          </w:tcPr>
          <w:p w14:paraId="41215182"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527" w:type="pct"/>
            <w:tcBorders>
              <w:top w:val="nil"/>
              <w:left w:val="nil"/>
              <w:bottom w:val="single" w:sz="8" w:space="0" w:color="auto"/>
              <w:right w:val="single" w:sz="8" w:space="0" w:color="auto"/>
            </w:tcBorders>
            <w:shd w:val="clear" w:color="000000" w:fill="D9D9D9"/>
            <w:noWrap/>
            <w:vAlign w:val="center"/>
            <w:hideMark/>
          </w:tcPr>
          <w:p w14:paraId="3640BA80"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23</w:t>
            </w:r>
          </w:p>
        </w:tc>
        <w:tc>
          <w:tcPr>
            <w:tcW w:w="473" w:type="pct"/>
            <w:tcBorders>
              <w:top w:val="nil"/>
              <w:left w:val="nil"/>
              <w:bottom w:val="single" w:sz="8" w:space="0" w:color="auto"/>
              <w:right w:val="single" w:sz="8" w:space="0" w:color="auto"/>
            </w:tcBorders>
            <w:shd w:val="clear" w:color="000000" w:fill="D9D9D9"/>
            <w:noWrap/>
            <w:vAlign w:val="center"/>
            <w:hideMark/>
          </w:tcPr>
          <w:p w14:paraId="6C3F84E8"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15</w:t>
            </w:r>
          </w:p>
        </w:tc>
        <w:tc>
          <w:tcPr>
            <w:tcW w:w="467" w:type="pct"/>
            <w:tcBorders>
              <w:top w:val="nil"/>
              <w:left w:val="nil"/>
              <w:bottom w:val="single" w:sz="8" w:space="0" w:color="auto"/>
              <w:right w:val="single" w:sz="8" w:space="0" w:color="auto"/>
            </w:tcBorders>
            <w:shd w:val="clear" w:color="000000" w:fill="D9D9D9"/>
            <w:noWrap/>
            <w:vAlign w:val="center"/>
            <w:hideMark/>
          </w:tcPr>
          <w:p w14:paraId="5BDAB243"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108%</w:t>
            </w:r>
          </w:p>
        </w:tc>
      </w:tr>
      <w:tr w:rsidR="00993E10" w:rsidRPr="00993E10" w14:paraId="11612270" w14:textId="77777777" w:rsidTr="009B14B2">
        <w:trPr>
          <w:trHeight w:val="300"/>
        </w:trPr>
        <w:tc>
          <w:tcPr>
            <w:tcW w:w="549" w:type="pct"/>
            <w:vMerge/>
            <w:tcBorders>
              <w:top w:val="nil"/>
              <w:left w:val="single" w:sz="8" w:space="0" w:color="auto"/>
              <w:bottom w:val="single" w:sz="8" w:space="0" w:color="000000"/>
              <w:right w:val="single" w:sz="8" w:space="0" w:color="auto"/>
            </w:tcBorders>
            <w:vAlign w:val="center"/>
            <w:hideMark/>
          </w:tcPr>
          <w:p w14:paraId="3E729D4F"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p>
        </w:tc>
        <w:tc>
          <w:tcPr>
            <w:tcW w:w="549" w:type="pct"/>
            <w:tcBorders>
              <w:top w:val="nil"/>
              <w:left w:val="nil"/>
              <w:bottom w:val="single" w:sz="8" w:space="0" w:color="auto"/>
              <w:right w:val="single" w:sz="8" w:space="0" w:color="auto"/>
            </w:tcBorders>
            <w:shd w:val="clear" w:color="000000" w:fill="D9D9D9"/>
            <w:vAlign w:val="center"/>
            <w:hideMark/>
          </w:tcPr>
          <w:p w14:paraId="4E09B557" w14:textId="77777777" w:rsidR="00993E10" w:rsidRPr="00993E10" w:rsidRDefault="00993E10" w:rsidP="00993E10">
            <w:pPr>
              <w:spacing w:after="0" w:line="240" w:lineRule="auto"/>
              <w:rPr>
                <w:rFonts w:ascii="Book Antiqua" w:eastAsia="Times New Roman" w:hAnsi="Book Antiqua" w:cs="Calibri"/>
                <w:b/>
                <w:bCs/>
                <w:color w:val="000000"/>
                <w:sz w:val="18"/>
                <w:szCs w:val="18"/>
                <w:lang w:eastAsia="es-CR"/>
              </w:rPr>
            </w:pPr>
            <w:r w:rsidRPr="00993E10">
              <w:rPr>
                <w:rFonts w:ascii="Book Antiqua" w:eastAsia="Times New Roman" w:hAnsi="Book Antiqua" w:cs="Calibri"/>
                <w:b/>
                <w:bCs/>
                <w:color w:val="000000"/>
                <w:sz w:val="18"/>
                <w:szCs w:val="18"/>
                <w:lang w:eastAsia="es-CR"/>
              </w:rPr>
              <w:t>Penal Juvenil</w:t>
            </w:r>
          </w:p>
        </w:tc>
        <w:tc>
          <w:tcPr>
            <w:tcW w:w="321" w:type="pct"/>
            <w:vMerge/>
            <w:tcBorders>
              <w:top w:val="nil"/>
              <w:left w:val="single" w:sz="8" w:space="0" w:color="auto"/>
              <w:bottom w:val="single" w:sz="8" w:space="0" w:color="000000"/>
              <w:right w:val="single" w:sz="8" w:space="0" w:color="auto"/>
            </w:tcBorders>
            <w:vAlign w:val="center"/>
            <w:hideMark/>
          </w:tcPr>
          <w:p w14:paraId="657EBC0C"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483" w:type="pct"/>
            <w:vMerge/>
            <w:tcBorders>
              <w:top w:val="nil"/>
              <w:left w:val="single" w:sz="8" w:space="0" w:color="auto"/>
              <w:bottom w:val="single" w:sz="8" w:space="0" w:color="000000"/>
              <w:right w:val="single" w:sz="8" w:space="0" w:color="auto"/>
            </w:tcBorders>
            <w:vAlign w:val="center"/>
            <w:hideMark/>
          </w:tcPr>
          <w:p w14:paraId="4A00F259" w14:textId="77777777" w:rsidR="00993E10" w:rsidRPr="00993E10" w:rsidRDefault="00993E10" w:rsidP="00993E10">
            <w:pPr>
              <w:spacing w:after="0" w:line="240" w:lineRule="auto"/>
              <w:rPr>
                <w:rFonts w:ascii="Book Antiqua" w:eastAsia="Times New Roman" w:hAnsi="Book Antiqua" w:cs="Calibri"/>
                <w:color w:val="000000"/>
                <w:sz w:val="18"/>
                <w:szCs w:val="18"/>
                <w:lang w:eastAsia="es-CR"/>
              </w:rPr>
            </w:pPr>
          </w:p>
        </w:tc>
        <w:tc>
          <w:tcPr>
            <w:tcW w:w="543" w:type="pct"/>
            <w:tcBorders>
              <w:top w:val="nil"/>
              <w:left w:val="nil"/>
              <w:bottom w:val="single" w:sz="8" w:space="0" w:color="auto"/>
              <w:right w:val="single" w:sz="8" w:space="0" w:color="auto"/>
            </w:tcBorders>
            <w:shd w:val="clear" w:color="000000" w:fill="D9D9D9"/>
            <w:noWrap/>
            <w:vAlign w:val="center"/>
            <w:hideMark/>
          </w:tcPr>
          <w:p w14:paraId="215E1FF1"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50%</w:t>
            </w:r>
          </w:p>
        </w:tc>
        <w:tc>
          <w:tcPr>
            <w:tcW w:w="473" w:type="pct"/>
            <w:tcBorders>
              <w:top w:val="nil"/>
              <w:left w:val="nil"/>
              <w:bottom w:val="single" w:sz="8" w:space="0" w:color="auto"/>
              <w:right w:val="single" w:sz="8" w:space="0" w:color="auto"/>
            </w:tcBorders>
            <w:shd w:val="clear" w:color="000000" w:fill="D9D9D9"/>
            <w:noWrap/>
            <w:vAlign w:val="center"/>
            <w:hideMark/>
          </w:tcPr>
          <w:p w14:paraId="32FC31B3"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10</w:t>
            </w:r>
          </w:p>
        </w:tc>
        <w:tc>
          <w:tcPr>
            <w:tcW w:w="613" w:type="pct"/>
            <w:tcBorders>
              <w:top w:val="nil"/>
              <w:left w:val="nil"/>
              <w:bottom w:val="single" w:sz="8" w:space="0" w:color="auto"/>
              <w:right w:val="single" w:sz="8" w:space="0" w:color="auto"/>
            </w:tcBorders>
            <w:shd w:val="clear" w:color="000000" w:fill="D9D9D9"/>
            <w:noWrap/>
            <w:vAlign w:val="center"/>
            <w:hideMark/>
          </w:tcPr>
          <w:p w14:paraId="100B6F01"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10</w:t>
            </w:r>
          </w:p>
        </w:tc>
        <w:tc>
          <w:tcPr>
            <w:tcW w:w="527" w:type="pct"/>
            <w:tcBorders>
              <w:top w:val="nil"/>
              <w:left w:val="nil"/>
              <w:bottom w:val="single" w:sz="8" w:space="0" w:color="auto"/>
              <w:right w:val="single" w:sz="8" w:space="0" w:color="auto"/>
            </w:tcBorders>
            <w:shd w:val="clear" w:color="000000" w:fill="D9D9D9"/>
            <w:noWrap/>
            <w:vAlign w:val="center"/>
            <w:hideMark/>
          </w:tcPr>
          <w:p w14:paraId="21AE3E13"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5</w:t>
            </w:r>
          </w:p>
        </w:tc>
        <w:tc>
          <w:tcPr>
            <w:tcW w:w="473" w:type="pct"/>
            <w:tcBorders>
              <w:top w:val="nil"/>
              <w:left w:val="nil"/>
              <w:bottom w:val="single" w:sz="8" w:space="0" w:color="auto"/>
              <w:right w:val="single" w:sz="8" w:space="0" w:color="auto"/>
            </w:tcBorders>
            <w:shd w:val="clear" w:color="000000" w:fill="D9D9D9"/>
            <w:noWrap/>
            <w:vAlign w:val="center"/>
            <w:hideMark/>
          </w:tcPr>
          <w:p w14:paraId="34902809"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3</w:t>
            </w:r>
          </w:p>
        </w:tc>
        <w:tc>
          <w:tcPr>
            <w:tcW w:w="467" w:type="pct"/>
            <w:tcBorders>
              <w:top w:val="nil"/>
              <w:left w:val="nil"/>
              <w:bottom w:val="single" w:sz="8" w:space="0" w:color="auto"/>
              <w:right w:val="single" w:sz="8" w:space="0" w:color="auto"/>
            </w:tcBorders>
            <w:shd w:val="clear" w:color="000000" w:fill="D9D9D9"/>
            <w:noWrap/>
            <w:vAlign w:val="center"/>
            <w:hideMark/>
          </w:tcPr>
          <w:p w14:paraId="195C9F8A" w14:textId="77777777" w:rsidR="00993E10" w:rsidRPr="00993E10" w:rsidRDefault="00993E10" w:rsidP="00993E10">
            <w:pPr>
              <w:spacing w:after="0" w:line="240" w:lineRule="auto"/>
              <w:jc w:val="center"/>
              <w:rPr>
                <w:rFonts w:ascii="Book Antiqua" w:eastAsia="Times New Roman" w:hAnsi="Book Antiqua" w:cs="Calibri"/>
                <w:color w:val="000000"/>
                <w:sz w:val="18"/>
                <w:szCs w:val="18"/>
                <w:lang w:eastAsia="es-CR"/>
              </w:rPr>
            </w:pPr>
            <w:r w:rsidRPr="00993E10">
              <w:rPr>
                <w:rFonts w:ascii="Book Antiqua" w:eastAsia="Times New Roman" w:hAnsi="Book Antiqua" w:cs="Calibri"/>
                <w:color w:val="000000"/>
                <w:sz w:val="18"/>
                <w:szCs w:val="18"/>
                <w:lang w:eastAsia="es-CR"/>
              </w:rPr>
              <w:t>103%</w:t>
            </w:r>
          </w:p>
        </w:tc>
      </w:tr>
    </w:tbl>
    <w:p w14:paraId="7DA3946E" w14:textId="30106E87" w:rsidR="00D75070" w:rsidRPr="00D75070" w:rsidRDefault="00D75070" w:rsidP="00D75070">
      <w:pPr>
        <w:spacing w:after="0" w:line="276" w:lineRule="auto"/>
        <w:jc w:val="both"/>
        <w:rPr>
          <w:rFonts w:ascii="Book Antiqua" w:eastAsia="Calibri" w:hAnsi="Book Antiqua" w:cs="Arial"/>
          <w:i/>
          <w:iCs/>
          <w:sz w:val="20"/>
          <w:szCs w:val="20"/>
        </w:rPr>
      </w:pPr>
      <w:r w:rsidRPr="007118DC">
        <w:rPr>
          <w:rFonts w:ascii="Book Antiqua" w:eastAsia="Calibri" w:hAnsi="Book Antiqua" w:cs="Arial"/>
          <w:b/>
          <w:bCs/>
          <w:i/>
          <w:iCs/>
          <w:sz w:val="20"/>
          <w:szCs w:val="20"/>
        </w:rPr>
        <w:t>Fuente:</w:t>
      </w:r>
      <w:r w:rsidRPr="00D75070">
        <w:rPr>
          <w:rFonts w:ascii="Book Antiqua" w:eastAsia="Calibri" w:hAnsi="Book Antiqua" w:cs="Arial"/>
          <w:i/>
          <w:iCs/>
          <w:sz w:val="20"/>
          <w:szCs w:val="20"/>
        </w:rPr>
        <w:t xml:space="preserve"> </w:t>
      </w:r>
      <w:r w:rsidR="00993E10">
        <w:rPr>
          <w:rFonts w:ascii="Book Antiqua" w:eastAsia="Calibri" w:hAnsi="Book Antiqua" w:cs="Arial"/>
          <w:i/>
          <w:iCs/>
          <w:sz w:val="20"/>
          <w:szCs w:val="20"/>
        </w:rPr>
        <w:t xml:space="preserve">Subproceso de </w:t>
      </w:r>
      <w:r w:rsidRPr="00D75070">
        <w:rPr>
          <w:rFonts w:ascii="Book Antiqua" w:eastAsia="Calibri" w:hAnsi="Book Antiqua" w:cs="Arial"/>
          <w:i/>
          <w:iCs/>
          <w:sz w:val="20"/>
          <w:szCs w:val="20"/>
        </w:rPr>
        <w:t>Modernización Institucional con datos del Subproceso de Estadística</w:t>
      </w:r>
      <w:r w:rsidR="00A65E2A">
        <w:rPr>
          <w:rFonts w:ascii="Book Antiqua" w:eastAsia="Calibri" w:hAnsi="Book Antiqua" w:cs="Arial"/>
          <w:i/>
          <w:iCs/>
          <w:sz w:val="20"/>
          <w:szCs w:val="20"/>
        </w:rPr>
        <w:t xml:space="preserve"> del 2017 al 2022 y consulta del Balance General Interactivo del 23/2/2023</w:t>
      </w:r>
      <w:r w:rsidRPr="00D75070">
        <w:rPr>
          <w:rFonts w:ascii="Book Antiqua" w:eastAsia="Calibri" w:hAnsi="Book Antiqua" w:cs="Arial"/>
          <w:i/>
          <w:iCs/>
          <w:sz w:val="20"/>
          <w:szCs w:val="20"/>
        </w:rPr>
        <w:t xml:space="preserve">. </w:t>
      </w:r>
    </w:p>
    <w:p w14:paraId="0782463C" w14:textId="73204309" w:rsidR="00D75070" w:rsidRPr="00D75070" w:rsidRDefault="00D75070" w:rsidP="00D75070">
      <w:pPr>
        <w:spacing w:after="0" w:line="276" w:lineRule="auto"/>
        <w:jc w:val="both"/>
        <w:rPr>
          <w:rFonts w:ascii="Book Antiqua" w:eastAsia="Calibri" w:hAnsi="Book Antiqua" w:cs="Arial"/>
          <w:i/>
          <w:iCs/>
          <w:sz w:val="20"/>
          <w:szCs w:val="20"/>
        </w:rPr>
      </w:pPr>
      <w:r w:rsidRPr="00993E10">
        <w:rPr>
          <w:rFonts w:ascii="Book Antiqua" w:eastAsia="Calibri" w:hAnsi="Book Antiqua" w:cs="Arial"/>
          <w:b/>
          <w:bCs/>
          <w:i/>
          <w:iCs/>
          <w:sz w:val="20"/>
          <w:szCs w:val="20"/>
        </w:rPr>
        <w:t>Nota*</w:t>
      </w:r>
      <w:r w:rsidR="00993E10" w:rsidRPr="00993E10">
        <w:rPr>
          <w:rFonts w:ascii="Book Antiqua" w:eastAsia="Calibri" w:hAnsi="Book Antiqua" w:cs="Arial"/>
          <w:b/>
          <w:bCs/>
          <w:i/>
          <w:iCs/>
          <w:sz w:val="20"/>
          <w:szCs w:val="20"/>
        </w:rPr>
        <w:t>:</w:t>
      </w:r>
      <w:r w:rsidR="00993E10">
        <w:rPr>
          <w:rFonts w:ascii="Book Antiqua" w:eastAsia="Calibri" w:hAnsi="Book Antiqua" w:cs="Arial"/>
          <w:i/>
          <w:iCs/>
          <w:sz w:val="20"/>
          <w:szCs w:val="20"/>
        </w:rPr>
        <w:t xml:space="preserve"> </w:t>
      </w:r>
      <w:r w:rsidRPr="00D75070">
        <w:rPr>
          <w:rFonts w:ascii="Book Antiqua" w:eastAsia="Calibri" w:hAnsi="Book Antiqua" w:cs="Arial"/>
          <w:i/>
          <w:iCs/>
          <w:sz w:val="20"/>
          <w:szCs w:val="20"/>
        </w:rPr>
        <w:t xml:space="preserve">En Cañas solo hay 2 plazas de Técnico que manifiestan por rol. Además, un Auxiliar de Servicios Generales pero compartido con el Juzgado Civil y Trabajo de Cañas. </w:t>
      </w:r>
    </w:p>
    <w:p w14:paraId="2BCD3275" w14:textId="07387D5A" w:rsidR="00D75070" w:rsidRPr="00D75070" w:rsidRDefault="00D75070" w:rsidP="00D75070">
      <w:pPr>
        <w:spacing w:after="0" w:line="276" w:lineRule="auto"/>
        <w:jc w:val="both"/>
        <w:rPr>
          <w:rFonts w:ascii="Book Antiqua" w:eastAsia="Calibri" w:hAnsi="Book Antiqua" w:cs="Arial"/>
          <w:i/>
          <w:iCs/>
          <w:sz w:val="20"/>
          <w:szCs w:val="20"/>
        </w:rPr>
      </w:pPr>
      <w:r w:rsidRPr="00993E10">
        <w:rPr>
          <w:rFonts w:ascii="Book Antiqua" w:eastAsia="Calibri" w:hAnsi="Book Antiqua" w:cs="Arial"/>
          <w:b/>
          <w:bCs/>
          <w:i/>
          <w:iCs/>
          <w:sz w:val="20"/>
          <w:szCs w:val="20"/>
        </w:rPr>
        <w:t>Nota**</w:t>
      </w:r>
      <w:r w:rsidR="00993E10" w:rsidRPr="00993E10">
        <w:rPr>
          <w:rFonts w:ascii="Book Antiqua" w:eastAsia="Calibri" w:hAnsi="Book Antiqua" w:cs="Arial"/>
          <w:b/>
          <w:bCs/>
          <w:i/>
          <w:iCs/>
          <w:sz w:val="20"/>
          <w:szCs w:val="20"/>
        </w:rPr>
        <w:t>:</w:t>
      </w:r>
      <w:r w:rsidR="00993E10">
        <w:rPr>
          <w:rFonts w:ascii="Book Antiqua" w:eastAsia="Calibri" w:hAnsi="Book Antiqua" w:cs="Arial"/>
          <w:i/>
          <w:iCs/>
          <w:sz w:val="20"/>
          <w:szCs w:val="20"/>
        </w:rPr>
        <w:t xml:space="preserve"> </w:t>
      </w:r>
      <w:r w:rsidRPr="00D75070">
        <w:rPr>
          <w:rFonts w:ascii="Book Antiqua" w:eastAsia="Calibri" w:hAnsi="Book Antiqua" w:cs="Arial"/>
          <w:i/>
          <w:iCs/>
          <w:sz w:val="20"/>
          <w:szCs w:val="20"/>
        </w:rPr>
        <w:t xml:space="preserve">En Turrialba las 3 plazas de Técnico tramitan y manifiestan por rol. </w:t>
      </w:r>
    </w:p>
    <w:p w14:paraId="25A5532D" w14:textId="7C0BDF9D" w:rsidR="00357D09" w:rsidRPr="00D75070" w:rsidRDefault="00D75070" w:rsidP="00D75070">
      <w:pPr>
        <w:spacing w:after="0" w:line="276" w:lineRule="auto"/>
        <w:jc w:val="both"/>
        <w:rPr>
          <w:rFonts w:ascii="Book Antiqua" w:eastAsia="Calibri" w:hAnsi="Book Antiqua" w:cs="Arial"/>
          <w:i/>
          <w:iCs/>
          <w:sz w:val="20"/>
          <w:szCs w:val="20"/>
        </w:rPr>
      </w:pPr>
      <w:r w:rsidRPr="00993E10">
        <w:rPr>
          <w:rFonts w:ascii="Book Antiqua" w:eastAsia="Calibri" w:hAnsi="Book Antiqua" w:cs="Arial"/>
          <w:b/>
          <w:bCs/>
          <w:i/>
          <w:iCs/>
          <w:sz w:val="20"/>
          <w:szCs w:val="20"/>
        </w:rPr>
        <w:t>Nota***</w:t>
      </w:r>
      <w:r w:rsidR="00993E10" w:rsidRPr="00993E10">
        <w:rPr>
          <w:rFonts w:ascii="Book Antiqua" w:eastAsia="Calibri" w:hAnsi="Book Antiqua" w:cs="Arial"/>
          <w:b/>
          <w:bCs/>
          <w:i/>
          <w:iCs/>
          <w:sz w:val="20"/>
          <w:szCs w:val="20"/>
        </w:rPr>
        <w:t>:</w:t>
      </w:r>
      <w:r w:rsidRPr="00D75070">
        <w:rPr>
          <w:rFonts w:ascii="Book Antiqua" w:eastAsia="Calibri" w:hAnsi="Book Antiqua" w:cs="Arial"/>
          <w:i/>
          <w:iCs/>
          <w:sz w:val="20"/>
          <w:szCs w:val="20"/>
        </w:rPr>
        <w:t xml:space="preserve"> En Quepos existe además de 3 tramitadores, una plaza de Técnico Judicial manifestador y una de Auxiliar de Servicios Generales. Funciona como juzgado competente en 3 materias desde octubre 2018, con la especialización del Juzgado Civil y de Trabajo.  </w:t>
      </w:r>
    </w:p>
    <w:p w14:paraId="6178E165" w14:textId="0E512ED6" w:rsidR="00357D09" w:rsidRDefault="00357D09" w:rsidP="00355630">
      <w:pPr>
        <w:spacing w:after="0" w:line="276" w:lineRule="auto"/>
        <w:jc w:val="both"/>
        <w:rPr>
          <w:rFonts w:ascii="Book Antiqua" w:eastAsia="Calibri" w:hAnsi="Book Antiqua" w:cs="Arial"/>
          <w:sz w:val="24"/>
          <w:szCs w:val="24"/>
        </w:rPr>
      </w:pPr>
    </w:p>
    <w:p w14:paraId="1EB4403C" w14:textId="45C88E02" w:rsidR="00FD6A27" w:rsidRPr="00B06365" w:rsidRDefault="00FD6A27" w:rsidP="00FD6A27">
      <w:pPr>
        <w:spacing w:after="0" w:line="276" w:lineRule="auto"/>
        <w:jc w:val="both"/>
        <w:rPr>
          <w:rFonts w:ascii="Book Antiqua" w:eastAsia="Calibri" w:hAnsi="Book Antiqua" w:cs="Arial"/>
          <w:sz w:val="24"/>
          <w:szCs w:val="24"/>
        </w:rPr>
      </w:pPr>
      <w:r w:rsidRPr="00B06365">
        <w:rPr>
          <w:rFonts w:ascii="Book Antiqua" w:eastAsia="Calibri" w:hAnsi="Book Antiqua" w:cs="Arial"/>
          <w:sz w:val="24"/>
          <w:szCs w:val="24"/>
        </w:rPr>
        <w:t xml:space="preserve">Según los resultados obtenidos, la cantidad de casos entrados por persona juzgadora en las materias de Familia, Violencia Doméstica y Penal Juvenil en estos 3 despachos es de </w:t>
      </w:r>
      <w:r w:rsidR="00B06365" w:rsidRPr="00B06365">
        <w:rPr>
          <w:rFonts w:ascii="Book Antiqua" w:eastAsia="Calibri" w:hAnsi="Book Antiqua" w:cs="Arial"/>
          <w:sz w:val="24"/>
          <w:szCs w:val="24"/>
        </w:rPr>
        <w:t>55</w:t>
      </w:r>
      <w:r w:rsidRPr="00B06365">
        <w:rPr>
          <w:rFonts w:ascii="Book Antiqua" w:eastAsia="Calibri" w:hAnsi="Book Antiqua" w:cs="Arial"/>
          <w:sz w:val="24"/>
          <w:szCs w:val="24"/>
        </w:rPr>
        <w:t xml:space="preserve"> asuntos (entre las 3 materias). Ese promedio solamente lo supera Turrialba con una entrada promedio por persona juzgadora de </w:t>
      </w:r>
      <w:r w:rsidR="00B06365" w:rsidRPr="00B06365">
        <w:rPr>
          <w:rFonts w:ascii="Book Antiqua" w:eastAsia="Calibri" w:hAnsi="Book Antiqua" w:cs="Arial"/>
          <w:sz w:val="24"/>
          <w:szCs w:val="24"/>
        </w:rPr>
        <w:t>70</w:t>
      </w:r>
      <w:r w:rsidRPr="00B06365">
        <w:rPr>
          <w:rFonts w:ascii="Book Antiqua" w:eastAsia="Calibri" w:hAnsi="Book Antiqua" w:cs="Arial"/>
          <w:sz w:val="24"/>
          <w:szCs w:val="24"/>
        </w:rPr>
        <w:t xml:space="preserve"> asuntos por mes, sin embargo, no justifica la asignación de una plaza adicional. </w:t>
      </w:r>
    </w:p>
    <w:p w14:paraId="553C39A0" w14:textId="77777777" w:rsidR="00457203" w:rsidRDefault="00457203" w:rsidP="00FD6A27">
      <w:pPr>
        <w:spacing w:after="0" w:line="276" w:lineRule="auto"/>
        <w:jc w:val="both"/>
        <w:rPr>
          <w:rFonts w:ascii="Book Antiqua" w:eastAsia="Calibri" w:hAnsi="Book Antiqua" w:cs="Arial"/>
          <w:sz w:val="24"/>
          <w:szCs w:val="24"/>
          <w:highlight w:val="cyan"/>
        </w:rPr>
      </w:pPr>
    </w:p>
    <w:p w14:paraId="1918FB33" w14:textId="1B48A054" w:rsidR="00FD6A27" w:rsidRPr="00B06365" w:rsidRDefault="00FD6A27" w:rsidP="00FD6A27">
      <w:pPr>
        <w:spacing w:after="0" w:line="276" w:lineRule="auto"/>
        <w:jc w:val="both"/>
        <w:rPr>
          <w:rFonts w:ascii="Book Antiqua" w:eastAsia="Calibri" w:hAnsi="Book Antiqua" w:cs="Arial"/>
          <w:sz w:val="24"/>
          <w:szCs w:val="24"/>
        </w:rPr>
      </w:pPr>
      <w:r w:rsidRPr="00B06365">
        <w:rPr>
          <w:rFonts w:ascii="Book Antiqua" w:eastAsia="Calibri" w:hAnsi="Book Antiqua" w:cs="Arial"/>
          <w:sz w:val="24"/>
          <w:szCs w:val="24"/>
        </w:rPr>
        <w:t>Respecto al personal técnico, la entrada promedio por plaza es de 4</w:t>
      </w:r>
      <w:r w:rsidR="00B06365" w:rsidRPr="00B06365">
        <w:rPr>
          <w:rFonts w:ascii="Book Antiqua" w:eastAsia="Calibri" w:hAnsi="Book Antiqua" w:cs="Arial"/>
          <w:sz w:val="24"/>
          <w:szCs w:val="24"/>
        </w:rPr>
        <w:t>2</w:t>
      </w:r>
      <w:r w:rsidRPr="00B06365">
        <w:rPr>
          <w:rFonts w:ascii="Book Antiqua" w:eastAsia="Calibri" w:hAnsi="Book Antiqua" w:cs="Arial"/>
          <w:sz w:val="24"/>
          <w:szCs w:val="24"/>
        </w:rPr>
        <w:t xml:space="preserve"> asuntos (</w:t>
      </w:r>
      <w:r w:rsidR="00B06365" w:rsidRPr="00B06365">
        <w:rPr>
          <w:rFonts w:ascii="Book Antiqua" w:eastAsia="Calibri" w:hAnsi="Book Antiqua" w:cs="Arial"/>
          <w:sz w:val="24"/>
          <w:szCs w:val="24"/>
        </w:rPr>
        <w:t>50 en Cañas, 7</w:t>
      </w:r>
      <w:r w:rsidRPr="00B06365">
        <w:rPr>
          <w:rFonts w:ascii="Book Antiqua" w:eastAsia="Calibri" w:hAnsi="Book Antiqua" w:cs="Arial"/>
          <w:sz w:val="24"/>
          <w:szCs w:val="24"/>
        </w:rPr>
        <w:t xml:space="preserve">7 en </w:t>
      </w:r>
      <w:r w:rsidR="00B06365" w:rsidRPr="00B06365">
        <w:rPr>
          <w:rFonts w:ascii="Book Antiqua" w:eastAsia="Calibri" w:hAnsi="Book Antiqua" w:cs="Arial"/>
          <w:sz w:val="24"/>
          <w:szCs w:val="24"/>
        </w:rPr>
        <w:t xml:space="preserve">Turrialba y 30 en </w:t>
      </w:r>
      <w:r w:rsidRPr="00B06365">
        <w:rPr>
          <w:rFonts w:ascii="Book Antiqua" w:eastAsia="Calibri" w:hAnsi="Book Antiqua" w:cs="Arial"/>
          <w:sz w:val="24"/>
          <w:szCs w:val="24"/>
        </w:rPr>
        <w:t xml:space="preserve">Quepos). </w:t>
      </w:r>
    </w:p>
    <w:p w14:paraId="76EBCBCB" w14:textId="77777777" w:rsidR="00457203" w:rsidRPr="00457203" w:rsidRDefault="00457203" w:rsidP="00FD6A27">
      <w:pPr>
        <w:spacing w:after="0" w:line="276" w:lineRule="auto"/>
        <w:jc w:val="both"/>
        <w:rPr>
          <w:rFonts w:ascii="Book Antiqua" w:eastAsia="Calibri" w:hAnsi="Book Antiqua" w:cs="Arial"/>
          <w:sz w:val="24"/>
          <w:szCs w:val="24"/>
          <w:highlight w:val="cyan"/>
        </w:rPr>
      </w:pPr>
    </w:p>
    <w:p w14:paraId="735F187A" w14:textId="7BD6B507" w:rsidR="00FD6A27" w:rsidRPr="00B06365" w:rsidRDefault="00FD6A27" w:rsidP="00FD6A27">
      <w:pPr>
        <w:spacing w:after="0" w:line="276" w:lineRule="auto"/>
        <w:jc w:val="both"/>
        <w:rPr>
          <w:rFonts w:ascii="Book Antiqua" w:eastAsia="Calibri" w:hAnsi="Book Antiqua" w:cs="Arial"/>
          <w:sz w:val="24"/>
          <w:szCs w:val="24"/>
        </w:rPr>
      </w:pPr>
      <w:r w:rsidRPr="00B06365">
        <w:rPr>
          <w:rFonts w:ascii="Book Antiqua" w:eastAsia="Calibri" w:hAnsi="Book Antiqua" w:cs="Arial"/>
          <w:sz w:val="24"/>
          <w:szCs w:val="24"/>
        </w:rPr>
        <w:t xml:space="preserve">Como se observa la carga de asuntos nuevos en Turrialba y Cañas es superior a la de Quepos y adicionalmente estas plazas les corresponde atender la manifestación por rol. </w:t>
      </w:r>
    </w:p>
    <w:p w14:paraId="223AEF71" w14:textId="77777777" w:rsidR="00FD6A27" w:rsidRPr="00457203" w:rsidRDefault="00FD6A27" w:rsidP="00FD6A27">
      <w:pPr>
        <w:spacing w:after="0" w:line="276" w:lineRule="auto"/>
        <w:jc w:val="both"/>
        <w:rPr>
          <w:rFonts w:ascii="Book Antiqua" w:eastAsia="Calibri" w:hAnsi="Book Antiqua" w:cs="Arial"/>
          <w:sz w:val="24"/>
          <w:szCs w:val="24"/>
          <w:highlight w:val="cyan"/>
        </w:rPr>
      </w:pPr>
    </w:p>
    <w:p w14:paraId="4A0083EA" w14:textId="56C51EC7" w:rsidR="00FD6A27" w:rsidRPr="0039476D" w:rsidRDefault="00FD6A27" w:rsidP="00FD6A27">
      <w:pPr>
        <w:spacing w:after="0" w:line="276" w:lineRule="auto"/>
        <w:jc w:val="both"/>
        <w:rPr>
          <w:rFonts w:ascii="Book Antiqua" w:eastAsia="Calibri" w:hAnsi="Book Antiqua" w:cs="Arial"/>
          <w:sz w:val="24"/>
          <w:szCs w:val="24"/>
        </w:rPr>
      </w:pPr>
      <w:r w:rsidRPr="0039476D">
        <w:rPr>
          <w:rFonts w:ascii="Book Antiqua" w:eastAsia="Calibri" w:hAnsi="Book Antiqua" w:cs="Arial"/>
          <w:sz w:val="24"/>
          <w:szCs w:val="24"/>
        </w:rPr>
        <w:t xml:space="preserve">Respecto a Cañas, </w:t>
      </w:r>
      <w:r w:rsidR="0039476D">
        <w:rPr>
          <w:rFonts w:ascii="Book Antiqua" w:eastAsia="Calibri" w:hAnsi="Book Antiqua" w:cs="Arial"/>
          <w:sz w:val="24"/>
          <w:szCs w:val="24"/>
        </w:rPr>
        <w:t>se remitió a la Secretaría de la Corte, el</w:t>
      </w:r>
      <w:r w:rsidR="0039476D" w:rsidRPr="0039476D">
        <w:rPr>
          <w:rFonts w:ascii="Book Antiqua" w:eastAsia="Calibri" w:hAnsi="Book Antiqua" w:cs="Arial"/>
          <w:sz w:val="24"/>
          <w:szCs w:val="24"/>
        </w:rPr>
        <w:t xml:space="preserve"> oficio 28-PLA-MI(NPL)-2023, relacionado con el análisis para asignar la plaza de Auxiliar de Servicios Generales actualmente compartida entre el Juzgado Civil y Trabajo y el Juzgado de Familia, Penal Juvenil y Violencia Doméstica de Cañas</w:t>
      </w:r>
      <w:r w:rsidR="0039476D">
        <w:rPr>
          <w:rFonts w:ascii="Book Antiqua" w:eastAsia="Calibri" w:hAnsi="Book Antiqua" w:cs="Arial"/>
          <w:sz w:val="24"/>
          <w:szCs w:val="24"/>
        </w:rPr>
        <w:t xml:space="preserve">, en el que se recomendó al Consejo </w:t>
      </w:r>
      <w:r w:rsidR="0039476D" w:rsidRPr="0039476D">
        <w:rPr>
          <w:rFonts w:ascii="Book Antiqua" w:eastAsia="Calibri" w:hAnsi="Book Antiqua" w:cs="Arial"/>
          <w:sz w:val="24"/>
          <w:szCs w:val="24"/>
        </w:rPr>
        <w:t>Superior</w:t>
      </w:r>
      <w:r w:rsidR="0039476D">
        <w:rPr>
          <w:rFonts w:ascii="Book Antiqua" w:eastAsia="Calibri" w:hAnsi="Book Antiqua" w:cs="Arial"/>
          <w:sz w:val="24"/>
          <w:szCs w:val="24"/>
        </w:rPr>
        <w:t xml:space="preserve">, según el análisis realizado de la carga de trabajo, adscribir la plaza de Auxiliar de Servicios Generales al </w:t>
      </w:r>
      <w:r w:rsidR="0039476D" w:rsidRPr="0039476D">
        <w:rPr>
          <w:rFonts w:ascii="Book Antiqua" w:eastAsia="Calibri" w:hAnsi="Book Antiqua" w:cs="Arial"/>
          <w:sz w:val="24"/>
          <w:szCs w:val="24"/>
        </w:rPr>
        <w:t>Juzgado de Familia, Violencia Doméstica y Penal Juvenil de Cañas</w:t>
      </w:r>
      <w:r w:rsidR="0039476D">
        <w:rPr>
          <w:rFonts w:ascii="Book Antiqua" w:eastAsia="Calibri" w:hAnsi="Book Antiqua" w:cs="Arial"/>
          <w:sz w:val="24"/>
          <w:szCs w:val="24"/>
        </w:rPr>
        <w:t>, además, como parte del análisis, se consideró el</w:t>
      </w:r>
      <w:r w:rsidR="0039476D" w:rsidRPr="0039476D">
        <w:rPr>
          <w:rFonts w:ascii="Book Antiqua" w:eastAsia="Calibri" w:hAnsi="Book Antiqua" w:cs="Arial"/>
          <w:sz w:val="24"/>
          <w:szCs w:val="24"/>
        </w:rPr>
        <w:t xml:space="preserve"> impacto que tiene en cuanto al acceso a la justicia para la población en condición de vulnerabilidad que atiende la oficina en mención.</w:t>
      </w:r>
      <w:r w:rsidRPr="0039476D">
        <w:rPr>
          <w:rFonts w:ascii="Book Antiqua" w:eastAsia="Calibri" w:hAnsi="Book Antiqua" w:cs="Arial"/>
          <w:sz w:val="24"/>
          <w:szCs w:val="24"/>
        </w:rPr>
        <w:t xml:space="preserve">  </w:t>
      </w:r>
    </w:p>
    <w:p w14:paraId="10D174E3" w14:textId="77777777" w:rsidR="00FD6A27" w:rsidRPr="00457203" w:rsidRDefault="00FD6A27" w:rsidP="00FD6A27">
      <w:pPr>
        <w:spacing w:after="0" w:line="276" w:lineRule="auto"/>
        <w:jc w:val="both"/>
        <w:rPr>
          <w:rFonts w:ascii="Book Antiqua" w:eastAsia="Calibri" w:hAnsi="Book Antiqua" w:cs="Arial"/>
          <w:sz w:val="24"/>
          <w:szCs w:val="24"/>
          <w:highlight w:val="cyan"/>
        </w:rPr>
      </w:pPr>
    </w:p>
    <w:p w14:paraId="4E7DE9E0" w14:textId="238230F3" w:rsidR="00FD6A27" w:rsidRPr="00FD6A27" w:rsidRDefault="00FD6A27" w:rsidP="00FD6A27">
      <w:pPr>
        <w:spacing w:after="0" w:line="276" w:lineRule="auto"/>
        <w:jc w:val="both"/>
        <w:rPr>
          <w:rFonts w:ascii="Book Antiqua" w:eastAsia="Calibri" w:hAnsi="Book Antiqua" w:cs="Arial"/>
          <w:sz w:val="24"/>
          <w:szCs w:val="24"/>
        </w:rPr>
      </w:pPr>
      <w:r w:rsidRPr="00BC6C07">
        <w:rPr>
          <w:rFonts w:ascii="Book Antiqua" w:eastAsia="Calibri" w:hAnsi="Book Antiqua" w:cs="Arial"/>
          <w:sz w:val="24"/>
          <w:szCs w:val="24"/>
        </w:rPr>
        <w:t xml:space="preserve">Cabe mencionar que estaría pendiente conocer el impacto en estas oficinas con la creación de Juzgados de Familia por Ministerio de Ley, </w:t>
      </w:r>
      <w:r w:rsidR="00BC6C07" w:rsidRPr="00BC6C07">
        <w:rPr>
          <w:rFonts w:ascii="Book Antiqua" w:eastAsia="Calibri" w:hAnsi="Book Antiqua" w:cs="Arial"/>
          <w:b/>
          <w:bCs/>
          <w:sz w:val="24"/>
          <w:szCs w:val="24"/>
        </w:rPr>
        <w:t>referencia interna 1681-2021</w:t>
      </w:r>
      <w:r w:rsidRPr="00BC6C07">
        <w:rPr>
          <w:rFonts w:ascii="Book Antiqua" w:eastAsia="Calibri" w:hAnsi="Book Antiqua" w:cs="Arial"/>
          <w:sz w:val="24"/>
          <w:szCs w:val="24"/>
        </w:rPr>
        <w:t>.</w:t>
      </w:r>
    </w:p>
    <w:p w14:paraId="75A7E1BE" w14:textId="77777777" w:rsidR="00FD6A27" w:rsidRDefault="00FD6A27" w:rsidP="00355630">
      <w:pPr>
        <w:spacing w:after="0" w:line="276" w:lineRule="auto"/>
        <w:jc w:val="both"/>
        <w:rPr>
          <w:rFonts w:ascii="Book Antiqua" w:eastAsia="Calibri" w:hAnsi="Book Antiqua" w:cs="Arial"/>
          <w:sz w:val="24"/>
          <w:szCs w:val="24"/>
        </w:rPr>
      </w:pPr>
    </w:p>
    <w:p w14:paraId="5AF761C7" w14:textId="77777777" w:rsidR="00FD6A27" w:rsidRPr="008456A9" w:rsidRDefault="00FD6A27"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Juzgados de Familia (mixtos de 5 o más materias)</w:t>
      </w:r>
    </w:p>
    <w:p w14:paraId="447C5CC1" w14:textId="06AD4181" w:rsidR="00357D09" w:rsidRDefault="00357D09" w:rsidP="00355630">
      <w:pPr>
        <w:spacing w:after="0" w:line="276" w:lineRule="auto"/>
        <w:jc w:val="both"/>
        <w:rPr>
          <w:rFonts w:ascii="Book Antiqua" w:eastAsia="Calibri" w:hAnsi="Book Antiqua" w:cs="Arial"/>
          <w:sz w:val="24"/>
          <w:szCs w:val="24"/>
        </w:rPr>
      </w:pPr>
    </w:p>
    <w:p w14:paraId="33A2215A" w14:textId="17A1971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En este bloque de despachos se ubican cinco juzgados: Civil, Trabajo y Familia Buenos Aires; Civil, Trabajo y Familia Puriscal; Civil y Trabajo del Segundo Circuito Judicial Alajuela, Sede Upala; Civil, Trabajo y Familia Osa; Civil, Trabajo, Familia, Penal Juvenil y Violencia Doméstica Sarapiquí</w:t>
      </w:r>
      <w:r w:rsidR="00457203">
        <w:rPr>
          <w:rFonts w:ascii="Book Antiqua" w:eastAsia="Calibri" w:hAnsi="Book Antiqua" w:cs="Arial"/>
          <w:sz w:val="24"/>
          <w:szCs w:val="24"/>
        </w:rPr>
        <w:t>; e</w:t>
      </w:r>
      <w:r w:rsidRPr="00FD6A27">
        <w:rPr>
          <w:rFonts w:ascii="Book Antiqua" w:eastAsia="Calibri" w:hAnsi="Book Antiqua" w:cs="Arial"/>
          <w:sz w:val="24"/>
          <w:szCs w:val="24"/>
        </w:rPr>
        <w:t>stá conformado de la siguiente manera.</w:t>
      </w:r>
    </w:p>
    <w:p w14:paraId="3FB69E5F" w14:textId="234C987A" w:rsidR="00FD6A27" w:rsidRDefault="00FD6A27" w:rsidP="00355630">
      <w:pPr>
        <w:spacing w:after="0" w:line="276" w:lineRule="auto"/>
        <w:jc w:val="both"/>
        <w:rPr>
          <w:rFonts w:ascii="Book Antiqua" w:eastAsia="Calibri" w:hAnsi="Book Antiqua" w:cs="Arial"/>
          <w:sz w:val="24"/>
          <w:szCs w:val="24"/>
        </w:rPr>
      </w:pPr>
    </w:p>
    <w:p w14:paraId="32FA73BB" w14:textId="472BFD29" w:rsidR="00FD6A27" w:rsidRPr="00FD6A27" w:rsidRDefault="00FD6A27"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57" w:name="_Hlk98087613"/>
      <w:r w:rsidRPr="00FD6A27">
        <w:rPr>
          <w:rFonts w:ascii="Book Antiqua" w:eastAsia="Calibri" w:hAnsi="Book Antiqua" w:cs="Arial"/>
          <w:b/>
          <w:bCs/>
          <w:color w:val="1F497D"/>
          <w:szCs w:val="24"/>
          <w:lang w:val="es-ES" w:eastAsia="es-ES"/>
        </w:rPr>
        <w:t xml:space="preserve">Cuadro </w:t>
      </w:r>
      <w:r w:rsidRPr="00FD6A27">
        <w:rPr>
          <w:rFonts w:ascii="Book Antiqua" w:eastAsia="Calibri" w:hAnsi="Book Antiqua" w:cs="Arial"/>
          <w:b/>
          <w:bCs/>
          <w:color w:val="1F497D"/>
          <w:szCs w:val="24"/>
          <w:lang w:val="es-ES" w:eastAsia="es-ES"/>
        </w:rPr>
        <w:fldChar w:fldCharType="begin"/>
      </w:r>
      <w:r w:rsidRPr="00FD6A27">
        <w:rPr>
          <w:rFonts w:ascii="Book Antiqua" w:eastAsia="Calibri" w:hAnsi="Book Antiqua" w:cs="Arial"/>
          <w:b/>
          <w:bCs/>
          <w:color w:val="1F497D"/>
          <w:szCs w:val="24"/>
          <w:lang w:val="es-ES" w:eastAsia="es-ES"/>
        </w:rPr>
        <w:instrText xml:space="preserve"> SEQ Cuadro \* ARABIC </w:instrText>
      </w:r>
      <w:r w:rsidRPr="00FD6A27">
        <w:rPr>
          <w:rFonts w:ascii="Book Antiqua" w:eastAsia="Calibri" w:hAnsi="Book Antiqua" w:cs="Arial"/>
          <w:b/>
          <w:bCs/>
          <w:color w:val="1F497D"/>
          <w:szCs w:val="24"/>
          <w:lang w:val="es-ES" w:eastAsia="es-ES"/>
        </w:rPr>
        <w:fldChar w:fldCharType="separate"/>
      </w:r>
      <w:r w:rsidR="00457203">
        <w:rPr>
          <w:rFonts w:ascii="Book Antiqua" w:eastAsia="Calibri" w:hAnsi="Book Antiqua" w:cs="Arial"/>
          <w:b/>
          <w:bCs/>
          <w:noProof/>
          <w:color w:val="1F497D"/>
          <w:szCs w:val="24"/>
          <w:lang w:val="es-ES" w:eastAsia="es-ES"/>
        </w:rPr>
        <w:t>45</w:t>
      </w:r>
      <w:r w:rsidRPr="00FD6A27">
        <w:rPr>
          <w:rFonts w:ascii="Book Antiqua" w:eastAsia="Calibri" w:hAnsi="Book Antiqua" w:cs="Arial"/>
          <w:b/>
          <w:bCs/>
          <w:color w:val="1F497D"/>
          <w:szCs w:val="24"/>
          <w:lang w:val="es-ES" w:eastAsia="es-ES"/>
        </w:rPr>
        <w:fldChar w:fldCharType="end"/>
      </w:r>
      <w:r w:rsidRPr="00FD6A27">
        <w:rPr>
          <w:rFonts w:ascii="Book Antiqua" w:eastAsia="Calibri" w:hAnsi="Book Antiqua" w:cs="Arial"/>
          <w:b/>
          <w:bCs/>
          <w:color w:val="1F497D"/>
          <w:szCs w:val="24"/>
          <w:lang w:val="es-ES" w:eastAsia="es-ES"/>
        </w:rPr>
        <w:t xml:space="preserve"> </w:t>
      </w:r>
    </w:p>
    <w:p w14:paraId="4D368D12" w14:textId="65B29903" w:rsidR="00FD6A27" w:rsidRDefault="00FD6A27"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6242E">
        <w:rPr>
          <w:rFonts w:ascii="Book Antiqua" w:eastAsia="Calibri" w:hAnsi="Book Antiqua" w:cs="Arial"/>
          <w:b/>
          <w:bCs/>
          <w:color w:val="1F497D"/>
          <w:szCs w:val="24"/>
          <w:lang w:val="es-ES" w:eastAsia="es-ES"/>
        </w:rPr>
        <w:t xml:space="preserve">Carga de trabajo juzgado de Familia mixtos de cinco o más materias, </w:t>
      </w:r>
      <w:r w:rsidR="00F50DD3" w:rsidRPr="00D6242E">
        <w:rPr>
          <w:rFonts w:ascii="Book Antiqua" w:eastAsia="Calibri" w:hAnsi="Book Antiqua" w:cs="Arial"/>
          <w:b/>
          <w:bCs/>
          <w:color w:val="1F497D"/>
          <w:szCs w:val="24"/>
          <w:lang w:val="es-ES" w:eastAsia="es-ES"/>
        </w:rPr>
        <w:t xml:space="preserve">2017 al </w:t>
      </w:r>
      <w:r w:rsidRPr="00D6242E">
        <w:rPr>
          <w:rFonts w:ascii="Book Antiqua" w:eastAsia="Calibri" w:hAnsi="Book Antiqua" w:cs="Arial"/>
          <w:b/>
          <w:bCs/>
          <w:color w:val="1F497D"/>
          <w:szCs w:val="24"/>
          <w:lang w:val="es-ES" w:eastAsia="es-ES"/>
        </w:rPr>
        <w:t>20</w:t>
      </w:r>
      <w:r w:rsidR="00F50DD3" w:rsidRPr="00D6242E">
        <w:rPr>
          <w:rFonts w:ascii="Book Antiqua" w:eastAsia="Calibri" w:hAnsi="Book Antiqua" w:cs="Arial"/>
          <w:b/>
          <w:bCs/>
          <w:color w:val="1F497D"/>
          <w:szCs w:val="24"/>
          <w:lang w:val="es-ES" w:eastAsia="es-ES"/>
        </w:rPr>
        <w:t>2</w:t>
      </w:r>
      <w:r w:rsidR="00457203" w:rsidRPr="00D6242E">
        <w:rPr>
          <w:rFonts w:ascii="Book Antiqua" w:eastAsia="Calibri" w:hAnsi="Book Antiqua" w:cs="Arial"/>
          <w:b/>
          <w:bCs/>
          <w:color w:val="1F497D"/>
          <w:szCs w:val="24"/>
          <w:lang w:val="es-ES" w:eastAsia="es-ES"/>
        </w:rPr>
        <w:t>2</w:t>
      </w:r>
    </w:p>
    <w:tbl>
      <w:tblPr>
        <w:tblW w:w="10740" w:type="dxa"/>
        <w:jc w:val="center"/>
        <w:tblCellMar>
          <w:left w:w="70" w:type="dxa"/>
          <w:right w:w="70" w:type="dxa"/>
        </w:tblCellMar>
        <w:tblLook w:val="04A0" w:firstRow="1" w:lastRow="0" w:firstColumn="1" w:lastColumn="0" w:noHBand="0" w:noVBand="1"/>
      </w:tblPr>
      <w:tblGrid>
        <w:gridCol w:w="1177"/>
        <w:gridCol w:w="1115"/>
        <w:gridCol w:w="940"/>
        <w:gridCol w:w="1060"/>
        <w:gridCol w:w="1140"/>
        <w:gridCol w:w="1000"/>
        <w:gridCol w:w="1240"/>
        <w:gridCol w:w="1063"/>
        <w:gridCol w:w="1020"/>
        <w:gridCol w:w="985"/>
      </w:tblGrid>
      <w:tr w:rsidR="00D6242E" w:rsidRPr="00652069" w14:paraId="74C38E1B" w14:textId="77777777" w:rsidTr="003F3165">
        <w:trPr>
          <w:trHeight w:val="1150"/>
          <w:jc w:val="center"/>
        </w:trPr>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043925B"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Despacho</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B527104"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Materia</w:t>
            </w:r>
          </w:p>
        </w:tc>
        <w:tc>
          <w:tcPr>
            <w:tcW w:w="2000" w:type="dxa"/>
            <w:gridSpan w:val="2"/>
            <w:tcBorders>
              <w:top w:val="single" w:sz="8" w:space="0" w:color="auto"/>
              <w:left w:val="nil"/>
              <w:bottom w:val="single" w:sz="8" w:space="0" w:color="auto"/>
              <w:right w:val="single" w:sz="8" w:space="0" w:color="000000"/>
            </w:tcBorders>
            <w:shd w:val="clear" w:color="000000" w:fill="002060"/>
            <w:vAlign w:val="center"/>
            <w:hideMark/>
          </w:tcPr>
          <w:p w14:paraId="04C69CFE"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Recurso humano actual</w:t>
            </w:r>
          </w:p>
        </w:tc>
        <w:tc>
          <w:tcPr>
            <w:tcW w:w="114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2817D63" w14:textId="634112E8"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 xml:space="preserve">Porcentaje de dedicado por materia por </w:t>
            </w:r>
            <w:r w:rsidR="009B14B2">
              <w:rPr>
                <w:rFonts w:ascii="Book Antiqua" w:eastAsia="Times New Roman" w:hAnsi="Book Antiqua" w:cs="Calibri"/>
                <w:b/>
                <w:bCs/>
                <w:color w:val="FFFFFF"/>
                <w:sz w:val="20"/>
                <w:szCs w:val="20"/>
                <w:lang w:eastAsia="es-CR"/>
              </w:rPr>
              <w:t>J</w:t>
            </w:r>
            <w:r w:rsidRPr="00652069">
              <w:rPr>
                <w:rFonts w:ascii="Book Antiqua" w:eastAsia="Times New Roman" w:hAnsi="Book Antiqua" w:cs="Calibri"/>
                <w:b/>
                <w:bCs/>
                <w:color w:val="FFFFFF"/>
                <w:sz w:val="20"/>
                <w:szCs w:val="20"/>
                <w:lang w:eastAsia="es-CR"/>
              </w:rPr>
              <w:t>uez</w:t>
            </w:r>
          </w:p>
        </w:tc>
        <w:tc>
          <w:tcPr>
            <w:tcW w:w="10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CB412E2"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Entrados al mes</w:t>
            </w:r>
          </w:p>
        </w:tc>
        <w:tc>
          <w:tcPr>
            <w:tcW w:w="11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34552BA"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Terminados al mes</w:t>
            </w:r>
          </w:p>
        </w:tc>
        <w:tc>
          <w:tcPr>
            <w:tcW w:w="10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5836F42" w14:textId="2457B83F"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 xml:space="preserve">Entrados al mes por persona </w:t>
            </w:r>
            <w:r w:rsidR="009B14B2">
              <w:rPr>
                <w:rFonts w:ascii="Book Antiqua" w:eastAsia="Times New Roman" w:hAnsi="Book Antiqua" w:cs="Calibri"/>
                <w:b/>
                <w:bCs/>
                <w:color w:val="FFFFFF"/>
                <w:sz w:val="20"/>
                <w:szCs w:val="20"/>
                <w:lang w:eastAsia="es-CR"/>
              </w:rPr>
              <w:t>Ju</w:t>
            </w:r>
            <w:r w:rsidRPr="00652069">
              <w:rPr>
                <w:rFonts w:ascii="Book Antiqua" w:eastAsia="Times New Roman" w:hAnsi="Book Antiqua" w:cs="Calibri"/>
                <w:b/>
                <w:bCs/>
                <w:color w:val="FFFFFF"/>
                <w:sz w:val="20"/>
                <w:szCs w:val="20"/>
                <w:lang w:eastAsia="es-CR"/>
              </w:rPr>
              <w:t>zgadora</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E4FE79B"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Entrados al mes por Tec. Jud. Trámite</w:t>
            </w:r>
          </w:p>
        </w:tc>
        <w:tc>
          <w:tcPr>
            <w:tcW w:w="10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A74FAB9"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Relación salida entre entrada</w:t>
            </w:r>
          </w:p>
        </w:tc>
      </w:tr>
      <w:tr w:rsidR="00D6242E" w:rsidRPr="00652069" w14:paraId="7085A916" w14:textId="77777777" w:rsidTr="003F3165">
        <w:trPr>
          <w:trHeight w:val="530"/>
          <w:jc w:val="center"/>
        </w:trPr>
        <w:tc>
          <w:tcPr>
            <w:tcW w:w="1200" w:type="dxa"/>
            <w:vMerge/>
            <w:tcBorders>
              <w:top w:val="single" w:sz="8" w:space="0" w:color="auto"/>
              <w:left w:val="single" w:sz="8" w:space="0" w:color="auto"/>
              <w:bottom w:val="single" w:sz="8" w:space="0" w:color="000000"/>
              <w:right w:val="single" w:sz="8" w:space="0" w:color="auto"/>
            </w:tcBorders>
            <w:vAlign w:val="center"/>
            <w:hideMark/>
          </w:tcPr>
          <w:p w14:paraId="0D2F883D" w14:textId="77777777" w:rsidR="00D6242E" w:rsidRPr="00652069" w:rsidRDefault="00D6242E" w:rsidP="003F3165">
            <w:pPr>
              <w:spacing w:after="0" w:line="240" w:lineRule="auto"/>
              <w:rPr>
                <w:rFonts w:ascii="Book Antiqua" w:eastAsia="Times New Roman" w:hAnsi="Book Antiqua" w:cs="Calibri"/>
                <w:b/>
                <w:bCs/>
                <w:color w:val="FFFFFF"/>
                <w:sz w:val="20"/>
                <w:szCs w:val="20"/>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738A4B52" w14:textId="77777777" w:rsidR="00D6242E" w:rsidRPr="00652069" w:rsidRDefault="00D6242E" w:rsidP="003F3165">
            <w:pPr>
              <w:spacing w:after="0" w:line="240" w:lineRule="auto"/>
              <w:rPr>
                <w:rFonts w:ascii="Book Antiqua" w:eastAsia="Times New Roman" w:hAnsi="Book Antiqua" w:cs="Calibri"/>
                <w:b/>
                <w:bCs/>
                <w:color w:val="FFFFFF"/>
                <w:sz w:val="20"/>
                <w:szCs w:val="20"/>
                <w:lang w:eastAsia="es-CR"/>
              </w:rPr>
            </w:pPr>
          </w:p>
        </w:tc>
        <w:tc>
          <w:tcPr>
            <w:tcW w:w="940" w:type="dxa"/>
            <w:tcBorders>
              <w:top w:val="nil"/>
              <w:left w:val="nil"/>
              <w:bottom w:val="single" w:sz="8" w:space="0" w:color="auto"/>
              <w:right w:val="single" w:sz="8" w:space="0" w:color="auto"/>
            </w:tcBorders>
            <w:shd w:val="clear" w:color="000000" w:fill="002060"/>
            <w:vAlign w:val="center"/>
            <w:hideMark/>
          </w:tcPr>
          <w:p w14:paraId="1B788DB7"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Jueza o Juez</w:t>
            </w:r>
          </w:p>
        </w:tc>
        <w:tc>
          <w:tcPr>
            <w:tcW w:w="1060" w:type="dxa"/>
            <w:tcBorders>
              <w:top w:val="nil"/>
              <w:left w:val="nil"/>
              <w:bottom w:val="single" w:sz="8" w:space="0" w:color="auto"/>
              <w:right w:val="single" w:sz="8" w:space="0" w:color="auto"/>
            </w:tcBorders>
            <w:shd w:val="clear" w:color="000000" w:fill="002060"/>
            <w:vAlign w:val="center"/>
            <w:hideMark/>
          </w:tcPr>
          <w:p w14:paraId="7AE161F2" w14:textId="77777777" w:rsidR="00D6242E" w:rsidRPr="00652069" w:rsidRDefault="00D6242E" w:rsidP="003F3165">
            <w:pPr>
              <w:spacing w:after="0" w:line="240" w:lineRule="auto"/>
              <w:jc w:val="center"/>
              <w:rPr>
                <w:rFonts w:ascii="Book Antiqua" w:eastAsia="Times New Roman" w:hAnsi="Book Antiqua" w:cs="Calibri"/>
                <w:b/>
                <w:bCs/>
                <w:color w:val="FFFFFF"/>
                <w:sz w:val="20"/>
                <w:szCs w:val="20"/>
                <w:lang w:eastAsia="es-CR"/>
              </w:rPr>
            </w:pPr>
            <w:r w:rsidRPr="00652069">
              <w:rPr>
                <w:rFonts w:ascii="Book Antiqua" w:eastAsia="Times New Roman" w:hAnsi="Book Antiqua" w:cs="Calibri"/>
                <w:b/>
                <w:bCs/>
                <w:color w:val="FFFFFF"/>
                <w:sz w:val="20"/>
                <w:szCs w:val="20"/>
                <w:lang w:eastAsia="es-CR"/>
              </w:rPr>
              <w:t>Téc. Jud. Trámite</w:t>
            </w:r>
          </w:p>
        </w:tc>
        <w:tc>
          <w:tcPr>
            <w:tcW w:w="1140" w:type="dxa"/>
            <w:vMerge/>
            <w:tcBorders>
              <w:top w:val="single" w:sz="8" w:space="0" w:color="auto"/>
              <w:left w:val="single" w:sz="8" w:space="0" w:color="auto"/>
              <w:bottom w:val="single" w:sz="8" w:space="0" w:color="000000"/>
              <w:right w:val="single" w:sz="8" w:space="0" w:color="auto"/>
            </w:tcBorders>
            <w:vAlign w:val="center"/>
            <w:hideMark/>
          </w:tcPr>
          <w:p w14:paraId="33777128" w14:textId="77777777" w:rsidR="00D6242E" w:rsidRPr="00652069" w:rsidRDefault="00D6242E" w:rsidP="003F3165">
            <w:pPr>
              <w:spacing w:after="0" w:line="240" w:lineRule="auto"/>
              <w:rPr>
                <w:rFonts w:ascii="Book Antiqua" w:eastAsia="Times New Roman" w:hAnsi="Book Antiqua" w:cs="Calibri"/>
                <w:b/>
                <w:bCs/>
                <w:color w:val="FFFFFF"/>
                <w:sz w:val="20"/>
                <w:szCs w:val="20"/>
                <w:lang w:eastAsia="es-CR"/>
              </w:rPr>
            </w:pPr>
          </w:p>
        </w:tc>
        <w:tc>
          <w:tcPr>
            <w:tcW w:w="1000" w:type="dxa"/>
            <w:vMerge/>
            <w:tcBorders>
              <w:top w:val="single" w:sz="8" w:space="0" w:color="auto"/>
              <w:left w:val="single" w:sz="8" w:space="0" w:color="auto"/>
              <w:bottom w:val="single" w:sz="8" w:space="0" w:color="000000"/>
              <w:right w:val="single" w:sz="8" w:space="0" w:color="auto"/>
            </w:tcBorders>
            <w:vAlign w:val="center"/>
            <w:hideMark/>
          </w:tcPr>
          <w:p w14:paraId="083CE945" w14:textId="77777777" w:rsidR="00D6242E" w:rsidRPr="00652069" w:rsidRDefault="00D6242E" w:rsidP="003F3165">
            <w:pPr>
              <w:spacing w:after="0" w:line="240" w:lineRule="auto"/>
              <w:rPr>
                <w:rFonts w:ascii="Book Antiqua" w:eastAsia="Times New Roman" w:hAnsi="Book Antiqua" w:cs="Calibri"/>
                <w:b/>
                <w:bCs/>
                <w:color w:val="FFFFFF"/>
                <w:sz w:val="20"/>
                <w:szCs w:val="20"/>
                <w:lang w:eastAsia="es-CR"/>
              </w:rPr>
            </w:pPr>
          </w:p>
        </w:tc>
        <w:tc>
          <w:tcPr>
            <w:tcW w:w="1180" w:type="dxa"/>
            <w:vMerge/>
            <w:tcBorders>
              <w:top w:val="single" w:sz="8" w:space="0" w:color="auto"/>
              <w:left w:val="single" w:sz="8" w:space="0" w:color="auto"/>
              <w:bottom w:val="single" w:sz="8" w:space="0" w:color="000000"/>
              <w:right w:val="single" w:sz="8" w:space="0" w:color="auto"/>
            </w:tcBorders>
            <w:vAlign w:val="center"/>
            <w:hideMark/>
          </w:tcPr>
          <w:p w14:paraId="23CDB876" w14:textId="77777777" w:rsidR="00D6242E" w:rsidRPr="00652069" w:rsidRDefault="00D6242E" w:rsidP="003F3165">
            <w:pPr>
              <w:spacing w:after="0" w:line="240" w:lineRule="auto"/>
              <w:rPr>
                <w:rFonts w:ascii="Book Antiqua" w:eastAsia="Times New Roman" w:hAnsi="Book Antiqua" w:cs="Calibri"/>
                <w:b/>
                <w:bCs/>
                <w:color w:val="FFFFFF"/>
                <w:sz w:val="20"/>
                <w:szCs w:val="20"/>
                <w:lang w:eastAsia="es-CR"/>
              </w:rPr>
            </w:pPr>
          </w:p>
        </w:tc>
        <w:tc>
          <w:tcPr>
            <w:tcW w:w="1000" w:type="dxa"/>
            <w:vMerge/>
            <w:tcBorders>
              <w:top w:val="single" w:sz="8" w:space="0" w:color="auto"/>
              <w:left w:val="single" w:sz="8" w:space="0" w:color="auto"/>
              <w:bottom w:val="single" w:sz="8" w:space="0" w:color="000000"/>
              <w:right w:val="single" w:sz="8" w:space="0" w:color="auto"/>
            </w:tcBorders>
            <w:vAlign w:val="center"/>
            <w:hideMark/>
          </w:tcPr>
          <w:p w14:paraId="262A49C8" w14:textId="77777777" w:rsidR="00D6242E" w:rsidRPr="00652069" w:rsidRDefault="00D6242E" w:rsidP="003F3165">
            <w:pPr>
              <w:spacing w:after="0" w:line="240" w:lineRule="auto"/>
              <w:rPr>
                <w:rFonts w:ascii="Book Antiqua" w:eastAsia="Times New Roman" w:hAnsi="Book Antiqua" w:cs="Calibri"/>
                <w:b/>
                <w:bCs/>
                <w:color w:val="FFFFFF"/>
                <w:sz w:val="20"/>
                <w:szCs w:val="20"/>
                <w:lang w:eastAsia="es-CR"/>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3F5D3900" w14:textId="77777777" w:rsidR="00D6242E" w:rsidRPr="00652069" w:rsidRDefault="00D6242E" w:rsidP="003F3165">
            <w:pPr>
              <w:spacing w:after="0" w:line="240" w:lineRule="auto"/>
              <w:rPr>
                <w:rFonts w:ascii="Book Antiqua" w:eastAsia="Times New Roman" w:hAnsi="Book Antiqua" w:cs="Calibri"/>
                <w:b/>
                <w:bCs/>
                <w:color w:val="FFFFFF"/>
                <w:sz w:val="20"/>
                <w:szCs w:val="20"/>
                <w:lang w:eastAsia="es-CR"/>
              </w:rPr>
            </w:pPr>
          </w:p>
        </w:tc>
        <w:tc>
          <w:tcPr>
            <w:tcW w:w="1000" w:type="dxa"/>
            <w:vMerge/>
            <w:tcBorders>
              <w:top w:val="single" w:sz="8" w:space="0" w:color="auto"/>
              <w:left w:val="single" w:sz="8" w:space="0" w:color="auto"/>
              <w:bottom w:val="single" w:sz="8" w:space="0" w:color="000000"/>
              <w:right w:val="single" w:sz="8" w:space="0" w:color="auto"/>
            </w:tcBorders>
            <w:vAlign w:val="center"/>
            <w:hideMark/>
          </w:tcPr>
          <w:p w14:paraId="76608971" w14:textId="77777777" w:rsidR="00D6242E" w:rsidRPr="00652069" w:rsidRDefault="00D6242E" w:rsidP="003F3165">
            <w:pPr>
              <w:spacing w:after="0" w:line="240" w:lineRule="auto"/>
              <w:rPr>
                <w:rFonts w:ascii="Book Antiqua" w:eastAsia="Times New Roman" w:hAnsi="Book Antiqua" w:cs="Calibri"/>
                <w:b/>
                <w:bCs/>
                <w:color w:val="FFFFFF"/>
                <w:sz w:val="20"/>
                <w:szCs w:val="20"/>
                <w:lang w:eastAsia="es-CR"/>
              </w:rPr>
            </w:pPr>
          </w:p>
        </w:tc>
      </w:tr>
      <w:tr w:rsidR="00D6242E" w:rsidRPr="00652069" w14:paraId="78D23190" w14:textId="77777777" w:rsidTr="003F3165">
        <w:trPr>
          <w:trHeight w:val="300"/>
          <w:jc w:val="center"/>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52B4A6B4" w14:textId="77777777" w:rsidR="00D6242E" w:rsidRPr="00652069" w:rsidRDefault="00D6242E" w:rsidP="003F3165">
            <w:pPr>
              <w:spacing w:after="0" w:line="240" w:lineRule="auto"/>
              <w:jc w:val="center"/>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Juzgado Civil, Trabajo y Familia Buenos Aires*</w:t>
            </w:r>
          </w:p>
        </w:tc>
        <w:tc>
          <w:tcPr>
            <w:tcW w:w="1200" w:type="dxa"/>
            <w:tcBorders>
              <w:top w:val="nil"/>
              <w:left w:val="nil"/>
              <w:bottom w:val="single" w:sz="8" w:space="0" w:color="auto"/>
              <w:right w:val="single" w:sz="8" w:space="0" w:color="auto"/>
            </w:tcBorders>
            <w:shd w:val="clear" w:color="auto" w:fill="auto"/>
            <w:vAlign w:val="center"/>
            <w:hideMark/>
          </w:tcPr>
          <w:p w14:paraId="776C2F03"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Civil</w:t>
            </w:r>
          </w:p>
        </w:tc>
        <w:tc>
          <w:tcPr>
            <w:tcW w:w="94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C548E5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2E44F3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w:t>
            </w:r>
          </w:p>
        </w:tc>
        <w:tc>
          <w:tcPr>
            <w:tcW w:w="1140" w:type="dxa"/>
            <w:tcBorders>
              <w:top w:val="nil"/>
              <w:left w:val="nil"/>
              <w:bottom w:val="single" w:sz="8" w:space="0" w:color="auto"/>
              <w:right w:val="single" w:sz="8" w:space="0" w:color="auto"/>
            </w:tcBorders>
            <w:shd w:val="clear" w:color="auto" w:fill="auto"/>
            <w:vAlign w:val="center"/>
            <w:hideMark/>
          </w:tcPr>
          <w:p w14:paraId="2BC05EC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0E01CC8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180" w:type="dxa"/>
            <w:tcBorders>
              <w:top w:val="nil"/>
              <w:left w:val="nil"/>
              <w:bottom w:val="single" w:sz="8" w:space="0" w:color="auto"/>
              <w:right w:val="single" w:sz="8" w:space="0" w:color="auto"/>
            </w:tcBorders>
            <w:shd w:val="clear" w:color="auto" w:fill="auto"/>
            <w:vAlign w:val="center"/>
            <w:hideMark/>
          </w:tcPr>
          <w:p w14:paraId="7610C3D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w:t>
            </w:r>
          </w:p>
        </w:tc>
        <w:tc>
          <w:tcPr>
            <w:tcW w:w="1000" w:type="dxa"/>
            <w:tcBorders>
              <w:top w:val="nil"/>
              <w:left w:val="nil"/>
              <w:bottom w:val="single" w:sz="8" w:space="0" w:color="auto"/>
              <w:right w:val="single" w:sz="8" w:space="0" w:color="auto"/>
            </w:tcBorders>
            <w:shd w:val="clear" w:color="auto" w:fill="auto"/>
            <w:vAlign w:val="center"/>
            <w:hideMark/>
          </w:tcPr>
          <w:p w14:paraId="7C35022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w:t>
            </w:r>
          </w:p>
        </w:tc>
        <w:tc>
          <w:tcPr>
            <w:tcW w:w="1020" w:type="dxa"/>
            <w:tcBorders>
              <w:top w:val="nil"/>
              <w:left w:val="nil"/>
              <w:bottom w:val="single" w:sz="8" w:space="0" w:color="auto"/>
              <w:right w:val="single" w:sz="8" w:space="0" w:color="auto"/>
            </w:tcBorders>
            <w:shd w:val="clear" w:color="auto" w:fill="auto"/>
            <w:vAlign w:val="center"/>
            <w:hideMark/>
          </w:tcPr>
          <w:p w14:paraId="18A0EBF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w:t>
            </w:r>
          </w:p>
        </w:tc>
        <w:tc>
          <w:tcPr>
            <w:tcW w:w="1000" w:type="dxa"/>
            <w:tcBorders>
              <w:top w:val="nil"/>
              <w:left w:val="nil"/>
              <w:bottom w:val="single" w:sz="8" w:space="0" w:color="auto"/>
              <w:right w:val="single" w:sz="8" w:space="0" w:color="auto"/>
            </w:tcBorders>
            <w:shd w:val="clear" w:color="auto" w:fill="auto"/>
            <w:vAlign w:val="center"/>
            <w:hideMark/>
          </w:tcPr>
          <w:p w14:paraId="7089FD95"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65%</w:t>
            </w:r>
          </w:p>
        </w:tc>
      </w:tr>
      <w:tr w:rsidR="00D6242E" w:rsidRPr="00652069" w14:paraId="74A8AFB7"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32C46C02"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34704498"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Trabajo</w:t>
            </w:r>
          </w:p>
        </w:tc>
        <w:tc>
          <w:tcPr>
            <w:tcW w:w="940" w:type="dxa"/>
            <w:vMerge/>
            <w:tcBorders>
              <w:top w:val="nil"/>
              <w:left w:val="single" w:sz="8" w:space="0" w:color="auto"/>
              <w:bottom w:val="single" w:sz="8" w:space="0" w:color="000000"/>
              <w:right w:val="single" w:sz="8" w:space="0" w:color="auto"/>
            </w:tcBorders>
            <w:vAlign w:val="center"/>
            <w:hideMark/>
          </w:tcPr>
          <w:p w14:paraId="52045A14"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0C008976"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0BA61F5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7F0C9A7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180" w:type="dxa"/>
            <w:tcBorders>
              <w:top w:val="nil"/>
              <w:left w:val="nil"/>
              <w:bottom w:val="single" w:sz="8" w:space="0" w:color="auto"/>
              <w:right w:val="single" w:sz="8" w:space="0" w:color="auto"/>
            </w:tcBorders>
            <w:shd w:val="clear" w:color="auto" w:fill="auto"/>
            <w:vAlign w:val="center"/>
            <w:hideMark/>
          </w:tcPr>
          <w:p w14:paraId="218F26A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w:t>
            </w:r>
          </w:p>
        </w:tc>
        <w:tc>
          <w:tcPr>
            <w:tcW w:w="1000" w:type="dxa"/>
            <w:tcBorders>
              <w:top w:val="nil"/>
              <w:left w:val="nil"/>
              <w:bottom w:val="single" w:sz="8" w:space="0" w:color="auto"/>
              <w:right w:val="single" w:sz="8" w:space="0" w:color="auto"/>
            </w:tcBorders>
            <w:shd w:val="clear" w:color="auto" w:fill="auto"/>
            <w:vAlign w:val="center"/>
            <w:hideMark/>
          </w:tcPr>
          <w:p w14:paraId="0BCB3AC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20" w:type="dxa"/>
            <w:tcBorders>
              <w:top w:val="nil"/>
              <w:left w:val="nil"/>
              <w:bottom w:val="single" w:sz="8" w:space="0" w:color="auto"/>
              <w:right w:val="single" w:sz="8" w:space="0" w:color="auto"/>
            </w:tcBorders>
            <w:shd w:val="clear" w:color="auto" w:fill="auto"/>
            <w:vAlign w:val="center"/>
            <w:hideMark/>
          </w:tcPr>
          <w:p w14:paraId="0E9A90C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00" w:type="dxa"/>
            <w:tcBorders>
              <w:top w:val="nil"/>
              <w:left w:val="nil"/>
              <w:bottom w:val="single" w:sz="8" w:space="0" w:color="auto"/>
              <w:right w:val="single" w:sz="8" w:space="0" w:color="auto"/>
            </w:tcBorders>
            <w:shd w:val="clear" w:color="auto" w:fill="auto"/>
            <w:vAlign w:val="center"/>
            <w:hideMark/>
          </w:tcPr>
          <w:p w14:paraId="5AB1DE4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69%</w:t>
            </w:r>
          </w:p>
        </w:tc>
      </w:tr>
      <w:tr w:rsidR="00D6242E" w:rsidRPr="00652069" w14:paraId="258B5DCC"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0669F798"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2A4C3C4A"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Agrario</w:t>
            </w:r>
          </w:p>
        </w:tc>
        <w:tc>
          <w:tcPr>
            <w:tcW w:w="940" w:type="dxa"/>
            <w:vMerge/>
            <w:tcBorders>
              <w:top w:val="nil"/>
              <w:left w:val="single" w:sz="8" w:space="0" w:color="auto"/>
              <w:bottom w:val="single" w:sz="8" w:space="0" w:color="000000"/>
              <w:right w:val="single" w:sz="8" w:space="0" w:color="auto"/>
            </w:tcBorders>
            <w:vAlign w:val="center"/>
            <w:hideMark/>
          </w:tcPr>
          <w:p w14:paraId="49B1B3F4"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41518603"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6F8EE9E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vAlign w:val="center"/>
            <w:hideMark/>
          </w:tcPr>
          <w:p w14:paraId="58B0CB7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180" w:type="dxa"/>
            <w:tcBorders>
              <w:top w:val="nil"/>
              <w:left w:val="nil"/>
              <w:bottom w:val="single" w:sz="8" w:space="0" w:color="auto"/>
              <w:right w:val="single" w:sz="8" w:space="0" w:color="auto"/>
            </w:tcBorders>
            <w:shd w:val="clear" w:color="auto" w:fill="auto"/>
            <w:vAlign w:val="center"/>
            <w:hideMark/>
          </w:tcPr>
          <w:p w14:paraId="117B62A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w:t>
            </w:r>
          </w:p>
        </w:tc>
        <w:tc>
          <w:tcPr>
            <w:tcW w:w="1000" w:type="dxa"/>
            <w:tcBorders>
              <w:top w:val="nil"/>
              <w:left w:val="nil"/>
              <w:bottom w:val="single" w:sz="8" w:space="0" w:color="auto"/>
              <w:right w:val="single" w:sz="8" w:space="0" w:color="auto"/>
            </w:tcBorders>
            <w:shd w:val="clear" w:color="auto" w:fill="auto"/>
            <w:vAlign w:val="center"/>
            <w:hideMark/>
          </w:tcPr>
          <w:p w14:paraId="4583D41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020" w:type="dxa"/>
            <w:tcBorders>
              <w:top w:val="nil"/>
              <w:left w:val="nil"/>
              <w:bottom w:val="single" w:sz="8" w:space="0" w:color="auto"/>
              <w:right w:val="single" w:sz="8" w:space="0" w:color="auto"/>
            </w:tcBorders>
            <w:shd w:val="clear" w:color="auto" w:fill="auto"/>
            <w:vAlign w:val="center"/>
            <w:hideMark/>
          </w:tcPr>
          <w:p w14:paraId="6D6C5E2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00" w:type="dxa"/>
            <w:tcBorders>
              <w:top w:val="nil"/>
              <w:left w:val="nil"/>
              <w:bottom w:val="single" w:sz="8" w:space="0" w:color="auto"/>
              <w:right w:val="single" w:sz="8" w:space="0" w:color="auto"/>
            </w:tcBorders>
            <w:shd w:val="clear" w:color="auto" w:fill="auto"/>
            <w:vAlign w:val="center"/>
            <w:hideMark/>
          </w:tcPr>
          <w:p w14:paraId="716407C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81%</w:t>
            </w:r>
          </w:p>
        </w:tc>
      </w:tr>
      <w:tr w:rsidR="00D6242E" w:rsidRPr="00652069" w14:paraId="6C92BDE2"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6E9A225D"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2A254006"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Familia</w:t>
            </w:r>
          </w:p>
        </w:tc>
        <w:tc>
          <w:tcPr>
            <w:tcW w:w="94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215F1E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4EEF29CD"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48237E8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vAlign w:val="center"/>
            <w:hideMark/>
          </w:tcPr>
          <w:p w14:paraId="14B8FD5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23</w:t>
            </w:r>
          </w:p>
        </w:tc>
        <w:tc>
          <w:tcPr>
            <w:tcW w:w="1180" w:type="dxa"/>
            <w:tcBorders>
              <w:top w:val="nil"/>
              <w:left w:val="nil"/>
              <w:bottom w:val="single" w:sz="8" w:space="0" w:color="auto"/>
              <w:right w:val="single" w:sz="8" w:space="0" w:color="auto"/>
            </w:tcBorders>
            <w:shd w:val="clear" w:color="auto" w:fill="auto"/>
            <w:vAlign w:val="center"/>
            <w:hideMark/>
          </w:tcPr>
          <w:p w14:paraId="17DB003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17</w:t>
            </w:r>
          </w:p>
        </w:tc>
        <w:tc>
          <w:tcPr>
            <w:tcW w:w="1000" w:type="dxa"/>
            <w:tcBorders>
              <w:top w:val="nil"/>
              <w:left w:val="nil"/>
              <w:bottom w:val="single" w:sz="8" w:space="0" w:color="auto"/>
              <w:right w:val="single" w:sz="8" w:space="0" w:color="auto"/>
            </w:tcBorders>
            <w:shd w:val="clear" w:color="auto" w:fill="auto"/>
            <w:vAlign w:val="center"/>
            <w:hideMark/>
          </w:tcPr>
          <w:p w14:paraId="47A323A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23</w:t>
            </w:r>
          </w:p>
        </w:tc>
        <w:tc>
          <w:tcPr>
            <w:tcW w:w="1020" w:type="dxa"/>
            <w:tcBorders>
              <w:top w:val="nil"/>
              <w:left w:val="nil"/>
              <w:bottom w:val="single" w:sz="8" w:space="0" w:color="auto"/>
              <w:right w:val="single" w:sz="8" w:space="0" w:color="auto"/>
            </w:tcBorders>
            <w:shd w:val="clear" w:color="auto" w:fill="auto"/>
            <w:vAlign w:val="center"/>
            <w:hideMark/>
          </w:tcPr>
          <w:p w14:paraId="589AAA6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12</w:t>
            </w:r>
          </w:p>
        </w:tc>
        <w:tc>
          <w:tcPr>
            <w:tcW w:w="1000" w:type="dxa"/>
            <w:tcBorders>
              <w:top w:val="nil"/>
              <w:left w:val="nil"/>
              <w:bottom w:val="single" w:sz="8" w:space="0" w:color="auto"/>
              <w:right w:val="single" w:sz="8" w:space="0" w:color="auto"/>
            </w:tcBorders>
            <w:shd w:val="clear" w:color="auto" w:fill="auto"/>
            <w:vAlign w:val="center"/>
            <w:hideMark/>
          </w:tcPr>
          <w:p w14:paraId="4089411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74%</w:t>
            </w:r>
          </w:p>
        </w:tc>
      </w:tr>
      <w:tr w:rsidR="00D6242E" w:rsidRPr="00652069" w14:paraId="5494DB90"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548B7F96"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06AA7A55"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Viol. Dom.</w:t>
            </w:r>
          </w:p>
        </w:tc>
        <w:tc>
          <w:tcPr>
            <w:tcW w:w="940" w:type="dxa"/>
            <w:vMerge/>
            <w:tcBorders>
              <w:top w:val="nil"/>
              <w:left w:val="single" w:sz="8" w:space="0" w:color="auto"/>
              <w:bottom w:val="single" w:sz="8" w:space="0" w:color="000000"/>
              <w:right w:val="single" w:sz="8" w:space="0" w:color="auto"/>
            </w:tcBorders>
            <w:vAlign w:val="center"/>
            <w:hideMark/>
          </w:tcPr>
          <w:p w14:paraId="5523C460"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58318B3D"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7FB7805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vAlign w:val="center"/>
            <w:hideMark/>
          </w:tcPr>
          <w:p w14:paraId="3DC494D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44</w:t>
            </w:r>
          </w:p>
        </w:tc>
        <w:tc>
          <w:tcPr>
            <w:tcW w:w="1180" w:type="dxa"/>
            <w:tcBorders>
              <w:top w:val="nil"/>
              <w:left w:val="nil"/>
              <w:bottom w:val="single" w:sz="8" w:space="0" w:color="auto"/>
              <w:right w:val="single" w:sz="8" w:space="0" w:color="auto"/>
            </w:tcBorders>
            <w:shd w:val="clear" w:color="auto" w:fill="auto"/>
            <w:vAlign w:val="center"/>
            <w:hideMark/>
          </w:tcPr>
          <w:p w14:paraId="398F4F0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45</w:t>
            </w:r>
          </w:p>
        </w:tc>
        <w:tc>
          <w:tcPr>
            <w:tcW w:w="1000" w:type="dxa"/>
            <w:tcBorders>
              <w:top w:val="nil"/>
              <w:left w:val="nil"/>
              <w:bottom w:val="single" w:sz="8" w:space="0" w:color="auto"/>
              <w:right w:val="single" w:sz="8" w:space="0" w:color="auto"/>
            </w:tcBorders>
            <w:shd w:val="clear" w:color="auto" w:fill="auto"/>
            <w:vAlign w:val="center"/>
            <w:hideMark/>
          </w:tcPr>
          <w:p w14:paraId="49D7A59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44</w:t>
            </w:r>
          </w:p>
        </w:tc>
        <w:tc>
          <w:tcPr>
            <w:tcW w:w="1020" w:type="dxa"/>
            <w:tcBorders>
              <w:top w:val="nil"/>
              <w:left w:val="nil"/>
              <w:bottom w:val="single" w:sz="8" w:space="0" w:color="auto"/>
              <w:right w:val="single" w:sz="8" w:space="0" w:color="auto"/>
            </w:tcBorders>
            <w:shd w:val="clear" w:color="auto" w:fill="auto"/>
            <w:vAlign w:val="center"/>
            <w:hideMark/>
          </w:tcPr>
          <w:p w14:paraId="70F8A13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22</w:t>
            </w:r>
          </w:p>
        </w:tc>
        <w:tc>
          <w:tcPr>
            <w:tcW w:w="1000" w:type="dxa"/>
            <w:tcBorders>
              <w:top w:val="nil"/>
              <w:left w:val="nil"/>
              <w:bottom w:val="single" w:sz="8" w:space="0" w:color="auto"/>
              <w:right w:val="single" w:sz="8" w:space="0" w:color="auto"/>
            </w:tcBorders>
            <w:shd w:val="clear" w:color="auto" w:fill="auto"/>
            <w:vAlign w:val="center"/>
            <w:hideMark/>
          </w:tcPr>
          <w:p w14:paraId="0D4CC10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102%</w:t>
            </w:r>
          </w:p>
        </w:tc>
      </w:tr>
      <w:tr w:rsidR="00D6242E" w:rsidRPr="00652069" w14:paraId="50B74BBD" w14:textId="77777777" w:rsidTr="003F3165">
        <w:trPr>
          <w:trHeight w:val="530"/>
          <w:jc w:val="center"/>
        </w:trPr>
        <w:tc>
          <w:tcPr>
            <w:tcW w:w="1200" w:type="dxa"/>
            <w:vMerge/>
            <w:tcBorders>
              <w:top w:val="nil"/>
              <w:left w:val="single" w:sz="8" w:space="0" w:color="auto"/>
              <w:bottom w:val="single" w:sz="8" w:space="0" w:color="000000"/>
              <w:right w:val="single" w:sz="8" w:space="0" w:color="auto"/>
            </w:tcBorders>
            <w:vAlign w:val="center"/>
            <w:hideMark/>
          </w:tcPr>
          <w:p w14:paraId="6DB816D9"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4A51867B"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Penal Juvenil</w:t>
            </w:r>
          </w:p>
        </w:tc>
        <w:tc>
          <w:tcPr>
            <w:tcW w:w="940" w:type="dxa"/>
            <w:vMerge/>
            <w:tcBorders>
              <w:top w:val="nil"/>
              <w:left w:val="single" w:sz="8" w:space="0" w:color="auto"/>
              <w:bottom w:val="single" w:sz="8" w:space="0" w:color="000000"/>
              <w:right w:val="single" w:sz="8" w:space="0" w:color="auto"/>
            </w:tcBorders>
            <w:vAlign w:val="center"/>
            <w:hideMark/>
          </w:tcPr>
          <w:p w14:paraId="34A0FC11"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1EF2FAC9"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6A8BA5F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vAlign w:val="center"/>
            <w:hideMark/>
          </w:tcPr>
          <w:p w14:paraId="0A6BEB3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w:t>
            </w:r>
          </w:p>
        </w:tc>
        <w:tc>
          <w:tcPr>
            <w:tcW w:w="1180" w:type="dxa"/>
            <w:tcBorders>
              <w:top w:val="nil"/>
              <w:left w:val="nil"/>
              <w:bottom w:val="single" w:sz="8" w:space="0" w:color="auto"/>
              <w:right w:val="single" w:sz="8" w:space="0" w:color="auto"/>
            </w:tcBorders>
            <w:shd w:val="clear" w:color="auto" w:fill="auto"/>
            <w:vAlign w:val="center"/>
            <w:hideMark/>
          </w:tcPr>
          <w:p w14:paraId="692BBD6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w:t>
            </w:r>
          </w:p>
        </w:tc>
        <w:tc>
          <w:tcPr>
            <w:tcW w:w="1000" w:type="dxa"/>
            <w:tcBorders>
              <w:top w:val="nil"/>
              <w:left w:val="nil"/>
              <w:bottom w:val="single" w:sz="8" w:space="0" w:color="auto"/>
              <w:right w:val="single" w:sz="8" w:space="0" w:color="auto"/>
            </w:tcBorders>
            <w:shd w:val="clear" w:color="auto" w:fill="auto"/>
            <w:vAlign w:val="center"/>
            <w:hideMark/>
          </w:tcPr>
          <w:p w14:paraId="4E0DEE2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w:t>
            </w:r>
          </w:p>
        </w:tc>
        <w:tc>
          <w:tcPr>
            <w:tcW w:w="1020" w:type="dxa"/>
            <w:tcBorders>
              <w:top w:val="nil"/>
              <w:left w:val="nil"/>
              <w:bottom w:val="single" w:sz="8" w:space="0" w:color="auto"/>
              <w:right w:val="single" w:sz="8" w:space="0" w:color="auto"/>
            </w:tcBorders>
            <w:shd w:val="clear" w:color="auto" w:fill="auto"/>
            <w:vAlign w:val="center"/>
            <w:hideMark/>
          </w:tcPr>
          <w:p w14:paraId="077586C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w:t>
            </w:r>
          </w:p>
        </w:tc>
        <w:tc>
          <w:tcPr>
            <w:tcW w:w="1000" w:type="dxa"/>
            <w:tcBorders>
              <w:top w:val="nil"/>
              <w:left w:val="nil"/>
              <w:bottom w:val="single" w:sz="8" w:space="0" w:color="auto"/>
              <w:right w:val="single" w:sz="8" w:space="0" w:color="auto"/>
            </w:tcBorders>
            <w:shd w:val="clear" w:color="auto" w:fill="auto"/>
            <w:vAlign w:val="center"/>
            <w:hideMark/>
          </w:tcPr>
          <w:p w14:paraId="42BFBCB5"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107%</w:t>
            </w:r>
          </w:p>
        </w:tc>
      </w:tr>
      <w:tr w:rsidR="00D6242E" w:rsidRPr="00652069" w14:paraId="0271366A"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22E15F4A"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3B115441"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Civil</w:t>
            </w:r>
          </w:p>
        </w:tc>
        <w:tc>
          <w:tcPr>
            <w:tcW w:w="940" w:type="dxa"/>
            <w:vMerge/>
            <w:tcBorders>
              <w:top w:val="nil"/>
              <w:left w:val="single" w:sz="8" w:space="0" w:color="auto"/>
              <w:bottom w:val="single" w:sz="8" w:space="0" w:color="000000"/>
              <w:right w:val="single" w:sz="8" w:space="0" w:color="auto"/>
            </w:tcBorders>
            <w:vAlign w:val="center"/>
            <w:hideMark/>
          </w:tcPr>
          <w:p w14:paraId="22DA0833"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2179440D"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4434710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2AE1E0C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180" w:type="dxa"/>
            <w:tcBorders>
              <w:top w:val="nil"/>
              <w:left w:val="nil"/>
              <w:bottom w:val="single" w:sz="8" w:space="0" w:color="auto"/>
              <w:right w:val="single" w:sz="8" w:space="0" w:color="auto"/>
            </w:tcBorders>
            <w:shd w:val="clear" w:color="auto" w:fill="auto"/>
            <w:vAlign w:val="center"/>
            <w:hideMark/>
          </w:tcPr>
          <w:p w14:paraId="36782E9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w:t>
            </w:r>
          </w:p>
        </w:tc>
        <w:tc>
          <w:tcPr>
            <w:tcW w:w="1000" w:type="dxa"/>
            <w:tcBorders>
              <w:top w:val="nil"/>
              <w:left w:val="nil"/>
              <w:bottom w:val="single" w:sz="8" w:space="0" w:color="auto"/>
              <w:right w:val="single" w:sz="8" w:space="0" w:color="auto"/>
            </w:tcBorders>
            <w:shd w:val="clear" w:color="auto" w:fill="auto"/>
            <w:vAlign w:val="center"/>
            <w:hideMark/>
          </w:tcPr>
          <w:p w14:paraId="3B9F647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w:t>
            </w:r>
          </w:p>
        </w:tc>
        <w:tc>
          <w:tcPr>
            <w:tcW w:w="1020" w:type="dxa"/>
            <w:tcBorders>
              <w:top w:val="nil"/>
              <w:left w:val="nil"/>
              <w:bottom w:val="single" w:sz="8" w:space="0" w:color="auto"/>
              <w:right w:val="single" w:sz="8" w:space="0" w:color="auto"/>
            </w:tcBorders>
            <w:shd w:val="clear" w:color="auto" w:fill="auto"/>
            <w:vAlign w:val="center"/>
            <w:hideMark/>
          </w:tcPr>
          <w:p w14:paraId="6CDD0EE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w:t>
            </w:r>
          </w:p>
        </w:tc>
        <w:tc>
          <w:tcPr>
            <w:tcW w:w="1000" w:type="dxa"/>
            <w:tcBorders>
              <w:top w:val="nil"/>
              <w:left w:val="nil"/>
              <w:bottom w:val="single" w:sz="8" w:space="0" w:color="auto"/>
              <w:right w:val="single" w:sz="8" w:space="0" w:color="auto"/>
            </w:tcBorders>
            <w:shd w:val="clear" w:color="auto" w:fill="auto"/>
            <w:vAlign w:val="center"/>
            <w:hideMark/>
          </w:tcPr>
          <w:p w14:paraId="7790A0A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65%</w:t>
            </w:r>
          </w:p>
        </w:tc>
      </w:tr>
      <w:tr w:rsidR="00D6242E" w:rsidRPr="00652069" w14:paraId="0A5F214E"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4C413615"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7CC49899"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Trabajo</w:t>
            </w:r>
          </w:p>
        </w:tc>
        <w:tc>
          <w:tcPr>
            <w:tcW w:w="940" w:type="dxa"/>
            <w:vMerge/>
            <w:tcBorders>
              <w:top w:val="nil"/>
              <w:left w:val="single" w:sz="8" w:space="0" w:color="auto"/>
              <w:bottom w:val="single" w:sz="8" w:space="0" w:color="000000"/>
              <w:right w:val="single" w:sz="8" w:space="0" w:color="auto"/>
            </w:tcBorders>
            <w:vAlign w:val="center"/>
            <w:hideMark/>
          </w:tcPr>
          <w:p w14:paraId="1D1F15AD"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4C8F5D7F"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3302AE3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08E1A4E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180" w:type="dxa"/>
            <w:tcBorders>
              <w:top w:val="nil"/>
              <w:left w:val="nil"/>
              <w:bottom w:val="single" w:sz="8" w:space="0" w:color="auto"/>
              <w:right w:val="single" w:sz="8" w:space="0" w:color="auto"/>
            </w:tcBorders>
            <w:shd w:val="clear" w:color="auto" w:fill="auto"/>
            <w:vAlign w:val="center"/>
            <w:hideMark/>
          </w:tcPr>
          <w:p w14:paraId="5381267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w:t>
            </w:r>
          </w:p>
        </w:tc>
        <w:tc>
          <w:tcPr>
            <w:tcW w:w="1000" w:type="dxa"/>
            <w:tcBorders>
              <w:top w:val="nil"/>
              <w:left w:val="nil"/>
              <w:bottom w:val="single" w:sz="8" w:space="0" w:color="auto"/>
              <w:right w:val="single" w:sz="8" w:space="0" w:color="auto"/>
            </w:tcBorders>
            <w:shd w:val="clear" w:color="auto" w:fill="auto"/>
            <w:vAlign w:val="center"/>
            <w:hideMark/>
          </w:tcPr>
          <w:p w14:paraId="1CAD5B3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20" w:type="dxa"/>
            <w:tcBorders>
              <w:top w:val="nil"/>
              <w:left w:val="nil"/>
              <w:bottom w:val="single" w:sz="8" w:space="0" w:color="auto"/>
              <w:right w:val="single" w:sz="8" w:space="0" w:color="auto"/>
            </w:tcBorders>
            <w:shd w:val="clear" w:color="auto" w:fill="auto"/>
            <w:vAlign w:val="center"/>
            <w:hideMark/>
          </w:tcPr>
          <w:p w14:paraId="4190A7A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00" w:type="dxa"/>
            <w:tcBorders>
              <w:top w:val="nil"/>
              <w:left w:val="nil"/>
              <w:bottom w:val="single" w:sz="8" w:space="0" w:color="auto"/>
              <w:right w:val="single" w:sz="8" w:space="0" w:color="auto"/>
            </w:tcBorders>
            <w:shd w:val="clear" w:color="auto" w:fill="auto"/>
            <w:vAlign w:val="center"/>
            <w:hideMark/>
          </w:tcPr>
          <w:p w14:paraId="657D136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69%</w:t>
            </w:r>
          </w:p>
        </w:tc>
      </w:tr>
      <w:tr w:rsidR="00D6242E" w:rsidRPr="00652069" w14:paraId="16C1DC52" w14:textId="77777777" w:rsidTr="003F3165">
        <w:trPr>
          <w:trHeight w:val="820"/>
          <w:jc w:val="center"/>
        </w:trPr>
        <w:tc>
          <w:tcPr>
            <w:tcW w:w="1200" w:type="dxa"/>
            <w:vMerge w:val="restart"/>
            <w:tcBorders>
              <w:top w:val="nil"/>
              <w:left w:val="single" w:sz="8" w:space="0" w:color="auto"/>
              <w:bottom w:val="single" w:sz="8" w:space="0" w:color="000000"/>
              <w:right w:val="single" w:sz="8" w:space="0" w:color="auto"/>
            </w:tcBorders>
            <w:shd w:val="clear" w:color="000000" w:fill="C6D9F1"/>
            <w:vAlign w:val="center"/>
            <w:hideMark/>
          </w:tcPr>
          <w:p w14:paraId="7E8D659B"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Juzgado Civil, Trabajo y Familia II Circ. Jud. de Alajuela sede Upala**</w:t>
            </w:r>
          </w:p>
        </w:tc>
        <w:tc>
          <w:tcPr>
            <w:tcW w:w="1200" w:type="dxa"/>
            <w:tcBorders>
              <w:top w:val="nil"/>
              <w:left w:val="nil"/>
              <w:bottom w:val="single" w:sz="8" w:space="0" w:color="auto"/>
              <w:right w:val="single" w:sz="8" w:space="0" w:color="auto"/>
            </w:tcBorders>
            <w:shd w:val="clear" w:color="000000" w:fill="C6D9F1"/>
            <w:vAlign w:val="center"/>
            <w:hideMark/>
          </w:tcPr>
          <w:p w14:paraId="117FD4F6"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Civil</w:t>
            </w:r>
          </w:p>
        </w:tc>
        <w:tc>
          <w:tcPr>
            <w:tcW w:w="940" w:type="dxa"/>
            <w:vMerge w:val="restart"/>
            <w:tcBorders>
              <w:top w:val="nil"/>
              <w:left w:val="single" w:sz="8" w:space="0" w:color="auto"/>
              <w:bottom w:val="single" w:sz="8" w:space="0" w:color="000000"/>
              <w:right w:val="single" w:sz="8" w:space="0" w:color="auto"/>
            </w:tcBorders>
            <w:shd w:val="clear" w:color="000000" w:fill="C6D9F1"/>
            <w:noWrap/>
            <w:vAlign w:val="center"/>
            <w:hideMark/>
          </w:tcPr>
          <w:p w14:paraId="7019995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val="restart"/>
            <w:tcBorders>
              <w:top w:val="nil"/>
              <w:left w:val="single" w:sz="8" w:space="0" w:color="auto"/>
              <w:bottom w:val="single" w:sz="8" w:space="0" w:color="000000"/>
              <w:right w:val="single" w:sz="8" w:space="0" w:color="auto"/>
            </w:tcBorders>
            <w:shd w:val="clear" w:color="000000" w:fill="C6D9F1"/>
            <w:noWrap/>
            <w:vAlign w:val="center"/>
            <w:hideMark/>
          </w:tcPr>
          <w:p w14:paraId="211C6C6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140" w:type="dxa"/>
            <w:tcBorders>
              <w:top w:val="nil"/>
              <w:left w:val="nil"/>
              <w:bottom w:val="single" w:sz="8" w:space="0" w:color="auto"/>
              <w:right w:val="single" w:sz="8" w:space="0" w:color="auto"/>
            </w:tcBorders>
            <w:shd w:val="clear" w:color="000000" w:fill="C6D9F1"/>
            <w:noWrap/>
            <w:vAlign w:val="center"/>
            <w:hideMark/>
          </w:tcPr>
          <w:p w14:paraId="5A76B40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16E66FB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14</w:t>
            </w:r>
          </w:p>
        </w:tc>
        <w:tc>
          <w:tcPr>
            <w:tcW w:w="1180" w:type="dxa"/>
            <w:tcBorders>
              <w:top w:val="nil"/>
              <w:left w:val="nil"/>
              <w:bottom w:val="single" w:sz="8" w:space="0" w:color="auto"/>
              <w:right w:val="single" w:sz="8" w:space="0" w:color="auto"/>
            </w:tcBorders>
            <w:shd w:val="clear" w:color="000000" w:fill="C6D9F1"/>
            <w:noWrap/>
            <w:vAlign w:val="center"/>
            <w:hideMark/>
          </w:tcPr>
          <w:p w14:paraId="215908F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000" w:type="dxa"/>
            <w:tcBorders>
              <w:top w:val="nil"/>
              <w:left w:val="nil"/>
              <w:bottom w:val="single" w:sz="8" w:space="0" w:color="auto"/>
              <w:right w:val="single" w:sz="8" w:space="0" w:color="auto"/>
            </w:tcBorders>
            <w:shd w:val="clear" w:color="000000" w:fill="C6D9F1"/>
            <w:noWrap/>
            <w:vAlign w:val="center"/>
            <w:hideMark/>
          </w:tcPr>
          <w:p w14:paraId="6FB9AFC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14</w:t>
            </w:r>
          </w:p>
        </w:tc>
        <w:tc>
          <w:tcPr>
            <w:tcW w:w="1020" w:type="dxa"/>
            <w:tcBorders>
              <w:top w:val="nil"/>
              <w:left w:val="nil"/>
              <w:bottom w:val="single" w:sz="8" w:space="0" w:color="auto"/>
              <w:right w:val="single" w:sz="8" w:space="0" w:color="auto"/>
            </w:tcBorders>
            <w:shd w:val="clear" w:color="000000" w:fill="C6D9F1"/>
            <w:noWrap/>
            <w:vAlign w:val="center"/>
            <w:hideMark/>
          </w:tcPr>
          <w:p w14:paraId="4198C95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w:t>
            </w:r>
          </w:p>
        </w:tc>
        <w:tc>
          <w:tcPr>
            <w:tcW w:w="1000" w:type="dxa"/>
            <w:tcBorders>
              <w:top w:val="nil"/>
              <w:left w:val="nil"/>
              <w:bottom w:val="single" w:sz="8" w:space="0" w:color="auto"/>
              <w:right w:val="single" w:sz="8" w:space="0" w:color="auto"/>
            </w:tcBorders>
            <w:shd w:val="clear" w:color="000000" w:fill="C6D9F1"/>
            <w:vAlign w:val="center"/>
            <w:hideMark/>
          </w:tcPr>
          <w:p w14:paraId="1D71186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62%</w:t>
            </w:r>
          </w:p>
        </w:tc>
      </w:tr>
      <w:tr w:rsidR="00D6242E" w:rsidRPr="00652069" w14:paraId="2D223162"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262DF268"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4BB95799"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Familia</w:t>
            </w:r>
          </w:p>
        </w:tc>
        <w:tc>
          <w:tcPr>
            <w:tcW w:w="940" w:type="dxa"/>
            <w:vMerge/>
            <w:tcBorders>
              <w:top w:val="nil"/>
              <w:left w:val="single" w:sz="8" w:space="0" w:color="auto"/>
              <w:bottom w:val="single" w:sz="8" w:space="0" w:color="000000"/>
              <w:right w:val="single" w:sz="8" w:space="0" w:color="auto"/>
            </w:tcBorders>
            <w:vAlign w:val="center"/>
            <w:hideMark/>
          </w:tcPr>
          <w:p w14:paraId="20625DED"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78BA22AA"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17D0BE3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000000" w:fill="C6D9F1"/>
            <w:noWrap/>
            <w:vAlign w:val="center"/>
            <w:hideMark/>
          </w:tcPr>
          <w:p w14:paraId="3E1EBB9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36</w:t>
            </w:r>
          </w:p>
        </w:tc>
        <w:tc>
          <w:tcPr>
            <w:tcW w:w="1180" w:type="dxa"/>
            <w:tcBorders>
              <w:top w:val="nil"/>
              <w:left w:val="nil"/>
              <w:bottom w:val="single" w:sz="8" w:space="0" w:color="auto"/>
              <w:right w:val="single" w:sz="8" w:space="0" w:color="auto"/>
            </w:tcBorders>
            <w:shd w:val="clear" w:color="000000" w:fill="C6D9F1"/>
            <w:noWrap/>
            <w:vAlign w:val="center"/>
            <w:hideMark/>
          </w:tcPr>
          <w:p w14:paraId="3C10829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29</w:t>
            </w:r>
          </w:p>
        </w:tc>
        <w:tc>
          <w:tcPr>
            <w:tcW w:w="1000" w:type="dxa"/>
            <w:tcBorders>
              <w:top w:val="nil"/>
              <w:left w:val="nil"/>
              <w:bottom w:val="single" w:sz="8" w:space="0" w:color="auto"/>
              <w:right w:val="single" w:sz="8" w:space="0" w:color="auto"/>
            </w:tcBorders>
            <w:shd w:val="clear" w:color="000000" w:fill="C6D9F1"/>
            <w:noWrap/>
            <w:vAlign w:val="center"/>
            <w:hideMark/>
          </w:tcPr>
          <w:p w14:paraId="606F1E7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36</w:t>
            </w:r>
          </w:p>
        </w:tc>
        <w:tc>
          <w:tcPr>
            <w:tcW w:w="1020" w:type="dxa"/>
            <w:tcBorders>
              <w:top w:val="nil"/>
              <w:left w:val="nil"/>
              <w:bottom w:val="single" w:sz="8" w:space="0" w:color="auto"/>
              <w:right w:val="single" w:sz="8" w:space="0" w:color="auto"/>
            </w:tcBorders>
            <w:shd w:val="clear" w:color="000000" w:fill="C6D9F1"/>
            <w:noWrap/>
            <w:vAlign w:val="center"/>
            <w:hideMark/>
          </w:tcPr>
          <w:p w14:paraId="21F1ABB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w:t>
            </w:r>
          </w:p>
        </w:tc>
        <w:tc>
          <w:tcPr>
            <w:tcW w:w="1000" w:type="dxa"/>
            <w:tcBorders>
              <w:top w:val="nil"/>
              <w:left w:val="nil"/>
              <w:bottom w:val="single" w:sz="8" w:space="0" w:color="auto"/>
              <w:right w:val="single" w:sz="8" w:space="0" w:color="auto"/>
            </w:tcBorders>
            <w:shd w:val="clear" w:color="000000" w:fill="C6D9F1"/>
            <w:vAlign w:val="center"/>
            <w:hideMark/>
          </w:tcPr>
          <w:p w14:paraId="4F55E43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82%</w:t>
            </w:r>
          </w:p>
        </w:tc>
      </w:tr>
      <w:tr w:rsidR="00D6242E" w:rsidRPr="00652069" w14:paraId="389BD5BC"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13CD570B"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4790FDB0"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Trabajo</w:t>
            </w:r>
          </w:p>
        </w:tc>
        <w:tc>
          <w:tcPr>
            <w:tcW w:w="940" w:type="dxa"/>
            <w:tcBorders>
              <w:top w:val="nil"/>
              <w:left w:val="nil"/>
              <w:bottom w:val="single" w:sz="8" w:space="0" w:color="000000"/>
              <w:right w:val="single" w:sz="8" w:space="0" w:color="auto"/>
            </w:tcBorders>
            <w:shd w:val="clear" w:color="000000" w:fill="C6D9F1"/>
            <w:noWrap/>
            <w:vAlign w:val="center"/>
            <w:hideMark/>
          </w:tcPr>
          <w:p w14:paraId="206127B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4A3DB56E"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3C6612E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32F00ED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14</w:t>
            </w:r>
          </w:p>
        </w:tc>
        <w:tc>
          <w:tcPr>
            <w:tcW w:w="1180" w:type="dxa"/>
            <w:tcBorders>
              <w:top w:val="nil"/>
              <w:left w:val="nil"/>
              <w:bottom w:val="single" w:sz="8" w:space="0" w:color="auto"/>
              <w:right w:val="single" w:sz="8" w:space="0" w:color="auto"/>
            </w:tcBorders>
            <w:shd w:val="clear" w:color="000000" w:fill="C6D9F1"/>
            <w:noWrap/>
            <w:vAlign w:val="center"/>
            <w:hideMark/>
          </w:tcPr>
          <w:p w14:paraId="3E774A8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12</w:t>
            </w:r>
          </w:p>
        </w:tc>
        <w:tc>
          <w:tcPr>
            <w:tcW w:w="1000" w:type="dxa"/>
            <w:tcBorders>
              <w:top w:val="nil"/>
              <w:left w:val="nil"/>
              <w:bottom w:val="single" w:sz="8" w:space="0" w:color="auto"/>
              <w:right w:val="single" w:sz="8" w:space="0" w:color="auto"/>
            </w:tcBorders>
            <w:shd w:val="clear" w:color="000000" w:fill="C6D9F1"/>
            <w:noWrap/>
            <w:vAlign w:val="center"/>
            <w:hideMark/>
          </w:tcPr>
          <w:p w14:paraId="01728B1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14</w:t>
            </w:r>
          </w:p>
        </w:tc>
        <w:tc>
          <w:tcPr>
            <w:tcW w:w="1020" w:type="dxa"/>
            <w:tcBorders>
              <w:top w:val="nil"/>
              <w:left w:val="nil"/>
              <w:bottom w:val="single" w:sz="8" w:space="0" w:color="auto"/>
              <w:right w:val="single" w:sz="8" w:space="0" w:color="auto"/>
            </w:tcBorders>
            <w:shd w:val="clear" w:color="000000" w:fill="C6D9F1"/>
            <w:noWrap/>
            <w:vAlign w:val="center"/>
            <w:hideMark/>
          </w:tcPr>
          <w:p w14:paraId="224DA7E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w:t>
            </w:r>
          </w:p>
        </w:tc>
        <w:tc>
          <w:tcPr>
            <w:tcW w:w="1000" w:type="dxa"/>
            <w:tcBorders>
              <w:top w:val="nil"/>
              <w:left w:val="nil"/>
              <w:bottom w:val="single" w:sz="8" w:space="0" w:color="auto"/>
              <w:right w:val="single" w:sz="8" w:space="0" w:color="auto"/>
            </w:tcBorders>
            <w:shd w:val="clear" w:color="000000" w:fill="C6D9F1"/>
            <w:vAlign w:val="center"/>
            <w:hideMark/>
          </w:tcPr>
          <w:p w14:paraId="182E05A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87%</w:t>
            </w:r>
          </w:p>
        </w:tc>
      </w:tr>
      <w:tr w:rsidR="00D6242E" w:rsidRPr="00652069" w14:paraId="52227CE1"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4D636B5E"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7A1AE40A"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Familia</w:t>
            </w:r>
          </w:p>
        </w:tc>
        <w:tc>
          <w:tcPr>
            <w:tcW w:w="940" w:type="dxa"/>
            <w:tcBorders>
              <w:top w:val="nil"/>
              <w:left w:val="nil"/>
              <w:bottom w:val="nil"/>
              <w:right w:val="single" w:sz="8" w:space="0" w:color="auto"/>
            </w:tcBorders>
            <w:shd w:val="clear" w:color="000000" w:fill="C6D9F1"/>
            <w:noWrap/>
            <w:vAlign w:val="center"/>
            <w:hideMark/>
          </w:tcPr>
          <w:p w14:paraId="74AB4D3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6ABF15DE"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3FB6D77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000000" w:fill="C6D9F1"/>
            <w:noWrap/>
            <w:vAlign w:val="center"/>
            <w:hideMark/>
          </w:tcPr>
          <w:p w14:paraId="6474C6B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36</w:t>
            </w:r>
          </w:p>
        </w:tc>
        <w:tc>
          <w:tcPr>
            <w:tcW w:w="1180" w:type="dxa"/>
            <w:tcBorders>
              <w:top w:val="nil"/>
              <w:left w:val="nil"/>
              <w:bottom w:val="single" w:sz="8" w:space="0" w:color="auto"/>
              <w:right w:val="single" w:sz="8" w:space="0" w:color="auto"/>
            </w:tcBorders>
            <w:shd w:val="clear" w:color="000000" w:fill="C6D9F1"/>
            <w:noWrap/>
            <w:vAlign w:val="center"/>
            <w:hideMark/>
          </w:tcPr>
          <w:p w14:paraId="6EF78C0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29</w:t>
            </w:r>
          </w:p>
        </w:tc>
        <w:tc>
          <w:tcPr>
            <w:tcW w:w="1000" w:type="dxa"/>
            <w:tcBorders>
              <w:top w:val="nil"/>
              <w:left w:val="nil"/>
              <w:bottom w:val="single" w:sz="8" w:space="0" w:color="auto"/>
              <w:right w:val="single" w:sz="8" w:space="0" w:color="auto"/>
            </w:tcBorders>
            <w:shd w:val="clear" w:color="000000" w:fill="C6D9F1"/>
            <w:noWrap/>
            <w:vAlign w:val="center"/>
            <w:hideMark/>
          </w:tcPr>
          <w:p w14:paraId="29C3E1E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18</w:t>
            </w:r>
          </w:p>
        </w:tc>
        <w:tc>
          <w:tcPr>
            <w:tcW w:w="1020" w:type="dxa"/>
            <w:tcBorders>
              <w:top w:val="nil"/>
              <w:left w:val="nil"/>
              <w:bottom w:val="single" w:sz="8" w:space="0" w:color="auto"/>
              <w:right w:val="single" w:sz="8" w:space="0" w:color="auto"/>
            </w:tcBorders>
            <w:shd w:val="clear" w:color="000000" w:fill="C6D9F1"/>
            <w:noWrap/>
            <w:vAlign w:val="center"/>
            <w:hideMark/>
          </w:tcPr>
          <w:p w14:paraId="5ABF24D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w:t>
            </w:r>
          </w:p>
        </w:tc>
        <w:tc>
          <w:tcPr>
            <w:tcW w:w="1000" w:type="dxa"/>
            <w:tcBorders>
              <w:top w:val="nil"/>
              <w:left w:val="nil"/>
              <w:bottom w:val="single" w:sz="8" w:space="0" w:color="auto"/>
              <w:right w:val="single" w:sz="8" w:space="0" w:color="auto"/>
            </w:tcBorders>
            <w:shd w:val="clear" w:color="000000" w:fill="C6D9F1"/>
            <w:vAlign w:val="center"/>
            <w:hideMark/>
          </w:tcPr>
          <w:p w14:paraId="71F4A9C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82%</w:t>
            </w:r>
          </w:p>
        </w:tc>
      </w:tr>
      <w:tr w:rsidR="00D6242E" w:rsidRPr="00652069" w14:paraId="06085282"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101D9D22"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5B21C936"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Viol. Dom.</w:t>
            </w:r>
          </w:p>
        </w:tc>
        <w:tc>
          <w:tcPr>
            <w:tcW w:w="940" w:type="dxa"/>
            <w:vMerge w:val="restart"/>
            <w:tcBorders>
              <w:top w:val="single" w:sz="8" w:space="0" w:color="000000"/>
              <w:left w:val="single" w:sz="8" w:space="0" w:color="auto"/>
              <w:bottom w:val="single" w:sz="8" w:space="0" w:color="000000"/>
              <w:right w:val="single" w:sz="8" w:space="0" w:color="auto"/>
            </w:tcBorders>
            <w:shd w:val="clear" w:color="000000" w:fill="C6D9F1"/>
            <w:noWrap/>
            <w:vAlign w:val="center"/>
            <w:hideMark/>
          </w:tcPr>
          <w:p w14:paraId="3A310EB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070F0E47"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67A3744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04B1F59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67</w:t>
            </w:r>
          </w:p>
        </w:tc>
        <w:tc>
          <w:tcPr>
            <w:tcW w:w="1180" w:type="dxa"/>
            <w:tcBorders>
              <w:top w:val="nil"/>
              <w:left w:val="nil"/>
              <w:bottom w:val="single" w:sz="8" w:space="0" w:color="auto"/>
              <w:right w:val="single" w:sz="8" w:space="0" w:color="auto"/>
            </w:tcBorders>
            <w:shd w:val="clear" w:color="000000" w:fill="C6D9F1"/>
            <w:noWrap/>
            <w:vAlign w:val="center"/>
            <w:hideMark/>
          </w:tcPr>
          <w:p w14:paraId="3A272AC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73</w:t>
            </w:r>
          </w:p>
        </w:tc>
        <w:tc>
          <w:tcPr>
            <w:tcW w:w="1000" w:type="dxa"/>
            <w:tcBorders>
              <w:top w:val="nil"/>
              <w:left w:val="nil"/>
              <w:bottom w:val="single" w:sz="8" w:space="0" w:color="auto"/>
              <w:right w:val="single" w:sz="8" w:space="0" w:color="auto"/>
            </w:tcBorders>
            <w:shd w:val="clear" w:color="000000" w:fill="C6D9F1"/>
            <w:noWrap/>
            <w:vAlign w:val="center"/>
            <w:hideMark/>
          </w:tcPr>
          <w:p w14:paraId="0BA0B90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67</w:t>
            </w:r>
          </w:p>
        </w:tc>
        <w:tc>
          <w:tcPr>
            <w:tcW w:w="1020" w:type="dxa"/>
            <w:tcBorders>
              <w:top w:val="nil"/>
              <w:left w:val="nil"/>
              <w:bottom w:val="single" w:sz="8" w:space="0" w:color="auto"/>
              <w:right w:val="single" w:sz="8" w:space="0" w:color="auto"/>
            </w:tcBorders>
            <w:shd w:val="clear" w:color="000000" w:fill="C6D9F1"/>
            <w:noWrap/>
            <w:vAlign w:val="center"/>
            <w:hideMark/>
          </w:tcPr>
          <w:p w14:paraId="2FE65BB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13</w:t>
            </w:r>
          </w:p>
        </w:tc>
        <w:tc>
          <w:tcPr>
            <w:tcW w:w="1000" w:type="dxa"/>
            <w:tcBorders>
              <w:top w:val="nil"/>
              <w:left w:val="nil"/>
              <w:bottom w:val="single" w:sz="8" w:space="0" w:color="auto"/>
              <w:right w:val="single" w:sz="8" w:space="0" w:color="auto"/>
            </w:tcBorders>
            <w:shd w:val="clear" w:color="000000" w:fill="C6D9F1"/>
            <w:vAlign w:val="center"/>
            <w:hideMark/>
          </w:tcPr>
          <w:p w14:paraId="33595B1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109%</w:t>
            </w:r>
          </w:p>
        </w:tc>
      </w:tr>
      <w:tr w:rsidR="00D6242E" w:rsidRPr="00652069" w14:paraId="7545AFAD" w14:textId="77777777" w:rsidTr="003F3165">
        <w:trPr>
          <w:trHeight w:val="530"/>
          <w:jc w:val="center"/>
        </w:trPr>
        <w:tc>
          <w:tcPr>
            <w:tcW w:w="1200" w:type="dxa"/>
            <w:vMerge/>
            <w:tcBorders>
              <w:top w:val="nil"/>
              <w:left w:val="single" w:sz="8" w:space="0" w:color="auto"/>
              <w:bottom w:val="single" w:sz="8" w:space="0" w:color="000000"/>
              <w:right w:val="single" w:sz="8" w:space="0" w:color="auto"/>
            </w:tcBorders>
            <w:vAlign w:val="center"/>
            <w:hideMark/>
          </w:tcPr>
          <w:p w14:paraId="0851EDD7"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4A1E15D0"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Penal Juvenil</w:t>
            </w:r>
          </w:p>
        </w:tc>
        <w:tc>
          <w:tcPr>
            <w:tcW w:w="940" w:type="dxa"/>
            <w:vMerge/>
            <w:tcBorders>
              <w:top w:val="single" w:sz="8" w:space="0" w:color="000000"/>
              <w:left w:val="single" w:sz="8" w:space="0" w:color="auto"/>
              <w:bottom w:val="single" w:sz="8" w:space="0" w:color="000000"/>
              <w:right w:val="single" w:sz="8" w:space="0" w:color="auto"/>
            </w:tcBorders>
            <w:vAlign w:val="center"/>
            <w:hideMark/>
          </w:tcPr>
          <w:p w14:paraId="7F37BC0D"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183649B8"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75B6C93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00525E1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w:t>
            </w:r>
          </w:p>
        </w:tc>
        <w:tc>
          <w:tcPr>
            <w:tcW w:w="1180" w:type="dxa"/>
            <w:tcBorders>
              <w:top w:val="nil"/>
              <w:left w:val="nil"/>
              <w:bottom w:val="single" w:sz="8" w:space="0" w:color="auto"/>
              <w:right w:val="single" w:sz="8" w:space="0" w:color="auto"/>
            </w:tcBorders>
            <w:shd w:val="clear" w:color="000000" w:fill="C6D9F1"/>
            <w:noWrap/>
            <w:vAlign w:val="center"/>
            <w:hideMark/>
          </w:tcPr>
          <w:p w14:paraId="72F0257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11</w:t>
            </w:r>
          </w:p>
        </w:tc>
        <w:tc>
          <w:tcPr>
            <w:tcW w:w="1000" w:type="dxa"/>
            <w:tcBorders>
              <w:top w:val="nil"/>
              <w:left w:val="nil"/>
              <w:bottom w:val="single" w:sz="8" w:space="0" w:color="auto"/>
              <w:right w:val="single" w:sz="8" w:space="0" w:color="auto"/>
            </w:tcBorders>
            <w:shd w:val="clear" w:color="000000" w:fill="C6D9F1"/>
            <w:noWrap/>
            <w:vAlign w:val="center"/>
            <w:hideMark/>
          </w:tcPr>
          <w:p w14:paraId="01DA3E45"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w:t>
            </w:r>
          </w:p>
        </w:tc>
        <w:tc>
          <w:tcPr>
            <w:tcW w:w="1020" w:type="dxa"/>
            <w:tcBorders>
              <w:top w:val="nil"/>
              <w:left w:val="nil"/>
              <w:bottom w:val="single" w:sz="8" w:space="0" w:color="auto"/>
              <w:right w:val="single" w:sz="8" w:space="0" w:color="auto"/>
            </w:tcBorders>
            <w:shd w:val="clear" w:color="000000" w:fill="C6D9F1"/>
            <w:noWrap/>
            <w:vAlign w:val="center"/>
            <w:hideMark/>
          </w:tcPr>
          <w:p w14:paraId="2C939E7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w:t>
            </w:r>
          </w:p>
        </w:tc>
        <w:tc>
          <w:tcPr>
            <w:tcW w:w="1000" w:type="dxa"/>
            <w:tcBorders>
              <w:top w:val="nil"/>
              <w:left w:val="nil"/>
              <w:bottom w:val="single" w:sz="8" w:space="0" w:color="auto"/>
              <w:right w:val="single" w:sz="8" w:space="0" w:color="auto"/>
            </w:tcBorders>
            <w:shd w:val="clear" w:color="000000" w:fill="C6D9F1"/>
            <w:vAlign w:val="center"/>
            <w:hideMark/>
          </w:tcPr>
          <w:p w14:paraId="36339E1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108%</w:t>
            </w:r>
          </w:p>
        </w:tc>
      </w:tr>
      <w:tr w:rsidR="00D6242E" w:rsidRPr="00652069" w14:paraId="71BB26BD"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0D716454"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5222B452"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Agrario</w:t>
            </w:r>
          </w:p>
        </w:tc>
        <w:tc>
          <w:tcPr>
            <w:tcW w:w="940" w:type="dxa"/>
            <w:tcBorders>
              <w:top w:val="nil"/>
              <w:left w:val="nil"/>
              <w:bottom w:val="single" w:sz="8" w:space="0" w:color="auto"/>
              <w:right w:val="single" w:sz="8" w:space="0" w:color="auto"/>
            </w:tcBorders>
            <w:shd w:val="clear" w:color="000000" w:fill="C6D9F1"/>
            <w:vAlign w:val="center"/>
            <w:hideMark/>
          </w:tcPr>
          <w:p w14:paraId="186C846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162062B9"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73781DF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6223310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23</w:t>
            </w:r>
          </w:p>
        </w:tc>
        <w:tc>
          <w:tcPr>
            <w:tcW w:w="1180" w:type="dxa"/>
            <w:tcBorders>
              <w:top w:val="nil"/>
              <w:left w:val="nil"/>
              <w:bottom w:val="single" w:sz="8" w:space="0" w:color="auto"/>
              <w:right w:val="single" w:sz="8" w:space="0" w:color="auto"/>
            </w:tcBorders>
            <w:shd w:val="clear" w:color="000000" w:fill="C6D9F1"/>
            <w:noWrap/>
            <w:vAlign w:val="center"/>
            <w:hideMark/>
          </w:tcPr>
          <w:p w14:paraId="7B1CA35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15</w:t>
            </w:r>
          </w:p>
        </w:tc>
        <w:tc>
          <w:tcPr>
            <w:tcW w:w="1000" w:type="dxa"/>
            <w:tcBorders>
              <w:top w:val="nil"/>
              <w:left w:val="nil"/>
              <w:bottom w:val="single" w:sz="8" w:space="0" w:color="auto"/>
              <w:right w:val="single" w:sz="8" w:space="0" w:color="auto"/>
            </w:tcBorders>
            <w:shd w:val="clear" w:color="000000" w:fill="C6D9F1"/>
            <w:noWrap/>
            <w:vAlign w:val="center"/>
            <w:hideMark/>
          </w:tcPr>
          <w:p w14:paraId="14B363F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23</w:t>
            </w:r>
          </w:p>
        </w:tc>
        <w:tc>
          <w:tcPr>
            <w:tcW w:w="1020" w:type="dxa"/>
            <w:tcBorders>
              <w:top w:val="nil"/>
              <w:left w:val="nil"/>
              <w:bottom w:val="single" w:sz="8" w:space="0" w:color="auto"/>
              <w:right w:val="single" w:sz="8" w:space="0" w:color="auto"/>
            </w:tcBorders>
            <w:shd w:val="clear" w:color="000000" w:fill="C6D9F1"/>
            <w:noWrap/>
            <w:vAlign w:val="center"/>
            <w:hideMark/>
          </w:tcPr>
          <w:p w14:paraId="410E3A3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00" w:type="dxa"/>
            <w:tcBorders>
              <w:top w:val="nil"/>
              <w:left w:val="nil"/>
              <w:bottom w:val="single" w:sz="8" w:space="0" w:color="auto"/>
              <w:right w:val="single" w:sz="8" w:space="0" w:color="auto"/>
            </w:tcBorders>
            <w:shd w:val="clear" w:color="000000" w:fill="C6D9F1"/>
            <w:vAlign w:val="center"/>
            <w:hideMark/>
          </w:tcPr>
          <w:p w14:paraId="59DC411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65%</w:t>
            </w:r>
          </w:p>
        </w:tc>
      </w:tr>
      <w:tr w:rsidR="00D6242E" w:rsidRPr="00652069" w14:paraId="53F0A697" w14:textId="77777777" w:rsidTr="003F3165">
        <w:trPr>
          <w:trHeight w:val="300"/>
          <w:jc w:val="center"/>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33CA10C1"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Juzgado Civil, Trabajo y Familia Osa</w:t>
            </w:r>
          </w:p>
        </w:tc>
        <w:tc>
          <w:tcPr>
            <w:tcW w:w="1200" w:type="dxa"/>
            <w:tcBorders>
              <w:top w:val="nil"/>
              <w:left w:val="nil"/>
              <w:bottom w:val="single" w:sz="8" w:space="0" w:color="auto"/>
              <w:right w:val="single" w:sz="8" w:space="0" w:color="auto"/>
            </w:tcBorders>
            <w:shd w:val="clear" w:color="auto" w:fill="auto"/>
            <w:vAlign w:val="center"/>
            <w:hideMark/>
          </w:tcPr>
          <w:p w14:paraId="69F18BC3"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Civil</w:t>
            </w:r>
          </w:p>
        </w:tc>
        <w:tc>
          <w:tcPr>
            <w:tcW w:w="94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28B94E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w:t>
            </w:r>
          </w:p>
        </w:tc>
        <w:tc>
          <w:tcPr>
            <w:tcW w:w="10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FDC2C5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w:t>
            </w:r>
          </w:p>
        </w:tc>
        <w:tc>
          <w:tcPr>
            <w:tcW w:w="1140" w:type="dxa"/>
            <w:tcBorders>
              <w:top w:val="nil"/>
              <w:left w:val="nil"/>
              <w:bottom w:val="single" w:sz="8" w:space="0" w:color="auto"/>
              <w:right w:val="single" w:sz="8" w:space="0" w:color="auto"/>
            </w:tcBorders>
            <w:shd w:val="clear" w:color="auto" w:fill="auto"/>
            <w:vAlign w:val="center"/>
            <w:hideMark/>
          </w:tcPr>
          <w:p w14:paraId="6C9D2DD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64F55CA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w:t>
            </w:r>
          </w:p>
        </w:tc>
        <w:tc>
          <w:tcPr>
            <w:tcW w:w="1180" w:type="dxa"/>
            <w:tcBorders>
              <w:top w:val="nil"/>
              <w:left w:val="nil"/>
              <w:bottom w:val="single" w:sz="8" w:space="0" w:color="auto"/>
              <w:right w:val="single" w:sz="8" w:space="0" w:color="auto"/>
            </w:tcBorders>
            <w:shd w:val="clear" w:color="auto" w:fill="auto"/>
            <w:vAlign w:val="center"/>
            <w:hideMark/>
          </w:tcPr>
          <w:p w14:paraId="33F0B675"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w:t>
            </w:r>
          </w:p>
        </w:tc>
        <w:tc>
          <w:tcPr>
            <w:tcW w:w="1000" w:type="dxa"/>
            <w:tcBorders>
              <w:top w:val="nil"/>
              <w:left w:val="nil"/>
              <w:bottom w:val="single" w:sz="8" w:space="0" w:color="auto"/>
              <w:right w:val="single" w:sz="8" w:space="0" w:color="auto"/>
            </w:tcBorders>
            <w:shd w:val="clear" w:color="auto" w:fill="auto"/>
            <w:vAlign w:val="center"/>
            <w:hideMark/>
          </w:tcPr>
          <w:p w14:paraId="3494720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20" w:type="dxa"/>
            <w:tcBorders>
              <w:top w:val="nil"/>
              <w:left w:val="nil"/>
              <w:bottom w:val="single" w:sz="8" w:space="0" w:color="auto"/>
              <w:right w:val="single" w:sz="8" w:space="0" w:color="auto"/>
            </w:tcBorders>
            <w:shd w:val="clear" w:color="auto" w:fill="auto"/>
            <w:vAlign w:val="center"/>
            <w:hideMark/>
          </w:tcPr>
          <w:p w14:paraId="3DE77A5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w:t>
            </w:r>
          </w:p>
        </w:tc>
        <w:tc>
          <w:tcPr>
            <w:tcW w:w="1000" w:type="dxa"/>
            <w:tcBorders>
              <w:top w:val="nil"/>
              <w:left w:val="nil"/>
              <w:bottom w:val="single" w:sz="8" w:space="0" w:color="auto"/>
              <w:right w:val="single" w:sz="8" w:space="0" w:color="auto"/>
            </w:tcBorders>
            <w:shd w:val="clear" w:color="auto" w:fill="auto"/>
            <w:vAlign w:val="center"/>
            <w:hideMark/>
          </w:tcPr>
          <w:p w14:paraId="744D48D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76%</w:t>
            </w:r>
          </w:p>
        </w:tc>
      </w:tr>
      <w:tr w:rsidR="00D6242E" w:rsidRPr="00652069" w14:paraId="519DC893"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5233CF23"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289E5B37"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Trabajo</w:t>
            </w:r>
          </w:p>
        </w:tc>
        <w:tc>
          <w:tcPr>
            <w:tcW w:w="940" w:type="dxa"/>
            <w:vMerge/>
            <w:tcBorders>
              <w:top w:val="nil"/>
              <w:left w:val="single" w:sz="8" w:space="0" w:color="auto"/>
              <w:bottom w:val="single" w:sz="8" w:space="0" w:color="000000"/>
              <w:right w:val="single" w:sz="8" w:space="0" w:color="auto"/>
            </w:tcBorders>
            <w:vAlign w:val="center"/>
            <w:hideMark/>
          </w:tcPr>
          <w:p w14:paraId="5E1E1D3A"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44542884"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6BA31FC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6C05F3B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15</w:t>
            </w:r>
          </w:p>
        </w:tc>
        <w:tc>
          <w:tcPr>
            <w:tcW w:w="1180" w:type="dxa"/>
            <w:tcBorders>
              <w:top w:val="nil"/>
              <w:left w:val="nil"/>
              <w:bottom w:val="single" w:sz="8" w:space="0" w:color="auto"/>
              <w:right w:val="single" w:sz="8" w:space="0" w:color="auto"/>
            </w:tcBorders>
            <w:shd w:val="clear" w:color="auto" w:fill="auto"/>
            <w:vAlign w:val="center"/>
            <w:hideMark/>
          </w:tcPr>
          <w:p w14:paraId="3B64CEE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14</w:t>
            </w:r>
          </w:p>
        </w:tc>
        <w:tc>
          <w:tcPr>
            <w:tcW w:w="1000" w:type="dxa"/>
            <w:tcBorders>
              <w:top w:val="nil"/>
              <w:left w:val="nil"/>
              <w:bottom w:val="single" w:sz="8" w:space="0" w:color="auto"/>
              <w:right w:val="single" w:sz="8" w:space="0" w:color="auto"/>
            </w:tcBorders>
            <w:shd w:val="clear" w:color="auto" w:fill="auto"/>
            <w:vAlign w:val="center"/>
            <w:hideMark/>
          </w:tcPr>
          <w:p w14:paraId="2562A97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w:t>
            </w:r>
          </w:p>
        </w:tc>
        <w:tc>
          <w:tcPr>
            <w:tcW w:w="1020" w:type="dxa"/>
            <w:tcBorders>
              <w:top w:val="nil"/>
              <w:left w:val="nil"/>
              <w:bottom w:val="single" w:sz="8" w:space="0" w:color="auto"/>
              <w:right w:val="single" w:sz="8" w:space="0" w:color="auto"/>
            </w:tcBorders>
            <w:shd w:val="clear" w:color="auto" w:fill="auto"/>
            <w:vAlign w:val="center"/>
            <w:hideMark/>
          </w:tcPr>
          <w:p w14:paraId="550C3ED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w:t>
            </w:r>
          </w:p>
        </w:tc>
        <w:tc>
          <w:tcPr>
            <w:tcW w:w="1000" w:type="dxa"/>
            <w:tcBorders>
              <w:top w:val="nil"/>
              <w:left w:val="nil"/>
              <w:bottom w:val="single" w:sz="8" w:space="0" w:color="auto"/>
              <w:right w:val="single" w:sz="8" w:space="0" w:color="auto"/>
            </w:tcBorders>
            <w:shd w:val="clear" w:color="auto" w:fill="auto"/>
            <w:vAlign w:val="center"/>
            <w:hideMark/>
          </w:tcPr>
          <w:p w14:paraId="51D41E5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94%</w:t>
            </w:r>
          </w:p>
        </w:tc>
      </w:tr>
      <w:tr w:rsidR="00D6242E" w:rsidRPr="00652069" w14:paraId="18D9C920"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2D2493BC"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6F444F16"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Familia</w:t>
            </w:r>
          </w:p>
        </w:tc>
        <w:tc>
          <w:tcPr>
            <w:tcW w:w="940" w:type="dxa"/>
            <w:vMerge/>
            <w:tcBorders>
              <w:top w:val="nil"/>
              <w:left w:val="single" w:sz="8" w:space="0" w:color="auto"/>
              <w:bottom w:val="single" w:sz="8" w:space="0" w:color="000000"/>
              <w:right w:val="single" w:sz="8" w:space="0" w:color="auto"/>
            </w:tcBorders>
            <w:vAlign w:val="center"/>
            <w:hideMark/>
          </w:tcPr>
          <w:p w14:paraId="2A9AFD3F"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16F23647"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6518F3D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094F8C3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33</w:t>
            </w:r>
          </w:p>
        </w:tc>
        <w:tc>
          <w:tcPr>
            <w:tcW w:w="1180" w:type="dxa"/>
            <w:tcBorders>
              <w:top w:val="nil"/>
              <w:left w:val="nil"/>
              <w:bottom w:val="single" w:sz="8" w:space="0" w:color="auto"/>
              <w:right w:val="single" w:sz="8" w:space="0" w:color="auto"/>
            </w:tcBorders>
            <w:shd w:val="clear" w:color="auto" w:fill="auto"/>
            <w:vAlign w:val="center"/>
            <w:hideMark/>
          </w:tcPr>
          <w:p w14:paraId="4BC2352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26</w:t>
            </w:r>
          </w:p>
        </w:tc>
        <w:tc>
          <w:tcPr>
            <w:tcW w:w="1000" w:type="dxa"/>
            <w:tcBorders>
              <w:top w:val="nil"/>
              <w:left w:val="nil"/>
              <w:bottom w:val="single" w:sz="8" w:space="0" w:color="auto"/>
              <w:right w:val="single" w:sz="8" w:space="0" w:color="auto"/>
            </w:tcBorders>
            <w:shd w:val="clear" w:color="auto" w:fill="auto"/>
            <w:vAlign w:val="center"/>
            <w:hideMark/>
          </w:tcPr>
          <w:p w14:paraId="747CFA1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16</w:t>
            </w:r>
          </w:p>
        </w:tc>
        <w:tc>
          <w:tcPr>
            <w:tcW w:w="1020" w:type="dxa"/>
            <w:tcBorders>
              <w:top w:val="nil"/>
              <w:left w:val="nil"/>
              <w:bottom w:val="single" w:sz="8" w:space="0" w:color="auto"/>
              <w:right w:val="single" w:sz="8" w:space="0" w:color="auto"/>
            </w:tcBorders>
            <w:shd w:val="clear" w:color="auto" w:fill="auto"/>
            <w:vAlign w:val="center"/>
            <w:hideMark/>
          </w:tcPr>
          <w:p w14:paraId="7993530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w:t>
            </w:r>
          </w:p>
        </w:tc>
        <w:tc>
          <w:tcPr>
            <w:tcW w:w="1000" w:type="dxa"/>
            <w:tcBorders>
              <w:top w:val="nil"/>
              <w:left w:val="nil"/>
              <w:bottom w:val="single" w:sz="8" w:space="0" w:color="auto"/>
              <w:right w:val="single" w:sz="8" w:space="0" w:color="auto"/>
            </w:tcBorders>
            <w:shd w:val="clear" w:color="auto" w:fill="auto"/>
            <w:vAlign w:val="center"/>
            <w:hideMark/>
          </w:tcPr>
          <w:p w14:paraId="23E4BAA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80%</w:t>
            </w:r>
          </w:p>
        </w:tc>
      </w:tr>
      <w:tr w:rsidR="00D6242E" w:rsidRPr="00652069" w14:paraId="7E84FEB2"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7605A165"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510D988D"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Viol. Dom.</w:t>
            </w:r>
          </w:p>
        </w:tc>
        <w:tc>
          <w:tcPr>
            <w:tcW w:w="940" w:type="dxa"/>
            <w:vMerge/>
            <w:tcBorders>
              <w:top w:val="nil"/>
              <w:left w:val="single" w:sz="8" w:space="0" w:color="auto"/>
              <w:bottom w:val="single" w:sz="8" w:space="0" w:color="000000"/>
              <w:right w:val="single" w:sz="8" w:space="0" w:color="auto"/>
            </w:tcBorders>
            <w:vAlign w:val="center"/>
            <w:hideMark/>
          </w:tcPr>
          <w:p w14:paraId="11A2329E"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167C7F43"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412AF91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28A2D9B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49</w:t>
            </w:r>
          </w:p>
        </w:tc>
        <w:tc>
          <w:tcPr>
            <w:tcW w:w="1180" w:type="dxa"/>
            <w:tcBorders>
              <w:top w:val="nil"/>
              <w:left w:val="nil"/>
              <w:bottom w:val="single" w:sz="8" w:space="0" w:color="auto"/>
              <w:right w:val="single" w:sz="8" w:space="0" w:color="auto"/>
            </w:tcBorders>
            <w:shd w:val="clear" w:color="auto" w:fill="auto"/>
            <w:vAlign w:val="center"/>
            <w:hideMark/>
          </w:tcPr>
          <w:p w14:paraId="0A86628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49</w:t>
            </w:r>
          </w:p>
        </w:tc>
        <w:tc>
          <w:tcPr>
            <w:tcW w:w="1000" w:type="dxa"/>
            <w:tcBorders>
              <w:top w:val="nil"/>
              <w:left w:val="nil"/>
              <w:bottom w:val="single" w:sz="8" w:space="0" w:color="auto"/>
              <w:right w:val="single" w:sz="8" w:space="0" w:color="auto"/>
            </w:tcBorders>
            <w:shd w:val="clear" w:color="auto" w:fill="auto"/>
            <w:vAlign w:val="center"/>
            <w:hideMark/>
          </w:tcPr>
          <w:p w14:paraId="607F696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25</w:t>
            </w:r>
          </w:p>
        </w:tc>
        <w:tc>
          <w:tcPr>
            <w:tcW w:w="1020" w:type="dxa"/>
            <w:tcBorders>
              <w:top w:val="nil"/>
              <w:left w:val="nil"/>
              <w:bottom w:val="single" w:sz="8" w:space="0" w:color="auto"/>
              <w:right w:val="single" w:sz="8" w:space="0" w:color="auto"/>
            </w:tcBorders>
            <w:shd w:val="clear" w:color="auto" w:fill="auto"/>
            <w:vAlign w:val="center"/>
            <w:hideMark/>
          </w:tcPr>
          <w:p w14:paraId="12FA83E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12</w:t>
            </w:r>
          </w:p>
        </w:tc>
        <w:tc>
          <w:tcPr>
            <w:tcW w:w="1000" w:type="dxa"/>
            <w:tcBorders>
              <w:top w:val="nil"/>
              <w:left w:val="nil"/>
              <w:bottom w:val="single" w:sz="8" w:space="0" w:color="auto"/>
              <w:right w:val="single" w:sz="8" w:space="0" w:color="auto"/>
            </w:tcBorders>
            <w:shd w:val="clear" w:color="auto" w:fill="auto"/>
            <w:vAlign w:val="center"/>
            <w:hideMark/>
          </w:tcPr>
          <w:p w14:paraId="2FA2402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99%</w:t>
            </w:r>
          </w:p>
        </w:tc>
      </w:tr>
      <w:tr w:rsidR="00D6242E" w:rsidRPr="00652069" w14:paraId="3D746771" w14:textId="77777777" w:rsidTr="003F3165">
        <w:trPr>
          <w:trHeight w:val="530"/>
          <w:jc w:val="center"/>
        </w:trPr>
        <w:tc>
          <w:tcPr>
            <w:tcW w:w="1200" w:type="dxa"/>
            <w:vMerge/>
            <w:tcBorders>
              <w:top w:val="nil"/>
              <w:left w:val="single" w:sz="8" w:space="0" w:color="auto"/>
              <w:bottom w:val="single" w:sz="8" w:space="0" w:color="000000"/>
              <w:right w:val="single" w:sz="8" w:space="0" w:color="auto"/>
            </w:tcBorders>
            <w:vAlign w:val="center"/>
            <w:hideMark/>
          </w:tcPr>
          <w:p w14:paraId="4F2BF8A3"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64EE565C"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Penal Juvenil</w:t>
            </w:r>
          </w:p>
        </w:tc>
        <w:tc>
          <w:tcPr>
            <w:tcW w:w="940" w:type="dxa"/>
            <w:vMerge/>
            <w:tcBorders>
              <w:top w:val="nil"/>
              <w:left w:val="single" w:sz="8" w:space="0" w:color="auto"/>
              <w:bottom w:val="single" w:sz="8" w:space="0" w:color="000000"/>
              <w:right w:val="single" w:sz="8" w:space="0" w:color="auto"/>
            </w:tcBorders>
            <w:vAlign w:val="center"/>
            <w:hideMark/>
          </w:tcPr>
          <w:p w14:paraId="2673FCC3"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4AB4898C"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0B0DAF5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50%</w:t>
            </w:r>
          </w:p>
        </w:tc>
        <w:tc>
          <w:tcPr>
            <w:tcW w:w="1000" w:type="dxa"/>
            <w:tcBorders>
              <w:top w:val="nil"/>
              <w:left w:val="nil"/>
              <w:bottom w:val="single" w:sz="8" w:space="0" w:color="auto"/>
              <w:right w:val="single" w:sz="8" w:space="0" w:color="auto"/>
            </w:tcBorders>
            <w:shd w:val="clear" w:color="auto" w:fill="auto"/>
            <w:vAlign w:val="center"/>
            <w:hideMark/>
          </w:tcPr>
          <w:p w14:paraId="270CF45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180" w:type="dxa"/>
            <w:tcBorders>
              <w:top w:val="nil"/>
              <w:left w:val="nil"/>
              <w:bottom w:val="single" w:sz="8" w:space="0" w:color="auto"/>
              <w:right w:val="single" w:sz="8" w:space="0" w:color="auto"/>
            </w:tcBorders>
            <w:shd w:val="clear" w:color="auto" w:fill="auto"/>
            <w:vAlign w:val="center"/>
            <w:hideMark/>
          </w:tcPr>
          <w:p w14:paraId="3705EBD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w:t>
            </w:r>
          </w:p>
        </w:tc>
        <w:tc>
          <w:tcPr>
            <w:tcW w:w="1000" w:type="dxa"/>
            <w:tcBorders>
              <w:top w:val="nil"/>
              <w:left w:val="nil"/>
              <w:bottom w:val="single" w:sz="8" w:space="0" w:color="auto"/>
              <w:right w:val="single" w:sz="8" w:space="0" w:color="auto"/>
            </w:tcBorders>
            <w:shd w:val="clear" w:color="auto" w:fill="auto"/>
            <w:vAlign w:val="center"/>
            <w:hideMark/>
          </w:tcPr>
          <w:p w14:paraId="79349EB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w:t>
            </w:r>
          </w:p>
        </w:tc>
        <w:tc>
          <w:tcPr>
            <w:tcW w:w="1020" w:type="dxa"/>
            <w:tcBorders>
              <w:top w:val="nil"/>
              <w:left w:val="nil"/>
              <w:bottom w:val="single" w:sz="8" w:space="0" w:color="auto"/>
              <w:right w:val="single" w:sz="8" w:space="0" w:color="auto"/>
            </w:tcBorders>
            <w:shd w:val="clear" w:color="auto" w:fill="auto"/>
            <w:vAlign w:val="center"/>
            <w:hideMark/>
          </w:tcPr>
          <w:p w14:paraId="72B8F07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00" w:type="dxa"/>
            <w:tcBorders>
              <w:top w:val="nil"/>
              <w:left w:val="nil"/>
              <w:bottom w:val="single" w:sz="8" w:space="0" w:color="auto"/>
              <w:right w:val="single" w:sz="8" w:space="0" w:color="auto"/>
            </w:tcBorders>
            <w:shd w:val="clear" w:color="auto" w:fill="auto"/>
            <w:vAlign w:val="center"/>
            <w:hideMark/>
          </w:tcPr>
          <w:p w14:paraId="3BEE3BA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93%</w:t>
            </w:r>
          </w:p>
        </w:tc>
      </w:tr>
      <w:tr w:rsidR="00D6242E" w:rsidRPr="00652069" w14:paraId="7F3EFA7E" w14:textId="77777777" w:rsidTr="003F3165">
        <w:trPr>
          <w:trHeight w:val="300"/>
          <w:jc w:val="center"/>
        </w:trPr>
        <w:tc>
          <w:tcPr>
            <w:tcW w:w="1200" w:type="dxa"/>
            <w:vMerge w:val="restart"/>
            <w:tcBorders>
              <w:top w:val="nil"/>
              <w:left w:val="single" w:sz="8" w:space="0" w:color="auto"/>
              <w:bottom w:val="single" w:sz="8" w:space="0" w:color="000000"/>
              <w:right w:val="single" w:sz="8" w:space="0" w:color="auto"/>
            </w:tcBorders>
            <w:shd w:val="clear" w:color="000000" w:fill="C6D9F1"/>
            <w:vAlign w:val="center"/>
            <w:hideMark/>
          </w:tcPr>
          <w:p w14:paraId="35B11CBD"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Juzgado Civil, Trabajo y Familia de Puriscal</w:t>
            </w:r>
          </w:p>
        </w:tc>
        <w:tc>
          <w:tcPr>
            <w:tcW w:w="1200" w:type="dxa"/>
            <w:tcBorders>
              <w:top w:val="nil"/>
              <w:left w:val="nil"/>
              <w:bottom w:val="single" w:sz="8" w:space="0" w:color="auto"/>
              <w:right w:val="single" w:sz="8" w:space="0" w:color="auto"/>
            </w:tcBorders>
            <w:shd w:val="clear" w:color="000000" w:fill="C6D9F1"/>
            <w:vAlign w:val="center"/>
            <w:hideMark/>
          </w:tcPr>
          <w:p w14:paraId="66A84B76"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Civil</w:t>
            </w:r>
          </w:p>
        </w:tc>
        <w:tc>
          <w:tcPr>
            <w:tcW w:w="940" w:type="dxa"/>
            <w:tcBorders>
              <w:top w:val="nil"/>
              <w:left w:val="nil"/>
              <w:bottom w:val="single" w:sz="8" w:space="0" w:color="auto"/>
              <w:right w:val="single" w:sz="8" w:space="0" w:color="auto"/>
            </w:tcBorders>
            <w:shd w:val="clear" w:color="000000" w:fill="C6D9F1"/>
            <w:noWrap/>
            <w:vAlign w:val="center"/>
            <w:hideMark/>
          </w:tcPr>
          <w:p w14:paraId="6163CEA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val="restart"/>
            <w:tcBorders>
              <w:top w:val="nil"/>
              <w:left w:val="single" w:sz="8" w:space="0" w:color="auto"/>
              <w:bottom w:val="single" w:sz="8" w:space="0" w:color="000000"/>
              <w:right w:val="single" w:sz="8" w:space="0" w:color="auto"/>
            </w:tcBorders>
            <w:shd w:val="clear" w:color="000000" w:fill="C6D9F1"/>
            <w:noWrap/>
            <w:vAlign w:val="center"/>
            <w:hideMark/>
          </w:tcPr>
          <w:p w14:paraId="4CFC906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w:t>
            </w:r>
          </w:p>
        </w:tc>
        <w:tc>
          <w:tcPr>
            <w:tcW w:w="1140" w:type="dxa"/>
            <w:tcBorders>
              <w:top w:val="nil"/>
              <w:left w:val="nil"/>
              <w:bottom w:val="single" w:sz="8" w:space="0" w:color="auto"/>
              <w:right w:val="single" w:sz="8" w:space="0" w:color="auto"/>
            </w:tcBorders>
            <w:shd w:val="clear" w:color="000000" w:fill="C6D9F1"/>
            <w:noWrap/>
            <w:vAlign w:val="center"/>
            <w:hideMark/>
          </w:tcPr>
          <w:p w14:paraId="103C72D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7A0DACF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27</w:t>
            </w:r>
          </w:p>
        </w:tc>
        <w:tc>
          <w:tcPr>
            <w:tcW w:w="1180" w:type="dxa"/>
            <w:tcBorders>
              <w:top w:val="nil"/>
              <w:left w:val="nil"/>
              <w:bottom w:val="single" w:sz="8" w:space="0" w:color="auto"/>
              <w:right w:val="single" w:sz="8" w:space="0" w:color="auto"/>
            </w:tcBorders>
            <w:shd w:val="clear" w:color="000000" w:fill="C6D9F1"/>
            <w:noWrap/>
            <w:vAlign w:val="center"/>
            <w:hideMark/>
          </w:tcPr>
          <w:p w14:paraId="79B269C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19</w:t>
            </w:r>
          </w:p>
        </w:tc>
        <w:tc>
          <w:tcPr>
            <w:tcW w:w="1000" w:type="dxa"/>
            <w:tcBorders>
              <w:top w:val="nil"/>
              <w:left w:val="nil"/>
              <w:bottom w:val="single" w:sz="8" w:space="0" w:color="auto"/>
              <w:right w:val="single" w:sz="8" w:space="0" w:color="auto"/>
            </w:tcBorders>
            <w:shd w:val="clear" w:color="000000" w:fill="C6D9F1"/>
            <w:noWrap/>
            <w:vAlign w:val="center"/>
            <w:hideMark/>
          </w:tcPr>
          <w:p w14:paraId="4C9111D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27</w:t>
            </w:r>
          </w:p>
        </w:tc>
        <w:tc>
          <w:tcPr>
            <w:tcW w:w="1020" w:type="dxa"/>
            <w:tcBorders>
              <w:top w:val="nil"/>
              <w:left w:val="nil"/>
              <w:bottom w:val="single" w:sz="8" w:space="0" w:color="auto"/>
              <w:right w:val="single" w:sz="8" w:space="0" w:color="auto"/>
            </w:tcBorders>
            <w:shd w:val="clear" w:color="000000" w:fill="C6D9F1"/>
            <w:noWrap/>
            <w:vAlign w:val="center"/>
            <w:hideMark/>
          </w:tcPr>
          <w:p w14:paraId="7467675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w:t>
            </w:r>
          </w:p>
        </w:tc>
        <w:tc>
          <w:tcPr>
            <w:tcW w:w="1000" w:type="dxa"/>
            <w:tcBorders>
              <w:top w:val="nil"/>
              <w:left w:val="nil"/>
              <w:bottom w:val="single" w:sz="8" w:space="0" w:color="auto"/>
              <w:right w:val="single" w:sz="8" w:space="0" w:color="auto"/>
            </w:tcBorders>
            <w:shd w:val="clear" w:color="000000" w:fill="C6D9F1"/>
            <w:vAlign w:val="center"/>
            <w:hideMark/>
          </w:tcPr>
          <w:p w14:paraId="3DF51BF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70%</w:t>
            </w:r>
          </w:p>
        </w:tc>
      </w:tr>
      <w:tr w:rsidR="00D6242E" w:rsidRPr="00652069" w14:paraId="54E96D5C"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2E1CA837"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1C6E03F3"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Trabajo</w:t>
            </w:r>
          </w:p>
        </w:tc>
        <w:tc>
          <w:tcPr>
            <w:tcW w:w="940" w:type="dxa"/>
            <w:tcBorders>
              <w:top w:val="nil"/>
              <w:left w:val="nil"/>
              <w:bottom w:val="single" w:sz="8" w:space="0" w:color="auto"/>
              <w:right w:val="single" w:sz="8" w:space="0" w:color="auto"/>
            </w:tcBorders>
            <w:shd w:val="clear" w:color="000000" w:fill="C6D9F1"/>
            <w:vAlign w:val="center"/>
            <w:hideMark/>
          </w:tcPr>
          <w:p w14:paraId="439A3D1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0F25B36F"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34615F4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1690D1E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20</w:t>
            </w:r>
          </w:p>
        </w:tc>
        <w:tc>
          <w:tcPr>
            <w:tcW w:w="1180" w:type="dxa"/>
            <w:tcBorders>
              <w:top w:val="nil"/>
              <w:left w:val="nil"/>
              <w:bottom w:val="single" w:sz="8" w:space="0" w:color="auto"/>
              <w:right w:val="single" w:sz="8" w:space="0" w:color="auto"/>
            </w:tcBorders>
            <w:shd w:val="clear" w:color="000000" w:fill="C6D9F1"/>
            <w:noWrap/>
            <w:vAlign w:val="center"/>
            <w:hideMark/>
          </w:tcPr>
          <w:p w14:paraId="4CD0693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20</w:t>
            </w:r>
          </w:p>
        </w:tc>
        <w:tc>
          <w:tcPr>
            <w:tcW w:w="1000" w:type="dxa"/>
            <w:tcBorders>
              <w:top w:val="nil"/>
              <w:left w:val="nil"/>
              <w:bottom w:val="single" w:sz="8" w:space="0" w:color="auto"/>
              <w:right w:val="single" w:sz="8" w:space="0" w:color="auto"/>
            </w:tcBorders>
            <w:shd w:val="clear" w:color="000000" w:fill="C6D9F1"/>
            <w:noWrap/>
            <w:vAlign w:val="center"/>
            <w:hideMark/>
          </w:tcPr>
          <w:p w14:paraId="72618A4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20</w:t>
            </w:r>
          </w:p>
        </w:tc>
        <w:tc>
          <w:tcPr>
            <w:tcW w:w="1020" w:type="dxa"/>
            <w:tcBorders>
              <w:top w:val="nil"/>
              <w:left w:val="nil"/>
              <w:bottom w:val="single" w:sz="8" w:space="0" w:color="auto"/>
              <w:right w:val="single" w:sz="8" w:space="0" w:color="auto"/>
            </w:tcBorders>
            <w:shd w:val="clear" w:color="000000" w:fill="C6D9F1"/>
            <w:noWrap/>
            <w:vAlign w:val="center"/>
            <w:hideMark/>
          </w:tcPr>
          <w:p w14:paraId="2303503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00" w:type="dxa"/>
            <w:tcBorders>
              <w:top w:val="nil"/>
              <w:left w:val="nil"/>
              <w:bottom w:val="single" w:sz="8" w:space="0" w:color="auto"/>
              <w:right w:val="single" w:sz="8" w:space="0" w:color="auto"/>
            </w:tcBorders>
            <w:shd w:val="clear" w:color="000000" w:fill="C6D9F1"/>
            <w:vAlign w:val="center"/>
            <w:hideMark/>
          </w:tcPr>
          <w:p w14:paraId="512A0AB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97%</w:t>
            </w:r>
          </w:p>
        </w:tc>
      </w:tr>
      <w:tr w:rsidR="00D6242E" w:rsidRPr="00652069" w14:paraId="1C9408AC"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1A1557B0"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3FD1B8AE"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Familia</w:t>
            </w:r>
          </w:p>
        </w:tc>
        <w:tc>
          <w:tcPr>
            <w:tcW w:w="940" w:type="dxa"/>
            <w:tcBorders>
              <w:top w:val="nil"/>
              <w:left w:val="nil"/>
              <w:bottom w:val="single" w:sz="8" w:space="0" w:color="auto"/>
              <w:right w:val="single" w:sz="8" w:space="0" w:color="auto"/>
            </w:tcBorders>
            <w:shd w:val="clear" w:color="000000" w:fill="C6D9F1"/>
            <w:vAlign w:val="center"/>
            <w:hideMark/>
          </w:tcPr>
          <w:p w14:paraId="6BA6B87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75FF6B1E"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62BD5F9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16095A9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47</w:t>
            </w:r>
          </w:p>
        </w:tc>
        <w:tc>
          <w:tcPr>
            <w:tcW w:w="1180" w:type="dxa"/>
            <w:tcBorders>
              <w:top w:val="nil"/>
              <w:left w:val="nil"/>
              <w:bottom w:val="single" w:sz="8" w:space="0" w:color="auto"/>
              <w:right w:val="single" w:sz="8" w:space="0" w:color="auto"/>
            </w:tcBorders>
            <w:shd w:val="clear" w:color="000000" w:fill="C6D9F1"/>
            <w:noWrap/>
            <w:vAlign w:val="center"/>
            <w:hideMark/>
          </w:tcPr>
          <w:p w14:paraId="7FE5C6F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37</w:t>
            </w:r>
          </w:p>
        </w:tc>
        <w:tc>
          <w:tcPr>
            <w:tcW w:w="1000" w:type="dxa"/>
            <w:tcBorders>
              <w:top w:val="nil"/>
              <w:left w:val="nil"/>
              <w:bottom w:val="single" w:sz="8" w:space="0" w:color="auto"/>
              <w:right w:val="single" w:sz="8" w:space="0" w:color="auto"/>
            </w:tcBorders>
            <w:shd w:val="clear" w:color="000000" w:fill="C6D9F1"/>
            <w:noWrap/>
            <w:vAlign w:val="center"/>
            <w:hideMark/>
          </w:tcPr>
          <w:p w14:paraId="2D0F100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47</w:t>
            </w:r>
          </w:p>
        </w:tc>
        <w:tc>
          <w:tcPr>
            <w:tcW w:w="1020" w:type="dxa"/>
            <w:tcBorders>
              <w:top w:val="nil"/>
              <w:left w:val="nil"/>
              <w:bottom w:val="single" w:sz="8" w:space="0" w:color="auto"/>
              <w:right w:val="single" w:sz="8" w:space="0" w:color="auto"/>
            </w:tcBorders>
            <w:shd w:val="clear" w:color="000000" w:fill="C6D9F1"/>
            <w:noWrap/>
            <w:vAlign w:val="center"/>
            <w:hideMark/>
          </w:tcPr>
          <w:p w14:paraId="35E7BB95"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12</w:t>
            </w:r>
          </w:p>
        </w:tc>
        <w:tc>
          <w:tcPr>
            <w:tcW w:w="1000" w:type="dxa"/>
            <w:tcBorders>
              <w:top w:val="nil"/>
              <w:left w:val="nil"/>
              <w:bottom w:val="single" w:sz="8" w:space="0" w:color="auto"/>
              <w:right w:val="single" w:sz="8" w:space="0" w:color="auto"/>
            </w:tcBorders>
            <w:shd w:val="clear" w:color="000000" w:fill="C6D9F1"/>
            <w:vAlign w:val="center"/>
            <w:hideMark/>
          </w:tcPr>
          <w:p w14:paraId="16141C7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80%</w:t>
            </w:r>
          </w:p>
        </w:tc>
      </w:tr>
      <w:tr w:rsidR="00D6242E" w:rsidRPr="00652069" w14:paraId="581EA5DC"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761D7E5B"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vMerge w:val="restart"/>
            <w:tcBorders>
              <w:top w:val="nil"/>
              <w:left w:val="single" w:sz="8" w:space="0" w:color="auto"/>
              <w:bottom w:val="single" w:sz="8" w:space="0" w:color="000000"/>
              <w:right w:val="single" w:sz="8" w:space="0" w:color="auto"/>
            </w:tcBorders>
            <w:shd w:val="clear" w:color="000000" w:fill="C6D9F1"/>
            <w:vAlign w:val="center"/>
            <w:hideMark/>
          </w:tcPr>
          <w:p w14:paraId="64855B06" w14:textId="77777777" w:rsidR="00D6242E" w:rsidRPr="00652069" w:rsidRDefault="00D6242E" w:rsidP="003F3165">
            <w:pPr>
              <w:spacing w:after="0" w:line="240" w:lineRule="auto"/>
              <w:jc w:val="center"/>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Viol. Dom.</w:t>
            </w:r>
          </w:p>
        </w:tc>
        <w:tc>
          <w:tcPr>
            <w:tcW w:w="940" w:type="dxa"/>
            <w:tcBorders>
              <w:top w:val="nil"/>
              <w:left w:val="nil"/>
              <w:bottom w:val="single" w:sz="8" w:space="0" w:color="auto"/>
              <w:right w:val="single" w:sz="8" w:space="0" w:color="auto"/>
            </w:tcBorders>
            <w:shd w:val="clear" w:color="000000" w:fill="C6D9F1"/>
            <w:vAlign w:val="center"/>
            <w:hideMark/>
          </w:tcPr>
          <w:p w14:paraId="6B01D9A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4107F220"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68E0854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25,33%</w:t>
            </w:r>
          </w:p>
        </w:tc>
        <w:tc>
          <w:tcPr>
            <w:tcW w:w="1000" w:type="dxa"/>
            <w:vMerge w:val="restart"/>
            <w:tcBorders>
              <w:top w:val="nil"/>
              <w:left w:val="single" w:sz="8" w:space="0" w:color="auto"/>
              <w:bottom w:val="single" w:sz="8" w:space="0" w:color="000000"/>
              <w:right w:val="single" w:sz="8" w:space="0" w:color="auto"/>
            </w:tcBorders>
            <w:shd w:val="clear" w:color="000000" w:fill="C6D9F1"/>
            <w:noWrap/>
            <w:vAlign w:val="center"/>
            <w:hideMark/>
          </w:tcPr>
          <w:p w14:paraId="0865AB7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39</w:t>
            </w:r>
          </w:p>
        </w:tc>
        <w:tc>
          <w:tcPr>
            <w:tcW w:w="1180" w:type="dxa"/>
            <w:vMerge w:val="restart"/>
            <w:tcBorders>
              <w:top w:val="nil"/>
              <w:left w:val="single" w:sz="8" w:space="0" w:color="auto"/>
              <w:bottom w:val="single" w:sz="8" w:space="0" w:color="000000"/>
              <w:right w:val="single" w:sz="8" w:space="0" w:color="auto"/>
            </w:tcBorders>
            <w:shd w:val="clear" w:color="000000" w:fill="C6D9F1"/>
            <w:noWrap/>
            <w:vAlign w:val="center"/>
            <w:hideMark/>
          </w:tcPr>
          <w:p w14:paraId="3F70CB2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39</w:t>
            </w:r>
          </w:p>
        </w:tc>
        <w:tc>
          <w:tcPr>
            <w:tcW w:w="1000" w:type="dxa"/>
            <w:vMerge w:val="restart"/>
            <w:tcBorders>
              <w:top w:val="nil"/>
              <w:left w:val="single" w:sz="8" w:space="0" w:color="auto"/>
              <w:bottom w:val="single" w:sz="8" w:space="0" w:color="000000"/>
              <w:right w:val="single" w:sz="8" w:space="0" w:color="auto"/>
            </w:tcBorders>
            <w:shd w:val="clear" w:color="000000" w:fill="C6D9F1"/>
            <w:noWrap/>
            <w:vAlign w:val="center"/>
            <w:hideMark/>
          </w:tcPr>
          <w:p w14:paraId="652F655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39</w:t>
            </w:r>
          </w:p>
        </w:tc>
        <w:tc>
          <w:tcPr>
            <w:tcW w:w="1020" w:type="dxa"/>
            <w:vMerge w:val="restart"/>
            <w:tcBorders>
              <w:top w:val="nil"/>
              <w:left w:val="single" w:sz="8" w:space="0" w:color="auto"/>
              <w:bottom w:val="single" w:sz="8" w:space="0" w:color="000000"/>
              <w:right w:val="single" w:sz="8" w:space="0" w:color="auto"/>
            </w:tcBorders>
            <w:shd w:val="clear" w:color="000000" w:fill="C6D9F1"/>
            <w:noWrap/>
            <w:vAlign w:val="center"/>
            <w:hideMark/>
          </w:tcPr>
          <w:p w14:paraId="664FE5A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w:t>
            </w:r>
          </w:p>
        </w:tc>
        <w:tc>
          <w:tcPr>
            <w:tcW w:w="1000" w:type="dxa"/>
            <w:vMerge w:val="restart"/>
            <w:tcBorders>
              <w:top w:val="nil"/>
              <w:left w:val="single" w:sz="8" w:space="0" w:color="auto"/>
              <w:bottom w:val="single" w:sz="8" w:space="0" w:color="000000"/>
              <w:right w:val="single" w:sz="8" w:space="0" w:color="auto"/>
            </w:tcBorders>
            <w:shd w:val="clear" w:color="000000" w:fill="C6D9F1"/>
            <w:vAlign w:val="center"/>
            <w:hideMark/>
          </w:tcPr>
          <w:p w14:paraId="222A9EE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101%</w:t>
            </w:r>
          </w:p>
        </w:tc>
      </w:tr>
      <w:tr w:rsidR="00D6242E" w:rsidRPr="00652069" w14:paraId="3B457283"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2ACDCDA1"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vMerge/>
            <w:tcBorders>
              <w:top w:val="nil"/>
              <w:left w:val="single" w:sz="8" w:space="0" w:color="auto"/>
              <w:bottom w:val="single" w:sz="8" w:space="0" w:color="000000"/>
              <w:right w:val="single" w:sz="8" w:space="0" w:color="auto"/>
            </w:tcBorders>
            <w:vAlign w:val="center"/>
            <w:hideMark/>
          </w:tcPr>
          <w:p w14:paraId="345651C3"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940" w:type="dxa"/>
            <w:tcBorders>
              <w:top w:val="nil"/>
              <w:left w:val="nil"/>
              <w:bottom w:val="single" w:sz="8" w:space="0" w:color="auto"/>
              <w:right w:val="single" w:sz="8" w:space="0" w:color="auto"/>
            </w:tcBorders>
            <w:shd w:val="clear" w:color="000000" w:fill="C6D9F1"/>
            <w:vAlign w:val="center"/>
            <w:hideMark/>
          </w:tcPr>
          <w:p w14:paraId="6E8B691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w:t>
            </w:r>
          </w:p>
        </w:tc>
        <w:tc>
          <w:tcPr>
            <w:tcW w:w="1060" w:type="dxa"/>
            <w:vMerge/>
            <w:tcBorders>
              <w:top w:val="nil"/>
              <w:left w:val="single" w:sz="8" w:space="0" w:color="auto"/>
              <w:bottom w:val="single" w:sz="8" w:space="0" w:color="000000"/>
              <w:right w:val="single" w:sz="8" w:space="0" w:color="auto"/>
            </w:tcBorders>
            <w:vAlign w:val="center"/>
            <w:hideMark/>
          </w:tcPr>
          <w:p w14:paraId="754CCECF"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1EA6C17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37,33%</w:t>
            </w:r>
          </w:p>
        </w:tc>
        <w:tc>
          <w:tcPr>
            <w:tcW w:w="1000" w:type="dxa"/>
            <w:vMerge/>
            <w:tcBorders>
              <w:top w:val="nil"/>
              <w:left w:val="single" w:sz="8" w:space="0" w:color="auto"/>
              <w:bottom w:val="single" w:sz="8" w:space="0" w:color="000000"/>
              <w:right w:val="single" w:sz="8" w:space="0" w:color="auto"/>
            </w:tcBorders>
            <w:vAlign w:val="center"/>
            <w:hideMark/>
          </w:tcPr>
          <w:p w14:paraId="7E593CE8"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80" w:type="dxa"/>
            <w:vMerge/>
            <w:tcBorders>
              <w:top w:val="nil"/>
              <w:left w:val="single" w:sz="8" w:space="0" w:color="auto"/>
              <w:bottom w:val="single" w:sz="8" w:space="0" w:color="000000"/>
              <w:right w:val="single" w:sz="8" w:space="0" w:color="auto"/>
            </w:tcBorders>
            <w:vAlign w:val="center"/>
            <w:hideMark/>
          </w:tcPr>
          <w:p w14:paraId="40829D72"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00" w:type="dxa"/>
            <w:vMerge/>
            <w:tcBorders>
              <w:top w:val="nil"/>
              <w:left w:val="single" w:sz="8" w:space="0" w:color="auto"/>
              <w:bottom w:val="single" w:sz="8" w:space="0" w:color="000000"/>
              <w:right w:val="single" w:sz="8" w:space="0" w:color="auto"/>
            </w:tcBorders>
            <w:vAlign w:val="center"/>
            <w:hideMark/>
          </w:tcPr>
          <w:p w14:paraId="6DDF0058"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20" w:type="dxa"/>
            <w:vMerge/>
            <w:tcBorders>
              <w:top w:val="nil"/>
              <w:left w:val="single" w:sz="8" w:space="0" w:color="auto"/>
              <w:bottom w:val="single" w:sz="8" w:space="0" w:color="000000"/>
              <w:right w:val="single" w:sz="8" w:space="0" w:color="auto"/>
            </w:tcBorders>
            <w:vAlign w:val="center"/>
            <w:hideMark/>
          </w:tcPr>
          <w:p w14:paraId="1F1D1952"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00" w:type="dxa"/>
            <w:vMerge/>
            <w:tcBorders>
              <w:top w:val="nil"/>
              <w:left w:val="single" w:sz="8" w:space="0" w:color="auto"/>
              <w:bottom w:val="single" w:sz="8" w:space="0" w:color="000000"/>
              <w:right w:val="single" w:sz="8" w:space="0" w:color="auto"/>
            </w:tcBorders>
            <w:vAlign w:val="center"/>
            <w:hideMark/>
          </w:tcPr>
          <w:p w14:paraId="3A612140"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r>
      <w:tr w:rsidR="00D6242E" w:rsidRPr="00652069" w14:paraId="4642C24D" w14:textId="77777777" w:rsidTr="003F3165">
        <w:trPr>
          <w:trHeight w:val="530"/>
          <w:jc w:val="center"/>
        </w:trPr>
        <w:tc>
          <w:tcPr>
            <w:tcW w:w="1200" w:type="dxa"/>
            <w:vMerge/>
            <w:tcBorders>
              <w:top w:val="nil"/>
              <w:left w:val="single" w:sz="8" w:space="0" w:color="auto"/>
              <w:bottom w:val="single" w:sz="8" w:space="0" w:color="000000"/>
              <w:right w:val="single" w:sz="8" w:space="0" w:color="auto"/>
            </w:tcBorders>
            <w:vAlign w:val="center"/>
            <w:hideMark/>
          </w:tcPr>
          <w:p w14:paraId="7246D265"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000000" w:fill="C6D9F1"/>
            <w:vAlign w:val="center"/>
            <w:hideMark/>
          </w:tcPr>
          <w:p w14:paraId="22025F7C"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Penal Juvenil</w:t>
            </w:r>
          </w:p>
        </w:tc>
        <w:tc>
          <w:tcPr>
            <w:tcW w:w="940" w:type="dxa"/>
            <w:tcBorders>
              <w:top w:val="nil"/>
              <w:left w:val="nil"/>
              <w:bottom w:val="single" w:sz="8" w:space="0" w:color="auto"/>
              <w:right w:val="single" w:sz="8" w:space="0" w:color="auto"/>
            </w:tcBorders>
            <w:shd w:val="clear" w:color="000000" w:fill="C6D9F1"/>
            <w:vAlign w:val="center"/>
            <w:hideMark/>
          </w:tcPr>
          <w:p w14:paraId="5015D60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70C0133E"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000000" w:fill="C6D9F1"/>
            <w:noWrap/>
            <w:vAlign w:val="center"/>
            <w:hideMark/>
          </w:tcPr>
          <w:p w14:paraId="13AF2FC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000000" w:fill="C6D9F1"/>
            <w:noWrap/>
            <w:vAlign w:val="center"/>
            <w:hideMark/>
          </w:tcPr>
          <w:p w14:paraId="42C8C1A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180" w:type="dxa"/>
            <w:tcBorders>
              <w:top w:val="nil"/>
              <w:left w:val="nil"/>
              <w:bottom w:val="single" w:sz="8" w:space="0" w:color="auto"/>
              <w:right w:val="single" w:sz="8" w:space="0" w:color="auto"/>
            </w:tcBorders>
            <w:shd w:val="clear" w:color="000000" w:fill="C6D9F1"/>
            <w:noWrap/>
            <w:vAlign w:val="center"/>
            <w:hideMark/>
          </w:tcPr>
          <w:p w14:paraId="2ABB08A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w:t>
            </w:r>
          </w:p>
        </w:tc>
        <w:tc>
          <w:tcPr>
            <w:tcW w:w="1000" w:type="dxa"/>
            <w:tcBorders>
              <w:top w:val="nil"/>
              <w:left w:val="nil"/>
              <w:bottom w:val="single" w:sz="8" w:space="0" w:color="auto"/>
              <w:right w:val="single" w:sz="8" w:space="0" w:color="auto"/>
            </w:tcBorders>
            <w:shd w:val="clear" w:color="000000" w:fill="C6D9F1"/>
            <w:noWrap/>
            <w:vAlign w:val="center"/>
            <w:hideMark/>
          </w:tcPr>
          <w:p w14:paraId="6446C8D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020" w:type="dxa"/>
            <w:tcBorders>
              <w:top w:val="nil"/>
              <w:left w:val="nil"/>
              <w:bottom w:val="single" w:sz="8" w:space="0" w:color="auto"/>
              <w:right w:val="single" w:sz="8" w:space="0" w:color="auto"/>
            </w:tcBorders>
            <w:shd w:val="clear" w:color="000000" w:fill="C6D9F1"/>
            <w:noWrap/>
            <w:vAlign w:val="center"/>
            <w:hideMark/>
          </w:tcPr>
          <w:p w14:paraId="0A942E2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00" w:type="dxa"/>
            <w:tcBorders>
              <w:top w:val="nil"/>
              <w:left w:val="nil"/>
              <w:bottom w:val="single" w:sz="8" w:space="0" w:color="auto"/>
              <w:right w:val="single" w:sz="8" w:space="0" w:color="auto"/>
            </w:tcBorders>
            <w:shd w:val="clear" w:color="000000" w:fill="C6D9F1"/>
            <w:vAlign w:val="center"/>
            <w:hideMark/>
          </w:tcPr>
          <w:p w14:paraId="71BBA20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106%</w:t>
            </w:r>
          </w:p>
        </w:tc>
      </w:tr>
      <w:tr w:rsidR="00D6242E" w:rsidRPr="00652069" w14:paraId="27C2E4A9" w14:textId="77777777" w:rsidTr="003F3165">
        <w:trPr>
          <w:trHeight w:val="830"/>
          <w:jc w:val="center"/>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0A24D7D2"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Juzgado Civ., Trab., Fam. Penal Juv. y Viol. Doméstica Sarapiquí</w:t>
            </w:r>
          </w:p>
        </w:tc>
        <w:tc>
          <w:tcPr>
            <w:tcW w:w="1200" w:type="dxa"/>
            <w:tcBorders>
              <w:top w:val="nil"/>
              <w:left w:val="nil"/>
              <w:bottom w:val="single" w:sz="8" w:space="0" w:color="auto"/>
              <w:right w:val="single" w:sz="8" w:space="0" w:color="auto"/>
            </w:tcBorders>
            <w:shd w:val="clear" w:color="auto" w:fill="auto"/>
            <w:vAlign w:val="center"/>
            <w:hideMark/>
          </w:tcPr>
          <w:p w14:paraId="42785095"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Civil</w:t>
            </w:r>
          </w:p>
        </w:tc>
        <w:tc>
          <w:tcPr>
            <w:tcW w:w="94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CB82DF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0C7007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5</w:t>
            </w:r>
          </w:p>
        </w:tc>
        <w:tc>
          <w:tcPr>
            <w:tcW w:w="1140" w:type="dxa"/>
            <w:tcBorders>
              <w:top w:val="nil"/>
              <w:left w:val="nil"/>
              <w:bottom w:val="single" w:sz="8" w:space="0" w:color="auto"/>
              <w:right w:val="single" w:sz="8" w:space="0" w:color="auto"/>
            </w:tcBorders>
            <w:shd w:val="clear" w:color="auto" w:fill="auto"/>
            <w:noWrap/>
            <w:vAlign w:val="center"/>
            <w:hideMark/>
          </w:tcPr>
          <w:p w14:paraId="4D68C7F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noWrap/>
            <w:vAlign w:val="center"/>
            <w:hideMark/>
          </w:tcPr>
          <w:p w14:paraId="47CD260D"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180" w:type="dxa"/>
            <w:tcBorders>
              <w:top w:val="nil"/>
              <w:left w:val="nil"/>
              <w:bottom w:val="single" w:sz="8" w:space="0" w:color="auto"/>
              <w:right w:val="single" w:sz="8" w:space="0" w:color="auto"/>
            </w:tcBorders>
            <w:shd w:val="clear" w:color="auto" w:fill="auto"/>
            <w:noWrap/>
            <w:vAlign w:val="center"/>
            <w:hideMark/>
          </w:tcPr>
          <w:p w14:paraId="2439A53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w:t>
            </w:r>
          </w:p>
        </w:tc>
        <w:tc>
          <w:tcPr>
            <w:tcW w:w="1000" w:type="dxa"/>
            <w:tcBorders>
              <w:top w:val="nil"/>
              <w:left w:val="nil"/>
              <w:bottom w:val="single" w:sz="8" w:space="0" w:color="auto"/>
              <w:right w:val="single" w:sz="8" w:space="0" w:color="auto"/>
            </w:tcBorders>
            <w:shd w:val="clear" w:color="auto" w:fill="auto"/>
            <w:vAlign w:val="center"/>
            <w:hideMark/>
          </w:tcPr>
          <w:p w14:paraId="5283859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w:t>
            </w:r>
          </w:p>
        </w:tc>
        <w:tc>
          <w:tcPr>
            <w:tcW w:w="1020" w:type="dxa"/>
            <w:tcBorders>
              <w:top w:val="nil"/>
              <w:left w:val="nil"/>
              <w:bottom w:val="single" w:sz="8" w:space="0" w:color="auto"/>
              <w:right w:val="single" w:sz="8" w:space="0" w:color="auto"/>
            </w:tcBorders>
            <w:shd w:val="clear" w:color="auto" w:fill="auto"/>
            <w:vAlign w:val="center"/>
            <w:hideMark/>
          </w:tcPr>
          <w:p w14:paraId="1AA9F46A"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w:t>
            </w:r>
          </w:p>
        </w:tc>
        <w:tc>
          <w:tcPr>
            <w:tcW w:w="1000" w:type="dxa"/>
            <w:tcBorders>
              <w:top w:val="nil"/>
              <w:left w:val="nil"/>
              <w:bottom w:val="single" w:sz="8" w:space="0" w:color="auto"/>
              <w:right w:val="single" w:sz="8" w:space="0" w:color="auto"/>
            </w:tcBorders>
            <w:shd w:val="clear" w:color="auto" w:fill="auto"/>
            <w:vAlign w:val="center"/>
            <w:hideMark/>
          </w:tcPr>
          <w:p w14:paraId="05123D3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66%</w:t>
            </w:r>
          </w:p>
        </w:tc>
      </w:tr>
      <w:tr w:rsidR="00D6242E" w:rsidRPr="00652069" w14:paraId="6F1B1AD0"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7ACAE907"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555AB63D"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Trabajo</w:t>
            </w:r>
          </w:p>
        </w:tc>
        <w:tc>
          <w:tcPr>
            <w:tcW w:w="940" w:type="dxa"/>
            <w:vMerge/>
            <w:tcBorders>
              <w:top w:val="nil"/>
              <w:left w:val="single" w:sz="8" w:space="0" w:color="auto"/>
              <w:bottom w:val="single" w:sz="8" w:space="0" w:color="000000"/>
              <w:right w:val="single" w:sz="8" w:space="0" w:color="auto"/>
            </w:tcBorders>
            <w:vAlign w:val="center"/>
            <w:hideMark/>
          </w:tcPr>
          <w:p w14:paraId="140E3660"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0048D027"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noWrap/>
            <w:vAlign w:val="center"/>
            <w:hideMark/>
          </w:tcPr>
          <w:p w14:paraId="0466226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noWrap/>
            <w:vAlign w:val="center"/>
            <w:hideMark/>
          </w:tcPr>
          <w:p w14:paraId="5D420EF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29</w:t>
            </w:r>
          </w:p>
        </w:tc>
        <w:tc>
          <w:tcPr>
            <w:tcW w:w="1180" w:type="dxa"/>
            <w:tcBorders>
              <w:top w:val="nil"/>
              <w:left w:val="nil"/>
              <w:bottom w:val="single" w:sz="8" w:space="0" w:color="auto"/>
              <w:right w:val="single" w:sz="8" w:space="0" w:color="auto"/>
            </w:tcBorders>
            <w:shd w:val="clear" w:color="auto" w:fill="auto"/>
            <w:noWrap/>
            <w:vAlign w:val="center"/>
            <w:hideMark/>
          </w:tcPr>
          <w:p w14:paraId="4A455AF5"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28</w:t>
            </w:r>
          </w:p>
        </w:tc>
        <w:tc>
          <w:tcPr>
            <w:tcW w:w="1000" w:type="dxa"/>
            <w:tcBorders>
              <w:top w:val="nil"/>
              <w:left w:val="nil"/>
              <w:bottom w:val="single" w:sz="8" w:space="0" w:color="auto"/>
              <w:right w:val="single" w:sz="8" w:space="0" w:color="auto"/>
            </w:tcBorders>
            <w:shd w:val="clear" w:color="auto" w:fill="auto"/>
            <w:vAlign w:val="center"/>
            <w:hideMark/>
          </w:tcPr>
          <w:p w14:paraId="61BF3D4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29</w:t>
            </w:r>
          </w:p>
        </w:tc>
        <w:tc>
          <w:tcPr>
            <w:tcW w:w="1020" w:type="dxa"/>
            <w:tcBorders>
              <w:top w:val="nil"/>
              <w:left w:val="nil"/>
              <w:bottom w:val="single" w:sz="8" w:space="0" w:color="auto"/>
              <w:right w:val="single" w:sz="8" w:space="0" w:color="auto"/>
            </w:tcBorders>
            <w:shd w:val="clear" w:color="auto" w:fill="auto"/>
            <w:vAlign w:val="center"/>
            <w:hideMark/>
          </w:tcPr>
          <w:p w14:paraId="009F73B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6</w:t>
            </w:r>
          </w:p>
        </w:tc>
        <w:tc>
          <w:tcPr>
            <w:tcW w:w="1000" w:type="dxa"/>
            <w:tcBorders>
              <w:top w:val="nil"/>
              <w:left w:val="nil"/>
              <w:bottom w:val="single" w:sz="8" w:space="0" w:color="auto"/>
              <w:right w:val="single" w:sz="8" w:space="0" w:color="auto"/>
            </w:tcBorders>
            <w:shd w:val="clear" w:color="auto" w:fill="auto"/>
            <w:vAlign w:val="center"/>
            <w:hideMark/>
          </w:tcPr>
          <w:p w14:paraId="0026E49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97%</w:t>
            </w:r>
          </w:p>
        </w:tc>
      </w:tr>
      <w:tr w:rsidR="00D6242E" w:rsidRPr="00652069" w14:paraId="013DD10E"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7DE0933B"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2B7D47EE"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Viol. Dom.</w:t>
            </w:r>
          </w:p>
        </w:tc>
        <w:tc>
          <w:tcPr>
            <w:tcW w:w="940" w:type="dxa"/>
            <w:tcBorders>
              <w:top w:val="nil"/>
              <w:left w:val="nil"/>
              <w:bottom w:val="single" w:sz="8" w:space="0" w:color="auto"/>
              <w:right w:val="single" w:sz="8" w:space="0" w:color="auto"/>
            </w:tcBorders>
            <w:shd w:val="clear" w:color="auto" w:fill="auto"/>
            <w:noWrap/>
            <w:vAlign w:val="center"/>
            <w:hideMark/>
          </w:tcPr>
          <w:p w14:paraId="003D34E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47243C2B"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54250FD1"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vAlign w:val="center"/>
            <w:hideMark/>
          </w:tcPr>
          <w:p w14:paraId="2CDCB71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72</w:t>
            </w:r>
          </w:p>
        </w:tc>
        <w:tc>
          <w:tcPr>
            <w:tcW w:w="1180" w:type="dxa"/>
            <w:tcBorders>
              <w:top w:val="nil"/>
              <w:left w:val="nil"/>
              <w:bottom w:val="single" w:sz="8" w:space="0" w:color="auto"/>
              <w:right w:val="single" w:sz="8" w:space="0" w:color="auto"/>
            </w:tcBorders>
            <w:shd w:val="clear" w:color="auto" w:fill="auto"/>
            <w:vAlign w:val="center"/>
            <w:hideMark/>
          </w:tcPr>
          <w:p w14:paraId="2A69CCD8"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75</w:t>
            </w:r>
          </w:p>
        </w:tc>
        <w:tc>
          <w:tcPr>
            <w:tcW w:w="1000" w:type="dxa"/>
            <w:tcBorders>
              <w:top w:val="nil"/>
              <w:left w:val="nil"/>
              <w:bottom w:val="single" w:sz="8" w:space="0" w:color="auto"/>
              <w:right w:val="single" w:sz="8" w:space="0" w:color="auto"/>
            </w:tcBorders>
            <w:shd w:val="clear" w:color="auto" w:fill="auto"/>
            <w:vAlign w:val="center"/>
            <w:hideMark/>
          </w:tcPr>
          <w:p w14:paraId="37E4573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72</w:t>
            </w:r>
          </w:p>
        </w:tc>
        <w:tc>
          <w:tcPr>
            <w:tcW w:w="1020" w:type="dxa"/>
            <w:tcBorders>
              <w:top w:val="nil"/>
              <w:left w:val="nil"/>
              <w:bottom w:val="single" w:sz="8" w:space="0" w:color="auto"/>
              <w:right w:val="single" w:sz="8" w:space="0" w:color="auto"/>
            </w:tcBorders>
            <w:shd w:val="clear" w:color="auto" w:fill="auto"/>
            <w:vAlign w:val="center"/>
            <w:hideMark/>
          </w:tcPr>
          <w:p w14:paraId="4DF3475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14</w:t>
            </w:r>
          </w:p>
        </w:tc>
        <w:tc>
          <w:tcPr>
            <w:tcW w:w="1000" w:type="dxa"/>
            <w:tcBorders>
              <w:top w:val="nil"/>
              <w:left w:val="nil"/>
              <w:bottom w:val="single" w:sz="8" w:space="0" w:color="auto"/>
              <w:right w:val="single" w:sz="8" w:space="0" w:color="auto"/>
            </w:tcBorders>
            <w:shd w:val="clear" w:color="auto" w:fill="auto"/>
            <w:vAlign w:val="center"/>
            <w:hideMark/>
          </w:tcPr>
          <w:p w14:paraId="090433A4"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103%</w:t>
            </w:r>
          </w:p>
        </w:tc>
      </w:tr>
      <w:tr w:rsidR="00D6242E" w:rsidRPr="00652069" w14:paraId="44468B3A" w14:textId="77777777" w:rsidTr="003F3165">
        <w:trPr>
          <w:trHeight w:val="300"/>
          <w:jc w:val="center"/>
        </w:trPr>
        <w:tc>
          <w:tcPr>
            <w:tcW w:w="1200" w:type="dxa"/>
            <w:vMerge/>
            <w:tcBorders>
              <w:top w:val="nil"/>
              <w:left w:val="single" w:sz="8" w:space="0" w:color="auto"/>
              <w:bottom w:val="single" w:sz="8" w:space="0" w:color="000000"/>
              <w:right w:val="single" w:sz="8" w:space="0" w:color="auto"/>
            </w:tcBorders>
            <w:vAlign w:val="center"/>
            <w:hideMark/>
          </w:tcPr>
          <w:p w14:paraId="3B89BB96"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2DEE377F"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Familia</w:t>
            </w:r>
          </w:p>
        </w:tc>
        <w:tc>
          <w:tcPr>
            <w:tcW w:w="94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6D3C573"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w:t>
            </w:r>
          </w:p>
        </w:tc>
        <w:tc>
          <w:tcPr>
            <w:tcW w:w="1060" w:type="dxa"/>
            <w:vMerge/>
            <w:tcBorders>
              <w:top w:val="nil"/>
              <w:left w:val="single" w:sz="8" w:space="0" w:color="auto"/>
              <w:bottom w:val="single" w:sz="8" w:space="0" w:color="000000"/>
              <w:right w:val="single" w:sz="8" w:space="0" w:color="auto"/>
            </w:tcBorders>
            <w:vAlign w:val="center"/>
            <w:hideMark/>
          </w:tcPr>
          <w:p w14:paraId="254A9D1A"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3A79BD7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vAlign w:val="center"/>
            <w:hideMark/>
          </w:tcPr>
          <w:p w14:paraId="6B677CD0"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41</w:t>
            </w:r>
          </w:p>
        </w:tc>
        <w:tc>
          <w:tcPr>
            <w:tcW w:w="1180" w:type="dxa"/>
            <w:tcBorders>
              <w:top w:val="nil"/>
              <w:left w:val="nil"/>
              <w:bottom w:val="single" w:sz="8" w:space="0" w:color="auto"/>
              <w:right w:val="single" w:sz="8" w:space="0" w:color="auto"/>
            </w:tcBorders>
            <w:shd w:val="clear" w:color="auto" w:fill="auto"/>
            <w:vAlign w:val="center"/>
            <w:hideMark/>
          </w:tcPr>
          <w:p w14:paraId="7C2C22EE"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34</w:t>
            </w:r>
          </w:p>
        </w:tc>
        <w:tc>
          <w:tcPr>
            <w:tcW w:w="1000" w:type="dxa"/>
            <w:tcBorders>
              <w:top w:val="nil"/>
              <w:left w:val="nil"/>
              <w:bottom w:val="single" w:sz="8" w:space="0" w:color="auto"/>
              <w:right w:val="single" w:sz="8" w:space="0" w:color="auto"/>
            </w:tcBorders>
            <w:shd w:val="clear" w:color="auto" w:fill="auto"/>
            <w:vAlign w:val="center"/>
            <w:hideMark/>
          </w:tcPr>
          <w:p w14:paraId="44450FE7"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41</w:t>
            </w:r>
          </w:p>
        </w:tc>
        <w:tc>
          <w:tcPr>
            <w:tcW w:w="1020" w:type="dxa"/>
            <w:tcBorders>
              <w:top w:val="nil"/>
              <w:left w:val="nil"/>
              <w:bottom w:val="single" w:sz="8" w:space="0" w:color="auto"/>
              <w:right w:val="single" w:sz="8" w:space="0" w:color="auto"/>
            </w:tcBorders>
            <w:shd w:val="clear" w:color="auto" w:fill="auto"/>
            <w:vAlign w:val="center"/>
            <w:hideMark/>
          </w:tcPr>
          <w:p w14:paraId="287FEC1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w:t>
            </w:r>
          </w:p>
        </w:tc>
        <w:tc>
          <w:tcPr>
            <w:tcW w:w="1000" w:type="dxa"/>
            <w:tcBorders>
              <w:top w:val="nil"/>
              <w:left w:val="nil"/>
              <w:bottom w:val="single" w:sz="8" w:space="0" w:color="auto"/>
              <w:right w:val="single" w:sz="8" w:space="0" w:color="auto"/>
            </w:tcBorders>
            <w:shd w:val="clear" w:color="auto" w:fill="auto"/>
            <w:vAlign w:val="center"/>
            <w:hideMark/>
          </w:tcPr>
          <w:p w14:paraId="4E91A3D2"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82%</w:t>
            </w:r>
          </w:p>
        </w:tc>
      </w:tr>
      <w:tr w:rsidR="00D6242E" w:rsidRPr="00652069" w14:paraId="5875ED01" w14:textId="77777777" w:rsidTr="003F3165">
        <w:trPr>
          <w:trHeight w:val="530"/>
          <w:jc w:val="center"/>
        </w:trPr>
        <w:tc>
          <w:tcPr>
            <w:tcW w:w="1200" w:type="dxa"/>
            <w:vMerge/>
            <w:tcBorders>
              <w:top w:val="nil"/>
              <w:left w:val="single" w:sz="8" w:space="0" w:color="auto"/>
              <w:bottom w:val="single" w:sz="8" w:space="0" w:color="000000"/>
              <w:right w:val="single" w:sz="8" w:space="0" w:color="auto"/>
            </w:tcBorders>
            <w:vAlign w:val="center"/>
            <w:hideMark/>
          </w:tcPr>
          <w:p w14:paraId="6158050A"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p>
        </w:tc>
        <w:tc>
          <w:tcPr>
            <w:tcW w:w="1200" w:type="dxa"/>
            <w:tcBorders>
              <w:top w:val="nil"/>
              <w:left w:val="nil"/>
              <w:bottom w:val="single" w:sz="8" w:space="0" w:color="auto"/>
              <w:right w:val="single" w:sz="8" w:space="0" w:color="auto"/>
            </w:tcBorders>
            <w:shd w:val="clear" w:color="auto" w:fill="auto"/>
            <w:vAlign w:val="center"/>
            <w:hideMark/>
          </w:tcPr>
          <w:p w14:paraId="08C629BA" w14:textId="77777777" w:rsidR="00D6242E" w:rsidRPr="00652069" w:rsidRDefault="00D6242E" w:rsidP="003F3165">
            <w:pPr>
              <w:spacing w:after="0" w:line="240" w:lineRule="auto"/>
              <w:rPr>
                <w:rFonts w:ascii="Book Antiqua" w:eastAsia="Times New Roman" w:hAnsi="Book Antiqua" w:cs="Calibri"/>
                <w:b/>
                <w:bCs/>
                <w:color w:val="000000"/>
                <w:sz w:val="20"/>
                <w:szCs w:val="20"/>
                <w:lang w:eastAsia="es-CR"/>
              </w:rPr>
            </w:pPr>
            <w:r w:rsidRPr="00652069">
              <w:rPr>
                <w:rFonts w:ascii="Book Antiqua" w:eastAsia="Times New Roman" w:hAnsi="Book Antiqua" w:cs="Calibri"/>
                <w:b/>
                <w:bCs/>
                <w:color w:val="000000"/>
                <w:sz w:val="20"/>
                <w:szCs w:val="20"/>
                <w:lang w:eastAsia="es-CR"/>
              </w:rPr>
              <w:t>Penal Juvenil</w:t>
            </w:r>
          </w:p>
        </w:tc>
        <w:tc>
          <w:tcPr>
            <w:tcW w:w="940" w:type="dxa"/>
            <w:vMerge/>
            <w:tcBorders>
              <w:top w:val="nil"/>
              <w:left w:val="single" w:sz="8" w:space="0" w:color="auto"/>
              <w:bottom w:val="single" w:sz="8" w:space="0" w:color="000000"/>
              <w:right w:val="single" w:sz="8" w:space="0" w:color="auto"/>
            </w:tcBorders>
            <w:vAlign w:val="center"/>
            <w:hideMark/>
          </w:tcPr>
          <w:p w14:paraId="353B76EC"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060" w:type="dxa"/>
            <w:vMerge/>
            <w:tcBorders>
              <w:top w:val="nil"/>
              <w:left w:val="single" w:sz="8" w:space="0" w:color="auto"/>
              <w:bottom w:val="single" w:sz="8" w:space="0" w:color="000000"/>
              <w:right w:val="single" w:sz="8" w:space="0" w:color="auto"/>
            </w:tcBorders>
            <w:vAlign w:val="center"/>
            <w:hideMark/>
          </w:tcPr>
          <w:p w14:paraId="454E17F9" w14:textId="77777777" w:rsidR="00D6242E" w:rsidRPr="00652069" w:rsidRDefault="00D6242E" w:rsidP="003F3165">
            <w:pPr>
              <w:spacing w:after="0" w:line="240" w:lineRule="auto"/>
              <w:rPr>
                <w:rFonts w:ascii="Book Antiqua" w:eastAsia="Times New Roman" w:hAnsi="Book Antiqua" w:cs="Calibri"/>
                <w:color w:val="000000"/>
                <w:sz w:val="20"/>
                <w:szCs w:val="20"/>
                <w:lang w:eastAsia="es-CR"/>
              </w:rPr>
            </w:pPr>
          </w:p>
        </w:tc>
        <w:tc>
          <w:tcPr>
            <w:tcW w:w="1140" w:type="dxa"/>
            <w:tcBorders>
              <w:top w:val="nil"/>
              <w:left w:val="nil"/>
              <w:bottom w:val="single" w:sz="8" w:space="0" w:color="auto"/>
              <w:right w:val="single" w:sz="8" w:space="0" w:color="auto"/>
            </w:tcBorders>
            <w:shd w:val="clear" w:color="auto" w:fill="auto"/>
            <w:vAlign w:val="center"/>
            <w:hideMark/>
          </w:tcPr>
          <w:p w14:paraId="5FFA75EF"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100%</w:t>
            </w:r>
          </w:p>
        </w:tc>
        <w:tc>
          <w:tcPr>
            <w:tcW w:w="1000" w:type="dxa"/>
            <w:tcBorders>
              <w:top w:val="nil"/>
              <w:left w:val="nil"/>
              <w:bottom w:val="single" w:sz="8" w:space="0" w:color="auto"/>
              <w:right w:val="single" w:sz="8" w:space="0" w:color="auto"/>
            </w:tcBorders>
            <w:shd w:val="clear" w:color="auto" w:fill="auto"/>
            <w:vAlign w:val="center"/>
            <w:hideMark/>
          </w:tcPr>
          <w:p w14:paraId="268B40CB"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w:t>
            </w:r>
          </w:p>
        </w:tc>
        <w:tc>
          <w:tcPr>
            <w:tcW w:w="1180" w:type="dxa"/>
            <w:tcBorders>
              <w:top w:val="nil"/>
              <w:left w:val="nil"/>
              <w:bottom w:val="single" w:sz="8" w:space="0" w:color="auto"/>
              <w:right w:val="single" w:sz="8" w:space="0" w:color="auto"/>
            </w:tcBorders>
            <w:shd w:val="clear" w:color="auto" w:fill="auto"/>
            <w:vAlign w:val="center"/>
            <w:hideMark/>
          </w:tcPr>
          <w:p w14:paraId="474185F6"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w:t>
            </w:r>
          </w:p>
        </w:tc>
        <w:tc>
          <w:tcPr>
            <w:tcW w:w="1000" w:type="dxa"/>
            <w:tcBorders>
              <w:top w:val="nil"/>
              <w:left w:val="nil"/>
              <w:bottom w:val="single" w:sz="8" w:space="0" w:color="auto"/>
              <w:right w:val="single" w:sz="8" w:space="0" w:color="auto"/>
            </w:tcBorders>
            <w:shd w:val="clear" w:color="auto" w:fill="auto"/>
            <w:vAlign w:val="center"/>
            <w:hideMark/>
          </w:tcPr>
          <w:p w14:paraId="37BCFC85"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w:t>
            </w:r>
          </w:p>
        </w:tc>
        <w:tc>
          <w:tcPr>
            <w:tcW w:w="1020" w:type="dxa"/>
            <w:tcBorders>
              <w:top w:val="nil"/>
              <w:left w:val="nil"/>
              <w:bottom w:val="single" w:sz="8" w:space="0" w:color="auto"/>
              <w:right w:val="single" w:sz="8" w:space="0" w:color="auto"/>
            </w:tcBorders>
            <w:shd w:val="clear" w:color="auto" w:fill="auto"/>
            <w:vAlign w:val="center"/>
            <w:hideMark/>
          </w:tcPr>
          <w:p w14:paraId="68303F19"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2</w:t>
            </w:r>
          </w:p>
        </w:tc>
        <w:tc>
          <w:tcPr>
            <w:tcW w:w="1000" w:type="dxa"/>
            <w:tcBorders>
              <w:top w:val="nil"/>
              <w:left w:val="nil"/>
              <w:bottom w:val="single" w:sz="8" w:space="0" w:color="auto"/>
              <w:right w:val="single" w:sz="8" w:space="0" w:color="auto"/>
            </w:tcBorders>
            <w:shd w:val="clear" w:color="auto" w:fill="auto"/>
            <w:vAlign w:val="center"/>
            <w:hideMark/>
          </w:tcPr>
          <w:p w14:paraId="1DF1988C" w14:textId="77777777" w:rsidR="00D6242E" w:rsidRPr="00652069" w:rsidRDefault="00D6242E" w:rsidP="003F3165">
            <w:pPr>
              <w:spacing w:after="0" w:line="240" w:lineRule="auto"/>
              <w:jc w:val="center"/>
              <w:rPr>
                <w:rFonts w:ascii="Book Antiqua" w:eastAsia="Times New Roman" w:hAnsi="Book Antiqua" w:cs="Calibri"/>
                <w:color w:val="000000"/>
                <w:sz w:val="20"/>
                <w:szCs w:val="20"/>
                <w:lang w:eastAsia="es-CR"/>
              </w:rPr>
            </w:pPr>
            <w:r w:rsidRPr="00652069">
              <w:rPr>
                <w:rFonts w:ascii="Book Antiqua" w:eastAsia="Times New Roman" w:hAnsi="Book Antiqua" w:cs="Calibri"/>
                <w:color w:val="000000"/>
                <w:sz w:val="20"/>
                <w:szCs w:val="20"/>
                <w:lang w:eastAsia="es-CR"/>
              </w:rPr>
              <w:t>104%</w:t>
            </w:r>
          </w:p>
        </w:tc>
      </w:tr>
    </w:tbl>
    <w:p w14:paraId="0FA5073F" w14:textId="77777777" w:rsidR="00166C08" w:rsidRPr="00FD6A27" w:rsidRDefault="00166C08"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p>
    <w:bookmarkEnd w:id="57"/>
    <w:p w14:paraId="696938A4" w14:textId="46AD2F70" w:rsidR="00783306" w:rsidRPr="00783306" w:rsidRDefault="00783306" w:rsidP="00783306">
      <w:pPr>
        <w:spacing w:after="0" w:line="276" w:lineRule="auto"/>
        <w:jc w:val="both"/>
        <w:rPr>
          <w:rFonts w:ascii="Book Antiqua" w:eastAsia="Calibri" w:hAnsi="Book Antiqua" w:cs="Arial"/>
          <w:i/>
          <w:iCs/>
          <w:sz w:val="20"/>
          <w:szCs w:val="20"/>
        </w:rPr>
      </w:pPr>
      <w:r w:rsidRPr="007118DC">
        <w:rPr>
          <w:rFonts w:ascii="Book Antiqua" w:eastAsia="Calibri" w:hAnsi="Book Antiqua" w:cs="Arial"/>
          <w:b/>
          <w:bCs/>
          <w:i/>
          <w:iCs/>
          <w:sz w:val="20"/>
          <w:szCs w:val="20"/>
        </w:rPr>
        <w:t>Fuente:</w:t>
      </w:r>
      <w:r w:rsidRPr="00783306">
        <w:rPr>
          <w:rFonts w:ascii="Book Antiqua" w:eastAsia="Calibri" w:hAnsi="Book Antiqua" w:cs="Arial"/>
          <w:i/>
          <w:iCs/>
          <w:sz w:val="20"/>
          <w:szCs w:val="20"/>
        </w:rPr>
        <w:t xml:space="preserve"> Modernización Institucional con base en datos de Cuadros Estadísticos del Subproceso de Estadística de la Dirección de Planificación. </w:t>
      </w:r>
    </w:p>
    <w:p w14:paraId="04AEDB86" w14:textId="23A8D488" w:rsidR="00783306" w:rsidRPr="00783306"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 xml:space="preserve">*El </w:t>
      </w:r>
      <w:r>
        <w:rPr>
          <w:rFonts w:ascii="Book Antiqua" w:eastAsia="Calibri" w:hAnsi="Book Antiqua" w:cs="Arial"/>
          <w:i/>
          <w:iCs/>
          <w:sz w:val="20"/>
          <w:szCs w:val="20"/>
        </w:rPr>
        <w:t>J</w:t>
      </w:r>
      <w:r w:rsidRPr="00783306">
        <w:rPr>
          <w:rFonts w:ascii="Book Antiqua" w:eastAsia="Calibri" w:hAnsi="Book Antiqua" w:cs="Arial"/>
          <w:i/>
          <w:iCs/>
          <w:sz w:val="20"/>
          <w:szCs w:val="20"/>
        </w:rPr>
        <w:t xml:space="preserve">uez 2 del Juzgado Civil, Trabajo y Familia Buenos Aires atiende materias Familia, Viol. Dom. </w:t>
      </w:r>
      <w:r w:rsidR="00E85731">
        <w:rPr>
          <w:rFonts w:ascii="Book Antiqua" w:eastAsia="Calibri" w:hAnsi="Book Antiqua" w:cs="Arial"/>
          <w:i/>
          <w:iCs/>
          <w:sz w:val="20"/>
          <w:szCs w:val="20"/>
        </w:rPr>
        <w:t>Y</w:t>
      </w:r>
      <w:r w:rsidRPr="00783306">
        <w:rPr>
          <w:rFonts w:ascii="Book Antiqua" w:eastAsia="Calibri" w:hAnsi="Book Antiqua" w:cs="Arial"/>
          <w:i/>
          <w:iCs/>
          <w:sz w:val="20"/>
          <w:szCs w:val="20"/>
        </w:rPr>
        <w:t xml:space="preserve"> Penal Juvenil, además de Civil y Trabajo en un 50%.</w:t>
      </w:r>
    </w:p>
    <w:p w14:paraId="6631EF0D" w14:textId="50B5C5F1" w:rsidR="00357D09"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**El Juez 3 del Juzgado Civil, Trabajo y Familia II Circuito Judicial de Alajuela sede Upala atiende materia Trabajo en un 100% y Familia en un 50%. Otro Juez 50% de Familia y 100 Civil, hay una plaza especializada en Agrario y una que atiende VD y Penal Juvenil. Esto a partir de enero 2020.</w:t>
      </w:r>
    </w:p>
    <w:p w14:paraId="68779833" w14:textId="1E11A548" w:rsidR="00E41FD6" w:rsidRPr="00783306" w:rsidRDefault="00E41FD6" w:rsidP="00783306">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 xml:space="preserve">***Juzgado Civil, Trabajo y Familia de Puriscal, </w:t>
      </w:r>
      <w:r w:rsidR="00A42A57">
        <w:rPr>
          <w:rFonts w:ascii="Book Antiqua" w:eastAsia="Calibri" w:hAnsi="Book Antiqua" w:cs="Arial"/>
          <w:i/>
          <w:iCs/>
          <w:sz w:val="20"/>
          <w:szCs w:val="20"/>
        </w:rPr>
        <w:t>a partir del 2021</w:t>
      </w:r>
      <w:r>
        <w:rPr>
          <w:rFonts w:ascii="Book Antiqua" w:eastAsia="Calibri" w:hAnsi="Book Antiqua" w:cs="Arial"/>
          <w:i/>
          <w:iCs/>
          <w:sz w:val="20"/>
          <w:szCs w:val="20"/>
        </w:rPr>
        <w:t>la materia de Viol. Dom.</w:t>
      </w:r>
      <w:r w:rsidR="00A42A57">
        <w:rPr>
          <w:rFonts w:ascii="Book Antiqua" w:eastAsia="Calibri" w:hAnsi="Book Antiqua" w:cs="Arial"/>
          <w:i/>
          <w:iCs/>
          <w:sz w:val="20"/>
          <w:szCs w:val="20"/>
        </w:rPr>
        <w:t xml:space="preserve"> Se distribuye: </w:t>
      </w:r>
      <w:r>
        <w:rPr>
          <w:rFonts w:ascii="Book Antiqua" w:eastAsia="Calibri" w:hAnsi="Book Antiqua" w:cs="Arial"/>
          <w:i/>
          <w:iCs/>
          <w:sz w:val="20"/>
          <w:szCs w:val="20"/>
        </w:rPr>
        <w:t xml:space="preserve">Juez o Jueza 1 un 25,33% y las personas Juzgadores 2 y 3 un 37,33% cada una. </w:t>
      </w:r>
    </w:p>
    <w:p w14:paraId="142D51A8" w14:textId="4CC2F99B" w:rsidR="00783306" w:rsidRDefault="00D6242E" w:rsidP="00783306">
      <w:pPr>
        <w:spacing w:after="0" w:line="276" w:lineRule="auto"/>
        <w:jc w:val="both"/>
        <w:rPr>
          <w:rFonts w:ascii="Book Antiqua" w:eastAsia="Calibri" w:hAnsi="Book Antiqua" w:cs="Arial"/>
          <w:sz w:val="24"/>
          <w:szCs w:val="24"/>
        </w:rPr>
      </w:pPr>
      <w:r w:rsidRPr="00D6242E">
        <w:rPr>
          <w:rFonts w:ascii="Book Antiqua" w:eastAsia="Calibri" w:hAnsi="Book Antiqua" w:cs="Arial"/>
          <w:sz w:val="24"/>
          <w:szCs w:val="24"/>
        </w:rPr>
        <w:t>Del cuadro anterior se infiere, que por plaza de persona juzgadora hay una entrada promedio entre todas las materias de 128 casos por mes y por persona técnica de 39 asuntos. Los únicos despachos que superan ese promedio de entrada total son Upala 182 casos nuevos por mes, Sarapiquí con 161 y Puriscal con 138; sin embargo, la diferencia de asuntos no justifica la creación de un recurso adicional de persona juzgadora.</w:t>
      </w:r>
    </w:p>
    <w:p w14:paraId="6EEE956F" w14:textId="77777777" w:rsidR="00D6242E" w:rsidRPr="00783306" w:rsidRDefault="00D6242E" w:rsidP="00783306">
      <w:pPr>
        <w:spacing w:after="0" w:line="276" w:lineRule="auto"/>
        <w:jc w:val="both"/>
        <w:rPr>
          <w:rFonts w:ascii="Book Antiqua" w:eastAsia="Calibri" w:hAnsi="Book Antiqua" w:cs="Arial"/>
          <w:sz w:val="24"/>
          <w:szCs w:val="24"/>
        </w:rPr>
      </w:pPr>
    </w:p>
    <w:p w14:paraId="29A2486A" w14:textId="77777777" w:rsidR="00783306" w:rsidRPr="00783306" w:rsidRDefault="00783306" w:rsidP="00783306">
      <w:pPr>
        <w:spacing w:after="0" w:line="276" w:lineRule="auto"/>
        <w:jc w:val="both"/>
        <w:rPr>
          <w:rFonts w:ascii="Book Antiqua" w:eastAsia="Calibri" w:hAnsi="Book Antiqua" w:cs="Arial"/>
          <w:sz w:val="24"/>
          <w:szCs w:val="24"/>
        </w:rPr>
      </w:pPr>
      <w:r w:rsidRPr="00783306">
        <w:rPr>
          <w:rFonts w:ascii="Book Antiqua" w:eastAsia="Calibri" w:hAnsi="Book Antiqua" w:cs="Arial"/>
          <w:sz w:val="24"/>
          <w:szCs w:val="24"/>
        </w:rPr>
        <w:t>A continuación, se procede a analizar cada uno de estos despachos de forma individual.</w:t>
      </w:r>
    </w:p>
    <w:p w14:paraId="4467893D" w14:textId="2E010AA1" w:rsidR="00783306" w:rsidRDefault="00783306" w:rsidP="00355630">
      <w:pPr>
        <w:spacing w:after="0" w:line="276" w:lineRule="auto"/>
        <w:jc w:val="both"/>
        <w:rPr>
          <w:rFonts w:ascii="Book Antiqua" w:eastAsia="Calibri" w:hAnsi="Book Antiqua" w:cs="Arial"/>
          <w:sz w:val="24"/>
          <w:szCs w:val="24"/>
        </w:rPr>
      </w:pPr>
    </w:p>
    <w:p w14:paraId="635BAA2A" w14:textId="77777777" w:rsidR="00770CA5" w:rsidRPr="008456A9" w:rsidRDefault="00770CA5"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 Buenos Aires</w:t>
      </w:r>
    </w:p>
    <w:p w14:paraId="4E9BE79F" w14:textId="77777777" w:rsidR="00770CA5" w:rsidRPr="00770CA5" w:rsidRDefault="00770CA5" w:rsidP="00770CA5">
      <w:pPr>
        <w:spacing w:after="0" w:line="240" w:lineRule="auto"/>
        <w:jc w:val="both"/>
        <w:rPr>
          <w:rFonts w:ascii="Book Antiqua" w:eastAsia="Calibri" w:hAnsi="Book Antiqua" w:cs="Arial"/>
        </w:rPr>
      </w:pPr>
    </w:p>
    <w:p w14:paraId="3658E014" w14:textId="0661CCE2" w:rsidR="000A1195" w:rsidRDefault="00D6242E" w:rsidP="00770CA5">
      <w:pPr>
        <w:spacing w:after="0" w:line="276" w:lineRule="auto"/>
        <w:jc w:val="both"/>
        <w:rPr>
          <w:rFonts w:ascii="Book Antiqua" w:eastAsia="Calibri" w:hAnsi="Book Antiqua" w:cs="Arial"/>
          <w:sz w:val="24"/>
          <w:szCs w:val="24"/>
        </w:rPr>
      </w:pPr>
      <w:r w:rsidRPr="00D6242E">
        <w:rPr>
          <w:rFonts w:ascii="Book Antiqua" w:eastAsia="Calibri" w:hAnsi="Book Antiqua" w:cs="Arial"/>
          <w:sz w:val="24"/>
          <w:szCs w:val="24"/>
        </w:rPr>
        <w:t>El Juzgado Civil, Trabajo y Familia de Buenos Aires registra 23 casos entrados en promedio mensual en materia de Familia por persona juzgadora, registrando un porcentaje en la relación de terminados entrados de 74%, producto del efecto estimado por la desjudicialización que plantea el CPF este porcentaje se incrementaría a 87%, pudiéndose cubrir con la entrada de casos en este despacho en esta materia. En relación con las demás materias se registran 9 expedientes en Civil, 9 en Laboral, 9 en Agrario, 7 en Penal Juvenil y 44 en Violencia Doméstica, para un promedio de entrada por mes por plaza entre todas las materias de 101 casos (5 diarios).</w:t>
      </w:r>
    </w:p>
    <w:p w14:paraId="70FDC015" w14:textId="77777777" w:rsidR="00D6242E" w:rsidRPr="00770CA5" w:rsidRDefault="00D6242E" w:rsidP="00770CA5">
      <w:pPr>
        <w:spacing w:after="0" w:line="276" w:lineRule="auto"/>
        <w:jc w:val="both"/>
        <w:rPr>
          <w:rFonts w:ascii="Book Antiqua" w:eastAsia="Calibri" w:hAnsi="Book Antiqua" w:cs="Arial"/>
          <w:sz w:val="24"/>
          <w:szCs w:val="24"/>
        </w:rPr>
      </w:pPr>
    </w:p>
    <w:p w14:paraId="146E59BE" w14:textId="77777777" w:rsidR="00770CA5" w:rsidRP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Por lo que los resultados actuales no permitirían sugerir la especialización de alguna de estas materias o la incorporación de nuevas plazas de personas juzgadoras en este despacho.</w:t>
      </w:r>
    </w:p>
    <w:p w14:paraId="68757881" w14:textId="77777777" w:rsidR="00770CA5" w:rsidRPr="00770CA5" w:rsidRDefault="00770CA5" w:rsidP="00770CA5">
      <w:pPr>
        <w:spacing w:after="0" w:line="276" w:lineRule="auto"/>
        <w:jc w:val="both"/>
        <w:rPr>
          <w:rFonts w:ascii="Book Antiqua" w:eastAsia="Calibri" w:hAnsi="Book Antiqua" w:cs="Arial"/>
          <w:sz w:val="24"/>
          <w:szCs w:val="24"/>
        </w:rPr>
      </w:pPr>
    </w:p>
    <w:p w14:paraId="7D9CECB0" w14:textId="372B7938" w:rsidR="00770CA5" w:rsidRPr="00770CA5" w:rsidRDefault="00770CA5" w:rsidP="00770CA5">
      <w:pPr>
        <w:spacing w:after="0" w:line="276" w:lineRule="auto"/>
        <w:jc w:val="both"/>
        <w:rPr>
          <w:rFonts w:ascii="Book Antiqua" w:eastAsia="Calibri" w:hAnsi="Book Antiqua" w:cs="Arial"/>
          <w:sz w:val="24"/>
          <w:szCs w:val="24"/>
        </w:rPr>
      </w:pPr>
      <w:r w:rsidRPr="00D6242E">
        <w:rPr>
          <w:rFonts w:ascii="Book Antiqua" w:eastAsia="Calibri" w:hAnsi="Book Antiqua" w:cs="Arial"/>
          <w:sz w:val="24"/>
          <w:szCs w:val="24"/>
        </w:rPr>
        <w:t xml:space="preserve">En cuanto a las personas técnicas judiciales, reportan una entrada promedio mensual de </w:t>
      </w:r>
      <w:r w:rsidR="00D6242E" w:rsidRPr="00D6242E">
        <w:rPr>
          <w:rFonts w:ascii="Book Antiqua" w:eastAsia="Calibri" w:hAnsi="Book Antiqua" w:cs="Arial"/>
          <w:sz w:val="24"/>
          <w:szCs w:val="24"/>
        </w:rPr>
        <w:t>60</w:t>
      </w:r>
      <w:r w:rsidRPr="00D6242E">
        <w:rPr>
          <w:rFonts w:ascii="Book Antiqua" w:eastAsia="Calibri" w:hAnsi="Book Antiqua" w:cs="Arial"/>
          <w:sz w:val="24"/>
          <w:szCs w:val="24"/>
        </w:rPr>
        <w:t xml:space="preserve"> asuntos entre todas las materias (el promedio de sus homólogos es de </w:t>
      </w:r>
      <w:r w:rsidR="00D6242E" w:rsidRPr="00D6242E">
        <w:rPr>
          <w:rFonts w:ascii="Book Antiqua" w:eastAsia="Calibri" w:hAnsi="Book Antiqua" w:cs="Arial"/>
          <w:sz w:val="24"/>
          <w:szCs w:val="24"/>
        </w:rPr>
        <w:t>39</w:t>
      </w:r>
      <w:r w:rsidRPr="00D6242E">
        <w:rPr>
          <w:rFonts w:ascii="Book Antiqua" w:eastAsia="Calibri" w:hAnsi="Book Antiqua" w:cs="Arial"/>
          <w:sz w:val="24"/>
          <w:szCs w:val="24"/>
        </w:rPr>
        <w:t>). Además</w:t>
      </w:r>
      <w:r w:rsidRPr="0026676F">
        <w:rPr>
          <w:rFonts w:ascii="Book Antiqua" w:eastAsia="Calibri" w:hAnsi="Book Antiqua" w:cs="Arial"/>
          <w:sz w:val="24"/>
          <w:szCs w:val="24"/>
        </w:rPr>
        <w:t>, para la atención de la materia Agraria, tramitación, giras, entre otros, conforme se analizó en el informe de impacto presupuestario en el Poder Judicial ante la entrada en vigencia del Código Procesal Agrario se recomienda la asignación de un recurso adicional.</w:t>
      </w:r>
    </w:p>
    <w:p w14:paraId="2F9D962C" w14:textId="26285E2D" w:rsidR="005979C1"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 xml:space="preserve">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w:t>
      </w:r>
      <w:r w:rsidR="00F84B4E">
        <w:rPr>
          <w:rFonts w:ascii="Book Antiqua" w:eastAsia="Calibri" w:hAnsi="Book Antiqua" w:cs="Arial"/>
          <w:sz w:val="24"/>
          <w:szCs w:val="24"/>
        </w:rPr>
        <w:t xml:space="preserve">de trámite </w:t>
      </w:r>
      <w:r w:rsidRPr="00770CA5">
        <w:rPr>
          <w:rFonts w:ascii="Book Antiqua" w:eastAsia="Calibri" w:hAnsi="Book Antiqua" w:cs="Arial"/>
          <w:sz w:val="24"/>
          <w:szCs w:val="24"/>
        </w:rPr>
        <w:t>la carga de trabajo por persona técnica</w:t>
      </w:r>
      <w:r w:rsidR="00F84B4E">
        <w:rPr>
          <w:rFonts w:ascii="Book Antiqua" w:eastAsia="Calibri" w:hAnsi="Book Antiqua" w:cs="Arial"/>
          <w:sz w:val="24"/>
          <w:szCs w:val="24"/>
        </w:rPr>
        <w:t xml:space="preserve"> de </w:t>
      </w:r>
      <w:r w:rsidR="00F84B4E" w:rsidRPr="00D6242E">
        <w:rPr>
          <w:rFonts w:ascii="Book Antiqua" w:eastAsia="Calibri" w:hAnsi="Book Antiqua" w:cs="Arial"/>
          <w:sz w:val="24"/>
          <w:szCs w:val="24"/>
        </w:rPr>
        <w:t>trámite</w:t>
      </w:r>
      <w:r w:rsidRPr="00D6242E">
        <w:rPr>
          <w:rFonts w:ascii="Book Antiqua" w:eastAsia="Calibri" w:hAnsi="Book Antiqua" w:cs="Arial"/>
          <w:sz w:val="24"/>
          <w:szCs w:val="24"/>
        </w:rPr>
        <w:t xml:space="preserve"> pasaría de </w:t>
      </w:r>
      <w:r w:rsidR="00D6242E" w:rsidRPr="00D6242E">
        <w:rPr>
          <w:rFonts w:ascii="Book Antiqua" w:eastAsia="Calibri" w:hAnsi="Book Antiqua" w:cs="Arial"/>
          <w:sz w:val="24"/>
          <w:szCs w:val="24"/>
        </w:rPr>
        <w:t>60</w:t>
      </w:r>
      <w:r w:rsidRPr="00D6242E">
        <w:rPr>
          <w:rFonts w:ascii="Book Antiqua" w:eastAsia="Calibri" w:hAnsi="Book Antiqua" w:cs="Arial"/>
          <w:sz w:val="24"/>
          <w:szCs w:val="24"/>
        </w:rPr>
        <w:t xml:space="preserve"> a </w:t>
      </w:r>
      <w:r w:rsidR="00D6242E" w:rsidRPr="00D6242E">
        <w:rPr>
          <w:rFonts w:ascii="Book Antiqua" w:eastAsia="Calibri" w:hAnsi="Book Antiqua" w:cs="Arial"/>
          <w:sz w:val="24"/>
          <w:szCs w:val="24"/>
        </w:rPr>
        <w:t>40</w:t>
      </w:r>
      <w:r w:rsidRPr="00770CA5">
        <w:rPr>
          <w:rFonts w:ascii="Book Antiqua" w:eastAsia="Calibri" w:hAnsi="Book Antiqua" w:cs="Arial"/>
          <w:sz w:val="24"/>
          <w:szCs w:val="24"/>
        </w:rPr>
        <w:t xml:space="preserve"> asuntos nuevos por mes</w:t>
      </w:r>
      <w:r w:rsidR="00F84B4E">
        <w:rPr>
          <w:rFonts w:ascii="Book Antiqua" w:eastAsia="Calibri" w:hAnsi="Book Antiqua" w:cs="Arial"/>
          <w:sz w:val="24"/>
          <w:szCs w:val="24"/>
        </w:rPr>
        <w:t xml:space="preserve"> y se podría colocar una persona para la manifestación</w:t>
      </w:r>
      <w:r w:rsidRPr="00770CA5">
        <w:rPr>
          <w:rFonts w:ascii="Book Antiqua" w:eastAsia="Calibri" w:hAnsi="Book Antiqua" w:cs="Arial"/>
          <w:sz w:val="24"/>
          <w:szCs w:val="24"/>
        </w:rPr>
        <w:t xml:space="preserve"> </w:t>
      </w:r>
    </w:p>
    <w:p w14:paraId="59939DE7" w14:textId="5E0D162B" w:rsidR="00D838DB" w:rsidRDefault="00D838DB" w:rsidP="00770CA5">
      <w:pPr>
        <w:spacing w:after="0" w:line="276" w:lineRule="auto"/>
        <w:jc w:val="both"/>
        <w:rPr>
          <w:rFonts w:ascii="Book Antiqua" w:eastAsia="Calibri" w:hAnsi="Book Antiqua" w:cs="Arial"/>
          <w:sz w:val="24"/>
          <w:szCs w:val="24"/>
        </w:rPr>
      </w:pPr>
    </w:p>
    <w:p w14:paraId="37185633" w14:textId="452C7929" w:rsidR="00D838DB" w:rsidRDefault="0028766C"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Este despacho constantemente ha solicitado y recibido apoyo de parte de la Administración Regional. </w:t>
      </w:r>
    </w:p>
    <w:p w14:paraId="5630E280" w14:textId="260B1819" w:rsidR="0028766C" w:rsidRDefault="0028766C" w:rsidP="00770CA5">
      <w:pPr>
        <w:spacing w:after="0" w:line="276" w:lineRule="auto"/>
        <w:jc w:val="both"/>
        <w:rPr>
          <w:rFonts w:ascii="Book Antiqua" w:eastAsia="Calibri" w:hAnsi="Book Antiqua" w:cs="Arial"/>
          <w:sz w:val="24"/>
          <w:szCs w:val="24"/>
        </w:rPr>
      </w:pPr>
    </w:p>
    <w:p w14:paraId="14CC443E" w14:textId="178C56AC" w:rsidR="00827857" w:rsidRDefault="009F3830"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w:t>
      </w:r>
      <w:r w:rsidR="0090791F">
        <w:rPr>
          <w:rFonts w:ascii="Book Antiqua" w:eastAsia="Calibri" w:hAnsi="Book Antiqua" w:cs="Arial"/>
          <w:sz w:val="24"/>
          <w:szCs w:val="24"/>
        </w:rPr>
        <w:t>n e</w:t>
      </w:r>
      <w:r w:rsidR="005979C1">
        <w:rPr>
          <w:rFonts w:ascii="Book Antiqua" w:eastAsia="Calibri" w:hAnsi="Book Antiqua" w:cs="Arial"/>
          <w:sz w:val="24"/>
          <w:szCs w:val="24"/>
        </w:rPr>
        <w:t xml:space="preserve">l informe </w:t>
      </w:r>
      <w:r w:rsidR="00E77732">
        <w:rPr>
          <w:rFonts w:ascii="Book Antiqua" w:eastAsia="Calibri" w:hAnsi="Book Antiqua" w:cs="Arial"/>
          <w:sz w:val="24"/>
          <w:szCs w:val="24"/>
        </w:rPr>
        <w:t>48-PLA-MI-2022</w:t>
      </w:r>
      <w:r w:rsidR="00486123">
        <w:rPr>
          <w:rFonts w:ascii="Book Antiqua" w:eastAsia="Calibri" w:hAnsi="Book Antiqua" w:cs="Arial"/>
          <w:sz w:val="24"/>
          <w:szCs w:val="24"/>
        </w:rPr>
        <w:t>, relacionado con e</w:t>
      </w:r>
      <w:r w:rsidR="00DF6E0B">
        <w:rPr>
          <w:rFonts w:ascii="Book Antiqua" w:eastAsia="Calibri" w:hAnsi="Book Antiqua" w:cs="Arial"/>
          <w:sz w:val="24"/>
          <w:szCs w:val="24"/>
        </w:rPr>
        <w:t xml:space="preserve">l </w:t>
      </w:r>
      <w:r w:rsidR="009D2239">
        <w:rPr>
          <w:rFonts w:ascii="Book Antiqua" w:eastAsia="Calibri" w:hAnsi="Book Antiqua" w:cs="Arial"/>
          <w:sz w:val="24"/>
          <w:szCs w:val="24"/>
        </w:rPr>
        <w:t>“</w:t>
      </w:r>
      <w:r w:rsidR="00DF6E0B" w:rsidRPr="001D0C10">
        <w:rPr>
          <w:rFonts w:ascii="Book Antiqua" w:eastAsia="Calibri" w:hAnsi="Book Antiqua" w:cs="Arial"/>
          <w:i/>
          <w:iCs/>
          <w:sz w:val="24"/>
          <w:szCs w:val="24"/>
        </w:rPr>
        <w:t xml:space="preserve">Informe de </w:t>
      </w:r>
      <w:r w:rsidR="009D2239" w:rsidRPr="001D0C10">
        <w:rPr>
          <w:rFonts w:ascii="Book Antiqua" w:eastAsia="Calibri" w:hAnsi="Book Antiqua" w:cs="Arial"/>
          <w:i/>
          <w:iCs/>
          <w:sz w:val="24"/>
          <w:szCs w:val="24"/>
        </w:rPr>
        <w:t>c</w:t>
      </w:r>
      <w:r w:rsidR="00DF6E0B" w:rsidRPr="001D0C10">
        <w:rPr>
          <w:rFonts w:ascii="Book Antiqua" w:eastAsia="Calibri" w:hAnsi="Book Antiqua" w:cs="Arial"/>
          <w:i/>
          <w:iCs/>
          <w:sz w:val="24"/>
          <w:szCs w:val="24"/>
        </w:rPr>
        <w:t xml:space="preserve">ierre </w:t>
      </w:r>
      <w:r w:rsidR="009D2239" w:rsidRPr="001D0C10">
        <w:rPr>
          <w:rFonts w:ascii="Book Antiqua" w:eastAsia="Calibri" w:hAnsi="Book Antiqua" w:cs="Arial"/>
          <w:i/>
          <w:iCs/>
          <w:sz w:val="24"/>
          <w:szCs w:val="24"/>
        </w:rPr>
        <w:t>de seguimiento</w:t>
      </w:r>
      <w:r w:rsidR="008352D6" w:rsidRPr="001D0C10">
        <w:rPr>
          <w:rFonts w:ascii="Book Antiqua" w:eastAsia="Calibri" w:hAnsi="Book Antiqua" w:cs="Arial"/>
          <w:i/>
          <w:iCs/>
          <w:sz w:val="24"/>
          <w:szCs w:val="24"/>
        </w:rPr>
        <w:t xml:space="preserve"> efectuado a los </w:t>
      </w:r>
      <w:r w:rsidR="00BA6805" w:rsidRPr="001D0C10">
        <w:rPr>
          <w:rFonts w:ascii="Book Antiqua" w:eastAsia="Calibri" w:hAnsi="Book Antiqua" w:cs="Arial"/>
          <w:i/>
          <w:iCs/>
          <w:sz w:val="24"/>
          <w:szCs w:val="24"/>
        </w:rPr>
        <w:t>Juzgados Mixtos</w:t>
      </w:r>
      <w:r w:rsidR="00BA6805">
        <w:rPr>
          <w:rFonts w:ascii="Book Antiqua" w:eastAsia="Calibri" w:hAnsi="Book Antiqua" w:cs="Arial"/>
          <w:sz w:val="24"/>
          <w:szCs w:val="24"/>
        </w:rPr>
        <w:t>”</w:t>
      </w:r>
      <w:r w:rsidR="00E30222">
        <w:rPr>
          <w:rFonts w:ascii="Book Antiqua" w:eastAsia="Calibri" w:hAnsi="Book Antiqua" w:cs="Arial"/>
          <w:sz w:val="24"/>
          <w:szCs w:val="24"/>
        </w:rPr>
        <w:t xml:space="preserve">, </w:t>
      </w:r>
      <w:r>
        <w:rPr>
          <w:rFonts w:ascii="Book Antiqua" w:eastAsia="Calibri" w:hAnsi="Book Antiqua" w:cs="Arial"/>
          <w:sz w:val="24"/>
          <w:szCs w:val="24"/>
        </w:rPr>
        <w:t xml:space="preserve">se analiza la </w:t>
      </w:r>
      <w:r w:rsidR="005A29D3">
        <w:rPr>
          <w:rFonts w:ascii="Book Antiqua" w:eastAsia="Calibri" w:hAnsi="Book Antiqua" w:cs="Arial"/>
          <w:sz w:val="24"/>
          <w:szCs w:val="24"/>
        </w:rPr>
        <w:t xml:space="preserve">criticidad </w:t>
      </w:r>
      <w:r w:rsidR="007E625D">
        <w:rPr>
          <w:rFonts w:ascii="Book Antiqua" w:eastAsia="Calibri" w:hAnsi="Book Antiqua" w:cs="Arial"/>
          <w:sz w:val="24"/>
          <w:szCs w:val="24"/>
        </w:rPr>
        <w:t>d</w:t>
      </w:r>
      <w:r w:rsidR="00E30222">
        <w:rPr>
          <w:rFonts w:ascii="Book Antiqua" w:eastAsia="Calibri" w:hAnsi="Book Antiqua" w:cs="Arial"/>
          <w:sz w:val="24"/>
          <w:szCs w:val="24"/>
        </w:rPr>
        <w:t>el Juzgado Civil, Trabajo y Familia de Buenos Aires,</w:t>
      </w:r>
      <w:r w:rsidR="00CC09BF">
        <w:rPr>
          <w:rFonts w:ascii="Book Antiqua" w:eastAsia="Calibri" w:hAnsi="Book Antiqua" w:cs="Arial"/>
          <w:sz w:val="24"/>
          <w:szCs w:val="24"/>
        </w:rPr>
        <w:t xml:space="preserve"> d</w:t>
      </w:r>
      <w:r w:rsidR="0015530E">
        <w:rPr>
          <w:rFonts w:ascii="Book Antiqua" w:eastAsia="Calibri" w:hAnsi="Book Antiqua" w:cs="Arial"/>
          <w:sz w:val="24"/>
          <w:szCs w:val="24"/>
        </w:rPr>
        <w:t xml:space="preserve">el seguimiento realizado durante el periodo diciembre 2020 a </w:t>
      </w:r>
      <w:r w:rsidR="0036458A">
        <w:rPr>
          <w:rFonts w:ascii="Book Antiqua" w:eastAsia="Calibri" w:hAnsi="Book Antiqua" w:cs="Arial"/>
          <w:sz w:val="24"/>
          <w:szCs w:val="24"/>
        </w:rPr>
        <w:t>julio</w:t>
      </w:r>
      <w:r w:rsidR="00E72C23">
        <w:rPr>
          <w:rFonts w:ascii="Book Antiqua" w:eastAsia="Calibri" w:hAnsi="Book Antiqua" w:cs="Arial"/>
          <w:sz w:val="24"/>
          <w:szCs w:val="24"/>
        </w:rPr>
        <w:t xml:space="preserve"> 2021</w:t>
      </w:r>
      <w:r w:rsidR="0036458A">
        <w:rPr>
          <w:rFonts w:ascii="Book Antiqua" w:eastAsia="Calibri" w:hAnsi="Book Antiqua" w:cs="Arial"/>
          <w:sz w:val="24"/>
          <w:szCs w:val="24"/>
        </w:rPr>
        <w:t xml:space="preserve">, </w:t>
      </w:r>
      <w:r w:rsidR="00A54C1A">
        <w:rPr>
          <w:rFonts w:ascii="Book Antiqua" w:eastAsia="Calibri" w:hAnsi="Book Antiqua" w:cs="Arial"/>
          <w:sz w:val="24"/>
          <w:szCs w:val="24"/>
        </w:rPr>
        <w:t>se determin</w:t>
      </w:r>
      <w:r w:rsidR="00D64884">
        <w:rPr>
          <w:rFonts w:ascii="Book Antiqua" w:eastAsia="Calibri" w:hAnsi="Book Antiqua" w:cs="Arial"/>
          <w:sz w:val="24"/>
          <w:szCs w:val="24"/>
        </w:rPr>
        <w:t>ó que esa oficina mantiene una</w:t>
      </w:r>
      <w:r w:rsidR="00A54C1A">
        <w:rPr>
          <w:rFonts w:ascii="Book Antiqua" w:eastAsia="Calibri" w:hAnsi="Book Antiqua" w:cs="Arial"/>
          <w:sz w:val="24"/>
          <w:szCs w:val="24"/>
        </w:rPr>
        <w:t xml:space="preserve"> </w:t>
      </w:r>
      <w:r w:rsidR="00C554F7">
        <w:rPr>
          <w:rFonts w:ascii="Book Antiqua" w:eastAsia="Calibri" w:hAnsi="Book Antiqua" w:cs="Arial"/>
          <w:sz w:val="24"/>
          <w:szCs w:val="24"/>
        </w:rPr>
        <w:t>calificación “D”</w:t>
      </w:r>
      <w:r w:rsidR="00A54C1A">
        <w:rPr>
          <w:rFonts w:ascii="Book Antiqua" w:eastAsia="Calibri" w:hAnsi="Book Antiqua" w:cs="Arial"/>
          <w:sz w:val="24"/>
          <w:szCs w:val="24"/>
        </w:rPr>
        <w:t xml:space="preserve"> </w:t>
      </w:r>
      <w:r w:rsidR="005864F7">
        <w:rPr>
          <w:rFonts w:ascii="Book Antiqua" w:eastAsia="Calibri" w:hAnsi="Book Antiqua" w:cs="Arial"/>
          <w:sz w:val="24"/>
          <w:szCs w:val="24"/>
        </w:rPr>
        <w:t xml:space="preserve"> </w:t>
      </w:r>
      <w:r w:rsidR="002635E0" w:rsidRPr="002635E0">
        <w:rPr>
          <w:rFonts w:ascii="Book Antiqua" w:eastAsia="Calibri" w:hAnsi="Book Antiqua" w:cs="Arial"/>
          <w:sz w:val="24"/>
          <w:szCs w:val="24"/>
        </w:rPr>
        <w:t>principal</w:t>
      </w:r>
      <w:r w:rsidR="005864F7">
        <w:rPr>
          <w:rFonts w:ascii="Book Antiqua" w:eastAsia="Calibri" w:hAnsi="Book Antiqua" w:cs="Arial"/>
          <w:sz w:val="24"/>
          <w:szCs w:val="24"/>
        </w:rPr>
        <w:t xml:space="preserve">mente </w:t>
      </w:r>
      <w:r w:rsidR="00D64884">
        <w:rPr>
          <w:rFonts w:ascii="Book Antiqua" w:eastAsia="Calibri" w:hAnsi="Book Antiqua" w:cs="Arial"/>
          <w:sz w:val="24"/>
          <w:szCs w:val="24"/>
        </w:rPr>
        <w:t xml:space="preserve">por </w:t>
      </w:r>
      <w:r w:rsidR="005864F7">
        <w:rPr>
          <w:rFonts w:ascii="Book Antiqua" w:eastAsia="Calibri" w:hAnsi="Book Antiqua" w:cs="Arial"/>
          <w:sz w:val="24"/>
          <w:szCs w:val="24"/>
        </w:rPr>
        <w:t xml:space="preserve"> </w:t>
      </w:r>
      <w:r w:rsidR="008C0928">
        <w:rPr>
          <w:rFonts w:ascii="Book Antiqua" w:eastAsia="Calibri" w:hAnsi="Book Antiqua" w:cs="Arial"/>
          <w:sz w:val="24"/>
          <w:szCs w:val="24"/>
        </w:rPr>
        <w:t>l</w:t>
      </w:r>
      <w:r w:rsidR="005864F7">
        <w:rPr>
          <w:rFonts w:ascii="Book Antiqua" w:eastAsia="Calibri" w:hAnsi="Book Antiqua" w:cs="Arial"/>
          <w:sz w:val="24"/>
          <w:szCs w:val="24"/>
        </w:rPr>
        <w:t>os indicadores de</w:t>
      </w:r>
      <w:r w:rsidR="008C0928">
        <w:rPr>
          <w:rFonts w:ascii="Book Antiqua" w:eastAsia="Calibri" w:hAnsi="Book Antiqua" w:cs="Arial"/>
          <w:sz w:val="24"/>
          <w:szCs w:val="24"/>
        </w:rPr>
        <w:t xml:space="preserve"> </w:t>
      </w:r>
      <w:r w:rsidR="002635E0" w:rsidRPr="002635E0">
        <w:rPr>
          <w:rFonts w:ascii="Book Antiqua" w:eastAsia="Calibri" w:hAnsi="Book Antiqua" w:cs="Arial"/>
          <w:sz w:val="24"/>
          <w:szCs w:val="24"/>
        </w:rPr>
        <w:t>Plazo para resolver demandas nuevas y el Plazo para resolver escrito</w:t>
      </w:r>
      <w:r w:rsidR="002635E0">
        <w:rPr>
          <w:rFonts w:ascii="Book Antiqua" w:eastAsia="Calibri" w:hAnsi="Book Antiqua" w:cs="Arial"/>
          <w:sz w:val="24"/>
          <w:szCs w:val="24"/>
        </w:rPr>
        <w:t>s</w:t>
      </w:r>
      <w:r w:rsidR="00D64884">
        <w:rPr>
          <w:rFonts w:ascii="Book Antiqua" w:eastAsia="Calibri" w:hAnsi="Book Antiqua" w:cs="Arial"/>
          <w:sz w:val="24"/>
          <w:szCs w:val="24"/>
        </w:rPr>
        <w:t xml:space="preserve"> (tareas que realizan las personas técnicas judiciales)</w:t>
      </w:r>
      <w:r w:rsidR="00586771">
        <w:rPr>
          <w:rFonts w:ascii="Book Antiqua" w:eastAsia="Calibri" w:hAnsi="Book Antiqua" w:cs="Arial"/>
          <w:sz w:val="24"/>
          <w:szCs w:val="24"/>
        </w:rPr>
        <w:t xml:space="preserve">, </w:t>
      </w:r>
      <w:r w:rsidR="00020532">
        <w:rPr>
          <w:rFonts w:ascii="Book Antiqua" w:eastAsia="Calibri" w:hAnsi="Book Antiqua" w:cs="Arial"/>
          <w:sz w:val="24"/>
          <w:szCs w:val="24"/>
        </w:rPr>
        <w:t>por lo que se realizó un plan de trabajo “</w:t>
      </w:r>
      <w:r w:rsidR="00586771" w:rsidRPr="001D0C10">
        <w:rPr>
          <w:rFonts w:ascii="Book Antiqua" w:eastAsia="Calibri" w:hAnsi="Book Antiqua" w:cs="Arial"/>
          <w:i/>
          <w:iCs/>
          <w:sz w:val="24"/>
          <w:szCs w:val="24"/>
        </w:rPr>
        <w:t>Trámite Rápido 1887-PLA-MI-TR-2021</w:t>
      </w:r>
      <w:r w:rsidR="00020532">
        <w:rPr>
          <w:rFonts w:ascii="Book Antiqua" w:eastAsia="Calibri" w:hAnsi="Book Antiqua" w:cs="Arial"/>
          <w:sz w:val="24"/>
          <w:szCs w:val="24"/>
        </w:rPr>
        <w:t>”</w:t>
      </w:r>
      <w:r w:rsidR="00586771" w:rsidRPr="00586771">
        <w:rPr>
          <w:rFonts w:ascii="Book Antiqua" w:eastAsia="Calibri" w:hAnsi="Book Antiqua" w:cs="Arial"/>
          <w:sz w:val="24"/>
          <w:szCs w:val="24"/>
        </w:rPr>
        <w:t xml:space="preserve"> </w:t>
      </w:r>
      <w:r w:rsidR="00796B41">
        <w:rPr>
          <w:rFonts w:ascii="Book Antiqua" w:eastAsia="Calibri" w:hAnsi="Book Antiqua" w:cs="Arial"/>
          <w:sz w:val="24"/>
          <w:szCs w:val="24"/>
        </w:rPr>
        <w:t xml:space="preserve">con el fin de </w:t>
      </w:r>
      <w:r w:rsidR="00586771" w:rsidRPr="00586771">
        <w:rPr>
          <w:rFonts w:ascii="Book Antiqua" w:eastAsia="Calibri" w:hAnsi="Book Antiqua" w:cs="Arial"/>
          <w:sz w:val="24"/>
          <w:szCs w:val="24"/>
        </w:rPr>
        <w:t xml:space="preserve">que </w:t>
      </w:r>
      <w:r w:rsidR="00B649FA">
        <w:rPr>
          <w:rFonts w:ascii="Book Antiqua" w:eastAsia="Calibri" w:hAnsi="Book Antiqua" w:cs="Arial"/>
          <w:sz w:val="24"/>
          <w:szCs w:val="24"/>
        </w:rPr>
        <w:t xml:space="preserve">se </w:t>
      </w:r>
      <w:r w:rsidR="00796B41">
        <w:rPr>
          <w:rFonts w:ascii="Book Antiqua" w:eastAsia="Calibri" w:hAnsi="Book Antiqua" w:cs="Arial"/>
          <w:sz w:val="24"/>
          <w:szCs w:val="24"/>
        </w:rPr>
        <w:t>diera</w:t>
      </w:r>
      <w:r w:rsidR="00586771" w:rsidRPr="00586771">
        <w:rPr>
          <w:rFonts w:ascii="Book Antiqua" w:eastAsia="Calibri" w:hAnsi="Book Antiqua" w:cs="Arial"/>
          <w:sz w:val="24"/>
          <w:szCs w:val="24"/>
        </w:rPr>
        <w:t xml:space="preserve"> atención de las demandas nuevas y escritos pendientes de resolver según la antigüedad de ingreso de esos asuntos</w:t>
      </w:r>
      <w:r w:rsidR="0088444D">
        <w:rPr>
          <w:rFonts w:ascii="Book Antiqua" w:eastAsia="Calibri" w:hAnsi="Book Antiqua" w:cs="Arial"/>
          <w:sz w:val="24"/>
          <w:szCs w:val="24"/>
        </w:rPr>
        <w:t xml:space="preserve">, </w:t>
      </w:r>
      <w:r w:rsidR="00B649FA">
        <w:rPr>
          <w:rFonts w:ascii="Book Antiqua" w:eastAsia="Calibri" w:hAnsi="Book Antiqua" w:cs="Arial"/>
          <w:sz w:val="24"/>
          <w:szCs w:val="24"/>
        </w:rPr>
        <w:t xml:space="preserve">ya que </w:t>
      </w:r>
      <w:r w:rsidR="00383E24" w:rsidRPr="00383E24">
        <w:rPr>
          <w:rFonts w:ascii="Book Antiqua" w:eastAsia="Calibri" w:hAnsi="Book Antiqua" w:cs="Arial"/>
          <w:sz w:val="24"/>
          <w:szCs w:val="24"/>
        </w:rPr>
        <w:t xml:space="preserve">para este </w:t>
      </w:r>
      <w:r w:rsidR="00831520">
        <w:rPr>
          <w:rFonts w:ascii="Book Antiqua" w:eastAsia="Calibri" w:hAnsi="Book Antiqua" w:cs="Arial"/>
          <w:sz w:val="24"/>
          <w:szCs w:val="24"/>
        </w:rPr>
        <w:t>d</w:t>
      </w:r>
      <w:r w:rsidR="00383E24" w:rsidRPr="00383E24">
        <w:rPr>
          <w:rFonts w:ascii="Book Antiqua" w:eastAsia="Calibri" w:hAnsi="Book Antiqua" w:cs="Arial"/>
          <w:sz w:val="24"/>
          <w:szCs w:val="24"/>
        </w:rPr>
        <w:t>espacho se determinó limitación en cuanto a la capacidad instalada del personal Técnico Judicia</w:t>
      </w:r>
      <w:r w:rsidR="00831520">
        <w:rPr>
          <w:rFonts w:ascii="Book Antiqua" w:eastAsia="Calibri" w:hAnsi="Book Antiqua" w:cs="Arial"/>
          <w:sz w:val="24"/>
          <w:szCs w:val="24"/>
        </w:rPr>
        <w:t>l</w:t>
      </w:r>
      <w:r w:rsidR="003639EA">
        <w:rPr>
          <w:rFonts w:ascii="Book Antiqua" w:eastAsia="Calibri" w:hAnsi="Book Antiqua" w:cs="Arial"/>
          <w:sz w:val="24"/>
          <w:szCs w:val="24"/>
        </w:rPr>
        <w:t xml:space="preserve">, situación que </w:t>
      </w:r>
      <w:r w:rsidR="00FC3DC7">
        <w:rPr>
          <w:rFonts w:ascii="Book Antiqua" w:eastAsia="Calibri" w:hAnsi="Book Antiqua" w:cs="Arial"/>
          <w:sz w:val="24"/>
          <w:szCs w:val="24"/>
        </w:rPr>
        <w:t xml:space="preserve">se evidenció en los </w:t>
      </w:r>
      <w:r w:rsidR="00E33129">
        <w:rPr>
          <w:rFonts w:ascii="Book Antiqua" w:eastAsia="Calibri" w:hAnsi="Book Antiqua" w:cs="Arial"/>
          <w:sz w:val="24"/>
          <w:szCs w:val="24"/>
        </w:rPr>
        <w:t>informes de impacto presupuestario 656-PLA-RH-MI-2020</w:t>
      </w:r>
      <w:r w:rsidR="0026676F">
        <w:rPr>
          <w:rFonts w:ascii="Book Antiqua" w:eastAsia="Calibri" w:hAnsi="Book Antiqua" w:cs="Arial"/>
          <w:sz w:val="24"/>
          <w:szCs w:val="24"/>
        </w:rPr>
        <w:t>,</w:t>
      </w:r>
      <w:r w:rsidR="00E33129">
        <w:rPr>
          <w:rFonts w:ascii="Book Antiqua" w:eastAsia="Calibri" w:hAnsi="Book Antiqua" w:cs="Arial"/>
          <w:sz w:val="24"/>
          <w:szCs w:val="24"/>
        </w:rPr>
        <w:t xml:space="preserve"> 389-PLA-RH-MI-2021</w:t>
      </w:r>
      <w:r w:rsidR="0026676F">
        <w:rPr>
          <w:rFonts w:ascii="Book Antiqua" w:eastAsia="Calibri" w:hAnsi="Book Antiqua" w:cs="Arial"/>
          <w:sz w:val="24"/>
          <w:szCs w:val="24"/>
        </w:rPr>
        <w:t xml:space="preserve"> y 314-PLA-MI-RH-2022</w:t>
      </w:r>
      <w:r w:rsidR="00586D0E">
        <w:rPr>
          <w:rFonts w:ascii="Book Antiqua" w:eastAsia="Calibri" w:hAnsi="Book Antiqua" w:cs="Arial"/>
          <w:sz w:val="24"/>
          <w:szCs w:val="24"/>
        </w:rPr>
        <w:t>, en l</w:t>
      </w:r>
      <w:r w:rsidR="00D232B5">
        <w:rPr>
          <w:rFonts w:ascii="Book Antiqua" w:eastAsia="Calibri" w:hAnsi="Book Antiqua" w:cs="Arial"/>
          <w:sz w:val="24"/>
          <w:szCs w:val="24"/>
        </w:rPr>
        <w:t xml:space="preserve">os que se determinó la necesidad </w:t>
      </w:r>
      <w:r w:rsidR="000D57CB">
        <w:rPr>
          <w:rFonts w:ascii="Book Antiqua" w:eastAsia="Calibri" w:hAnsi="Book Antiqua" w:cs="Arial"/>
          <w:sz w:val="24"/>
          <w:szCs w:val="24"/>
        </w:rPr>
        <w:t>de una persona Técnica Judicial para el trámite</w:t>
      </w:r>
      <w:r w:rsidR="007D3CD8">
        <w:rPr>
          <w:rFonts w:ascii="Book Antiqua" w:eastAsia="Calibri" w:hAnsi="Book Antiqua" w:cs="Arial"/>
          <w:sz w:val="24"/>
          <w:szCs w:val="24"/>
        </w:rPr>
        <w:t>; sin embargo,</w:t>
      </w:r>
    </w:p>
    <w:p w14:paraId="3D0C2047" w14:textId="4F5CA31E" w:rsidR="00E12E12" w:rsidRDefault="00EE3ADB" w:rsidP="00770CA5">
      <w:pPr>
        <w:spacing w:after="0" w:line="276" w:lineRule="auto"/>
        <w:jc w:val="both"/>
        <w:rPr>
          <w:rFonts w:ascii="Book Antiqua" w:eastAsia="Calibri" w:hAnsi="Book Antiqua" w:cs="Arial"/>
          <w:sz w:val="24"/>
          <w:szCs w:val="24"/>
        </w:rPr>
      </w:pPr>
      <w:r w:rsidRPr="00EE3ADB">
        <w:rPr>
          <w:rFonts w:ascii="Book Antiqua" w:eastAsia="Calibri" w:hAnsi="Book Antiqua" w:cs="Arial"/>
          <w:sz w:val="24"/>
          <w:szCs w:val="24"/>
        </w:rPr>
        <w:t xml:space="preserve">por la situación fiscal del país no se otorgó </w:t>
      </w:r>
      <w:r w:rsidR="003B5B98">
        <w:rPr>
          <w:rFonts w:ascii="Book Antiqua" w:eastAsia="Calibri" w:hAnsi="Book Antiqua" w:cs="Arial"/>
          <w:sz w:val="24"/>
          <w:szCs w:val="24"/>
        </w:rPr>
        <w:t xml:space="preserve">el </w:t>
      </w:r>
      <w:r w:rsidRPr="00EE3ADB">
        <w:rPr>
          <w:rFonts w:ascii="Book Antiqua" w:eastAsia="Calibri" w:hAnsi="Book Antiqua" w:cs="Arial"/>
          <w:sz w:val="24"/>
          <w:szCs w:val="24"/>
        </w:rPr>
        <w:t>contenido presupuestario para la implementación de la Ley 9747 “</w:t>
      </w:r>
      <w:r w:rsidRPr="001D0C10">
        <w:rPr>
          <w:rFonts w:ascii="Book Antiqua" w:eastAsia="Calibri" w:hAnsi="Book Antiqua" w:cs="Arial"/>
          <w:i/>
          <w:iCs/>
          <w:sz w:val="24"/>
          <w:szCs w:val="24"/>
        </w:rPr>
        <w:t>Código Procesal de Familia</w:t>
      </w:r>
      <w:r w:rsidRPr="00EE3ADB">
        <w:rPr>
          <w:rFonts w:ascii="Book Antiqua" w:eastAsia="Calibri" w:hAnsi="Book Antiqua" w:cs="Arial"/>
          <w:sz w:val="24"/>
          <w:szCs w:val="24"/>
        </w:rPr>
        <w:t>”</w:t>
      </w:r>
      <w:r w:rsidR="004B4BC4">
        <w:rPr>
          <w:rFonts w:ascii="Book Antiqua" w:eastAsia="Calibri" w:hAnsi="Book Antiqua" w:cs="Arial"/>
          <w:sz w:val="24"/>
          <w:szCs w:val="24"/>
        </w:rPr>
        <w:t xml:space="preserve">, por lo tanto, con el fin de </w:t>
      </w:r>
      <w:r w:rsidR="002C211F">
        <w:rPr>
          <w:rFonts w:ascii="Book Antiqua" w:eastAsia="Calibri" w:hAnsi="Book Antiqua" w:cs="Arial"/>
          <w:sz w:val="24"/>
          <w:szCs w:val="24"/>
        </w:rPr>
        <w:t xml:space="preserve">suplir la </w:t>
      </w:r>
      <w:r w:rsidR="00B829B8">
        <w:rPr>
          <w:rFonts w:ascii="Book Antiqua" w:eastAsia="Calibri" w:hAnsi="Book Antiqua" w:cs="Arial"/>
          <w:sz w:val="24"/>
          <w:szCs w:val="24"/>
        </w:rPr>
        <w:t>deficiencia</w:t>
      </w:r>
      <w:r w:rsidR="002C211F">
        <w:rPr>
          <w:rFonts w:ascii="Book Antiqua" w:eastAsia="Calibri" w:hAnsi="Book Antiqua" w:cs="Arial"/>
          <w:sz w:val="24"/>
          <w:szCs w:val="24"/>
        </w:rPr>
        <w:t xml:space="preserve"> </w:t>
      </w:r>
      <w:r w:rsidR="00B829B8">
        <w:rPr>
          <w:rFonts w:ascii="Book Antiqua" w:eastAsia="Calibri" w:hAnsi="Book Antiqua" w:cs="Arial"/>
          <w:sz w:val="24"/>
          <w:szCs w:val="24"/>
        </w:rPr>
        <w:t xml:space="preserve">en la capacidad de la estructura </w:t>
      </w:r>
      <w:r w:rsidR="0063349F">
        <w:rPr>
          <w:rFonts w:ascii="Book Antiqua" w:eastAsia="Calibri" w:hAnsi="Book Antiqua" w:cs="Arial"/>
          <w:sz w:val="24"/>
          <w:szCs w:val="24"/>
        </w:rPr>
        <w:t>actual</w:t>
      </w:r>
      <w:r w:rsidR="00EE5B80">
        <w:rPr>
          <w:rFonts w:ascii="Book Antiqua" w:eastAsia="Calibri" w:hAnsi="Book Antiqua" w:cs="Arial"/>
          <w:sz w:val="24"/>
          <w:szCs w:val="24"/>
        </w:rPr>
        <w:t xml:space="preserve"> del Juzgado Civil, Trabajo y Familia de Buenos Aires</w:t>
      </w:r>
      <w:r w:rsidR="00D93196">
        <w:rPr>
          <w:rFonts w:ascii="Book Antiqua" w:eastAsia="Calibri" w:hAnsi="Book Antiqua" w:cs="Arial"/>
          <w:sz w:val="24"/>
          <w:szCs w:val="24"/>
        </w:rPr>
        <w:t xml:space="preserve">, en el siguiente cuadro se </w:t>
      </w:r>
      <w:r w:rsidR="009F1424">
        <w:rPr>
          <w:rFonts w:ascii="Book Antiqua" w:eastAsia="Calibri" w:hAnsi="Book Antiqua" w:cs="Arial"/>
          <w:sz w:val="24"/>
          <w:szCs w:val="24"/>
        </w:rPr>
        <w:t>muestra</w:t>
      </w:r>
      <w:r w:rsidR="00125C45">
        <w:rPr>
          <w:rFonts w:ascii="Book Antiqua" w:eastAsia="Calibri" w:hAnsi="Book Antiqua" w:cs="Arial"/>
          <w:sz w:val="24"/>
          <w:szCs w:val="24"/>
        </w:rPr>
        <w:t xml:space="preserve">n los escenarios para definir </w:t>
      </w:r>
      <w:r w:rsidR="009F1424">
        <w:rPr>
          <w:rFonts w:ascii="Book Antiqua" w:eastAsia="Calibri" w:hAnsi="Book Antiqua" w:cs="Arial"/>
          <w:sz w:val="24"/>
          <w:szCs w:val="24"/>
        </w:rPr>
        <w:t xml:space="preserve">la estructura </w:t>
      </w:r>
      <w:r w:rsidR="00125C45">
        <w:rPr>
          <w:rFonts w:ascii="Book Antiqua" w:eastAsia="Calibri" w:hAnsi="Book Antiqua" w:cs="Arial"/>
          <w:sz w:val="24"/>
          <w:szCs w:val="24"/>
        </w:rPr>
        <w:t>ideal</w:t>
      </w:r>
      <w:r w:rsidR="009F1424">
        <w:rPr>
          <w:rFonts w:ascii="Book Antiqua" w:eastAsia="Calibri" w:hAnsi="Book Antiqua" w:cs="Arial"/>
          <w:sz w:val="24"/>
          <w:szCs w:val="24"/>
        </w:rPr>
        <w:t xml:space="preserve"> para este despa</w:t>
      </w:r>
      <w:r w:rsidR="00871E0B">
        <w:rPr>
          <w:rFonts w:ascii="Book Antiqua" w:eastAsia="Calibri" w:hAnsi="Book Antiqua" w:cs="Arial"/>
          <w:sz w:val="24"/>
          <w:szCs w:val="24"/>
        </w:rPr>
        <w:t>cho:</w:t>
      </w:r>
    </w:p>
    <w:p w14:paraId="5068DF9E" w14:textId="77777777" w:rsidR="009B14B2" w:rsidRDefault="009B14B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378A5E0F" w14:textId="54440461" w:rsidR="00E12E12" w:rsidRPr="00FD6A27" w:rsidRDefault="00E12E1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D6A27">
        <w:rPr>
          <w:rFonts w:ascii="Book Antiqua" w:eastAsia="Calibri" w:hAnsi="Book Antiqua" w:cs="Arial"/>
          <w:b/>
          <w:bCs/>
          <w:color w:val="1F497D"/>
          <w:szCs w:val="24"/>
          <w:lang w:val="es-ES" w:eastAsia="es-ES"/>
        </w:rPr>
        <w:t xml:space="preserve">Cuadro </w:t>
      </w:r>
      <w:r w:rsidRPr="00FD6A27">
        <w:rPr>
          <w:rFonts w:ascii="Book Antiqua" w:eastAsia="Calibri" w:hAnsi="Book Antiqua" w:cs="Arial"/>
          <w:b/>
          <w:bCs/>
          <w:color w:val="1F497D"/>
          <w:szCs w:val="24"/>
          <w:lang w:val="es-ES" w:eastAsia="es-ES"/>
        </w:rPr>
        <w:fldChar w:fldCharType="begin"/>
      </w:r>
      <w:r w:rsidRPr="00FD6A27">
        <w:rPr>
          <w:rFonts w:ascii="Book Antiqua" w:eastAsia="Calibri" w:hAnsi="Book Antiqua" w:cs="Arial"/>
          <w:b/>
          <w:bCs/>
          <w:color w:val="1F497D"/>
          <w:szCs w:val="24"/>
          <w:lang w:val="es-ES" w:eastAsia="es-ES"/>
        </w:rPr>
        <w:instrText xml:space="preserve"> SEQ Cuadro \* ARABIC </w:instrText>
      </w:r>
      <w:r w:rsidRPr="00FD6A27">
        <w:rPr>
          <w:rFonts w:ascii="Book Antiqua" w:eastAsia="Calibri" w:hAnsi="Book Antiqua" w:cs="Arial"/>
          <w:b/>
          <w:bCs/>
          <w:color w:val="1F497D"/>
          <w:szCs w:val="24"/>
          <w:lang w:val="es-ES" w:eastAsia="es-ES"/>
        </w:rPr>
        <w:fldChar w:fldCharType="separate"/>
      </w:r>
      <w:r w:rsidR="00B77705">
        <w:rPr>
          <w:rFonts w:ascii="Book Antiqua" w:eastAsia="Calibri" w:hAnsi="Book Antiqua" w:cs="Arial"/>
          <w:b/>
          <w:bCs/>
          <w:noProof/>
          <w:color w:val="1F497D"/>
          <w:szCs w:val="24"/>
          <w:lang w:val="es-ES" w:eastAsia="es-ES"/>
        </w:rPr>
        <w:t>46</w:t>
      </w:r>
      <w:r w:rsidRPr="00FD6A27">
        <w:rPr>
          <w:rFonts w:ascii="Book Antiqua" w:eastAsia="Calibri" w:hAnsi="Book Antiqua" w:cs="Arial"/>
          <w:b/>
          <w:bCs/>
          <w:color w:val="1F497D"/>
          <w:szCs w:val="24"/>
          <w:lang w:val="es-ES" w:eastAsia="es-ES"/>
        </w:rPr>
        <w:fldChar w:fldCharType="end"/>
      </w:r>
      <w:r w:rsidRPr="00FD6A27">
        <w:rPr>
          <w:rFonts w:ascii="Book Antiqua" w:eastAsia="Calibri" w:hAnsi="Book Antiqua" w:cs="Arial"/>
          <w:b/>
          <w:bCs/>
          <w:color w:val="1F497D"/>
          <w:szCs w:val="24"/>
          <w:lang w:val="es-ES" w:eastAsia="es-ES"/>
        </w:rPr>
        <w:t xml:space="preserve"> </w:t>
      </w:r>
    </w:p>
    <w:p w14:paraId="752B52DB" w14:textId="77777777" w:rsidR="00B117FE" w:rsidRDefault="00E12E1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w:t>
      </w:r>
      <w:r w:rsidR="00B117FE">
        <w:rPr>
          <w:rFonts w:ascii="Book Antiqua" w:eastAsia="Calibri" w:hAnsi="Book Antiqua" w:cs="Arial"/>
          <w:b/>
          <w:bCs/>
          <w:color w:val="1F497D"/>
          <w:szCs w:val="24"/>
          <w:lang w:val="es-ES" w:eastAsia="es-ES"/>
        </w:rPr>
        <w:t>cenarios para la es</w:t>
      </w:r>
      <w:r>
        <w:rPr>
          <w:rFonts w:ascii="Book Antiqua" w:eastAsia="Calibri" w:hAnsi="Book Antiqua" w:cs="Arial"/>
          <w:b/>
          <w:bCs/>
          <w:color w:val="1F497D"/>
          <w:szCs w:val="24"/>
          <w:lang w:val="es-ES" w:eastAsia="es-ES"/>
        </w:rPr>
        <w:t xml:space="preserve">tructura </w:t>
      </w:r>
      <w:r w:rsidR="00B117FE">
        <w:rPr>
          <w:rFonts w:ascii="Book Antiqua" w:eastAsia="Calibri" w:hAnsi="Book Antiqua" w:cs="Arial"/>
          <w:b/>
          <w:bCs/>
          <w:color w:val="1F497D"/>
          <w:szCs w:val="24"/>
          <w:lang w:val="es-ES" w:eastAsia="es-ES"/>
        </w:rPr>
        <w:t>d</w:t>
      </w:r>
      <w:r>
        <w:rPr>
          <w:rFonts w:ascii="Book Antiqua" w:eastAsia="Calibri" w:hAnsi="Book Antiqua" w:cs="Arial"/>
          <w:b/>
          <w:bCs/>
          <w:color w:val="1F497D"/>
          <w:szCs w:val="24"/>
          <w:lang w:val="es-ES" w:eastAsia="es-ES"/>
        </w:rPr>
        <w:t xml:space="preserve">el </w:t>
      </w:r>
      <w:r w:rsidR="00B117FE" w:rsidRPr="00B117FE">
        <w:rPr>
          <w:rFonts w:ascii="Book Antiqua" w:eastAsia="Calibri" w:hAnsi="Book Antiqua" w:cs="Arial"/>
          <w:b/>
          <w:bCs/>
          <w:color w:val="1F497D"/>
          <w:szCs w:val="24"/>
          <w:lang w:val="es-ES" w:eastAsia="es-ES"/>
        </w:rPr>
        <w:t xml:space="preserve">Juzgado Civil, Trabajo y </w:t>
      </w:r>
    </w:p>
    <w:p w14:paraId="52473EB0" w14:textId="5E5EC7FE" w:rsidR="00E12E12" w:rsidRPr="00FD6A27" w:rsidRDefault="00B117FE"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7FE">
        <w:rPr>
          <w:rFonts w:ascii="Book Antiqua" w:eastAsia="Calibri" w:hAnsi="Book Antiqua" w:cs="Arial"/>
          <w:b/>
          <w:bCs/>
          <w:color w:val="1F497D"/>
          <w:szCs w:val="24"/>
          <w:lang w:val="es-ES" w:eastAsia="es-ES"/>
        </w:rPr>
        <w:t>Familia de Buenos Aires</w:t>
      </w:r>
    </w:p>
    <w:tbl>
      <w:tblPr>
        <w:tblW w:w="72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244"/>
      </w:tblGrid>
      <w:tr w:rsidR="003673E3" w:rsidRPr="00125C45" w14:paraId="47C3EC17" w14:textId="77777777" w:rsidTr="00125C45">
        <w:trPr>
          <w:trHeight w:val="77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3A7CC93"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Despacho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760178B"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Materia</w:t>
            </w:r>
          </w:p>
        </w:tc>
        <w:tc>
          <w:tcPr>
            <w:tcW w:w="2400" w:type="dxa"/>
            <w:gridSpan w:val="2"/>
            <w:tcBorders>
              <w:top w:val="single" w:sz="4" w:space="0" w:color="auto"/>
              <w:left w:val="nil"/>
              <w:bottom w:val="single" w:sz="4" w:space="0" w:color="auto"/>
              <w:right w:val="single" w:sz="4" w:space="0" w:color="auto"/>
            </w:tcBorders>
            <w:shd w:val="clear" w:color="000000" w:fill="002060"/>
            <w:vAlign w:val="center"/>
            <w:hideMark/>
          </w:tcPr>
          <w:p w14:paraId="7C73F7CC"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Recurso humano actual</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F6582E"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Porcentaje de dedicado por materia por juez</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A194FC"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Entrados al mes</w:t>
            </w:r>
          </w:p>
        </w:tc>
      </w:tr>
      <w:tr w:rsidR="003673E3" w:rsidRPr="00125C45" w14:paraId="2A81FE65" w14:textId="77777777" w:rsidTr="00125C45">
        <w:trPr>
          <w:trHeight w:val="53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18CAB90"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C9E9984"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tcBorders>
              <w:top w:val="nil"/>
              <w:left w:val="nil"/>
              <w:bottom w:val="single" w:sz="4" w:space="0" w:color="auto"/>
              <w:right w:val="single" w:sz="4" w:space="0" w:color="auto"/>
            </w:tcBorders>
            <w:shd w:val="clear" w:color="000000" w:fill="002060"/>
            <w:vAlign w:val="center"/>
            <w:hideMark/>
          </w:tcPr>
          <w:p w14:paraId="7B742D7F"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Jueza o Juez</w:t>
            </w:r>
          </w:p>
        </w:tc>
        <w:tc>
          <w:tcPr>
            <w:tcW w:w="1200" w:type="dxa"/>
            <w:tcBorders>
              <w:top w:val="nil"/>
              <w:left w:val="nil"/>
              <w:bottom w:val="single" w:sz="4" w:space="0" w:color="auto"/>
              <w:right w:val="single" w:sz="4" w:space="0" w:color="auto"/>
            </w:tcBorders>
            <w:shd w:val="clear" w:color="000000" w:fill="002060"/>
            <w:vAlign w:val="center"/>
            <w:hideMark/>
          </w:tcPr>
          <w:p w14:paraId="33026B75" w14:textId="31D28A08"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 xml:space="preserve">Téc. Jud. </w:t>
            </w:r>
            <w:r w:rsidR="00E85731" w:rsidRPr="00125C45">
              <w:rPr>
                <w:rFonts w:ascii="Book Antiqua" w:eastAsia="Times New Roman" w:hAnsi="Book Antiqua" w:cs="Calibri"/>
                <w:b/>
                <w:bCs/>
                <w:i/>
                <w:iCs/>
                <w:color w:val="FFFFFF"/>
                <w:sz w:val="20"/>
                <w:szCs w:val="20"/>
                <w:lang w:eastAsia="es-CR"/>
              </w:rPr>
              <w:t>D</w:t>
            </w:r>
            <w:r w:rsidRPr="00125C45">
              <w:rPr>
                <w:rFonts w:ascii="Book Antiqua" w:eastAsia="Times New Roman" w:hAnsi="Book Antiqua" w:cs="Calibri"/>
                <w:b/>
                <w:bCs/>
                <w:i/>
                <w:iCs/>
                <w:color w:val="FFFFFF"/>
                <w:sz w:val="20"/>
                <w:szCs w:val="20"/>
                <w:lang w:eastAsia="es-CR"/>
              </w:rPr>
              <w:t>e trámite</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EE126F7"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1EA0CC2A"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r>
      <w:tr w:rsidR="003673E3" w:rsidRPr="00125C45" w14:paraId="47477266" w14:textId="77777777" w:rsidTr="00125C45">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3E3FBAB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Juzgado Civil, Trabajo y Familia Buenos Aires*</w:t>
            </w:r>
          </w:p>
        </w:tc>
        <w:tc>
          <w:tcPr>
            <w:tcW w:w="1200" w:type="dxa"/>
            <w:tcBorders>
              <w:top w:val="nil"/>
              <w:left w:val="nil"/>
              <w:bottom w:val="single" w:sz="4" w:space="0" w:color="auto"/>
              <w:right w:val="single" w:sz="4" w:space="0" w:color="auto"/>
            </w:tcBorders>
            <w:shd w:val="clear" w:color="auto" w:fill="auto"/>
            <w:vAlign w:val="center"/>
            <w:hideMark/>
          </w:tcPr>
          <w:p w14:paraId="2DE9C17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Civil</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AEB4CF"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5B623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2</w:t>
            </w:r>
          </w:p>
        </w:tc>
        <w:tc>
          <w:tcPr>
            <w:tcW w:w="1200" w:type="dxa"/>
            <w:tcBorders>
              <w:top w:val="nil"/>
              <w:left w:val="nil"/>
              <w:bottom w:val="single" w:sz="4" w:space="0" w:color="auto"/>
              <w:right w:val="single" w:sz="4" w:space="0" w:color="auto"/>
            </w:tcBorders>
            <w:shd w:val="clear" w:color="auto" w:fill="auto"/>
            <w:vAlign w:val="center"/>
            <w:hideMark/>
          </w:tcPr>
          <w:p w14:paraId="64D37294"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1EDF8430"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9</w:t>
            </w:r>
          </w:p>
        </w:tc>
      </w:tr>
      <w:tr w:rsidR="003673E3" w:rsidRPr="00125C45" w14:paraId="618E6920"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7FFC376"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9FA3DFE"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3028EEA0"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D573031"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4E086E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34A3B06C"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p>
        </w:tc>
      </w:tr>
      <w:tr w:rsidR="003673E3" w:rsidRPr="00125C45" w14:paraId="6E9368F2"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D98AB6B"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4F4EAD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Agrario</w:t>
            </w:r>
          </w:p>
        </w:tc>
        <w:tc>
          <w:tcPr>
            <w:tcW w:w="1200" w:type="dxa"/>
            <w:vMerge/>
            <w:tcBorders>
              <w:top w:val="nil"/>
              <w:left w:val="single" w:sz="4" w:space="0" w:color="auto"/>
              <w:bottom w:val="single" w:sz="4" w:space="0" w:color="auto"/>
              <w:right w:val="single" w:sz="4" w:space="0" w:color="auto"/>
            </w:tcBorders>
            <w:vAlign w:val="center"/>
            <w:hideMark/>
          </w:tcPr>
          <w:p w14:paraId="62E2BC3B"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F5C1A1F"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B62E64F"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2A403164" w14:textId="77777777" w:rsidR="00134B6E"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r w:rsidR="00134B6E">
              <w:rPr>
                <w:rFonts w:ascii="Book Antiqua" w:eastAsia="Times New Roman" w:hAnsi="Book Antiqua" w:cs="Calibri"/>
                <w:i/>
                <w:iCs/>
                <w:color w:val="000000"/>
                <w:sz w:val="20"/>
                <w:szCs w:val="20"/>
                <w:lang w:eastAsia="es-CR"/>
              </w:rPr>
              <w:t xml:space="preserve"> </w:t>
            </w:r>
          </w:p>
          <w:p w14:paraId="1C2A56BE" w14:textId="2633BF57" w:rsidR="00125C45" w:rsidRPr="00125C45" w:rsidRDefault="00134B6E" w:rsidP="00125C45">
            <w:pPr>
              <w:spacing w:after="0" w:line="240" w:lineRule="auto"/>
              <w:jc w:val="center"/>
              <w:rPr>
                <w:rFonts w:ascii="Book Antiqua" w:eastAsia="Times New Roman" w:hAnsi="Book Antiqua" w:cs="Calibri"/>
                <w:i/>
                <w:iCs/>
                <w:color w:val="000000"/>
                <w:sz w:val="20"/>
                <w:szCs w:val="20"/>
                <w:lang w:eastAsia="es-CR"/>
              </w:rPr>
            </w:pPr>
            <w:r>
              <w:rPr>
                <w:rFonts w:ascii="Book Antiqua" w:eastAsia="Times New Roman" w:hAnsi="Book Antiqua" w:cs="Calibri"/>
                <w:i/>
                <w:iCs/>
                <w:color w:val="000000"/>
                <w:sz w:val="20"/>
                <w:szCs w:val="20"/>
                <w:lang w:eastAsia="es-CR"/>
              </w:rPr>
              <w:t>(50% de un despacho especializado)</w:t>
            </w:r>
          </w:p>
        </w:tc>
      </w:tr>
      <w:tr w:rsidR="003673E3" w:rsidRPr="00125C45" w14:paraId="38554DB1"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0FEE3A7"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6D704991"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Familia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C33FF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w:t>
            </w:r>
          </w:p>
        </w:tc>
        <w:tc>
          <w:tcPr>
            <w:tcW w:w="1200" w:type="dxa"/>
            <w:vMerge/>
            <w:tcBorders>
              <w:top w:val="nil"/>
              <w:left w:val="single" w:sz="4" w:space="0" w:color="auto"/>
              <w:bottom w:val="single" w:sz="4" w:space="0" w:color="auto"/>
              <w:right w:val="single" w:sz="4" w:space="0" w:color="auto"/>
            </w:tcBorders>
            <w:vAlign w:val="center"/>
            <w:hideMark/>
          </w:tcPr>
          <w:p w14:paraId="68794C4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0703B6E"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3CA49333"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24</w:t>
            </w:r>
          </w:p>
        </w:tc>
      </w:tr>
      <w:tr w:rsidR="003673E3" w:rsidRPr="00125C45" w14:paraId="68C254FE"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445B9736"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8C4D56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Viol. Dom.</w:t>
            </w:r>
          </w:p>
        </w:tc>
        <w:tc>
          <w:tcPr>
            <w:tcW w:w="1200" w:type="dxa"/>
            <w:vMerge/>
            <w:tcBorders>
              <w:top w:val="nil"/>
              <w:left w:val="single" w:sz="4" w:space="0" w:color="auto"/>
              <w:bottom w:val="single" w:sz="4" w:space="0" w:color="auto"/>
              <w:right w:val="single" w:sz="4" w:space="0" w:color="auto"/>
            </w:tcBorders>
            <w:vAlign w:val="center"/>
            <w:hideMark/>
          </w:tcPr>
          <w:p w14:paraId="023A86CA"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1A51AEBB"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AA8EA04"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4D268121"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48</w:t>
            </w:r>
          </w:p>
        </w:tc>
      </w:tr>
      <w:tr w:rsidR="003673E3" w:rsidRPr="00125C45" w14:paraId="12E84EB0" w14:textId="77777777" w:rsidTr="00125C45">
        <w:trPr>
          <w:trHeight w:val="530"/>
          <w:jc w:val="center"/>
        </w:trPr>
        <w:tc>
          <w:tcPr>
            <w:tcW w:w="1200" w:type="dxa"/>
            <w:vMerge/>
            <w:tcBorders>
              <w:top w:val="nil"/>
              <w:left w:val="single" w:sz="4" w:space="0" w:color="auto"/>
              <w:bottom w:val="single" w:sz="4" w:space="0" w:color="auto"/>
              <w:right w:val="single" w:sz="4" w:space="0" w:color="auto"/>
            </w:tcBorders>
            <w:vAlign w:val="center"/>
            <w:hideMark/>
          </w:tcPr>
          <w:p w14:paraId="57095E7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D7A9E1B"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Penal Juvenil</w:t>
            </w:r>
          </w:p>
        </w:tc>
        <w:tc>
          <w:tcPr>
            <w:tcW w:w="1200" w:type="dxa"/>
            <w:vMerge/>
            <w:tcBorders>
              <w:top w:val="nil"/>
              <w:left w:val="single" w:sz="4" w:space="0" w:color="auto"/>
              <w:bottom w:val="single" w:sz="4" w:space="0" w:color="auto"/>
              <w:right w:val="single" w:sz="4" w:space="0" w:color="auto"/>
            </w:tcBorders>
            <w:vAlign w:val="center"/>
            <w:hideMark/>
          </w:tcPr>
          <w:p w14:paraId="04102A3C"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7B30EAA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EA704FA"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0876AB7D"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8</w:t>
            </w:r>
          </w:p>
        </w:tc>
      </w:tr>
      <w:tr w:rsidR="003673E3" w:rsidRPr="00125C45" w14:paraId="2DB62555"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4F1BF4D"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944D6C5"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Civil</w:t>
            </w:r>
          </w:p>
        </w:tc>
        <w:tc>
          <w:tcPr>
            <w:tcW w:w="1200" w:type="dxa"/>
            <w:vMerge/>
            <w:tcBorders>
              <w:top w:val="nil"/>
              <w:left w:val="single" w:sz="4" w:space="0" w:color="auto"/>
              <w:bottom w:val="single" w:sz="4" w:space="0" w:color="auto"/>
              <w:right w:val="single" w:sz="4" w:space="0" w:color="auto"/>
            </w:tcBorders>
            <w:vAlign w:val="center"/>
            <w:hideMark/>
          </w:tcPr>
          <w:p w14:paraId="60F02FB0"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796250F8"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BC938B9"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191EA27"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9</w:t>
            </w:r>
          </w:p>
        </w:tc>
      </w:tr>
      <w:tr w:rsidR="003673E3" w:rsidRPr="00125C45" w14:paraId="4DA74EC6"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A94FE9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0F87BDF"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57B4BB4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4B818582"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2EBB50D"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678D91FB"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p>
        </w:tc>
      </w:tr>
      <w:tr w:rsidR="00B117FE" w:rsidRPr="00125C45" w14:paraId="795D0EC2"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66A7B" w14:textId="77777777" w:rsidR="00125C45" w:rsidRPr="0026676F" w:rsidRDefault="00125C45" w:rsidP="00125C45">
            <w:pPr>
              <w:spacing w:after="0" w:line="240" w:lineRule="auto"/>
              <w:jc w:val="center"/>
              <w:rPr>
                <w:rFonts w:ascii="Book Antiqua" w:eastAsia="Times New Roman" w:hAnsi="Book Antiqua" w:cs="Calibri"/>
                <w:i/>
                <w:iCs/>
                <w:color w:val="000000"/>
                <w:sz w:val="20"/>
                <w:szCs w:val="20"/>
                <w:lang w:eastAsia="es-CR"/>
              </w:rPr>
            </w:pPr>
            <w:r w:rsidRPr="0026676F">
              <w:rPr>
                <w:rFonts w:ascii="Book Antiqua" w:eastAsia="Times New Roman" w:hAnsi="Book Antiqua" w:cs="Calibri"/>
                <w:i/>
                <w:iCs/>
                <w:color w:val="000000"/>
                <w:sz w:val="20"/>
                <w:szCs w:val="20"/>
                <w:lang w:eastAsia="es-CR"/>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22CFFB61" w14:textId="77777777" w:rsidR="00125C45" w:rsidRPr="0026676F" w:rsidRDefault="00125C45" w:rsidP="00125C45">
            <w:pPr>
              <w:spacing w:after="0" w:line="240" w:lineRule="auto"/>
              <w:jc w:val="center"/>
              <w:rPr>
                <w:rFonts w:ascii="Book Antiqua" w:eastAsia="Times New Roman" w:hAnsi="Book Antiqua" w:cs="Calibri"/>
                <w:i/>
                <w:iCs/>
                <w:color w:val="000000"/>
                <w:sz w:val="20"/>
                <w:szCs w:val="20"/>
                <w:lang w:eastAsia="es-CR"/>
              </w:rPr>
            </w:pPr>
            <w:r w:rsidRPr="0026676F">
              <w:rPr>
                <w:rFonts w:ascii="Book Antiqua" w:eastAsia="Times New Roman" w:hAnsi="Book Antiqua" w:cs="Calibri"/>
                <w:i/>
                <w:iCs/>
                <w:color w:val="000000"/>
                <w:sz w:val="20"/>
                <w:szCs w:val="20"/>
                <w:lang w:eastAsia="es-CR"/>
              </w:rPr>
              <w:t>128</w:t>
            </w:r>
          </w:p>
        </w:tc>
      </w:tr>
      <w:tr w:rsidR="00B117FE" w:rsidRPr="00125C45" w14:paraId="3B8FD9B5"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20EAB" w14:textId="77777777" w:rsidR="00125C45" w:rsidRPr="0026676F" w:rsidRDefault="00125C45" w:rsidP="00125C45">
            <w:pPr>
              <w:spacing w:after="0" w:line="240" w:lineRule="auto"/>
              <w:jc w:val="center"/>
              <w:rPr>
                <w:rFonts w:ascii="Book Antiqua" w:eastAsia="Times New Roman" w:hAnsi="Book Antiqua" w:cs="Calibri"/>
                <w:i/>
                <w:iCs/>
                <w:color w:val="000000"/>
                <w:sz w:val="20"/>
                <w:szCs w:val="20"/>
                <w:lang w:eastAsia="es-CR"/>
              </w:rPr>
            </w:pPr>
            <w:r w:rsidRPr="0026676F">
              <w:rPr>
                <w:rFonts w:ascii="Book Antiqua" w:eastAsia="Times New Roman" w:hAnsi="Book Antiqua" w:cs="Calibri"/>
                <w:i/>
                <w:iCs/>
                <w:color w:val="000000"/>
                <w:sz w:val="20"/>
                <w:szCs w:val="20"/>
                <w:lang w:eastAsia="es-CR"/>
              </w:rPr>
              <w:t>Escenario con 2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63898E4F" w14:textId="77777777" w:rsidR="00125C45" w:rsidRPr="0026676F" w:rsidRDefault="00125C45" w:rsidP="00125C45">
            <w:pPr>
              <w:spacing w:after="0" w:line="240" w:lineRule="auto"/>
              <w:jc w:val="center"/>
              <w:rPr>
                <w:rFonts w:ascii="Book Antiqua" w:eastAsia="Times New Roman" w:hAnsi="Book Antiqua" w:cs="Calibri"/>
                <w:i/>
                <w:iCs/>
                <w:color w:val="000000"/>
                <w:sz w:val="20"/>
                <w:szCs w:val="20"/>
                <w:lang w:eastAsia="es-CR"/>
              </w:rPr>
            </w:pPr>
            <w:r w:rsidRPr="0026676F">
              <w:rPr>
                <w:rFonts w:ascii="Book Antiqua" w:eastAsia="Times New Roman" w:hAnsi="Book Antiqua" w:cs="Calibri"/>
                <w:i/>
                <w:iCs/>
                <w:color w:val="000000"/>
                <w:sz w:val="20"/>
                <w:szCs w:val="20"/>
                <w:lang w:eastAsia="es-CR"/>
              </w:rPr>
              <w:t>64</w:t>
            </w:r>
          </w:p>
        </w:tc>
      </w:tr>
      <w:tr w:rsidR="00B117FE" w:rsidRPr="00125C45" w14:paraId="51D0720C"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C196D" w14:textId="77777777" w:rsidR="00125C45" w:rsidRPr="0026676F" w:rsidRDefault="00125C45" w:rsidP="00125C45">
            <w:pPr>
              <w:spacing w:after="0" w:line="240" w:lineRule="auto"/>
              <w:jc w:val="center"/>
              <w:rPr>
                <w:rFonts w:ascii="Book Antiqua" w:eastAsia="Times New Roman" w:hAnsi="Book Antiqua" w:cs="Calibri"/>
                <w:i/>
                <w:iCs/>
                <w:color w:val="000000"/>
                <w:sz w:val="20"/>
                <w:szCs w:val="20"/>
                <w:lang w:eastAsia="es-CR"/>
              </w:rPr>
            </w:pPr>
            <w:r w:rsidRPr="0026676F">
              <w:rPr>
                <w:rFonts w:ascii="Book Antiqua" w:eastAsia="Times New Roman" w:hAnsi="Book Antiqua" w:cs="Calibri"/>
                <w:i/>
                <w:iCs/>
                <w:color w:val="000000"/>
                <w:sz w:val="20"/>
                <w:szCs w:val="20"/>
                <w:lang w:eastAsia="es-CR"/>
              </w:rPr>
              <w:t>Escenario con 3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278856F2" w14:textId="77777777" w:rsidR="00125C45" w:rsidRPr="0026676F" w:rsidRDefault="00125C45" w:rsidP="00125C45">
            <w:pPr>
              <w:spacing w:after="0" w:line="240" w:lineRule="auto"/>
              <w:jc w:val="center"/>
              <w:rPr>
                <w:rFonts w:ascii="Book Antiqua" w:eastAsia="Times New Roman" w:hAnsi="Book Antiqua" w:cs="Calibri"/>
                <w:i/>
                <w:iCs/>
                <w:color w:val="000000"/>
                <w:sz w:val="20"/>
                <w:szCs w:val="20"/>
                <w:lang w:eastAsia="es-CR"/>
              </w:rPr>
            </w:pPr>
            <w:r w:rsidRPr="0026676F">
              <w:rPr>
                <w:rFonts w:ascii="Book Antiqua" w:eastAsia="Times New Roman" w:hAnsi="Book Antiqua" w:cs="Calibri"/>
                <w:i/>
                <w:iCs/>
                <w:color w:val="000000"/>
                <w:sz w:val="20"/>
                <w:szCs w:val="20"/>
                <w:lang w:eastAsia="es-CR"/>
              </w:rPr>
              <w:t>43</w:t>
            </w:r>
          </w:p>
        </w:tc>
      </w:tr>
      <w:tr w:rsidR="00B117FE" w:rsidRPr="00125C45" w14:paraId="557C2605"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923CF" w14:textId="43BE7782" w:rsidR="00125C45" w:rsidRPr="0026676F" w:rsidRDefault="00D93993" w:rsidP="00125C45">
            <w:pPr>
              <w:spacing w:after="0" w:line="240" w:lineRule="auto"/>
              <w:jc w:val="center"/>
              <w:rPr>
                <w:rFonts w:ascii="Book Antiqua" w:eastAsia="Times New Roman" w:hAnsi="Book Antiqua" w:cs="Calibri"/>
                <w:i/>
                <w:iCs/>
                <w:color w:val="000000"/>
                <w:sz w:val="20"/>
                <w:szCs w:val="20"/>
                <w:lang w:eastAsia="es-CR"/>
              </w:rPr>
            </w:pPr>
            <w:r w:rsidRPr="0026676F">
              <w:rPr>
                <w:rFonts w:ascii="Book Antiqua" w:eastAsia="Times New Roman" w:hAnsi="Book Antiqua" w:cs="Calibri"/>
                <w:i/>
                <w:iCs/>
                <w:color w:val="000000"/>
                <w:sz w:val="20"/>
                <w:szCs w:val="20"/>
                <w:lang w:eastAsia="es-CR"/>
              </w:rPr>
              <w:t xml:space="preserve">Escenario </w:t>
            </w:r>
            <w:r w:rsidR="00E12E12" w:rsidRPr="0026676F">
              <w:rPr>
                <w:rFonts w:ascii="Book Antiqua" w:eastAsia="Times New Roman" w:hAnsi="Book Antiqua" w:cs="Calibri"/>
                <w:i/>
                <w:iCs/>
                <w:color w:val="000000"/>
                <w:sz w:val="20"/>
                <w:szCs w:val="20"/>
                <w:lang w:eastAsia="es-CR"/>
              </w:rPr>
              <w:t>c</w:t>
            </w:r>
            <w:r w:rsidR="00125C45" w:rsidRPr="0026676F">
              <w:rPr>
                <w:rFonts w:ascii="Book Antiqua" w:eastAsia="Times New Roman" w:hAnsi="Book Antiqua" w:cs="Calibri"/>
                <w:i/>
                <w:iCs/>
                <w:color w:val="000000"/>
                <w:sz w:val="20"/>
                <w:szCs w:val="20"/>
                <w:lang w:eastAsia="es-CR"/>
              </w:rPr>
              <w:t>on 4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683F73DE" w14:textId="77777777" w:rsidR="00125C45" w:rsidRPr="0026676F" w:rsidRDefault="00125C45" w:rsidP="00125C45">
            <w:pPr>
              <w:spacing w:after="0" w:line="240" w:lineRule="auto"/>
              <w:jc w:val="center"/>
              <w:rPr>
                <w:rFonts w:ascii="Book Antiqua" w:eastAsia="Times New Roman" w:hAnsi="Book Antiqua" w:cs="Calibri"/>
                <w:i/>
                <w:iCs/>
                <w:color w:val="000000"/>
                <w:sz w:val="20"/>
                <w:szCs w:val="20"/>
                <w:lang w:eastAsia="es-CR"/>
              </w:rPr>
            </w:pPr>
            <w:r w:rsidRPr="0026676F">
              <w:rPr>
                <w:rFonts w:ascii="Book Antiqua" w:eastAsia="Times New Roman" w:hAnsi="Book Antiqua" w:cs="Calibri"/>
                <w:i/>
                <w:iCs/>
                <w:color w:val="000000"/>
                <w:sz w:val="20"/>
                <w:szCs w:val="20"/>
                <w:lang w:eastAsia="es-CR"/>
              </w:rPr>
              <w:t>32</w:t>
            </w:r>
          </w:p>
        </w:tc>
      </w:tr>
    </w:tbl>
    <w:p w14:paraId="683C8B62" w14:textId="69F8B27E" w:rsidR="00125C45" w:rsidRPr="00B77705" w:rsidRDefault="00E12E12" w:rsidP="00770CA5">
      <w:pPr>
        <w:spacing w:after="0" w:line="276" w:lineRule="auto"/>
        <w:jc w:val="both"/>
        <w:rPr>
          <w:rFonts w:ascii="Book Antiqua" w:eastAsia="Calibri" w:hAnsi="Book Antiqua" w:cs="Arial"/>
          <w:i/>
          <w:iCs/>
          <w:sz w:val="20"/>
          <w:szCs w:val="20"/>
        </w:rPr>
      </w:pPr>
      <w:r w:rsidRPr="00B77705">
        <w:rPr>
          <w:rFonts w:ascii="Book Antiqua" w:eastAsia="Calibri" w:hAnsi="Book Antiqua" w:cs="Arial"/>
          <w:sz w:val="24"/>
          <w:szCs w:val="24"/>
        </w:rPr>
        <w:t xml:space="preserve">             </w:t>
      </w:r>
      <w:r w:rsidRPr="00B77705">
        <w:rPr>
          <w:rFonts w:ascii="Book Antiqua" w:eastAsia="Calibri" w:hAnsi="Book Antiqua" w:cs="Arial"/>
          <w:b/>
          <w:bCs/>
          <w:i/>
          <w:iCs/>
          <w:sz w:val="20"/>
          <w:szCs w:val="20"/>
        </w:rPr>
        <w:t>Fuente:</w:t>
      </w:r>
      <w:r w:rsidRPr="00B77705">
        <w:rPr>
          <w:rFonts w:ascii="Book Antiqua" w:eastAsia="Calibri" w:hAnsi="Book Antiqua" w:cs="Arial"/>
          <w:i/>
          <w:iCs/>
          <w:sz w:val="20"/>
          <w:szCs w:val="20"/>
        </w:rPr>
        <w:t xml:space="preserve"> Subproceso de Modernización Institucional.</w:t>
      </w:r>
    </w:p>
    <w:p w14:paraId="04E47CC5" w14:textId="77777777" w:rsidR="00E12E12" w:rsidRPr="001D0C10" w:rsidRDefault="00E12E12" w:rsidP="00770CA5">
      <w:pPr>
        <w:spacing w:after="0" w:line="276" w:lineRule="auto"/>
        <w:jc w:val="both"/>
        <w:rPr>
          <w:rFonts w:ascii="Book Antiqua" w:eastAsia="Calibri" w:hAnsi="Book Antiqua" w:cs="Arial"/>
          <w:i/>
          <w:iCs/>
          <w:sz w:val="20"/>
          <w:szCs w:val="20"/>
          <w:u w:val="single"/>
        </w:rPr>
      </w:pPr>
    </w:p>
    <w:p w14:paraId="559713BF" w14:textId="1C6702C0" w:rsidR="00F91104" w:rsidRDefault="00125C45"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Como se observa, en el caso de contar con 4 recurso</w:t>
      </w:r>
      <w:r w:rsidR="0026676F">
        <w:rPr>
          <w:rFonts w:ascii="Book Antiqua" w:eastAsia="Calibri" w:hAnsi="Book Antiqua" w:cs="Arial"/>
          <w:sz w:val="24"/>
          <w:szCs w:val="24"/>
        </w:rPr>
        <w:t>s</w:t>
      </w:r>
      <w:r>
        <w:rPr>
          <w:rFonts w:ascii="Book Antiqua" w:eastAsia="Calibri" w:hAnsi="Book Antiqua" w:cs="Arial"/>
          <w:sz w:val="24"/>
          <w:szCs w:val="24"/>
        </w:rPr>
        <w:t xml:space="preserve"> de Trámite, se lograría cubrir la entrada y proveer el firmado suficiente para las 2 personas juzgadoras. Además, se debe recordar que en este Juzgado, la cuota se ve disminuida, en razón de las giras que realizan en materia Agraria, ya que todos los técnicos tramitan la materia. Debe considerarse que en un despacho especializado, la cuota es de 9-12 expedientes tramitados por día, en este Despacho, la entrada agraria justificaría 50% de la cuota de trabajo diario de una persona técnica. Es decir, que si por la entrada de agrario, ya eso me consume el 50% de la tramitación diaria + el restante 50% de la cuota estándar de 15 asuntos, estas plazas en Buenos Aires en promedio estarían en capacidad de pasar a firmar 5 asuntos agrario + </w:t>
      </w:r>
      <w:r w:rsidR="00F91104">
        <w:rPr>
          <w:rFonts w:ascii="Book Antiqua" w:eastAsia="Calibri" w:hAnsi="Book Antiqua" w:cs="Arial"/>
          <w:sz w:val="24"/>
          <w:szCs w:val="24"/>
        </w:rPr>
        <w:t xml:space="preserve">8 de las restantes materias=13 asuntos aproximadamente por día; eso en el caso de que no deban atender la manifestación.  </w:t>
      </w:r>
    </w:p>
    <w:p w14:paraId="4D157B5E" w14:textId="32F85046" w:rsidR="00125C45" w:rsidRDefault="00F91104"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ello se considera necesario reforzar este Juzgados con 2 recursos adicionales de persona técnica judicial, en donde además como efecto positivo se “</w:t>
      </w:r>
      <w:r w:rsidRPr="001D0C10">
        <w:rPr>
          <w:rFonts w:ascii="Book Antiqua" w:eastAsia="Calibri" w:hAnsi="Book Antiqua" w:cs="Arial"/>
          <w:i/>
          <w:iCs/>
          <w:sz w:val="24"/>
          <w:szCs w:val="24"/>
        </w:rPr>
        <w:t>liberaría</w:t>
      </w:r>
      <w:r>
        <w:rPr>
          <w:rFonts w:ascii="Book Antiqua" w:eastAsia="Calibri" w:hAnsi="Book Antiqua" w:cs="Arial"/>
          <w:sz w:val="24"/>
          <w:szCs w:val="24"/>
        </w:rPr>
        <w:t>” la plaza supernumeraria de la Administración para que puedan utilizar</w:t>
      </w:r>
      <w:r w:rsidR="0026676F">
        <w:rPr>
          <w:rFonts w:ascii="Book Antiqua" w:eastAsia="Calibri" w:hAnsi="Book Antiqua" w:cs="Arial"/>
          <w:sz w:val="24"/>
          <w:szCs w:val="24"/>
        </w:rPr>
        <w:t>la</w:t>
      </w:r>
      <w:r>
        <w:rPr>
          <w:rFonts w:ascii="Book Antiqua" w:eastAsia="Calibri" w:hAnsi="Book Antiqua" w:cs="Arial"/>
          <w:sz w:val="24"/>
          <w:szCs w:val="24"/>
        </w:rPr>
        <w:t xml:space="preserve"> y apoyar a otras oficinas del Circuito.  </w:t>
      </w:r>
      <w:r w:rsidR="00125C45">
        <w:rPr>
          <w:rFonts w:ascii="Book Antiqua" w:eastAsia="Calibri" w:hAnsi="Book Antiqua" w:cs="Arial"/>
          <w:sz w:val="24"/>
          <w:szCs w:val="24"/>
        </w:rPr>
        <w:t xml:space="preserve"> </w:t>
      </w:r>
    </w:p>
    <w:p w14:paraId="686671FE" w14:textId="5206EDA8" w:rsidR="00F91104" w:rsidRDefault="00F91104"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Es importante considerar que esta zona atiende población indígena, en donde la atención de estos casos es prioritaria tanto por normativa internacional como por directrices institucionales, de ahí la importancia de que las personas que ocupen estos puestos tengan preferiblemente conocimiento en la “</w:t>
      </w:r>
      <w:r w:rsidRPr="001D0C10">
        <w:rPr>
          <w:rFonts w:ascii="Book Antiqua" w:eastAsia="Calibri" w:hAnsi="Book Antiqua" w:cs="Arial"/>
          <w:i/>
          <w:iCs/>
          <w:sz w:val="24"/>
          <w:szCs w:val="24"/>
        </w:rPr>
        <w:t>lengua o dialecto”</w:t>
      </w:r>
      <w:r>
        <w:rPr>
          <w:rFonts w:ascii="Book Antiqua" w:eastAsia="Calibri" w:hAnsi="Book Antiqua" w:cs="Arial"/>
          <w:sz w:val="24"/>
          <w:szCs w:val="24"/>
        </w:rPr>
        <w:t xml:space="preserve"> de la zona. </w:t>
      </w:r>
    </w:p>
    <w:p w14:paraId="4D33C937" w14:textId="56BB2E6D" w:rsidR="00F50DD3" w:rsidRDefault="00F50DD3" w:rsidP="00355630">
      <w:pPr>
        <w:spacing w:after="0" w:line="276" w:lineRule="auto"/>
        <w:jc w:val="both"/>
        <w:rPr>
          <w:rFonts w:ascii="Book Antiqua" w:eastAsia="Calibri" w:hAnsi="Book Antiqua" w:cs="Arial"/>
          <w:sz w:val="24"/>
          <w:szCs w:val="24"/>
        </w:rPr>
      </w:pPr>
    </w:p>
    <w:p w14:paraId="080BD6A0" w14:textId="166A0A82"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 xml:space="preserve">Cuadro </w:t>
      </w:r>
      <w:r w:rsidRPr="00416648">
        <w:rPr>
          <w:rFonts w:ascii="Book Antiqua" w:eastAsia="Calibri" w:hAnsi="Book Antiqua" w:cs="Arial"/>
          <w:b/>
          <w:bCs/>
          <w:color w:val="1F497D"/>
          <w:szCs w:val="24"/>
          <w:lang w:val="es-ES" w:eastAsia="es-ES"/>
        </w:rPr>
        <w:fldChar w:fldCharType="begin"/>
      </w:r>
      <w:r w:rsidRPr="00416648">
        <w:rPr>
          <w:rFonts w:ascii="Book Antiqua" w:eastAsia="Calibri" w:hAnsi="Book Antiqua" w:cs="Arial"/>
          <w:b/>
          <w:bCs/>
          <w:color w:val="1F497D"/>
          <w:szCs w:val="24"/>
          <w:lang w:val="es-ES" w:eastAsia="es-ES"/>
        </w:rPr>
        <w:instrText xml:space="preserve"> SEQ Cuadro \* ARABIC </w:instrText>
      </w:r>
      <w:r w:rsidRPr="00416648">
        <w:rPr>
          <w:rFonts w:ascii="Book Antiqua" w:eastAsia="Calibri" w:hAnsi="Book Antiqua" w:cs="Arial"/>
          <w:b/>
          <w:bCs/>
          <w:color w:val="1F497D"/>
          <w:szCs w:val="24"/>
          <w:lang w:val="es-ES" w:eastAsia="es-ES"/>
        </w:rPr>
        <w:fldChar w:fldCharType="separate"/>
      </w:r>
      <w:r w:rsidR="00B77705">
        <w:rPr>
          <w:rFonts w:ascii="Book Antiqua" w:eastAsia="Calibri" w:hAnsi="Book Antiqua" w:cs="Arial"/>
          <w:b/>
          <w:bCs/>
          <w:noProof/>
          <w:color w:val="1F497D"/>
          <w:szCs w:val="24"/>
          <w:lang w:val="es-ES" w:eastAsia="es-ES"/>
        </w:rPr>
        <w:t>47</w:t>
      </w:r>
      <w:r w:rsidRPr="00416648">
        <w:rPr>
          <w:rFonts w:ascii="Book Antiqua" w:eastAsia="Calibri" w:hAnsi="Book Antiqua" w:cs="Arial"/>
          <w:b/>
          <w:bCs/>
          <w:color w:val="1F497D"/>
          <w:szCs w:val="24"/>
          <w:lang w:val="es-ES" w:eastAsia="es-ES"/>
        </w:rPr>
        <w:fldChar w:fldCharType="end"/>
      </w:r>
      <w:r w:rsidRPr="00416648">
        <w:rPr>
          <w:rFonts w:ascii="Book Antiqua" w:eastAsia="Calibri" w:hAnsi="Book Antiqua" w:cs="Arial"/>
          <w:b/>
          <w:bCs/>
          <w:color w:val="1F497D"/>
          <w:szCs w:val="24"/>
          <w:lang w:val="es-ES" w:eastAsia="es-ES"/>
        </w:rPr>
        <w:t xml:space="preserve"> </w:t>
      </w:r>
    </w:p>
    <w:p w14:paraId="49356588" w14:textId="77777777"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Estructura propuesta Juzgado Civil, Trabajo y Familia de Buenos Aires</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3111"/>
        <w:gridCol w:w="3891"/>
      </w:tblGrid>
      <w:tr w:rsidR="00416648" w:rsidRPr="00416648" w14:paraId="2AAD78A4" w14:textId="77777777" w:rsidTr="001D0C10">
        <w:trPr>
          <w:trHeight w:val="959"/>
          <w:tblHeader/>
          <w:jc w:val="center"/>
        </w:trPr>
        <w:tc>
          <w:tcPr>
            <w:tcW w:w="1106" w:type="pct"/>
            <w:shd w:val="clear" w:color="auto" w:fill="002060"/>
            <w:vAlign w:val="center"/>
          </w:tcPr>
          <w:p w14:paraId="26C73204" w14:textId="77777777" w:rsidR="00416648" w:rsidRPr="00416648" w:rsidRDefault="00416648" w:rsidP="00416648">
            <w:pPr>
              <w:spacing w:after="0" w:line="276" w:lineRule="auto"/>
              <w:jc w:val="center"/>
              <w:rPr>
                <w:rFonts w:ascii="Book Antiqua" w:eastAsia="Calibri" w:hAnsi="Book Antiqua" w:cs="Arial"/>
                <w:b/>
                <w:bCs/>
                <w:color w:val="FFFFFF"/>
              </w:rPr>
            </w:pPr>
            <w:r w:rsidRPr="00416648">
              <w:rPr>
                <w:rFonts w:ascii="Book Antiqua" w:eastAsia="Calibri" w:hAnsi="Book Antiqua" w:cs="Arial"/>
                <w:b/>
                <w:bCs/>
                <w:color w:val="FFFFFF"/>
              </w:rPr>
              <w:t>Juzgado Mixto</w:t>
            </w:r>
          </w:p>
        </w:tc>
        <w:tc>
          <w:tcPr>
            <w:tcW w:w="1730" w:type="pct"/>
            <w:shd w:val="clear" w:color="auto" w:fill="002060"/>
            <w:vAlign w:val="center"/>
          </w:tcPr>
          <w:p w14:paraId="42D68564" w14:textId="77777777" w:rsidR="00416648" w:rsidRPr="00416648" w:rsidRDefault="00416648" w:rsidP="00416648">
            <w:pPr>
              <w:spacing w:after="0" w:line="276" w:lineRule="auto"/>
              <w:jc w:val="center"/>
              <w:rPr>
                <w:rFonts w:ascii="Book Antiqua" w:eastAsia="Calibri" w:hAnsi="Book Antiqua" w:cs="Arial"/>
                <w:b/>
                <w:bCs/>
                <w:color w:val="FFFFFF"/>
              </w:rPr>
            </w:pPr>
            <w:r w:rsidRPr="00416648">
              <w:rPr>
                <w:rFonts w:ascii="Book Antiqua" w:eastAsia="Calibri" w:hAnsi="Book Antiqua" w:cs="Arial"/>
                <w:b/>
                <w:bCs/>
                <w:color w:val="FFFFFF"/>
              </w:rPr>
              <w:t>Estructura orgánica funcional actual del despacho</w:t>
            </w:r>
          </w:p>
        </w:tc>
        <w:tc>
          <w:tcPr>
            <w:tcW w:w="2165" w:type="pct"/>
            <w:shd w:val="clear" w:color="auto" w:fill="002060"/>
            <w:vAlign w:val="center"/>
          </w:tcPr>
          <w:p w14:paraId="3AC8212C" w14:textId="77777777" w:rsidR="00416648" w:rsidRPr="00416648" w:rsidRDefault="00416648" w:rsidP="00416648">
            <w:pPr>
              <w:spacing w:after="0" w:line="276" w:lineRule="auto"/>
              <w:jc w:val="center"/>
              <w:rPr>
                <w:rFonts w:ascii="Book Antiqua" w:eastAsia="Calibri" w:hAnsi="Book Antiqua" w:cs="Arial"/>
                <w:b/>
                <w:color w:val="FFFFFF"/>
              </w:rPr>
            </w:pPr>
            <w:r w:rsidRPr="00416648">
              <w:rPr>
                <w:rFonts w:ascii="Book Antiqua" w:eastAsia="Calibri" w:hAnsi="Book Antiqua" w:cs="Arial"/>
                <w:b/>
                <w:color w:val="FFFFFF"/>
              </w:rPr>
              <w:t>Estructura Propuesta</w:t>
            </w:r>
          </w:p>
        </w:tc>
      </w:tr>
      <w:tr w:rsidR="00416648" w:rsidRPr="00416648" w14:paraId="268416B7" w14:textId="77777777" w:rsidTr="001D0C10">
        <w:trPr>
          <w:trHeight w:val="1326"/>
          <w:jc w:val="center"/>
        </w:trPr>
        <w:tc>
          <w:tcPr>
            <w:tcW w:w="1106" w:type="pct"/>
            <w:shd w:val="clear" w:color="auto" w:fill="auto"/>
            <w:vAlign w:val="center"/>
          </w:tcPr>
          <w:p w14:paraId="5BF9F562"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Juzgado Civil, Trabajo y Familia de Buenos Aires</w:t>
            </w:r>
          </w:p>
        </w:tc>
        <w:tc>
          <w:tcPr>
            <w:tcW w:w="1730" w:type="pct"/>
            <w:shd w:val="clear" w:color="auto" w:fill="auto"/>
            <w:vAlign w:val="center"/>
          </w:tcPr>
          <w:p w14:paraId="1F478739"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2 Juezas/ces 3</w:t>
            </w:r>
          </w:p>
          <w:p w14:paraId="161B4849"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1 Coordinadora/or Judicial 2</w:t>
            </w:r>
          </w:p>
          <w:p w14:paraId="2FB0E34D"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3 Técnicas/os Judiciales 2</w:t>
            </w:r>
          </w:p>
        </w:tc>
        <w:tc>
          <w:tcPr>
            <w:tcW w:w="2165" w:type="pct"/>
            <w:vAlign w:val="center"/>
          </w:tcPr>
          <w:p w14:paraId="300CBF17"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2 Juezas/ces 3</w:t>
            </w:r>
          </w:p>
          <w:p w14:paraId="740B9F15"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1 Coordinadora/or Judicial 2</w:t>
            </w:r>
          </w:p>
          <w:p w14:paraId="7CE2DEA3" w14:textId="6DBCBF30" w:rsidR="00416648" w:rsidRPr="00416648" w:rsidRDefault="0026676F" w:rsidP="00416648">
            <w:pPr>
              <w:spacing w:after="0" w:line="276" w:lineRule="auto"/>
              <w:jc w:val="both"/>
              <w:rPr>
                <w:rFonts w:ascii="Book Antiqua" w:eastAsia="Calibri" w:hAnsi="Book Antiqua" w:cs="Arial"/>
              </w:rPr>
            </w:pPr>
            <w:r>
              <w:rPr>
                <w:rFonts w:ascii="Book Antiqua" w:eastAsia="Calibri" w:hAnsi="Book Antiqua" w:cs="Arial"/>
              </w:rPr>
              <w:t>4</w:t>
            </w:r>
            <w:r w:rsidR="00416648" w:rsidRPr="00416648">
              <w:rPr>
                <w:rFonts w:ascii="Book Antiqua" w:eastAsia="Calibri" w:hAnsi="Book Antiqua" w:cs="Arial"/>
              </w:rPr>
              <w:t xml:space="preserve"> Técnicas/os Judiciales 2 (</w:t>
            </w:r>
            <w:r w:rsidR="00416648" w:rsidRPr="00416648">
              <w:rPr>
                <w:rFonts w:ascii="Book Antiqua" w:eastAsia="Calibri" w:hAnsi="Book Antiqua" w:cs="Arial"/>
                <w:i/>
              </w:rPr>
              <w:t xml:space="preserve">debe </w:t>
            </w:r>
            <w:r w:rsidR="00416648" w:rsidRPr="00416648">
              <w:rPr>
                <w:rFonts w:ascii="Book Antiqua" w:eastAsia="Calibri" w:hAnsi="Book Antiqua" w:cs="Arial"/>
                <w:i/>
                <w:iCs/>
              </w:rPr>
              <w:t>crearse</w:t>
            </w:r>
            <w:r w:rsidR="00416648" w:rsidRPr="00416648">
              <w:rPr>
                <w:rFonts w:ascii="Book Antiqua" w:eastAsia="Calibri" w:hAnsi="Book Antiqua" w:cs="Arial"/>
                <w:i/>
              </w:rPr>
              <w:t xml:space="preserve"> una plaza </w:t>
            </w:r>
            <w:r w:rsidR="00416648" w:rsidRPr="00416648">
              <w:rPr>
                <w:rFonts w:ascii="Book Antiqua" w:eastAsia="Calibri" w:hAnsi="Book Antiqua" w:cs="Arial"/>
                <w:i/>
                <w:iCs/>
              </w:rPr>
              <w:t>de técnica o técnico judicial 2</w:t>
            </w:r>
            <w:r w:rsidR="00416648" w:rsidRPr="00416648">
              <w:rPr>
                <w:rFonts w:ascii="Book Antiqua" w:eastAsia="Calibri" w:hAnsi="Book Antiqua" w:cs="Arial"/>
              </w:rPr>
              <w:t>)</w:t>
            </w:r>
          </w:p>
        </w:tc>
      </w:tr>
    </w:tbl>
    <w:p w14:paraId="65F0F791" w14:textId="6D7D6BFB" w:rsidR="00F50DD3" w:rsidRPr="00416648" w:rsidRDefault="00416648" w:rsidP="00416648">
      <w:pPr>
        <w:spacing w:after="0" w:line="276" w:lineRule="auto"/>
        <w:rPr>
          <w:rFonts w:ascii="Book Antiqua" w:eastAsia="Calibri" w:hAnsi="Book Antiqua" w:cs="Arial"/>
          <w:i/>
          <w:iCs/>
        </w:rPr>
      </w:pPr>
      <w:r w:rsidRPr="007118DC">
        <w:rPr>
          <w:rFonts w:ascii="Book Antiqua" w:eastAsia="Calibri" w:hAnsi="Book Antiqua" w:cs="Arial"/>
          <w:b/>
          <w:bCs/>
          <w:i/>
          <w:iCs/>
        </w:rPr>
        <w:t>Fuente:</w:t>
      </w:r>
      <w:r w:rsidRPr="00416648">
        <w:rPr>
          <w:rFonts w:ascii="Book Antiqua" w:eastAsia="Calibri" w:hAnsi="Book Antiqua" w:cs="Arial"/>
          <w:i/>
          <w:iCs/>
        </w:rPr>
        <w:t xml:space="preserve"> </w:t>
      </w:r>
      <w:r w:rsidR="00B77705">
        <w:rPr>
          <w:rFonts w:ascii="Book Antiqua" w:eastAsia="Calibri" w:hAnsi="Book Antiqua" w:cs="Arial"/>
          <w:i/>
          <w:iCs/>
        </w:rPr>
        <w:t xml:space="preserve">Subproceso de </w:t>
      </w:r>
      <w:r w:rsidRPr="00416648">
        <w:rPr>
          <w:rFonts w:ascii="Book Antiqua" w:eastAsia="Calibri" w:hAnsi="Book Antiqua" w:cs="Arial"/>
          <w:i/>
          <w:iCs/>
        </w:rPr>
        <w:t>Modernización Institucional.</w:t>
      </w:r>
    </w:p>
    <w:p w14:paraId="7474A3A2" w14:textId="39B668C6" w:rsidR="0026676F" w:rsidRDefault="0026676F" w:rsidP="00355630">
      <w:pPr>
        <w:spacing w:after="0" w:line="276" w:lineRule="auto"/>
        <w:jc w:val="both"/>
        <w:rPr>
          <w:rFonts w:ascii="Book Antiqua" w:eastAsia="Calibri" w:hAnsi="Book Antiqua" w:cs="Arial"/>
          <w:sz w:val="24"/>
          <w:szCs w:val="24"/>
        </w:rPr>
      </w:pPr>
    </w:p>
    <w:p w14:paraId="25DE5590" w14:textId="3A398A33" w:rsidR="0026676F" w:rsidRDefault="0026676F" w:rsidP="00355630">
      <w:pPr>
        <w:spacing w:after="0" w:line="276" w:lineRule="auto"/>
        <w:jc w:val="both"/>
        <w:rPr>
          <w:rFonts w:ascii="Book Antiqua" w:eastAsia="Calibri" w:hAnsi="Book Antiqua" w:cs="Arial"/>
          <w:sz w:val="24"/>
          <w:szCs w:val="24"/>
        </w:rPr>
      </w:pPr>
      <w:r w:rsidRPr="0026676F">
        <w:rPr>
          <w:rFonts w:ascii="Book Antiqua" w:eastAsia="Calibri" w:hAnsi="Book Antiqua" w:cs="Arial"/>
          <w:sz w:val="24"/>
          <w:szCs w:val="24"/>
        </w:rPr>
        <w:t>La necesidad de personal T</w:t>
      </w:r>
      <w:r>
        <w:rPr>
          <w:rFonts w:ascii="Book Antiqua" w:eastAsia="Calibri" w:hAnsi="Book Antiqua" w:cs="Arial"/>
          <w:sz w:val="24"/>
          <w:szCs w:val="24"/>
        </w:rPr>
        <w:t xml:space="preserve">écnico </w:t>
      </w:r>
      <w:r w:rsidRPr="0026676F">
        <w:rPr>
          <w:rFonts w:ascii="Book Antiqua" w:eastAsia="Calibri" w:hAnsi="Book Antiqua" w:cs="Arial"/>
          <w:sz w:val="24"/>
          <w:szCs w:val="24"/>
        </w:rPr>
        <w:t>J</w:t>
      </w:r>
      <w:r>
        <w:rPr>
          <w:rFonts w:ascii="Book Antiqua" w:eastAsia="Calibri" w:hAnsi="Book Antiqua" w:cs="Arial"/>
          <w:sz w:val="24"/>
          <w:szCs w:val="24"/>
        </w:rPr>
        <w:t>udicial</w:t>
      </w:r>
      <w:r w:rsidRPr="0026676F">
        <w:rPr>
          <w:rFonts w:ascii="Book Antiqua" w:eastAsia="Calibri" w:hAnsi="Book Antiqua" w:cs="Arial"/>
          <w:sz w:val="24"/>
          <w:szCs w:val="24"/>
        </w:rPr>
        <w:t xml:space="preserve"> en e</w:t>
      </w:r>
      <w:r>
        <w:rPr>
          <w:rFonts w:ascii="Book Antiqua" w:eastAsia="Calibri" w:hAnsi="Book Antiqua" w:cs="Arial"/>
          <w:sz w:val="24"/>
          <w:szCs w:val="24"/>
        </w:rPr>
        <w:t>ste J</w:t>
      </w:r>
      <w:r w:rsidRPr="0026676F">
        <w:rPr>
          <w:rFonts w:ascii="Book Antiqua" w:eastAsia="Calibri" w:hAnsi="Book Antiqua" w:cs="Arial"/>
          <w:sz w:val="24"/>
          <w:szCs w:val="24"/>
        </w:rPr>
        <w:t xml:space="preserve">uzgado es de 2 plazas, </w:t>
      </w:r>
      <w:r>
        <w:rPr>
          <w:rFonts w:ascii="Book Antiqua" w:eastAsia="Calibri" w:hAnsi="Book Antiqua" w:cs="Arial"/>
          <w:sz w:val="24"/>
          <w:szCs w:val="24"/>
        </w:rPr>
        <w:t xml:space="preserve">como se indicó </w:t>
      </w:r>
      <w:r w:rsidRPr="0026676F">
        <w:rPr>
          <w:rFonts w:ascii="Book Antiqua" w:eastAsia="Calibri" w:hAnsi="Book Antiqua" w:cs="Arial"/>
          <w:sz w:val="24"/>
          <w:szCs w:val="24"/>
        </w:rPr>
        <w:t>en los informes de presupuesto 314-PLA</w:t>
      </w:r>
      <w:r>
        <w:rPr>
          <w:rFonts w:ascii="Book Antiqua" w:eastAsia="Calibri" w:hAnsi="Book Antiqua" w:cs="Arial"/>
          <w:sz w:val="24"/>
          <w:szCs w:val="24"/>
        </w:rPr>
        <w:t>-MI-RH-2022</w:t>
      </w:r>
      <w:r w:rsidRPr="0026676F">
        <w:rPr>
          <w:rFonts w:ascii="Book Antiqua" w:eastAsia="Calibri" w:hAnsi="Book Antiqua" w:cs="Arial"/>
          <w:sz w:val="24"/>
          <w:szCs w:val="24"/>
        </w:rPr>
        <w:t xml:space="preserve"> “</w:t>
      </w:r>
      <w:r w:rsidRPr="0026676F">
        <w:rPr>
          <w:rFonts w:ascii="Book Antiqua" w:eastAsia="Calibri" w:hAnsi="Book Antiqua" w:cs="Arial"/>
          <w:i/>
          <w:iCs/>
          <w:sz w:val="24"/>
          <w:szCs w:val="24"/>
        </w:rPr>
        <w:t>Implementación Código Procesal Familia</w:t>
      </w:r>
      <w:r w:rsidRPr="0026676F">
        <w:rPr>
          <w:rFonts w:ascii="Book Antiqua" w:eastAsia="Calibri" w:hAnsi="Book Antiqua" w:cs="Arial"/>
          <w:sz w:val="24"/>
          <w:szCs w:val="24"/>
        </w:rPr>
        <w:t xml:space="preserve">” </w:t>
      </w:r>
      <w:r>
        <w:rPr>
          <w:rFonts w:ascii="Book Antiqua" w:eastAsia="Calibri" w:hAnsi="Book Antiqua" w:cs="Arial"/>
          <w:sz w:val="24"/>
          <w:szCs w:val="24"/>
        </w:rPr>
        <w:t>y</w:t>
      </w:r>
      <w:r w:rsidRPr="0026676F">
        <w:rPr>
          <w:rFonts w:ascii="Book Antiqua" w:eastAsia="Calibri" w:hAnsi="Book Antiqua" w:cs="Arial"/>
          <w:sz w:val="24"/>
          <w:szCs w:val="24"/>
        </w:rPr>
        <w:t xml:space="preserve"> 316-</w:t>
      </w:r>
      <w:r>
        <w:rPr>
          <w:rFonts w:ascii="Book Antiqua" w:eastAsia="Calibri" w:hAnsi="Book Antiqua" w:cs="Arial"/>
          <w:sz w:val="24"/>
          <w:szCs w:val="24"/>
        </w:rPr>
        <w:t>PLA-MI-RH-2022</w:t>
      </w:r>
      <w:r w:rsidRPr="0026676F">
        <w:rPr>
          <w:rFonts w:ascii="Book Antiqua" w:eastAsia="Calibri" w:hAnsi="Book Antiqua" w:cs="Arial"/>
          <w:sz w:val="24"/>
          <w:szCs w:val="24"/>
        </w:rPr>
        <w:t xml:space="preserve"> “</w:t>
      </w:r>
      <w:r w:rsidRPr="0026676F">
        <w:rPr>
          <w:rFonts w:ascii="Book Antiqua" w:eastAsia="Calibri" w:hAnsi="Book Antiqua" w:cs="Arial"/>
          <w:i/>
          <w:iCs/>
          <w:sz w:val="24"/>
          <w:szCs w:val="24"/>
        </w:rPr>
        <w:t>Implementación Código Procesal Agrario</w:t>
      </w:r>
      <w:r w:rsidRPr="0026676F">
        <w:rPr>
          <w:rFonts w:ascii="Book Antiqua" w:eastAsia="Calibri" w:hAnsi="Book Antiqua" w:cs="Arial"/>
          <w:sz w:val="24"/>
          <w:szCs w:val="24"/>
        </w:rPr>
        <w:t>” se incluyó la recomendación de creación de los 2 recursos uno cargado a cada reforma. Sin embargo, en el análisis de la primera instancia civil (informe en consulta 1164-PLA-MI-2021) se identificó la existencia de un recurso vacante en el Tribunal Colegiado de Primera Instancia Civil de la Zona Sur</w:t>
      </w:r>
      <w:r>
        <w:rPr>
          <w:rFonts w:ascii="Book Antiqua" w:eastAsia="Calibri" w:hAnsi="Book Antiqua" w:cs="Arial"/>
          <w:sz w:val="24"/>
          <w:szCs w:val="24"/>
        </w:rPr>
        <w:t>, por lo</w:t>
      </w:r>
      <w:r w:rsidRPr="0026676F">
        <w:rPr>
          <w:rFonts w:ascii="Book Antiqua" w:eastAsia="Calibri" w:hAnsi="Book Antiqua" w:cs="Arial"/>
          <w:sz w:val="24"/>
          <w:szCs w:val="24"/>
        </w:rPr>
        <w:t xml:space="preserve"> que se recomienda </w:t>
      </w:r>
      <w:r>
        <w:rPr>
          <w:rFonts w:ascii="Book Antiqua" w:eastAsia="Calibri" w:hAnsi="Book Antiqua" w:cs="Arial"/>
          <w:sz w:val="24"/>
          <w:szCs w:val="24"/>
        </w:rPr>
        <w:t xml:space="preserve">que este recurso </w:t>
      </w:r>
      <w:r w:rsidRPr="0026676F">
        <w:rPr>
          <w:rFonts w:ascii="Book Antiqua" w:eastAsia="Calibri" w:hAnsi="Book Antiqua" w:cs="Arial"/>
          <w:sz w:val="24"/>
          <w:szCs w:val="24"/>
        </w:rPr>
        <w:t>refuerce el Juzgado Civil, Trabajo y Familia de Buenos Aires</w:t>
      </w:r>
      <w:r>
        <w:rPr>
          <w:rFonts w:ascii="Book Antiqua" w:eastAsia="Calibri" w:hAnsi="Book Antiqua" w:cs="Arial"/>
          <w:sz w:val="24"/>
          <w:szCs w:val="24"/>
        </w:rPr>
        <w:t xml:space="preserve">, de esta manera se </w:t>
      </w:r>
      <w:r w:rsidRPr="0026676F">
        <w:rPr>
          <w:rFonts w:ascii="Book Antiqua" w:eastAsia="Calibri" w:hAnsi="Book Antiqua" w:cs="Arial"/>
          <w:sz w:val="24"/>
          <w:szCs w:val="24"/>
        </w:rPr>
        <w:t xml:space="preserve">maximiza el recurso disponible y se excluye </w:t>
      </w:r>
      <w:r>
        <w:rPr>
          <w:rFonts w:ascii="Book Antiqua" w:eastAsia="Calibri" w:hAnsi="Book Antiqua" w:cs="Arial"/>
          <w:sz w:val="24"/>
          <w:szCs w:val="24"/>
        </w:rPr>
        <w:t xml:space="preserve">la </w:t>
      </w:r>
      <w:r w:rsidRPr="0026676F">
        <w:rPr>
          <w:rFonts w:ascii="Book Antiqua" w:eastAsia="Calibri" w:hAnsi="Book Antiqua" w:cs="Arial"/>
          <w:sz w:val="24"/>
          <w:szCs w:val="24"/>
        </w:rPr>
        <w:t>plaza de la formulación del presupuesto para implementar el Código Procesal Agrario en 2024</w:t>
      </w:r>
      <w:r>
        <w:rPr>
          <w:rFonts w:ascii="Book Antiqua" w:eastAsia="Calibri" w:hAnsi="Book Antiqua" w:cs="Arial"/>
          <w:sz w:val="24"/>
          <w:szCs w:val="24"/>
        </w:rPr>
        <w:t>.</w:t>
      </w:r>
    </w:p>
    <w:p w14:paraId="4C779979" w14:textId="77777777" w:rsidR="0026676F" w:rsidRDefault="0026676F" w:rsidP="00355630">
      <w:pPr>
        <w:spacing w:after="0" w:line="276" w:lineRule="auto"/>
        <w:jc w:val="both"/>
        <w:rPr>
          <w:rFonts w:ascii="Book Antiqua" w:eastAsia="Calibri" w:hAnsi="Book Antiqua" w:cs="Arial"/>
          <w:sz w:val="24"/>
          <w:szCs w:val="24"/>
        </w:rPr>
      </w:pPr>
    </w:p>
    <w:p w14:paraId="56B40E31" w14:textId="414BF6D6" w:rsidR="00416648" w:rsidRDefault="00F84B4E" w:rsidP="0041664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cuadro se calcula el </w:t>
      </w:r>
      <w:r w:rsidR="00416648" w:rsidRPr="00416648">
        <w:rPr>
          <w:rFonts w:ascii="Book Antiqua" w:eastAsia="Calibri" w:hAnsi="Book Antiqua" w:cs="Arial"/>
          <w:sz w:val="24"/>
          <w:szCs w:val="24"/>
        </w:rPr>
        <w:t xml:space="preserve">impacto económico </w:t>
      </w:r>
      <w:r>
        <w:rPr>
          <w:rFonts w:ascii="Book Antiqua" w:eastAsia="Calibri" w:hAnsi="Book Antiqua" w:cs="Arial"/>
          <w:sz w:val="24"/>
          <w:szCs w:val="24"/>
        </w:rPr>
        <w:t xml:space="preserve">de la creación de un recurso de persona técnica judicial: </w:t>
      </w:r>
      <w:r w:rsidR="00416648" w:rsidRPr="00416648">
        <w:rPr>
          <w:rFonts w:ascii="Book Antiqua" w:eastAsia="Calibri" w:hAnsi="Book Antiqua" w:cs="Arial"/>
          <w:sz w:val="24"/>
          <w:szCs w:val="24"/>
        </w:rPr>
        <w:t xml:space="preserve"> </w:t>
      </w:r>
    </w:p>
    <w:p w14:paraId="0290E886" w14:textId="77777777" w:rsidR="00A13E7D" w:rsidRDefault="00A13E7D" w:rsidP="00416648">
      <w:pPr>
        <w:spacing w:after="0" w:line="276" w:lineRule="auto"/>
        <w:jc w:val="both"/>
        <w:rPr>
          <w:rFonts w:ascii="Book Antiqua" w:eastAsia="Calibri" w:hAnsi="Book Antiqua" w:cs="Arial"/>
          <w:sz w:val="24"/>
          <w:szCs w:val="24"/>
        </w:rPr>
      </w:pPr>
    </w:p>
    <w:p w14:paraId="7AD711CA" w14:textId="6BB5E7DB"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 xml:space="preserve">Cuadro </w:t>
      </w:r>
      <w:r w:rsidRPr="00416648">
        <w:rPr>
          <w:rFonts w:ascii="Book Antiqua" w:eastAsia="Calibri" w:hAnsi="Book Antiqua" w:cs="Arial"/>
          <w:b/>
          <w:bCs/>
          <w:color w:val="1F497D"/>
          <w:szCs w:val="24"/>
          <w:lang w:val="es-ES" w:eastAsia="es-ES"/>
        </w:rPr>
        <w:fldChar w:fldCharType="begin"/>
      </w:r>
      <w:r w:rsidRPr="00416648">
        <w:rPr>
          <w:rFonts w:ascii="Book Antiqua" w:eastAsia="Calibri" w:hAnsi="Book Antiqua" w:cs="Arial"/>
          <w:b/>
          <w:bCs/>
          <w:color w:val="1F497D"/>
          <w:szCs w:val="24"/>
          <w:lang w:val="es-ES" w:eastAsia="es-ES"/>
        </w:rPr>
        <w:instrText xml:space="preserve"> SEQ Cuadro \* ARABIC </w:instrText>
      </w:r>
      <w:r w:rsidRPr="00416648">
        <w:rPr>
          <w:rFonts w:ascii="Book Antiqua" w:eastAsia="Calibri" w:hAnsi="Book Antiqua" w:cs="Arial"/>
          <w:b/>
          <w:bCs/>
          <w:color w:val="1F497D"/>
          <w:szCs w:val="24"/>
          <w:lang w:val="es-ES" w:eastAsia="es-ES"/>
        </w:rPr>
        <w:fldChar w:fldCharType="separate"/>
      </w:r>
      <w:r w:rsidR="00D5153F">
        <w:rPr>
          <w:rFonts w:ascii="Book Antiqua" w:eastAsia="Calibri" w:hAnsi="Book Antiqua" w:cs="Arial"/>
          <w:b/>
          <w:bCs/>
          <w:noProof/>
          <w:color w:val="1F497D"/>
          <w:szCs w:val="24"/>
          <w:lang w:val="es-ES" w:eastAsia="es-ES"/>
        </w:rPr>
        <w:t>48</w:t>
      </w:r>
      <w:r w:rsidRPr="00416648">
        <w:rPr>
          <w:rFonts w:ascii="Book Antiqua" w:eastAsia="Calibri" w:hAnsi="Book Antiqua" w:cs="Arial"/>
          <w:b/>
          <w:bCs/>
          <w:color w:val="1F497D"/>
          <w:szCs w:val="24"/>
          <w:lang w:val="es-ES" w:eastAsia="es-ES"/>
        </w:rPr>
        <w:fldChar w:fldCharType="end"/>
      </w:r>
      <w:r w:rsidRPr="00416648">
        <w:rPr>
          <w:rFonts w:ascii="Book Antiqua" w:eastAsia="Calibri" w:hAnsi="Book Antiqua" w:cs="Arial"/>
          <w:b/>
          <w:bCs/>
          <w:color w:val="1F497D"/>
          <w:szCs w:val="24"/>
          <w:lang w:val="es-ES" w:eastAsia="es-ES"/>
        </w:rPr>
        <w:t xml:space="preserve"> </w:t>
      </w:r>
    </w:p>
    <w:p w14:paraId="27D27D14" w14:textId="77777777"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Costo de estructura propuesta Juzgado Civil, Trabajo y Familia de Buenos Aires</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416648" w:rsidRPr="00416648" w14:paraId="2686B363" w14:textId="77777777" w:rsidTr="00306313">
        <w:trPr>
          <w:cantSplit/>
          <w:trHeight w:val="664"/>
          <w:tblHeader/>
        </w:trPr>
        <w:tc>
          <w:tcPr>
            <w:tcW w:w="1431" w:type="pct"/>
            <w:tcBorders>
              <w:bottom w:val="single" w:sz="4" w:space="0" w:color="auto"/>
              <w:right w:val="single" w:sz="4" w:space="0" w:color="auto"/>
            </w:tcBorders>
            <w:shd w:val="clear" w:color="auto" w:fill="auto"/>
            <w:vAlign w:val="bottom"/>
            <w:hideMark/>
          </w:tcPr>
          <w:p w14:paraId="361E7ED9" w14:textId="77777777" w:rsidR="00416648" w:rsidRPr="00416648" w:rsidRDefault="00416648" w:rsidP="00416648">
            <w:pPr>
              <w:spacing w:after="0" w:line="276" w:lineRule="auto"/>
              <w:rPr>
                <w:rFonts w:ascii="Book Antiqua" w:eastAsia="Times New Roman" w:hAnsi="Book Antiqua"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4AF52ABD"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3A7581AE"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48FCD510"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Costo del puesto anual</w:t>
            </w:r>
          </w:p>
        </w:tc>
      </w:tr>
      <w:tr w:rsidR="00416648" w:rsidRPr="00416648" w14:paraId="3258AA39" w14:textId="77777777" w:rsidTr="00306313">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189C9803" w14:textId="77777777" w:rsidR="00416648" w:rsidRPr="00416648" w:rsidRDefault="00416648" w:rsidP="00416648">
            <w:pPr>
              <w:spacing w:after="0" w:line="276" w:lineRule="auto"/>
              <w:rPr>
                <w:rFonts w:ascii="Book Antiqua" w:eastAsia="Times New Roman" w:hAnsi="Book Antiqua" w:cs="Times New Roman"/>
                <w:b/>
                <w:bCs/>
                <w:color w:val="FFFFFF"/>
                <w:lang w:eastAsia="es-CR"/>
              </w:rPr>
            </w:pPr>
            <w:r w:rsidRPr="00416648">
              <w:rPr>
                <w:rFonts w:ascii="Book Antiqua" w:eastAsia="Calibri" w:hAnsi="Book Antiqua" w:cs="Arial"/>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4A8063A9" w14:textId="77777777"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Book Antiqua" w:eastAsia="Calibri" w:hAnsi="Book Antiqua" w:cs="Arial"/>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3A7C298E" w14:textId="77777777"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Book Antiqua" w:eastAsia="Calibri" w:hAnsi="Book Antiqua" w:cs="Arial"/>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4852FA49" w14:textId="5ED9F971"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Times New Roman" w:eastAsia="Calibri" w:hAnsi="Times New Roman" w:cs="Times New Roman"/>
                <w:color w:val="000000"/>
              </w:rPr>
              <w:t>₡</w:t>
            </w:r>
            <w:r w:rsidRPr="00416648">
              <w:rPr>
                <w:rFonts w:ascii="Book Antiqua" w:eastAsia="Calibri" w:hAnsi="Book Antiqua" w:cs="Arial"/>
                <w:color w:val="000000"/>
              </w:rPr>
              <w:t>1</w:t>
            </w:r>
            <w:r w:rsidR="003F0D02">
              <w:rPr>
                <w:rFonts w:ascii="Book Antiqua" w:eastAsia="Calibri" w:hAnsi="Book Antiqua" w:cs="Arial"/>
                <w:color w:val="000000"/>
              </w:rPr>
              <w:t>5</w:t>
            </w:r>
            <w:r w:rsidRPr="00416648">
              <w:rPr>
                <w:rFonts w:ascii="Book Antiqua" w:eastAsia="Calibri" w:hAnsi="Book Antiqua" w:cs="Arial"/>
                <w:color w:val="000000"/>
              </w:rPr>
              <w:t>.</w:t>
            </w:r>
            <w:r w:rsidR="003F0D02">
              <w:rPr>
                <w:rFonts w:ascii="Book Antiqua" w:eastAsia="Calibri" w:hAnsi="Book Antiqua" w:cs="Arial"/>
                <w:color w:val="000000"/>
              </w:rPr>
              <w:t>945</w:t>
            </w:r>
            <w:r w:rsidRPr="00416648">
              <w:rPr>
                <w:rFonts w:ascii="Book Antiqua" w:eastAsia="Calibri" w:hAnsi="Book Antiqua" w:cs="Arial"/>
                <w:color w:val="000000"/>
              </w:rPr>
              <w:t>.000</w:t>
            </w:r>
          </w:p>
        </w:tc>
      </w:tr>
    </w:tbl>
    <w:p w14:paraId="7215CD00" w14:textId="4C8B16E8" w:rsidR="00416648" w:rsidRPr="00416648" w:rsidRDefault="00416648" w:rsidP="00416648">
      <w:pPr>
        <w:spacing w:after="0" w:line="276" w:lineRule="auto"/>
        <w:jc w:val="both"/>
        <w:rPr>
          <w:rFonts w:ascii="Book Antiqua" w:eastAsia="Calibri" w:hAnsi="Book Antiqua" w:cs="Arial"/>
          <w:i/>
          <w:iCs/>
          <w:sz w:val="20"/>
          <w:szCs w:val="20"/>
        </w:rPr>
      </w:pPr>
      <w:r w:rsidRPr="009B6DD2">
        <w:rPr>
          <w:rFonts w:ascii="Book Antiqua" w:eastAsia="Calibri" w:hAnsi="Book Antiqua" w:cs="Arial"/>
          <w:b/>
          <w:bCs/>
          <w:i/>
          <w:iCs/>
          <w:sz w:val="20"/>
          <w:szCs w:val="20"/>
        </w:rPr>
        <w:t>Fuente:</w:t>
      </w:r>
      <w:r w:rsidRPr="00416648">
        <w:rPr>
          <w:rFonts w:ascii="Book Antiqua" w:eastAsia="Calibri" w:hAnsi="Book Antiqua" w:cs="Arial"/>
          <w:i/>
          <w:iCs/>
          <w:sz w:val="20"/>
          <w:szCs w:val="20"/>
        </w:rPr>
        <w:t xml:space="preserve"> </w:t>
      </w:r>
      <w:bookmarkStart w:id="58" w:name="_Hlk128090447"/>
      <w:r w:rsidR="005A609B" w:rsidRPr="005A609B">
        <w:rPr>
          <w:rFonts w:ascii="Book Antiqua" w:eastAsia="Calibri" w:hAnsi="Book Antiqua" w:cs="Arial"/>
          <w:i/>
          <w:iCs/>
          <w:sz w:val="20"/>
          <w:szCs w:val="20"/>
        </w:rPr>
        <w:t>Subproceso de Modernización Institucional con datos suministrados por el Subproceso de Presupuesto y Portafolio de Proyectos de la Dirección de Planificación</w:t>
      </w:r>
      <w:bookmarkEnd w:id="58"/>
      <w:r w:rsidRPr="00416648">
        <w:rPr>
          <w:rFonts w:ascii="Book Antiqua" w:eastAsia="Calibri" w:hAnsi="Book Antiqua" w:cs="Arial"/>
          <w:i/>
          <w:iCs/>
          <w:sz w:val="20"/>
          <w:szCs w:val="20"/>
        </w:rPr>
        <w:t>.</w:t>
      </w:r>
    </w:p>
    <w:p w14:paraId="2792211A" w14:textId="2C0CB325" w:rsidR="00F50DD3" w:rsidRDefault="00F50DD3" w:rsidP="00355630">
      <w:pPr>
        <w:spacing w:after="0" w:line="276" w:lineRule="auto"/>
        <w:jc w:val="both"/>
        <w:rPr>
          <w:rFonts w:ascii="Book Antiqua" w:eastAsia="Calibri" w:hAnsi="Book Antiqua" w:cs="Arial"/>
          <w:sz w:val="24"/>
          <w:szCs w:val="24"/>
        </w:rPr>
      </w:pPr>
    </w:p>
    <w:p w14:paraId="4F9762C8" w14:textId="41C3C89A" w:rsidR="00416648" w:rsidRPr="00416648" w:rsidRDefault="00416648" w:rsidP="00416648">
      <w:pPr>
        <w:spacing w:after="0" w:line="276" w:lineRule="auto"/>
        <w:jc w:val="both"/>
        <w:rPr>
          <w:rFonts w:ascii="Book Antiqua" w:eastAsia="Calibri" w:hAnsi="Book Antiqua" w:cs="Arial"/>
          <w:sz w:val="24"/>
          <w:szCs w:val="24"/>
        </w:rPr>
      </w:pPr>
      <w:r w:rsidRPr="00416648">
        <w:rPr>
          <w:rFonts w:ascii="Book Antiqua" w:eastAsia="Calibri" w:hAnsi="Book Antiqua" w:cs="Arial"/>
          <w:sz w:val="24"/>
          <w:szCs w:val="24"/>
        </w:rPr>
        <w:t xml:space="preserve">El costo anual para hacerle frente a la inclusión del nuevo puesto extraordinario es de </w:t>
      </w:r>
      <w:r w:rsidRPr="00416648">
        <w:rPr>
          <w:rFonts w:ascii="Times New Roman" w:eastAsia="Calibri" w:hAnsi="Times New Roman" w:cs="Times New Roman"/>
          <w:sz w:val="24"/>
          <w:szCs w:val="24"/>
        </w:rPr>
        <w:t>₡</w:t>
      </w:r>
      <w:r w:rsidRPr="00416648">
        <w:rPr>
          <w:rFonts w:ascii="Book Antiqua" w:eastAsia="Calibri" w:hAnsi="Book Antiqua" w:cs="Arial"/>
          <w:sz w:val="24"/>
          <w:szCs w:val="24"/>
        </w:rPr>
        <w:t>1</w:t>
      </w:r>
      <w:r w:rsidR="003F0D02">
        <w:rPr>
          <w:rFonts w:ascii="Book Antiqua" w:eastAsia="Calibri" w:hAnsi="Book Antiqua" w:cs="Arial"/>
          <w:sz w:val="24"/>
          <w:szCs w:val="24"/>
        </w:rPr>
        <w:t>5</w:t>
      </w:r>
      <w:r w:rsidRPr="00416648">
        <w:rPr>
          <w:rFonts w:ascii="Book Antiqua" w:eastAsia="Calibri" w:hAnsi="Book Antiqua" w:cs="Arial"/>
          <w:sz w:val="24"/>
          <w:szCs w:val="24"/>
        </w:rPr>
        <w:t>.</w:t>
      </w:r>
      <w:r w:rsidR="003F0D02">
        <w:rPr>
          <w:rFonts w:ascii="Book Antiqua" w:eastAsia="Calibri" w:hAnsi="Book Antiqua" w:cs="Arial"/>
          <w:sz w:val="24"/>
          <w:szCs w:val="24"/>
        </w:rPr>
        <w:t>945</w:t>
      </w:r>
      <w:r w:rsidRPr="00416648">
        <w:rPr>
          <w:rFonts w:ascii="Book Antiqua" w:eastAsia="Calibri" w:hAnsi="Book Antiqua" w:cs="Arial"/>
          <w:sz w:val="24"/>
          <w:szCs w:val="24"/>
        </w:rPr>
        <w:t xml:space="preserve">.000. Es importante indicar que, por estar ubicado este despacho en una región con poblaciones aborígenes, la plaza extraordinaria propuesta debe de completarse exclusivamente con una persona que domine el dialecto aborigen de la zona, para así atender la necesidad de esta población vulnerable y tener licencia de conducir. </w:t>
      </w:r>
    </w:p>
    <w:p w14:paraId="327DA7EA" w14:textId="0C07DA90" w:rsidR="00416648" w:rsidRPr="00416648" w:rsidRDefault="00416648" w:rsidP="00416648">
      <w:pPr>
        <w:spacing w:after="0" w:line="276" w:lineRule="auto"/>
        <w:jc w:val="both"/>
        <w:rPr>
          <w:rFonts w:ascii="Book Antiqua" w:eastAsia="Calibri" w:hAnsi="Book Antiqua" w:cs="Arial"/>
          <w:sz w:val="24"/>
          <w:szCs w:val="24"/>
        </w:rPr>
      </w:pPr>
      <w:r w:rsidRPr="00A13E7D">
        <w:rPr>
          <w:rFonts w:ascii="Book Antiqua" w:eastAsia="Calibri" w:hAnsi="Book Antiqua" w:cs="Arial"/>
          <w:sz w:val="24"/>
          <w:szCs w:val="24"/>
        </w:rPr>
        <w:t xml:space="preserve">Se incluye este requerimiento en el presupuesto para la implementación del Código Procesal de Familia, </w:t>
      </w:r>
      <w:r w:rsidR="00F84B4E">
        <w:rPr>
          <w:rFonts w:ascii="Book Antiqua" w:eastAsia="Calibri" w:hAnsi="Book Antiqua" w:cs="Arial"/>
          <w:sz w:val="24"/>
          <w:szCs w:val="24"/>
        </w:rPr>
        <w:t xml:space="preserve">que </w:t>
      </w:r>
      <w:r w:rsidRPr="00A13E7D">
        <w:rPr>
          <w:rFonts w:ascii="Book Antiqua" w:eastAsia="Calibri" w:hAnsi="Book Antiqua" w:cs="Arial"/>
          <w:sz w:val="24"/>
          <w:szCs w:val="24"/>
        </w:rPr>
        <w:t xml:space="preserve">entrará en vigencia </w:t>
      </w:r>
      <w:r w:rsidR="00F84B4E">
        <w:rPr>
          <w:rFonts w:ascii="Book Antiqua" w:eastAsia="Calibri" w:hAnsi="Book Antiqua" w:cs="Arial"/>
          <w:sz w:val="24"/>
          <w:szCs w:val="24"/>
        </w:rPr>
        <w:t xml:space="preserve">en </w:t>
      </w:r>
      <w:r w:rsidR="005A609B">
        <w:rPr>
          <w:rFonts w:ascii="Book Antiqua" w:eastAsia="Calibri" w:hAnsi="Book Antiqua" w:cs="Arial"/>
          <w:sz w:val="24"/>
          <w:szCs w:val="24"/>
        </w:rPr>
        <w:t>octubre</w:t>
      </w:r>
      <w:r w:rsidR="00F84B4E">
        <w:rPr>
          <w:rFonts w:ascii="Book Antiqua" w:eastAsia="Calibri" w:hAnsi="Book Antiqua" w:cs="Arial"/>
          <w:sz w:val="24"/>
          <w:szCs w:val="24"/>
        </w:rPr>
        <w:t xml:space="preserve"> </w:t>
      </w:r>
      <w:r w:rsidRPr="00A13E7D">
        <w:rPr>
          <w:rFonts w:ascii="Book Antiqua" w:eastAsia="Calibri" w:hAnsi="Book Antiqua" w:cs="Arial"/>
          <w:sz w:val="24"/>
          <w:szCs w:val="24"/>
        </w:rPr>
        <w:t>202</w:t>
      </w:r>
      <w:r w:rsidR="005A609B">
        <w:rPr>
          <w:rFonts w:ascii="Book Antiqua" w:eastAsia="Calibri" w:hAnsi="Book Antiqua" w:cs="Arial"/>
          <w:sz w:val="24"/>
          <w:szCs w:val="24"/>
        </w:rPr>
        <w:t>4</w:t>
      </w:r>
      <w:r w:rsidRPr="00A13E7D">
        <w:rPr>
          <w:rFonts w:ascii="Book Antiqua" w:eastAsia="Calibri" w:hAnsi="Book Antiqua" w:cs="Arial"/>
          <w:sz w:val="24"/>
          <w:szCs w:val="24"/>
        </w:rPr>
        <w:t>.</w:t>
      </w:r>
      <w:r w:rsidRPr="00416648">
        <w:rPr>
          <w:rFonts w:ascii="Book Antiqua" w:eastAsia="Calibri" w:hAnsi="Book Antiqua" w:cs="Arial"/>
          <w:sz w:val="24"/>
          <w:szCs w:val="24"/>
        </w:rPr>
        <w:t xml:space="preserve"> </w:t>
      </w:r>
    </w:p>
    <w:p w14:paraId="7E415DF7" w14:textId="49AE34F8" w:rsidR="00F50DD3" w:rsidRDefault="00F50DD3" w:rsidP="00355630">
      <w:pPr>
        <w:spacing w:after="0" w:line="276" w:lineRule="auto"/>
        <w:jc w:val="both"/>
        <w:rPr>
          <w:rFonts w:ascii="Book Antiqua" w:eastAsia="Calibri" w:hAnsi="Book Antiqua" w:cs="Arial"/>
          <w:sz w:val="24"/>
          <w:szCs w:val="24"/>
        </w:rPr>
      </w:pPr>
    </w:p>
    <w:p w14:paraId="5995E676" w14:textId="77777777" w:rsidR="0033044E" w:rsidRPr="008456A9" w:rsidRDefault="0033044E"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del Segundo Circuito Judicial de Alajuela (sede Upala)</w:t>
      </w:r>
    </w:p>
    <w:p w14:paraId="2F52B85D" w14:textId="1377A227" w:rsidR="00F50DD3" w:rsidRDefault="00F50DD3" w:rsidP="00355630">
      <w:pPr>
        <w:spacing w:after="0" w:line="276" w:lineRule="auto"/>
        <w:jc w:val="both"/>
        <w:rPr>
          <w:rFonts w:ascii="Book Antiqua" w:eastAsia="Calibri" w:hAnsi="Book Antiqua" w:cs="Arial"/>
          <w:sz w:val="24"/>
          <w:szCs w:val="24"/>
        </w:rPr>
      </w:pPr>
    </w:p>
    <w:p w14:paraId="5FA66914" w14:textId="77777777" w:rsidR="0033044E" w:rsidRPr="0033044E" w:rsidRDefault="0033044E" w:rsidP="0033044E">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lang w:val="es-ES"/>
        </w:rPr>
        <w:t xml:space="preserve">El Consejo Superior en sesión 59-2020 celebrada el 16 de </w:t>
      </w:r>
      <w:r w:rsidRPr="0033044E">
        <w:rPr>
          <w:rFonts w:ascii="Book Antiqua" w:eastAsia="Calibri" w:hAnsi="Book Antiqua" w:cs="Arial"/>
          <w:sz w:val="24"/>
          <w:szCs w:val="24"/>
          <w:lang w:val="es-ES_tradnl"/>
        </w:rPr>
        <w:t xml:space="preserve">junio </w:t>
      </w:r>
      <w:r w:rsidRPr="0033044E">
        <w:rPr>
          <w:rFonts w:ascii="Book Antiqua" w:eastAsia="Calibri" w:hAnsi="Book Antiqua" w:cs="Arial"/>
          <w:sz w:val="24"/>
          <w:szCs w:val="24"/>
          <w:lang w:val="es-ES"/>
        </w:rPr>
        <w:t xml:space="preserve">de 2020, </w:t>
      </w:r>
      <w:bookmarkStart w:id="59" w:name="_Toc42840729"/>
      <w:bookmarkStart w:id="60" w:name="_Toc43211013"/>
      <w:bookmarkEnd w:id="59"/>
      <w:r w:rsidRPr="0033044E">
        <w:rPr>
          <w:rFonts w:ascii="Book Antiqua" w:eastAsia="Calibri" w:hAnsi="Book Antiqua" w:cs="Arial"/>
          <w:sz w:val="24"/>
          <w:szCs w:val="24"/>
          <w:lang w:val="es-ES"/>
        </w:rPr>
        <w:t xml:space="preserve">artículo </w:t>
      </w:r>
      <w:r w:rsidRPr="0033044E">
        <w:rPr>
          <w:rFonts w:ascii="Book Antiqua" w:eastAsia="Calibri" w:hAnsi="Book Antiqua" w:cs="Arial"/>
          <w:sz w:val="24"/>
          <w:szCs w:val="24"/>
        </w:rPr>
        <w:t xml:space="preserve">XLIII, aprueba el informe 742-PLA-EV-2020 de la Dirección de Planificación con el seguimiento realizado en esa oficina como parte del Modelo de Sostenibilidad de los despachos rediseñados en el Segundo Circuito </w:t>
      </w:r>
      <w:bookmarkEnd w:id="60"/>
      <w:r w:rsidRPr="0033044E">
        <w:rPr>
          <w:rFonts w:ascii="Book Antiqua" w:eastAsia="Calibri" w:hAnsi="Book Antiqua" w:cs="Arial"/>
          <w:sz w:val="24"/>
          <w:szCs w:val="24"/>
        </w:rPr>
        <w:t xml:space="preserve">Judicial de Alajuela, San Carlos. </w:t>
      </w:r>
    </w:p>
    <w:p w14:paraId="0E1A05C0" w14:textId="77777777" w:rsidR="0033044E" w:rsidRPr="0033044E" w:rsidRDefault="0033044E" w:rsidP="0033044E">
      <w:pPr>
        <w:spacing w:after="0" w:line="276" w:lineRule="auto"/>
        <w:jc w:val="both"/>
        <w:rPr>
          <w:rFonts w:ascii="Book Antiqua" w:eastAsia="Calibri" w:hAnsi="Book Antiqua" w:cs="Arial"/>
          <w:sz w:val="24"/>
          <w:szCs w:val="24"/>
        </w:rPr>
      </w:pPr>
    </w:p>
    <w:p w14:paraId="435984C5" w14:textId="10685D21" w:rsidR="0033044E" w:rsidRPr="001D0C10" w:rsidRDefault="0033044E" w:rsidP="0033044E">
      <w:pPr>
        <w:spacing w:after="0" w:line="240" w:lineRule="auto"/>
        <w:ind w:left="567" w:right="616"/>
        <w:jc w:val="both"/>
        <w:rPr>
          <w:rFonts w:ascii="Times New Roman" w:eastAsia="Calibri" w:hAnsi="Times New Roman" w:cs="Arial"/>
          <w:i/>
          <w:iCs/>
        </w:rPr>
      </w:pPr>
      <w:r w:rsidRPr="001D0C10">
        <w:rPr>
          <w:rFonts w:ascii="Book Antiqua" w:eastAsia="Calibri" w:hAnsi="Book Antiqua" w:cs="Arial"/>
          <w:i/>
          <w:iCs/>
        </w:rPr>
        <w:t>“</w:t>
      </w:r>
      <w:r w:rsidRPr="001D0C10">
        <w:rPr>
          <w:rFonts w:ascii="Book Antiqua" w:eastAsia="Calibri" w:hAnsi="Book Antiqua" w:cs="Arial"/>
          <w:b/>
          <w:bCs/>
          <w:i/>
          <w:iCs/>
        </w:rPr>
        <w:t>Se acordó: 1)</w:t>
      </w:r>
      <w:r w:rsidRPr="001D0C10">
        <w:rPr>
          <w:rFonts w:ascii="Book Antiqua" w:eastAsia="Calibri" w:hAnsi="Book Antiqua" w:cs="Arial"/>
          <w:i/>
          <w:iCs/>
        </w:rPr>
        <w:t xml:space="preserve"> Tener por rendido el informe N°742-PLA-EV-2020 de la Dirección de Planificación, relacionado con el seguimiento al Juzgado Mixto de Upala, conforme al Modelo de Sostenibilidad del Segundo Circuito Judicial de Alajuela. </w:t>
      </w:r>
      <w:r w:rsidRPr="001D0C10">
        <w:rPr>
          <w:rFonts w:ascii="Book Antiqua" w:eastAsia="Calibri" w:hAnsi="Book Antiqua" w:cs="Arial"/>
          <w:b/>
          <w:bCs/>
          <w:i/>
          <w:iCs/>
        </w:rPr>
        <w:t>2</w:t>
      </w:r>
      <w:r w:rsidRPr="001D0C10">
        <w:rPr>
          <w:rFonts w:ascii="Book Antiqua" w:eastAsia="Calibri" w:hAnsi="Book Antiqua" w:cs="Arial"/>
          <w:b/>
          <w:bCs/>
          <w:i/>
          <w:iCs/>
          <w:snapToGrid w:val="0"/>
        </w:rPr>
        <w:t>)</w:t>
      </w:r>
      <w:r w:rsidRPr="001D0C10">
        <w:rPr>
          <w:rFonts w:ascii="Book Antiqua" w:eastAsia="Calibri" w:hAnsi="Book Antiqua" w:cs="Arial"/>
          <w:i/>
          <w:iCs/>
          <w:snapToGrid w:val="0"/>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1D0C10">
        <w:rPr>
          <w:rFonts w:ascii="Book Antiqua" w:eastAsia="Calibri" w:hAnsi="Book Antiqua" w:cs="Arial"/>
          <w:b/>
          <w:bCs/>
          <w:i/>
          <w:iCs/>
          <w:snapToGrid w:val="0"/>
        </w:rPr>
        <w:t>3)</w:t>
      </w:r>
      <w:r w:rsidRPr="001D0C10">
        <w:rPr>
          <w:rFonts w:ascii="Book Antiqua" w:eastAsia="Calibri" w:hAnsi="Book Antiqua" w:cs="Arial"/>
          <w:i/>
          <w:iCs/>
          <w:snapToGrid w:val="0"/>
        </w:rPr>
        <w:t xml:space="preserve"> </w:t>
      </w:r>
      <w:r w:rsidRPr="001D0C10">
        <w:rPr>
          <w:rFonts w:ascii="Book Antiqua" w:eastAsia="Calibri" w:hAnsi="Book Antiqua" w:cs="Arial"/>
          <w:i/>
          <w:iCs/>
        </w:rPr>
        <w:t>Avalar la continuidad de la distribución de la cuota de trabajo semanal según materia, la cual se establece en:  Trabajo cuota semanal de 25 y cuota diaria de 5; Agrario cuota semanal de 20</w:t>
      </w:r>
      <w:r w:rsidR="00E85731" w:rsidRPr="00E85731">
        <w:rPr>
          <w:rFonts w:ascii="Book Antiqua" w:eastAsia="Calibri" w:hAnsi="Book Antiqua" w:cs="Arial"/>
          <w:i/>
          <w:iCs/>
        </w:rPr>
        <w:t xml:space="preserve"> </w:t>
      </w:r>
      <w:r w:rsidRPr="001D0C10">
        <w:rPr>
          <w:rFonts w:ascii="Book Antiqua" w:eastAsia="Calibri" w:hAnsi="Book Antiqua" w:cs="Arial"/>
          <w:i/>
          <w:iCs/>
        </w:rPr>
        <w:t>y cuota</w:t>
      </w:r>
      <w:r w:rsidR="00E85731" w:rsidRPr="00E85731">
        <w:rPr>
          <w:rFonts w:ascii="Book Antiqua" w:eastAsia="Calibri" w:hAnsi="Book Antiqua" w:cs="Arial"/>
          <w:i/>
          <w:iCs/>
        </w:rPr>
        <w:t xml:space="preserve"> </w:t>
      </w:r>
      <w:r w:rsidRPr="001D0C10">
        <w:rPr>
          <w:rFonts w:ascii="Book Antiqua" w:eastAsia="Calibri" w:hAnsi="Book Antiqua" w:cs="Arial"/>
          <w:i/>
          <w:iCs/>
        </w:rPr>
        <w:t>diaria de 4; Familia</w:t>
      </w:r>
      <w:r w:rsidR="00E85731" w:rsidRPr="00E85731">
        <w:rPr>
          <w:rFonts w:ascii="Book Antiqua" w:eastAsia="Calibri" w:hAnsi="Book Antiqua" w:cs="Arial"/>
          <w:i/>
          <w:iCs/>
        </w:rPr>
        <w:t xml:space="preserve"> </w:t>
      </w:r>
      <w:r w:rsidRPr="001D0C10">
        <w:rPr>
          <w:rFonts w:ascii="Book Antiqua" w:eastAsia="Calibri" w:hAnsi="Book Antiqua" w:cs="Arial"/>
          <w:i/>
          <w:iCs/>
        </w:rPr>
        <w:t>cuota semanal de 10 y cuota diaria de 2; Civil cuota semanal de 10 y cuota diaria de 2; Violencia Doméstica cuota semanal de 5 y cuota 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1D0C10">
        <w:rPr>
          <w:rFonts w:ascii="Book Antiqua" w:eastAsia="Calibri" w:hAnsi="Book Antiqua" w:cs="Arial"/>
          <w:b/>
          <w:bCs/>
          <w:i/>
          <w:iCs/>
          <w:snapToGrid w:val="0"/>
        </w:rPr>
        <w:t>4</w:t>
      </w:r>
      <w:r w:rsidRPr="001D0C10">
        <w:rPr>
          <w:rFonts w:ascii="Book Antiqua" w:eastAsia="Calibri" w:hAnsi="Book Antiqua" w:cs="Arial"/>
          <w:b/>
          <w:bCs/>
          <w:i/>
          <w:iCs/>
        </w:rPr>
        <w:t>)</w:t>
      </w:r>
      <w:r w:rsidRPr="001D0C10">
        <w:rPr>
          <w:rFonts w:ascii="Book Antiqua" w:eastAsia="Calibri" w:hAnsi="Book Antiqua" w:cs="Arial"/>
          <w:i/>
          <w:iCs/>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1D0C10">
        <w:rPr>
          <w:rFonts w:ascii="Book Antiqua" w:eastAsia="Calibri" w:hAnsi="Book Antiqua" w:cs="Arial"/>
          <w:b/>
          <w:bCs/>
          <w:i/>
          <w:iCs/>
        </w:rPr>
        <w:t>”.</w:t>
      </w:r>
    </w:p>
    <w:p w14:paraId="6F9467E4" w14:textId="55EB3A96" w:rsidR="00F50DD3" w:rsidRDefault="00F50DD3" w:rsidP="00355630">
      <w:pPr>
        <w:spacing w:after="0" w:line="276" w:lineRule="auto"/>
        <w:jc w:val="both"/>
        <w:rPr>
          <w:rFonts w:ascii="Book Antiqua" w:eastAsia="Calibri" w:hAnsi="Book Antiqua" w:cs="Arial"/>
          <w:sz w:val="24"/>
          <w:szCs w:val="24"/>
        </w:rPr>
      </w:pPr>
    </w:p>
    <w:p w14:paraId="3213FEC8" w14:textId="60353E42" w:rsidR="0033044E" w:rsidRPr="0033044E" w:rsidRDefault="0033044E" w:rsidP="009D51A3">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rPr>
        <w:t>Esta oficina cuenta a partir de enero de 2020 (fecha a partir de la cual se incorporó un recurso adicional de persona juzgadora</w:t>
      </w:r>
      <w:r w:rsidR="009D51A3">
        <w:rPr>
          <w:rFonts w:ascii="Book Antiqua" w:eastAsia="Calibri" w:hAnsi="Book Antiqua" w:cs="Arial"/>
          <w:sz w:val="24"/>
          <w:szCs w:val="24"/>
        </w:rPr>
        <w:t xml:space="preserve"> para la atención de la materia de Violencia Doméstica y Penal y Juvenil</w:t>
      </w:r>
      <w:r w:rsidRPr="0033044E">
        <w:rPr>
          <w:rFonts w:ascii="Book Antiqua" w:eastAsia="Calibri" w:hAnsi="Book Antiqua" w:cs="Arial"/>
          <w:sz w:val="24"/>
          <w:szCs w:val="24"/>
        </w:rPr>
        <w:t>) con la estructura necesaria para atender su carga de trabajo, tanto a nivel de personas juzgadoras como técnicas</w:t>
      </w:r>
      <w:r w:rsidR="009D51A3">
        <w:rPr>
          <w:rFonts w:ascii="Book Antiqua" w:eastAsia="Calibri" w:hAnsi="Book Antiqua" w:cs="Arial"/>
          <w:sz w:val="24"/>
          <w:szCs w:val="24"/>
        </w:rPr>
        <w:t xml:space="preserve">, salvo en materia Agraria, donde es necesaria </w:t>
      </w:r>
      <w:r w:rsidR="005A609B">
        <w:rPr>
          <w:rFonts w:ascii="Book Antiqua" w:eastAsia="Calibri" w:hAnsi="Book Antiqua" w:cs="Arial"/>
          <w:sz w:val="24"/>
          <w:szCs w:val="24"/>
        </w:rPr>
        <w:t xml:space="preserve">la </w:t>
      </w:r>
      <w:r w:rsidR="009D51A3">
        <w:rPr>
          <w:rFonts w:ascii="Book Antiqua" w:eastAsia="Calibri" w:hAnsi="Book Antiqua" w:cs="Arial"/>
          <w:sz w:val="24"/>
          <w:szCs w:val="24"/>
        </w:rPr>
        <w:t>creación de un recurso adicional, y así se ha recomendado en los estudios de impacto del Código Procesal Agrario, sin embargo, esta Ley tampoco cuenta a la fecha con contenido presupuestario. Por lo que en 2020, mediante oficio 96-PLA-MI-2022</w:t>
      </w:r>
      <w:r w:rsidR="005A609B">
        <w:rPr>
          <w:rFonts w:ascii="Book Antiqua" w:eastAsia="Calibri" w:hAnsi="Book Antiqua" w:cs="Arial"/>
          <w:sz w:val="24"/>
          <w:szCs w:val="24"/>
        </w:rPr>
        <w:t>,</w:t>
      </w:r>
      <w:r w:rsidR="009D51A3">
        <w:rPr>
          <w:rFonts w:ascii="Book Antiqua" w:eastAsia="Calibri" w:hAnsi="Book Antiqua" w:cs="Arial"/>
          <w:sz w:val="24"/>
          <w:szCs w:val="24"/>
        </w:rPr>
        <w:t xml:space="preserve"> se recomendó al Consejo Superior la asignación por todo el año de un permiso con goce de salario y sustitución. </w:t>
      </w:r>
      <w:r w:rsidR="009D51A3" w:rsidRPr="00D6242E">
        <w:rPr>
          <w:rFonts w:ascii="Book Antiqua" w:eastAsia="Calibri" w:hAnsi="Book Antiqua" w:cs="Arial"/>
          <w:sz w:val="24"/>
          <w:szCs w:val="24"/>
        </w:rPr>
        <w:t>Y para el 202</w:t>
      </w:r>
      <w:r w:rsidR="00714B9F" w:rsidRPr="00D6242E">
        <w:rPr>
          <w:rFonts w:ascii="Book Antiqua" w:eastAsia="Calibri" w:hAnsi="Book Antiqua" w:cs="Arial"/>
          <w:sz w:val="24"/>
          <w:szCs w:val="24"/>
        </w:rPr>
        <w:t>4</w:t>
      </w:r>
      <w:r w:rsidR="009D51A3" w:rsidRPr="00D6242E">
        <w:rPr>
          <w:rFonts w:ascii="Book Antiqua" w:eastAsia="Calibri" w:hAnsi="Book Antiqua" w:cs="Arial"/>
          <w:sz w:val="24"/>
          <w:szCs w:val="24"/>
        </w:rPr>
        <w:t>, se reitera nuevamente la necesidad de creación de la plaza de persona juzgadora agraria</w:t>
      </w:r>
      <w:r w:rsidR="00F91104" w:rsidRPr="00D6242E">
        <w:rPr>
          <w:rFonts w:ascii="Book Antiqua" w:eastAsia="Calibri" w:hAnsi="Book Antiqua" w:cs="Arial"/>
          <w:sz w:val="24"/>
          <w:szCs w:val="24"/>
        </w:rPr>
        <w:t xml:space="preserve"> </w:t>
      </w:r>
      <w:r w:rsidR="009D51A3" w:rsidRPr="00D6242E">
        <w:rPr>
          <w:rFonts w:ascii="Book Antiqua" w:eastAsia="Calibri" w:hAnsi="Book Antiqua" w:cs="Arial"/>
          <w:sz w:val="24"/>
          <w:szCs w:val="24"/>
        </w:rPr>
        <w:t>y será en ese informe de Presupuesto Ag</w:t>
      </w:r>
      <w:r w:rsidR="00671EA6" w:rsidRPr="00D6242E">
        <w:rPr>
          <w:rFonts w:ascii="Book Antiqua" w:eastAsia="Calibri" w:hAnsi="Book Antiqua" w:cs="Arial"/>
          <w:sz w:val="24"/>
          <w:szCs w:val="24"/>
        </w:rPr>
        <w:t>r</w:t>
      </w:r>
      <w:r w:rsidR="009D51A3" w:rsidRPr="00D6242E">
        <w:rPr>
          <w:rFonts w:ascii="Book Antiqua" w:eastAsia="Calibri" w:hAnsi="Book Antiqua" w:cs="Arial"/>
          <w:sz w:val="24"/>
          <w:szCs w:val="24"/>
        </w:rPr>
        <w:t>ario para 202</w:t>
      </w:r>
      <w:r w:rsidR="00714B9F" w:rsidRPr="00D6242E">
        <w:rPr>
          <w:rFonts w:ascii="Book Antiqua" w:eastAsia="Calibri" w:hAnsi="Book Antiqua" w:cs="Arial"/>
          <w:sz w:val="24"/>
          <w:szCs w:val="24"/>
        </w:rPr>
        <w:t>4</w:t>
      </w:r>
      <w:r w:rsidR="009D51A3" w:rsidRPr="00D6242E">
        <w:rPr>
          <w:rFonts w:ascii="Book Antiqua" w:eastAsia="Calibri" w:hAnsi="Book Antiqua" w:cs="Arial"/>
          <w:sz w:val="24"/>
          <w:szCs w:val="24"/>
        </w:rPr>
        <w:t xml:space="preserve"> donde se consideren los</w:t>
      </w:r>
      <w:r w:rsidR="00867657" w:rsidRPr="00D6242E">
        <w:rPr>
          <w:rFonts w:ascii="Book Antiqua" w:eastAsia="Calibri" w:hAnsi="Book Antiqua" w:cs="Arial"/>
          <w:sz w:val="24"/>
          <w:szCs w:val="24"/>
        </w:rPr>
        <w:t xml:space="preserve"> costos asociados de la</w:t>
      </w:r>
      <w:r w:rsidR="009D51A3" w:rsidRPr="00D6242E">
        <w:rPr>
          <w:rFonts w:ascii="Book Antiqua" w:eastAsia="Calibri" w:hAnsi="Book Antiqua" w:cs="Arial"/>
          <w:sz w:val="24"/>
          <w:szCs w:val="24"/>
        </w:rPr>
        <w:t xml:space="preserve"> creación de ese recurso.</w:t>
      </w:r>
      <w:r w:rsidR="009D51A3">
        <w:rPr>
          <w:rFonts w:ascii="Book Antiqua" w:eastAsia="Calibri" w:hAnsi="Book Antiqua" w:cs="Arial"/>
          <w:sz w:val="24"/>
          <w:szCs w:val="24"/>
        </w:rPr>
        <w:t xml:space="preserve"> </w:t>
      </w:r>
      <w:r w:rsidR="00867657">
        <w:rPr>
          <w:rFonts w:ascii="Book Antiqua" w:eastAsia="Calibri" w:hAnsi="Book Antiqua" w:cs="Arial"/>
          <w:sz w:val="24"/>
          <w:szCs w:val="24"/>
        </w:rPr>
        <w:t xml:space="preserve"> </w:t>
      </w:r>
    </w:p>
    <w:p w14:paraId="3C335EC4" w14:textId="46C4ACB7" w:rsidR="0033044E" w:rsidRDefault="0033044E" w:rsidP="00355630">
      <w:pPr>
        <w:spacing w:after="0" w:line="276" w:lineRule="auto"/>
        <w:jc w:val="both"/>
        <w:rPr>
          <w:rFonts w:ascii="Book Antiqua" w:eastAsia="Calibri" w:hAnsi="Book Antiqua" w:cs="Arial"/>
          <w:sz w:val="24"/>
          <w:szCs w:val="24"/>
        </w:rPr>
      </w:pPr>
    </w:p>
    <w:p w14:paraId="07B2BF6A" w14:textId="77777777" w:rsidR="0033044E" w:rsidRPr="008456A9" w:rsidRDefault="0033044E"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 Osa</w:t>
      </w:r>
    </w:p>
    <w:p w14:paraId="6F65F323" w14:textId="77777777" w:rsidR="0033044E" w:rsidRPr="0033044E" w:rsidRDefault="0033044E" w:rsidP="0033044E">
      <w:pPr>
        <w:spacing w:after="0" w:line="240" w:lineRule="auto"/>
        <w:jc w:val="both"/>
        <w:rPr>
          <w:rFonts w:ascii="Book Antiqua" w:eastAsia="Calibri" w:hAnsi="Book Antiqua" w:cs="Arial"/>
        </w:rPr>
      </w:pPr>
    </w:p>
    <w:p w14:paraId="40A8208A" w14:textId="77777777" w:rsidR="00D6242E" w:rsidRDefault="00D6242E" w:rsidP="0033044E">
      <w:pPr>
        <w:spacing w:after="0" w:line="276" w:lineRule="auto"/>
        <w:jc w:val="both"/>
        <w:rPr>
          <w:rFonts w:ascii="Book Antiqua" w:eastAsia="Calibri" w:hAnsi="Book Antiqua" w:cs="Arial"/>
          <w:sz w:val="24"/>
          <w:szCs w:val="24"/>
        </w:rPr>
      </w:pPr>
      <w:r w:rsidRPr="00D6242E">
        <w:rPr>
          <w:rFonts w:ascii="Book Antiqua" w:eastAsia="Calibri" w:hAnsi="Book Antiqua" w:cs="Arial"/>
          <w:sz w:val="24"/>
          <w:szCs w:val="24"/>
        </w:rPr>
        <w:t>En el caso del Juzgado Civil, Trabajo y Familia de Osa, registra un promedio mensual de entrada de 56 por cada persona juzgadora (5 casos entrados en materia Civil, 8 en Laboral, 16 en Familia, 25 en Violencia Doméstica y 2 en Penal Juvenil). Registra una entrada menor a sus homólogos donde el promedio es de 112 asuntos nuevos por plaza, lo que no se justifica especialización de alguna materia o la asignación de nuevo personal.</w:t>
      </w:r>
    </w:p>
    <w:p w14:paraId="38DDDE87" w14:textId="005B1102" w:rsidR="00421C5B" w:rsidRPr="0033044E" w:rsidRDefault="00421C5B" w:rsidP="0033044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w:t>
      </w:r>
      <w:r w:rsidR="00F91104">
        <w:rPr>
          <w:rFonts w:ascii="Book Antiqua" w:eastAsia="Calibri" w:hAnsi="Book Antiqua" w:cs="Arial"/>
          <w:sz w:val="24"/>
          <w:szCs w:val="24"/>
        </w:rPr>
        <w:t xml:space="preserve">en 2016-2017 con el proceso de reforma tanto Civil como Laboral, y </w:t>
      </w:r>
      <w:r>
        <w:rPr>
          <w:rFonts w:ascii="Book Antiqua" w:eastAsia="Calibri" w:hAnsi="Book Antiqua" w:cs="Arial"/>
          <w:sz w:val="24"/>
          <w:szCs w:val="24"/>
        </w:rPr>
        <w:t xml:space="preserve">con ocasión del proyecto de implementación del Código Procesal de Familia, se emitió el </w:t>
      </w:r>
      <w:r w:rsidRPr="00584BE8">
        <w:rPr>
          <w:rFonts w:ascii="Book Antiqua" w:eastAsia="Calibri" w:hAnsi="Book Antiqua" w:cs="Arial"/>
          <w:sz w:val="24"/>
          <w:szCs w:val="24"/>
        </w:rPr>
        <w:t xml:space="preserve">oficio </w:t>
      </w:r>
      <w:r w:rsidR="002D7915" w:rsidRPr="001D0C10">
        <w:rPr>
          <w:rFonts w:ascii="Book Antiqua" w:eastAsia="Calibri" w:hAnsi="Book Antiqua" w:cs="Arial"/>
          <w:sz w:val="24"/>
          <w:szCs w:val="24"/>
        </w:rPr>
        <w:t>14-PLA-EV-2021</w:t>
      </w:r>
      <w:r w:rsidR="0083673A" w:rsidRPr="001D0C10">
        <w:rPr>
          <w:rFonts w:ascii="Book Antiqua" w:eastAsia="Calibri" w:hAnsi="Book Antiqua" w:cs="Arial"/>
          <w:sz w:val="24"/>
          <w:szCs w:val="24"/>
        </w:rPr>
        <w:t>,</w:t>
      </w:r>
      <w:r>
        <w:rPr>
          <w:rFonts w:ascii="Book Antiqua" w:eastAsia="Calibri" w:hAnsi="Book Antiqua" w:cs="Arial"/>
          <w:sz w:val="24"/>
          <w:szCs w:val="24"/>
        </w:rPr>
        <w:t xml:space="preserve"> aprobado por Consejo Superior en sesión </w:t>
      </w:r>
      <w:r w:rsidR="0083673A">
        <w:rPr>
          <w:rFonts w:ascii="Book Antiqua" w:eastAsia="Calibri" w:hAnsi="Book Antiqua" w:cs="Arial"/>
          <w:sz w:val="24"/>
          <w:szCs w:val="24"/>
        </w:rPr>
        <w:t xml:space="preserve">07-2021 del 26 de enero de 2021, artículo </w:t>
      </w:r>
      <w:r w:rsidR="00847F2D">
        <w:rPr>
          <w:rFonts w:ascii="Book Antiqua" w:eastAsia="Calibri" w:hAnsi="Book Antiqua" w:cs="Arial"/>
          <w:sz w:val="24"/>
          <w:szCs w:val="24"/>
        </w:rPr>
        <w:t>XLVIII</w:t>
      </w:r>
      <w:r w:rsidR="00F91104">
        <w:rPr>
          <w:rFonts w:ascii="Book Antiqua" w:eastAsia="Calibri" w:hAnsi="Book Antiqua" w:cs="Arial"/>
          <w:sz w:val="24"/>
          <w:szCs w:val="24"/>
        </w:rPr>
        <w:t xml:space="preserve">, donde se analizó nuevamente la estructura de esta oficina. </w:t>
      </w:r>
    </w:p>
    <w:p w14:paraId="7BBE9524" w14:textId="2FF194A1" w:rsidR="00F50DD3" w:rsidRDefault="00F50DD3" w:rsidP="00355630">
      <w:pPr>
        <w:spacing w:after="0" w:line="276" w:lineRule="auto"/>
        <w:jc w:val="both"/>
        <w:rPr>
          <w:rFonts w:ascii="Book Antiqua" w:eastAsia="Calibri" w:hAnsi="Book Antiqua" w:cs="Arial"/>
          <w:sz w:val="24"/>
          <w:szCs w:val="24"/>
        </w:rPr>
      </w:pPr>
    </w:p>
    <w:p w14:paraId="36500EA2" w14:textId="77777777" w:rsidR="00342D22" w:rsidRPr="008456A9" w:rsidRDefault="00342D22"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Juzgados Civil, Trabajo, Familia, Penal Juvenil y Violencia Doméstica de Sarapiquí</w:t>
      </w:r>
    </w:p>
    <w:p w14:paraId="61DFC272" w14:textId="60338713" w:rsidR="00342D22" w:rsidRDefault="00342D22" w:rsidP="00355630">
      <w:pPr>
        <w:spacing w:after="0" w:line="276" w:lineRule="auto"/>
        <w:jc w:val="both"/>
        <w:rPr>
          <w:rFonts w:ascii="Book Antiqua" w:eastAsia="Calibri" w:hAnsi="Book Antiqua" w:cs="Arial"/>
          <w:sz w:val="24"/>
          <w:szCs w:val="24"/>
        </w:rPr>
      </w:pPr>
    </w:p>
    <w:p w14:paraId="55D66330" w14:textId="77777777" w:rsidR="00D6242E" w:rsidRPr="00D6242E" w:rsidRDefault="00D6242E" w:rsidP="00D6242E">
      <w:pPr>
        <w:spacing w:after="0" w:line="276" w:lineRule="auto"/>
        <w:jc w:val="both"/>
        <w:rPr>
          <w:rFonts w:ascii="Book Antiqua" w:eastAsia="Calibri" w:hAnsi="Book Antiqua" w:cs="Arial"/>
          <w:sz w:val="24"/>
          <w:szCs w:val="24"/>
        </w:rPr>
      </w:pPr>
      <w:r w:rsidRPr="00D6242E">
        <w:rPr>
          <w:rFonts w:ascii="Book Antiqua" w:eastAsia="Calibri" w:hAnsi="Book Antiqua" w:cs="Arial"/>
          <w:sz w:val="24"/>
          <w:szCs w:val="24"/>
        </w:rPr>
        <w:t xml:space="preserve">La entrada promedio por plaza de persona juzgadora en Sarapiquí (entre todas las materias) es de 161 asuntos, 8 casos por día.  El promedio nacional es de 128 casos, sin embargo, la diferencia no justifica la asignación de recurso adicional.  </w:t>
      </w:r>
    </w:p>
    <w:p w14:paraId="14EC089B" w14:textId="77777777" w:rsidR="00D6242E" w:rsidRDefault="00D6242E" w:rsidP="00D6242E">
      <w:pPr>
        <w:spacing w:after="0" w:line="276" w:lineRule="auto"/>
        <w:jc w:val="both"/>
        <w:rPr>
          <w:rFonts w:ascii="Book Antiqua" w:eastAsia="Calibri" w:hAnsi="Book Antiqua" w:cs="Arial"/>
          <w:sz w:val="24"/>
          <w:szCs w:val="24"/>
        </w:rPr>
      </w:pPr>
      <w:r w:rsidRPr="00D6242E">
        <w:rPr>
          <w:rFonts w:ascii="Book Antiqua" w:eastAsia="Calibri" w:hAnsi="Book Antiqua" w:cs="Arial"/>
          <w:sz w:val="24"/>
          <w:szCs w:val="24"/>
        </w:rPr>
        <w:t xml:space="preserve">Respecto al personal técnico, tiene una entrada mensual de 32 asuntos, por debajo del promedio entre homólogos que es de 39. </w:t>
      </w:r>
    </w:p>
    <w:p w14:paraId="41DC9AFE" w14:textId="745250A0" w:rsidR="00421C5B" w:rsidRPr="0033044E" w:rsidRDefault="00F91104" w:rsidP="00D6242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en 2016-2017 con el proceso de reforma tanto Civil como Laboral y </w:t>
      </w:r>
      <w:r w:rsidR="00421C5B">
        <w:rPr>
          <w:rFonts w:ascii="Book Antiqua" w:eastAsia="Calibri" w:hAnsi="Book Antiqua" w:cs="Arial"/>
          <w:sz w:val="24"/>
          <w:szCs w:val="24"/>
        </w:rPr>
        <w:t xml:space="preserve">con ocasión del proyecto de implementación del Código Procesal de Familia, se emitió el </w:t>
      </w:r>
      <w:r w:rsidR="00421C5B" w:rsidRPr="00584BE8">
        <w:rPr>
          <w:rFonts w:ascii="Book Antiqua" w:eastAsia="Calibri" w:hAnsi="Book Antiqua" w:cs="Arial"/>
          <w:sz w:val="24"/>
          <w:szCs w:val="24"/>
        </w:rPr>
        <w:t xml:space="preserve">oficio </w:t>
      </w:r>
      <w:r w:rsidR="005064EA" w:rsidRPr="001D0C10">
        <w:rPr>
          <w:rFonts w:ascii="Book Antiqua" w:eastAsia="Calibri" w:hAnsi="Book Antiqua" w:cs="Arial"/>
          <w:sz w:val="24"/>
          <w:szCs w:val="24"/>
        </w:rPr>
        <w:t>19-PLA-EV-2021</w:t>
      </w:r>
      <w:r w:rsidR="00421C5B" w:rsidRPr="00584BE8">
        <w:rPr>
          <w:rFonts w:ascii="Book Antiqua" w:eastAsia="Calibri" w:hAnsi="Book Antiqua" w:cs="Arial"/>
          <w:sz w:val="24"/>
          <w:szCs w:val="24"/>
        </w:rPr>
        <w:t>, aprobado</w:t>
      </w:r>
      <w:r w:rsidR="00421C5B">
        <w:rPr>
          <w:rFonts w:ascii="Book Antiqua" w:eastAsia="Calibri" w:hAnsi="Book Antiqua" w:cs="Arial"/>
          <w:sz w:val="24"/>
          <w:szCs w:val="24"/>
        </w:rPr>
        <w:t xml:space="preserve"> por Consejo Superior en sesión </w:t>
      </w:r>
      <w:r w:rsidR="0078786A">
        <w:rPr>
          <w:rFonts w:ascii="Book Antiqua" w:eastAsia="Calibri" w:hAnsi="Book Antiqua" w:cs="Arial"/>
          <w:sz w:val="24"/>
          <w:szCs w:val="24"/>
        </w:rPr>
        <w:t xml:space="preserve">09-2021 del 2 de febrero de 2021, artículo </w:t>
      </w:r>
      <w:r w:rsidR="003346C0" w:rsidRPr="003346C0">
        <w:rPr>
          <w:rFonts w:ascii="Book Antiqua" w:eastAsia="Calibri" w:hAnsi="Book Antiqua" w:cs="Arial"/>
          <w:sz w:val="24"/>
          <w:szCs w:val="24"/>
        </w:rPr>
        <w:t>XXXIX</w:t>
      </w:r>
      <w:r>
        <w:rPr>
          <w:rFonts w:ascii="Book Antiqua" w:eastAsia="Calibri" w:hAnsi="Book Antiqua" w:cs="Arial"/>
          <w:sz w:val="24"/>
          <w:szCs w:val="24"/>
        </w:rPr>
        <w:t>, donde se analizó nuevamente la estructura de esta oficina.</w:t>
      </w:r>
    </w:p>
    <w:p w14:paraId="33D1C0D1" w14:textId="77777777" w:rsidR="00342D22" w:rsidRDefault="00342D22" w:rsidP="00355630">
      <w:pPr>
        <w:spacing w:after="0" w:line="276" w:lineRule="auto"/>
        <w:jc w:val="both"/>
        <w:rPr>
          <w:rFonts w:ascii="Book Antiqua" w:eastAsia="Calibri" w:hAnsi="Book Antiqua" w:cs="Arial"/>
          <w:sz w:val="24"/>
          <w:szCs w:val="24"/>
        </w:rPr>
      </w:pPr>
    </w:p>
    <w:p w14:paraId="47BC33C9" w14:textId="71626AAF" w:rsidR="009D7C4A" w:rsidRPr="008456A9" w:rsidRDefault="009D7C4A"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w:t>
      </w:r>
      <w:r w:rsidR="005A5414" w:rsidRPr="008456A9">
        <w:rPr>
          <w:rFonts w:ascii="Book Antiqua" w:eastAsia="Calibri" w:hAnsi="Book Antiqua" w:cs="Arial"/>
          <w:b/>
          <w:bCs/>
          <w:sz w:val="24"/>
          <w:szCs w:val="24"/>
        </w:rPr>
        <w:t xml:space="preserve"> y</w:t>
      </w:r>
      <w:r w:rsidRPr="008456A9">
        <w:rPr>
          <w:rFonts w:ascii="Book Antiqua" w:eastAsia="Calibri" w:hAnsi="Book Antiqua" w:cs="Arial"/>
          <w:b/>
          <w:bCs/>
          <w:sz w:val="24"/>
          <w:szCs w:val="24"/>
        </w:rPr>
        <w:t xml:space="preserve"> Familia de Puriscal</w:t>
      </w:r>
    </w:p>
    <w:p w14:paraId="79603913" w14:textId="77777777" w:rsidR="009D7C4A" w:rsidRDefault="009D7C4A" w:rsidP="009D7C4A">
      <w:pPr>
        <w:spacing w:after="0" w:line="276" w:lineRule="auto"/>
        <w:jc w:val="both"/>
        <w:rPr>
          <w:rFonts w:ascii="Book Antiqua" w:eastAsia="Calibri" w:hAnsi="Book Antiqua" w:cs="Arial"/>
          <w:sz w:val="24"/>
          <w:szCs w:val="24"/>
        </w:rPr>
      </w:pPr>
    </w:p>
    <w:p w14:paraId="1A1B9238" w14:textId="6B6211CA"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En lo que respecta al</w:t>
      </w:r>
      <w:r w:rsidR="005A5414">
        <w:rPr>
          <w:rFonts w:ascii="Book Antiqua" w:eastAsia="Calibri" w:hAnsi="Book Antiqua" w:cs="Arial"/>
          <w:sz w:val="24"/>
          <w:szCs w:val="24"/>
        </w:rPr>
        <w:t xml:space="preserve"> </w:t>
      </w:r>
      <w:bookmarkStart w:id="61" w:name="_Hlk35525717"/>
      <w:r w:rsidRPr="009D7C4A">
        <w:rPr>
          <w:rFonts w:ascii="Book Antiqua" w:eastAsia="Calibri" w:hAnsi="Book Antiqua" w:cs="Arial"/>
          <w:sz w:val="24"/>
          <w:szCs w:val="24"/>
        </w:rPr>
        <w:t>Juzgado Civil, Trabajo</w:t>
      </w:r>
      <w:r w:rsidR="005A5414">
        <w:rPr>
          <w:rFonts w:ascii="Book Antiqua" w:eastAsia="Calibri" w:hAnsi="Book Antiqua" w:cs="Arial"/>
          <w:sz w:val="24"/>
          <w:szCs w:val="24"/>
        </w:rPr>
        <w:t xml:space="preserve"> y </w:t>
      </w:r>
      <w:r w:rsidRPr="009D7C4A">
        <w:rPr>
          <w:rFonts w:ascii="Book Antiqua" w:eastAsia="Calibri" w:hAnsi="Book Antiqua" w:cs="Arial"/>
          <w:sz w:val="24"/>
          <w:szCs w:val="24"/>
        </w:rPr>
        <w:t>Familia</w:t>
      </w:r>
      <w:r w:rsidR="005A5414">
        <w:rPr>
          <w:rFonts w:ascii="Book Antiqua" w:eastAsia="Calibri" w:hAnsi="Book Antiqua" w:cs="Arial"/>
          <w:sz w:val="24"/>
          <w:szCs w:val="24"/>
        </w:rPr>
        <w:t xml:space="preserve"> </w:t>
      </w:r>
      <w:r w:rsidRPr="009D7C4A">
        <w:rPr>
          <w:rFonts w:ascii="Book Antiqua" w:eastAsia="Calibri" w:hAnsi="Book Antiqua" w:cs="Arial"/>
          <w:sz w:val="24"/>
          <w:szCs w:val="24"/>
        </w:rPr>
        <w:t>de Puriscal</w:t>
      </w:r>
      <w:bookmarkEnd w:id="61"/>
      <w:r w:rsidRPr="009D7C4A">
        <w:rPr>
          <w:rFonts w:ascii="Book Antiqua" w:eastAsia="Calibri" w:hAnsi="Book Antiqua" w:cs="Arial"/>
          <w:sz w:val="24"/>
          <w:szCs w:val="24"/>
        </w:rPr>
        <w:t xml:space="preserve">, registra una entrada promedio por plaza de persona juzgadora y de técnica que se ajusta al promedio entre oficinas </w:t>
      </w:r>
      <w:r w:rsidRPr="00CF2086">
        <w:rPr>
          <w:rFonts w:ascii="Book Antiqua" w:eastAsia="Calibri" w:hAnsi="Book Antiqua" w:cs="Arial"/>
          <w:sz w:val="24"/>
          <w:szCs w:val="24"/>
        </w:rPr>
        <w:t>homologas,</w:t>
      </w:r>
      <w:r w:rsidRPr="009D7C4A">
        <w:rPr>
          <w:rFonts w:ascii="Book Antiqua" w:eastAsia="Calibri" w:hAnsi="Book Antiqua" w:cs="Arial"/>
          <w:sz w:val="24"/>
          <w:szCs w:val="24"/>
        </w:rPr>
        <w:t xml:space="preserve"> </w:t>
      </w:r>
      <w:r w:rsidRPr="00D6242E">
        <w:rPr>
          <w:rFonts w:ascii="Book Antiqua" w:eastAsia="Calibri" w:hAnsi="Book Antiqua" w:cs="Arial"/>
          <w:sz w:val="24"/>
          <w:szCs w:val="24"/>
        </w:rPr>
        <w:t>con una entrada mensual por Jueza o Juez de 1</w:t>
      </w:r>
      <w:r w:rsidR="00D6242E" w:rsidRPr="00D6242E">
        <w:rPr>
          <w:rFonts w:ascii="Book Antiqua" w:eastAsia="Calibri" w:hAnsi="Book Antiqua" w:cs="Arial"/>
          <w:sz w:val="24"/>
          <w:szCs w:val="24"/>
        </w:rPr>
        <w:t>38</w:t>
      </w:r>
      <w:r w:rsidRPr="00D6242E">
        <w:rPr>
          <w:rFonts w:ascii="Book Antiqua" w:eastAsia="Calibri" w:hAnsi="Book Antiqua" w:cs="Arial"/>
          <w:sz w:val="24"/>
          <w:szCs w:val="24"/>
        </w:rPr>
        <w:t xml:space="preserve"> casos y de 3</w:t>
      </w:r>
      <w:r w:rsidR="00D6242E" w:rsidRPr="00D6242E">
        <w:rPr>
          <w:rFonts w:ascii="Book Antiqua" w:eastAsia="Calibri" w:hAnsi="Book Antiqua" w:cs="Arial"/>
          <w:sz w:val="24"/>
          <w:szCs w:val="24"/>
        </w:rPr>
        <w:t>5</w:t>
      </w:r>
      <w:r w:rsidRPr="00D6242E">
        <w:rPr>
          <w:rFonts w:ascii="Book Antiqua" w:eastAsia="Calibri" w:hAnsi="Book Antiqua" w:cs="Arial"/>
          <w:sz w:val="24"/>
          <w:szCs w:val="24"/>
        </w:rPr>
        <w:t xml:space="preserve"> por Técnica o Técnico Judicial de trámite.</w:t>
      </w:r>
      <w:r w:rsidRPr="009D7C4A">
        <w:rPr>
          <w:rFonts w:ascii="Book Antiqua" w:eastAsia="Calibri" w:hAnsi="Book Antiqua" w:cs="Arial"/>
          <w:sz w:val="24"/>
          <w:szCs w:val="24"/>
        </w:rPr>
        <w:t xml:space="preserve"> </w:t>
      </w:r>
    </w:p>
    <w:p w14:paraId="1D57D939" w14:textId="3E675E1E" w:rsidR="00421C5B" w:rsidRPr="0033044E" w:rsidRDefault="00F91104" w:rsidP="00421C5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w:t>
      </w:r>
      <w:r w:rsidRPr="00584BE8">
        <w:rPr>
          <w:rFonts w:ascii="Book Antiqua" w:eastAsia="Calibri" w:hAnsi="Book Antiqua" w:cs="Arial"/>
          <w:sz w:val="24"/>
          <w:szCs w:val="24"/>
        </w:rPr>
        <w:t>en 2016-2017 con el proceso de reforma tanto Civil como Laboral y</w:t>
      </w:r>
      <w:r w:rsidR="00421C5B" w:rsidRPr="00584BE8">
        <w:rPr>
          <w:rFonts w:ascii="Book Antiqua" w:eastAsia="Calibri" w:hAnsi="Book Antiqua" w:cs="Arial"/>
          <w:sz w:val="24"/>
          <w:szCs w:val="24"/>
        </w:rPr>
        <w:t xml:space="preserve"> con ocasión del proyecto de implementación del Código Procesal de Familia, se emitió el oficio </w:t>
      </w:r>
      <w:r w:rsidR="00226F11" w:rsidRPr="001D0C10">
        <w:rPr>
          <w:rFonts w:ascii="Book Antiqua" w:eastAsia="Calibri" w:hAnsi="Book Antiqua" w:cs="Arial"/>
          <w:sz w:val="24"/>
          <w:szCs w:val="24"/>
        </w:rPr>
        <w:t>175-PLA-EV-2021</w:t>
      </w:r>
      <w:r w:rsidR="00421C5B" w:rsidRPr="00584BE8">
        <w:rPr>
          <w:rFonts w:ascii="Book Antiqua" w:eastAsia="Calibri" w:hAnsi="Book Antiqua" w:cs="Arial"/>
          <w:sz w:val="24"/>
          <w:szCs w:val="24"/>
        </w:rPr>
        <w:t xml:space="preserve">, aprobado por Consejo Superior en sesión </w:t>
      </w:r>
      <w:r w:rsidR="00226F11" w:rsidRPr="00584BE8">
        <w:rPr>
          <w:rFonts w:ascii="Book Antiqua" w:eastAsia="Calibri" w:hAnsi="Book Antiqua" w:cs="Arial"/>
          <w:sz w:val="24"/>
          <w:szCs w:val="24"/>
        </w:rPr>
        <w:t xml:space="preserve">14-2021 del </w:t>
      </w:r>
      <w:r w:rsidR="00574829" w:rsidRPr="00584BE8">
        <w:rPr>
          <w:rFonts w:ascii="Book Antiqua" w:eastAsia="Calibri" w:hAnsi="Book Antiqua" w:cs="Arial"/>
          <w:sz w:val="24"/>
          <w:szCs w:val="24"/>
        </w:rPr>
        <w:t>18 de febrero de 2021, artículo</w:t>
      </w:r>
      <w:r w:rsidR="00574829">
        <w:rPr>
          <w:rFonts w:ascii="Book Antiqua" w:eastAsia="Calibri" w:hAnsi="Book Antiqua" w:cs="Arial"/>
          <w:sz w:val="24"/>
          <w:szCs w:val="24"/>
        </w:rPr>
        <w:t xml:space="preserve"> </w:t>
      </w:r>
      <w:r w:rsidR="00574829" w:rsidRPr="00574829">
        <w:rPr>
          <w:rFonts w:ascii="Book Antiqua" w:eastAsia="Calibri" w:hAnsi="Book Antiqua" w:cs="Arial"/>
          <w:sz w:val="24"/>
          <w:szCs w:val="24"/>
        </w:rPr>
        <w:t>XLIV</w:t>
      </w:r>
      <w:r>
        <w:rPr>
          <w:rFonts w:ascii="Book Antiqua" w:eastAsia="Calibri" w:hAnsi="Book Antiqua" w:cs="Arial"/>
          <w:sz w:val="24"/>
          <w:szCs w:val="24"/>
        </w:rPr>
        <w:t>, donde se analizó nuevamente la estructura de esta oficina.</w:t>
      </w:r>
    </w:p>
    <w:p w14:paraId="0440995E" w14:textId="77777777" w:rsidR="00421C5B" w:rsidRPr="009D7C4A" w:rsidRDefault="00421C5B" w:rsidP="009D7C4A">
      <w:pPr>
        <w:spacing w:after="0" w:line="276" w:lineRule="auto"/>
        <w:jc w:val="both"/>
        <w:rPr>
          <w:rFonts w:ascii="Book Antiqua" w:eastAsia="Calibri" w:hAnsi="Book Antiqua" w:cs="Arial"/>
          <w:sz w:val="24"/>
          <w:szCs w:val="24"/>
        </w:rPr>
      </w:pPr>
    </w:p>
    <w:p w14:paraId="62A752B6" w14:textId="65298AF8"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Se estima que con el CPF los despachos</w:t>
      </w:r>
      <w:r w:rsidR="00CF2086">
        <w:rPr>
          <w:rFonts w:ascii="Book Antiqua" w:eastAsia="Calibri" w:hAnsi="Book Antiqua" w:cs="Arial"/>
          <w:sz w:val="24"/>
          <w:szCs w:val="24"/>
        </w:rPr>
        <w:t>,</w:t>
      </w:r>
      <w:r w:rsidRPr="009D7C4A">
        <w:rPr>
          <w:rFonts w:ascii="Book Antiqua" w:eastAsia="Calibri" w:hAnsi="Book Antiqua" w:cs="Arial"/>
          <w:sz w:val="24"/>
          <w:szCs w:val="24"/>
        </w:rPr>
        <w:t xml:space="preserve"> incluidos los mixtos de más de 5 </w:t>
      </w:r>
      <w:r w:rsidR="00CF2086" w:rsidRPr="009D7C4A">
        <w:rPr>
          <w:rFonts w:ascii="Book Antiqua" w:eastAsia="Calibri" w:hAnsi="Book Antiqua" w:cs="Arial"/>
          <w:sz w:val="24"/>
          <w:szCs w:val="24"/>
        </w:rPr>
        <w:t>materias registrarán</w:t>
      </w:r>
      <w:r w:rsidRPr="009D7C4A">
        <w:rPr>
          <w:rFonts w:ascii="Book Antiqua" w:eastAsia="Calibri" w:hAnsi="Book Antiqua" w:cs="Arial"/>
          <w:sz w:val="24"/>
          <w:szCs w:val="24"/>
        </w:rPr>
        <w:t xml:space="preserve"> una reducción en la cantidad de entrados en materia de Familia, mejorando el porcentaje de la relación de terminados y entrados, llegándose a registrar valores superiores al 100%, esto producto de la desjudicialización de procesos.</w:t>
      </w:r>
    </w:p>
    <w:p w14:paraId="78201D1E" w14:textId="77777777" w:rsidR="000E3CCF" w:rsidRDefault="000E3CCF" w:rsidP="009D7C4A">
      <w:pPr>
        <w:spacing w:after="0" w:line="276" w:lineRule="auto"/>
        <w:jc w:val="both"/>
        <w:rPr>
          <w:rFonts w:ascii="Book Antiqua" w:eastAsia="Calibri" w:hAnsi="Book Antiqua" w:cs="Arial"/>
          <w:sz w:val="24"/>
          <w:szCs w:val="24"/>
        </w:rPr>
      </w:pPr>
    </w:p>
    <w:p w14:paraId="188D2A93" w14:textId="7ECC2122"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Adicional, en el caso de los despachos de Familia que además son competentes en  Penal Juvenil, se mantiene la propuesta de mantener el personal actual para 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Pr="009D7C4A" w:rsidDel="0007059A">
        <w:rPr>
          <w:rFonts w:ascii="Book Antiqua" w:eastAsia="Calibri" w:hAnsi="Book Antiqua" w:cs="Arial"/>
          <w:sz w:val="24"/>
          <w:szCs w:val="24"/>
        </w:rPr>
        <w:t xml:space="preserve"> </w:t>
      </w:r>
      <w:r w:rsidRPr="009D7C4A">
        <w:rPr>
          <w:rFonts w:ascii="Book Antiqua" w:eastAsia="Calibri" w:hAnsi="Book Antiqua" w:cs="Arial"/>
          <w:sz w:val="24"/>
          <w:szCs w:val="24"/>
        </w:rPr>
        <w:t>Justicia Restaurativa de la región en que se cuenta cada uno de esos despachos. A la fecha existe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3359EAA0" w14:textId="1B8AD1B2" w:rsidR="00F50DD3" w:rsidRDefault="00F50DD3" w:rsidP="00355630">
      <w:pPr>
        <w:spacing w:after="0" w:line="276" w:lineRule="auto"/>
        <w:jc w:val="both"/>
        <w:rPr>
          <w:rFonts w:ascii="Book Antiqua" w:eastAsia="Calibri" w:hAnsi="Book Antiqua" w:cs="Arial"/>
          <w:sz w:val="24"/>
          <w:szCs w:val="24"/>
        </w:rPr>
      </w:pPr>
    </w:p>
    <w:p w14:paraId="727588BC" w14:textId="451D5EF4" w:rsidR="00795EE6" w:rsidRPr="00795EE6" w:rsidRDefault="00795EE6" w:rsidP="00795EE6">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62" w:name="_Hlk97533859"/>
      <w:r w:rsidRPr="00795EE6">
        <w:rPr>
          <w:rFonts w:ascii="Book Antiqua" w:eastAsia="Calibri" w:hAnsi="Book Antiqua" w:cs="Arial"/>
          <w:b/>
          <w:bCs/>
          <w:color w:val="1F497D"/>
          <w:szCs w:val="24"/>
          <w:lang w:val="es-ES" w:eastAsia="es-ES"/>
        </w:rPr>
        <w:t xml:space="preserve">Cuadro </w:t>
      </w:r>
      <w:r w:rsidRPr="00795EE6">
        <w:rPr>
          <w:rFonts w:ascii="Book Antiqua" w:eastAsia="Calibri" w:hAnsi="Book Antiqua" w:cs="Arial"/>
          <w:b/>
          <w:bCs/>
          <w:color w:val="1F497D"/>
          <w:szCs w:val="24"/>
          <w:lang w:val="es-ES" w:eastAsia="es-ES"/>
        </w:rPr>
        <w:fldChar w:fldCharType="begin"/>
      </w:r>
      <w:r w:rsidRPr="00795EE6">
        <w:rPr>
          <w:rFonts w:ascii="Book Antiqua" w:eastAsia="Calibri" w:hAnsi="Book Antiqua" w:cs="Arial"/>
          <w:b/>
          <w:bCs/>
          <w:color w:val="1F497D"/>
          <w:szCs w:val="24"/>
          <w:lang w:val="es-ES" w:eastAsia="es-ES"/>
        </w:rPr>
        <w:instrText xml:space="preserve"> SEQ Cuadro \* ARABIC </w:instrText>
      </w:r>
      <w:r w:rsidRPr="00795EE6">
        <w:rPr>
          <w:rFonts w:ascii="Book Antiqua" w:eastAsia="Calibri" w:hAnsi="Book Antiqua" w:cs="Arial"/>
          <w:b/>
          <w:bCs/>
          <w:color w:val="1F497D"/>
          <w:szCs w:val="24"/>
          <w:lang w:val="es-ES" w:eastAsia="es-ES"/>
        </w:rPr>
        <w:fldChar w:fldCharType="separate"/>
      </w:r>
      <w:r w:rsidR="005A609B">
        <w:rPr>
          <w:rFonts w:ascii="Book Antiqua" w:eastAsia="Calibri" w:hAnsi="Book Antiqua" w:cs="Arial"/>
          <w:b/>
          <w:bCs/>
          <w:noProof/>
          <w:color w:val="1F497D"/>
          <w:szCs w:val="24"/>
          <w:lang w:val="es-ES" w:eastAsia="es-ES"/>
        </w:rPr>
        <w:t>49</w:t>
      </w:r>
      <w:r w:rsidRPr="00795EE6">
        <w:rPr>
          <w:rFonts w:ascii="Book Antiqua" w:eastAsia="Calibri" w:hAnsi="Book Antiqua" w:cs="Arial"/>
          <w:b/>
          <w:bCs/>
          <w:color w:val="1F497D"/>
          <w:szCs w:val="24"/>
          <w:lang w:val="es-ES" w:eastAsia="es-ES"/>
        </w:rPr>
        <w:fldChar w:fldCharType="end"/>
      </w:r>
      <w:r w:rsidRPr="00795EE6">
        <w:rPr>
          <w:rFonts w:ascii="Book Antiqua" w:eastAsia="Calibri" w:hAnsi="Book Antiqua" w:cs="Arial"/>
          <w:b/>
          <w:bCs/>
          <w:color w:val="1F497D"/>
          <w:szCs w:val="24"/>
          <w:lang w:val="es-ES" w:eastAsia="es-ES"/>
        </w:rPr>
        <w:t xml:space="preserve"> </w:t>
      </w:r>
    </w:p>
    <w:p w14:paraId="220B9866" w14:textId="33C63F1D" w:rsidR="00795EE6" w:rsidRDefault="00795EE6" w:rsidP="00795EE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Carga de trabajo para los Juzgados de Familia que atienden la materia Penal Juvenil</w:t>
      </w:r>
    </w:p>
    <w:tbl>
      <w:tblPr>
        <w:tblW w:w="9330" w:type="dxa"/>
        <w:jc w:val="center"/>
        <w:tblCellMar>
          <w:left w:w="70" w:type="dxa"/>
          <w:right w:w="70" w:type="dxa"/>
        </w:tblCellMar>
        <w:tblLook w:val="04A0" w:firstRow="1" w:lastRow="0" w:firstColumn="1" w:lastColumn="0" w:noHBand="0" w:noVBand="1"/>
      </w:tblPr>
      <w:tblGrid>
        <w:gridCol w:w="5676"/>
        <w:gridCol w:w="1218"/>
        <w:gridCol w:w="1240"/>
        <w:gridCol w:w="1218"/>
      </w:tblGrid>
      <w:tr w:rsidR="001E44AE" w:rsidRPr="001E44AE" w14:paraId="1BA3C3BA" w14:textId="77777777" w:rsidTr="001E44AE">
        <w:trPr>
          <w:trHeight w:val="450"/>
          <w:jc w:val="center"/>
        </w:trPr>
        <w:tc>
          <w:tcPr>
            <w:tcW w:w="5676"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78AC80A4" w14:textId="77777777" w:rsidR="001E44AE" w:rsidRPr="001E44AE" w:rsidRDefault="001E44AE" w:rsidP="001E44AE">
            <w:pPr>
              <w:spacing w:after="0" w:line="240" w:lineRule="auto"/>
              <w:jc w:val="center"/>
              <w:rPr>
                <w:rFonts w:ascii="Book Antiqua" w:eastAsia="Times New Roman" w:hAnsi="Book Antiqua" w:cs="Calibri"/>
                <w:b/>
                <w:bCs/>
                <w:color w:val="FFFFFF"/>
                <w:sz w:val="20"/>
                <w:szCs w:val="20"/>
                <w:lang w:eastAsia="es-CR"/>
              </w:rPr>
            </w:pPr>
            <w:r w:rsidRPr="001E44AE">
              <w:rPr>
                <w:rFonts w:ascii="Book Antiqua" w:eastAsia="Times New Roman" w:hAnsi="Book Antiqua" w:cs="Calibri"/>
                <w:b/>
                <w:bCs/>
                <w:color w:val="FFFFFF"/>
                <w:sz w:val="20"/>
                <w:szCs w:val="20"/>
                <w:lang w:eastAsia="es-CR"/>
              </w:rPr>
              <w:t>Despacho</w:t>
            </w:r>
          </w:p>
        </w:tc>
        <w:tc>
          <w:tcPr>
            <w:tcW w:w="1218" w:type="dxa"/>
            <w:tcBorders>
              <w:top w:val="single" w:sz="8" w:space="0" w:color="auto"/>
              <w:left w:val="nil"/>
              <w:bottom w:val="single" w:sz="8" w:space="0" w:color="auto"/>
              <w:right w:val="single" w:sz="8" w:space="0" w:color="auto"/>
            </w:tcBorders>
            <w:shd w:val="clear" w:color="000000" w:fill="002060"/>
            <w:vAlign w:val="center"/>
            <w:hideMark/>
          </w:tcPr>
          <w:p w14:paraId="0CD003F9" w14:textId="77777777" w:rsidR="001E44AE" w:rsidRPr="001E44AE" w:rsidRDefault="001E44AE" w:rsidP="001E44AE">
            <w:pPr>
              <w:spacing w:after="0" w:line="240" w:lineRule="auto"/>
              <w:jc w:val="center"/>
              <w:rPr>
                <w:rFonts w:ascii="Book Antiqua" w:eastAsia="Times New Roman" w:hAnsi="Book Antiqua" w:cs="Calibri"/>
                <w:b/>
                <w:bCs/>
                <w:color w:val="FFFFFF"/>
                <w:sz w:val="20"/>
                <w:szCs w:val="20"/>
                <w:lang w:eastAsia="es-CR"/>
              </w:rPr>
            </w:pPr>
            <w:r w:rsidRPr="001E44AE">
              <w:rPr>
                <w:rFonts w:ascii="Book Antiqua" w:eastAsia="Times New Roman" w:hAnsi="Book Antiqua" w:cs="Calibri"/>
                <w:b/>
                <w:bCs/>
                <w:color w:val="FFFFFF"/>
                <w:sz w:val="20"/>
                <w:szCs w:val="20"/>
                <w:lang w:eastAsia="es-CR"/>
              </w:rPr>
              <w:t>Entrados Totales 2022</w:t>
            </w:r>
          </w:p>
        </w:tc>
        <w:tc>
          <w:tcPr>
            <w:tcW w:w="1218" w:type="dxa"/>
            <w:tcBorders>
              <w:top w:val="single" w:sz="8" w:space="0" w:color="auto"/>
              <w:left w:val="nil"/>
              <w:bottom w:val="single" w:sz="8" w:space="0" w:color="auto"/>
              <w:right w:val="single" w:sz="8" w:space="0" w:color="auto"/>
            </w:tcBorders>
            <w:shd w:val="clear" w:color="000000" w:fill="002060"/>
            <w:vAlign w:val="center"/>
            <w:hideMark/>
          </w:tcPr>
          <w:p w14:paraId="23352C9E" w14:textId="77777777" w:rsidR="001E44AE" w:rsidRPr="001E44AE" w:rsidRDefault="001E44AE" w:rsidP="001E44AE">
            <w:pPr>
              <w:spacing w:after="0" w:line="240" w:lineRule="auto"/>
              <w:jc w:val="center"/>
              <w:rPr>
                <w:rFonts w:ascii="Book Antiqua" w:eastAsia="Times New Roman" w:hAnsi="Book Antiqua" w:cs="Calibri"/>
                <w:b/>
                <w:bCs/>
                <w:color w:val="FFFFFF"/>
                <w:sz w:val="20"/>
                <w:szCs w:val="20"/>
                <w:lang w:eastAsia="es-CR"/>
              </w:rPr>
            </w:pPr>
            <w:r w:rsidRPr="001E44AE">
              <w:rPr>
                <w:rFonts w:ascii="Book Antiqua" w:eastAsia="Times New Roman" w:hAnsi="Book Antiqua" w:cs="Calibri"/>
                <w:b/>
                <w:bCs/>
                <w:color w:val="FFFFFF"/>
                <w:sz w:val="20"/>
                <w:szCs w:val="20"/>
                <w:lang w:eastAsia="es-CR"/>
              </w:rPr>
              <w:t>Terminados 2022</w:t>
            </w:r>
          </w:p>
        </w:tc>
        <w:tc>
          <w:tcPr>
            <w:tcW w:w="1218" w:type="dxa"/>
            <w:tcBorders>
              <w:top w:val="single" w:sz="8" w:space="0" w:color="auto"/>
              <w:left w:val="nil"/>
              <w:bottom w:val="single" w:sz="8" w:space="0" w:color="auto"/>
              <w:right w:val="single" w:sz="8" w:space="0" w:color="auto"/>
            </w:tcBorders>
            <w:shd w:val="clear" w:color="000000" w:fill="002060"/>
            <w:vAlign w:val="center"/>
            <w:hideMark/>
          </w:tcPr>
          <w:p w14:paraId="49FD75FA" w14:textId="77777777" w:rsidR="001E44AE" w:rsidRPr="001E44AE" w:rsidRDefault="001E44AE" w:rsidP="001E44AE">
            <w:pPr>
              <w:spacing w:after="0" w:line="240" w:lineRule="auto"/>
              <w:jc w:val="center"/>
              <w:rPr>
                <w:rFonts w:ascii="Book Antiqua" w:eastAsia="Times New Roman" w:hAnsi="Book Antiqua" w:cs="Calibri"/>
                <w:b/>
                <w:bCs/>
                <w:color w:val="FFFFFF"/>
                <w:sz w:val="20"/>
                <w:szCs w:val="20"/>
                <w:lang w:eastAsia="es-CR"/>
              </w:rPr>
            </w:pPr>
            <w:r w:rsidRPr="001E44AE">
              <w:rPr>
                <w:rFonts w:ascii="Book Antiqua" w:eastAsia="Times New Roman" w:hAnsi="Book Antiqua" w:cs="Calibri"/>
                <w:b/>
                <w:bCs/>
                <w:color w:val="FFFFFF"/>
                <w:sz w:val="20"/>
                <w:szCs w:val="20"/>
                <w:lang w:eastAsia="es-CR"/>
              </w:rPr>
              <w:t>Circulante al 31/12/2022</w:t>
            </w:r>
          </w:p>
        </w:tc>
      </w:tr>
      <w:tr w:rsidR="001E44AE" w:rsidRPr="001E44AE" w14:paraId="7FD4F7C0" w14:textId="77777777" w:rsidTr="001E44AE">
        <w:trPr>
          <w:trHeight w:val="254"/>
          <w:jc w:val="center"/>
        </w:trPr>
        <w:tc>
          <w:tcPr>
            <w:tcW w:w="5676" w:type="dxa"/>
            <w:tcBorders>
              <w:top w:val="nil"/>
              <w:left w:val="single" w:sz="8" w:space="0" w:color="auto"/>
              <w:bottom w:val="single" w:sz="8" w:space="0" w:color="auto"/>
              <w:right w:val="single" w:sz="8" w:space="0" w:color="auto"/>
            </w:tcBorders>
            <w:shd w:val="clear" w:color="auto" w:fill="auto"/>
            <w:noWrap/>
            <w:vAlign w:val="center"/>
            <w:hideMark/>
          </w:tcPr>
          <w:p w14:paraId="74986A1E" w14:textId="77777777" w:rsidR="001E44AE" w:rsidRPr="001E44AE" w:rsidRDefault="001E44AE" w:rsidP="001E44AE">
            <w:pPr>
              <w:spacing w:after="0" w:line="240" w:lineRule="auto"/>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Juzgado Civil, Trabajo y Familia II Circuito Judicial de Alajuela sede Upala</w:t>
            </w:r>
          </w:p>
        </w:tc>
        <w:tc>
          <w:tcPr>
            <w:tcW w:w="1218" w:type="dxa"/>
            <w:tcBorders>
              <w:top w:val="nil"/>
              <w:left w:val="nil"/>
              <w:bottom w:val="single" w:sz="8" w:space="0" w:color="auto"/>
              <w:right w:val="single" w:sz="8" w:space="0" w:color="auto"/>
            </w:tcBorders>
            <w:shd w:val="clear" w:color="auto" w:fill="auto"/>
            <w:noWrap/>
            <w:vAlign w:val="center"/>
            <w:hideMark/>
          </w:tcPr>
          <w:p w14:paraId="162BFFE8"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104</w:t>
            </w:r>
          </w:p>
        </w:tc>
        <w:tc>
          <w:tcPr>
            <w:tcW w:w="1218" w:type="dxa"/>
            <w:tcBorders>
              <w:top w:val="nil"/>
              <w:left w:val="nil"/>
              <w:bottom w:val="single" w:sz="8" w:space="0" w:color="auto"/>
              <w:right w:val="single" w:sz="8" w:space="0" w:color="auto"/>
            </w:tcBorders>
            <w:shd w:val="clear" w:color="auto" w:fill="auto"/>
            <w:noWrap/>
            <w:vAlign w:val="center"/>
            <w:hideMark/>
          </w:tcPr>
          <w:p w14:paraId="31051643"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114</w:t>
            </w:r>
          </w:p>
        </w:tc>
        <w:tc>
          <w:tcPr>
            <w:tcW w:w="1218" w:type="dxa"/>
            <w:tcBorders>
              <w:top w:val="nil"/>
              <w:left w:val="nil"/>
              <w:bottom w:val="single" w:sz="8" w:space="0" w:color="auto"/>
              <w:right w:val="single" w:sz="8" w:space="0" w:color="auto"/>
            </w:tcBorders>
            <w:shd w:val="clear" w:color="auto" w:fill="auto"/>
            <w:noWrap/>
            <w:vAlign w:val="center"/>
            <w:hideMark/>
          </w:tcPr>
          <w:p w14:paraId="2B33DDE9"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64</w:t>
            </w:r>
          </w:p>
        </w:tc>
      </w:tr>
      <w:tr w:rsidR="001E44AE" w:rsidRPr="001E44AE" w14:paraId="4DF0B602" w14:textId="77777777" w:rsidTr="001E44AE">
        <w:trPr>
          <w:trHeight w:val="254"/>
          <w:jc w:val="center"/>
        </w:trPr>
        <w:tc>
          <w:tcPr>
            <w:tcW w:w="5676" w:type="dxa"/>
            <w:tcBorders>
              <w:top w:val="nil"/>
              <w:left w:val="single" w:sz="8" w:space="0" w:color="auto"/>
              <w:bottom w:val="single" w:sz="8" w:space="0" w:color="auto"/>
              <w:right w:val="single" w:sz="8" w:space="0" w:color="auto"/>
            </w:tcBorders>
            <w:shd w:val="clear" w:color="auto" w:fill="auto"/>
            <w:noWrap/>
            <w:vAlign w:val="center"/>
            <w:hideMark/>
          </w:tcPr>
          <w:p w14:paraId="2831853A" w14:textId="77777777" w:rsidR="001E44AE" w:rsidRPr="001E44AE" w:rsidRDefault="001E44AE" w:rsidP="001E44AE">
            <w:pPr>
              <w:spacing w:after="0" w:line="240" w:lineRule="auto"/>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Juzgado Civil, Trabajo, Familia, Penal Juvenil y Violencia Doméstica Sarapiquí</w:t>
            </w:r>
          </w:p>
        </w:tc>
        <w:tc>
          <w:tcPr>
            <w:tcW w:w="1218" w:type="dxa"/>
            <w:tcBorders>
              <w:top w:val="nil"/>
              <w:left w:val="nil"/>
              <w:bottom w:val="single" w:sz="8" w:space="0" w:color="auto"/>
              <w:right w:val="single" w:sz="8" w:space="0" w:color="auto"/>
            </w:tcBorders>
            <w:shd w:val="clear" w:color="auto" w:fill="auto"/>
            <w:noWrap/>
            <w:vAlign w:val="center"/>
            <w:hideMark/>
          </w:tcPr>
          <w:p w14:paraId="0ED0BAF2"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123</w:t>
            </w:r>
          </w:p>
        </w:tc>
        <w:tc>
          <w:tcPr>
            <w:tcW w:w="1218" w:type="dxa"/>
            <w:tcBorders>
              <w:top w:val="nil"/>
              <w:left w:val="nil"/>
              <w:bottom w:val="single" w:sz="8" w:space="0" w:color="auto"/>
              <w:right w:val="single" w:sz="8" w:space="0" w:color="auto"/>
            </w:tcBorders>
            <w:shd w:val="clear" w:color="auto" w:fill="auto"/>
            <w:noWrap/>
            <w:vAlign w:val="center"/>
            <w:hideMark/>
          </w:tcPr>
          <w:p w14:paraId="78A08437"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101</w:t>
            </w:r>
          </w:p>
        </w:tc>
        <w:tc>
          <w:tcPr>
            <w:tcW w:w="1218" w:type="dxa"/>
            <w:tcBorders>
              <w:top w:val="nil"/>
              <w:left w:val="nil"/>
              <w:bottom w:val="single" w:sz="8" w:space="0" w:color="auto"/>
              <w:right w:val="single" w:sz="8" w:space="0" w:color="auto"/>
            </w:tcBorders>
            <w:shd w:val="clear" w:color="auto" w:fill="auto"/>
            <w:noWrap/>
            <w:vAlign w:val="center"/>
            <w:hideMark/>
          </w:tcPr>
          <w:p w14:paraId="40FD3BEC"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67</w:t>
            </w:r>
          </w:p>
        </w:tc>
      </w:tr>
      <w:tr w:rsidR="001E44AE" w:rsidRPr="001E44AE" w14:paraId="0CADF5D3" w14:textId="77777777" w:rsidTr="001E44AE">
        <w:trPr>
          <w:trHeight w:val="254"/>
          <w:jc w:val="center"/>
        </w:trPr>
        <w:tc>
          <w:tcPr>
            <w:tcW w:w="5676" w:type="dxa"/>
            <w:tcBorders>
              <w:top w:val="nil"/>
              <w:left w:val="single" w:sz="8" w:space="0" w:color="auto"/>
              <w:bottom w:val="single" w:sz="8" w:space="0" w:color="auto"/>
              <w:right w:val="single" w:sz="8" w:space="0" w:color="auto"/>
            </w:tcBorders>
            <w:shd w:val="clear" w:color="auto" w:fill="auto"/>
            <w:noWrap/>
            <w:vAlign w:val="center"/>
            <w:hideMark/>
          </w:tcPr>
          <w:p w14:paraId="26834C6F" w14:textId="77777777" w:rsidR="001E44AE" w:rsidRPr="001E44AE" w:rsidRDefault="001E44AE" w:rsidP="001E44AE">
            <w:pPr>
              <w:spacing w:after="0" w:line="240" w:lineRule="auto"/>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Juzgado Familia, Penal Juvenil y Violencia Doméstica Cañas</w:t>
            </w:r>
          </w:p>
        </w:tc>
        <w:tc>
          <w:tcPr>
            <w:tcW w:w="1218" w:type="dxa"/>
            <w:tcBorders>
              <w:top w:val="nil"/>
              <w:left w:val="nil"/>
              <w:bottom w:val="single" w:sz="8" w:space="0" w:color="auto"/>
              <w:right w:val="single" w:sz="8" w:space="0" w:color="auto"/>
            </w:tcBorders>
            <w:shd w:val="clear" w:color="auto" w:fill="auto"/>
            <w:noWrap/>
            <w:vAlign w:val="center"/>
            <w:hideMark/>
          </w:tcPr>
          <w:p w14:paraId="161812C5"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157</w:t>
            </w:r>
          </w:p>
        </w:tc>
        <w:tc>
          <w:tcPr>
            <w:tcW w:w="1218" w:type="dxa"/>
            <w:tcBorders>
              <w:top w:val="nil"/>
              <w:left w:val="nil"/>
              <w:bottom w:val="single" w:sz="8" w:space="0" w:color="auto"/>
              <w:right w:val="single" w:sz="8" w:space="0" w:color="auto"/>
            </w:tcBorders>
            <w:shd w:val="clear" w:color="auto" w:fill="auto"/>
            <w:noWrap/>
            <w:vAlign w:val="center"/>
            <w:hideMark/>
          </w:tcPr>
          <w:p w14:paraId="3494DE3E"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144</w:t>
            </w:r>
          </w:p>
        </w:tc>
        <w:tc>
          <w:tcPr>
            <w:tcW w:w="1218" w:type="dxa"/>
            <w:tcBorders>
              <w:top w:val="nil"/>
              <w:left w:val="nil"/>
              <w:bottom w:val="single" w:sz="8" w:space="0" w:color="auto"/>
              <w:right w:val="single" w:sz="8" w:space="0" w:color="auto"/>
            </w:tcBorders>
            <w:shd w:val="clear" w:color="auto" w:fill="auto"/>
            <w:noWrap/>
            <w:vAlign w:val="center"/>
            <w:hideMark/>
          </w:tcPr>
          <w:p w14:paraId="4E1EBFB9"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91</w:t>
            </w:r>
          </w:p>
        </w:tc>
      </w:tr>
      <w:tr w:rsidR="001E44AE" w:rsidRPr="001E44AE" w14:paraId="4A0EC565" w14:textId="77777777" w:rsidTr="001E44AE">
        <w:trPr>
          <w:trHeight w:val="254"/>
          <w:jc w:val="center"/>
        </w:trPr>
        <w:tc>
          <w:tcPr>
            <w:tcW w:w="5676" w:type="dxa"/>
            <w:tcBorders>
              <w:top w:val="nil"/>
              <w:left w:val="single" w:sz="8" w:space="0" w:color="auto"/>
              <w:bottom w:val="single" w:sz="8" w:space="0" w:color="auto"/>
              <w:right w:val="single" w:sz="8" w:space="0" w:color="auto"/>
            </w:tcBorders>
            <w:shd w:val="clear" w:color="auto" w:fill="auto"/>
            <w:noWrap/>
            <w:vAlign w:val="center"/>
            <w:hideMark/>
          </w:tcPr>
          <w:p w14:paraId="08BC5C6C" w14:textId="77777777" w:rsidR="001E44AE" w:rsidRPr="001E44AE" w:rsidRDefault="001E44AE" w:rsidP="001E44AE">
            <w:pPr>
              <w:spacing w:after="0" w:line="240" w:lineRule="auto"/>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Juzgado Civil, Trabajo y Familia Buenos Aires</w:t>
            </w:r>
          </w:p>
        </w:tc>
        <w:tc>
          <w:tcPr>
            <w:tcW w:w="1218" w:type="dxa"/>
            <w:tcBorders>
              <w:top w:val="nil"/>
              <w:left w:val="nil"/>
              <w:bottom w:val="single" w:sz="8" w:space="0" w:color="auto"/>
              <w:right w:val="single" w:sz="8" w:space="0" w:color="auto"/>
            </w:tcBorders>
            <w:shd w:val="clear" w:color="auto" w:fill="auto"/>
            <w:noWrap/>
            <w:vAlign w:val="center"/>
            <w:hideMark/>
          </w:tcPr>
          <w:p w14:paraId="3D325AA0"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39</w:t>
            </w:r>
          </w:p>
        </w:tc>
        <w:tc>
          <w:tcPr>
            <w:tcW w:w="1218" w:type="dxa"/>
            <w:tcBorders>
              <w:top w:val="nil"/>
              <w:left w:val="nil"/>
              <w:bottom w:val="single" w:sz="8" w:space="0" w:color="auto"/>
              <w:right w:val="single" w:sz="8" w:space="0" w:color="auto"/>
            </w:tcBorders>
            <w:shd w:val="clear" w:color="auto" w:fill="auto"/>
            <w:noWrap/>
            <w:vAlign w:val="center"/>
            <w:hideMark/>
          </w:tcPr>
          <w:p w14:paraId="4FCB793A"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43</w:t>
            </w:r>
          </w:p>
        </w:tc>
        <w:tc>
          <w:tcPr>
            <w:tcW w:w="1218" w:type="dxa"/>
            <w:tcBorders>
              <w:top w:val="nil"/>
              <w:left w:val="nil"/>
              <w:bottom w:val="single" w:sz="8" w:space="0" w:color="auto"/>
              <w:right w:val="single" w:sz="8" w:space="0" w:color="auto"/>
            </w:tcBorders>
            <w:shd w:val="clear" w:color="auto" w:fill="auto"/>
            <w:noWrap/>
            <w:vAlign w:val="center"/>
            <w:hideMark/>
          </w:tcPr>
          <w:p w14:paraId="4BF67C63"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77</w:t>
            </w:r>
          </w:p>
        </w:tc>
      </w:tr>
      <w:tr w:rsidR="001E44AE" w:rsidRPr="001E44AE" w14:paraId="66108EBD" w14:textId="77777777" w:rsidTr="001E44AE">
        <w:trPr>
          <w:trHeight w:val="254"/>
          <w:jc w:val="center"/>
        </w:trPr>
        <w:tc>
          <w:tcPr>
            <w:tcW w:w="5676" w:type="dxa"/>
            <w:tcBorders>
              <w:top w:val="nil"/>
              <w:left w:val="single" w:sz="8" w:space="0" w:color="auto"/>
              <w:bottom w:val="single" w:sz="8" w:space="0" w:color="auto"/>
              <w:right w:val="single" w:sz="8" w:space="0" w:color="auto"/>
            </w:tcBorders>
            <w:shd w:val="clear" w:color="auto" w:fill="auto"/>
            <w:noWrap/>
            <w:vAlign w:val="center"/>
            <w:hideMark/>
          </w:tcPr>
          <w:p w14:paraId="33B78EF5" w14:textId="77777777" w:rsidR="001E44AE" w:rsidRPr="001E44AE" w:rsidRDefault="001E44AE" w:rsidP="001E44AE">
            <w:pPr>
              <w:spacing w:after="0" w:line="240" w:lineRule="auto"/>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Juzgado Familia, Penal Juvenil y Violencia Doméstica Turrialba</w:t>
            </w:r>
          </w:p>
        </w:tc>
        <w:tc>
          <w:tcPr>
            <w:tcW w:w="1218" w:type="dxa"/>
            <w:tcBorders>
              <w:top w:val="nil"/>
              <w:left w:val="nil"/>
              <w:bottom w:val="single" w:sz="8" w:space="0" w:color="auto"/>
              <w:right w:val="single" w:sz="8" w:space="0" w:color="auto"/>
            </w:tcBorders>
            <w:shd w:val="clear" w:color="auto" w:fill="auto"/>
            <w:noWrap/>
            <w:vAlign w:val="center"/>
            <w:hideMark/>
          </w:tcPr>
          <w:p w14:paraId="23F4099F"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188</w:t>
            </w:r>
          </w:p>
        </w:tc>
        <w:tc>
          <w:tcPr>
            <w:tcW w:w="1218" w:type="dxa"/>
            <w:tcBorders>
              <w:top w:val="nil"/>
              <w:left w:val="nil"/>
              <w:bottom w:val="single" w:sz="8" w:space="0" w:color="auto"/>
              <w:right w:val="single" w:sz="8" w:space="0" w:color="auto"/>
            </w:tcBorders>
            <w:shd w:val="clear" w:color="auto" w:fill="auto"/>
            <w:noWrap/>
            <w:vAlign w:val="center"/>
            <w:hideMark/>
          </w:tcPr>
          <w:p w14:paraId="6421F093"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147</w:t>
            </w:r>
          </w:p>
        </w:tc>
        <w:tc>
          <w:tcPr>
            <w:tcW w:w="1218" w:type="dxa"/>
            <w:tcBorders>
              <w:top w:val="nil"/>
              <w:left w:val="nil"/>
              <w:bottom w:val="single" w:sz="8" w:space="0" w:color="auto"/>
              <w:right w:val="single" w:sz="8" w:space="0" w:color="auto"/>
            </w:tcBorders>
            <w:shd w:val="clear" w:color="auto" w:fill="auto"/>
            <w:noWrap/>
            <w:vAlign w:val="center"/>
            <w:hideMark/>
          </w:tcPr>
          <w:p w14:paraId="0517331D"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87</w:t>
            </w:r>
          </w:p>
        </w:tc>
      </w:tr>
      <w:tr w:rsidR="001E44AE" w:rsidRPr="001E44AE" w14:paraId="16EF5D1E" w14:textId="77777777" w:rsidTr="001E44AE">
        <w:trPr>
          <w:trHeight w:val="254"/>
          <w:jc w:val="center"/>
        </w:trPr>
        <w:tc>
          <w:tcPr>
            <w:tcW w:w="5676" w:type="dxa"/>
            <w:tcBorders>
              <w:top w:val="nil"/>
              <w:left w:val="single" w:sz="8" w:space="0" w:color="auto"/>
              <w:bottom w:val="single" w:sz="8" w:space="0" w:color="auto"/>
              <w:right w:val="single" w:sz="8" w:space="0" w:color="auto"/>
            </w:tcBorders>
            <w:shd w:val="clear" w:color="auto" w:fill="auto"/>
            <w:noWrap/>
            <w:vAlign w:val="center"/>
            <w:hideMark/>
          </w:tcPr>
          <w:p w14:paraId="2440D323" w14:textId="77777777" w:rsidR="001E44AE" w:rsidRPr="001E44AE" w:rsidRDefault="001E44AE" w:rsidP="001E44AE">
            <w:pPr>
              <w:spacing w:after="0" w:line="240" w:lineRule="auto"/>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Juzgado Familia, Penal Juvenil y Violencia Doméstica de Quepos</w:t>
            </w:r>
          </w:p>
        </w:tc>
        <w:tc>
          <w:tcPr>
            <w:tcW w:w="1218" w:type="dxa"/>
            <w:tcBorders>
              <w:top w:val="nil"/>
              <w:left w:val="nil"/>
              <w:bottom w:val="single" w:sz="8" w:space="0" w:color="auto"/>
              <w:right w:val="single" w:sz="8" w:space="0" w:color="auto"/>
            </w:tcBorders>
            <w:shd w:val="clear" w:color="auto" w:fill="auto"/>
            <w:noWrap/>
            <w:vAlign w:val="center"/>
            <w:hideMark/>
          </w:tcPr>
          <w:p w14:paraId="65F09D76"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130</w:t>
            </w:r>
          </w:p>
        </w:tc>
        <w:tc>
          <w:tcPr>
            <w:tcW w:w="1218" w:type="dxa"/>
            <w:tcBorders>
              <w:top w:val="nil"/>
              <w:left w:val="nil"/>
              <w:bottom w:val="single" w:sz="8" w:space="0" w:color="auto"/>
              <w:right w:val="single" w:sz="8" w:space="0" w:color="auto"/>
            </w:tcBorders>
            <w:shd w:val="clear" w:color="auto" w:fill="auto"/>
            <w:noWrap/>
            <w:vAlign w:val="center"/>
            <w:hideMark/>
          </w:tcPr>
          <w:p w14:paraId="5AD5971A"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109</w:t>
            </w:r>
          </w:p>
        </w:tc>
        <w:tc>
          <w:tcPr>
            <w:tcW w:w="1218" w:type="dxa"/>
            <w:tcBorders>
              <w:top w:val="nil"/>
              <w:left w:val="nil"/>
              <w:bottom w:val="single" w:sz="8" w:space="0" w:color="auto"/>
              <w:right w:val="single" w:sz="8" w:space="0" w:color="auto"/>
            </w:tcBorders>
            <w:shd w:val="clear" w:color="auto" w:fill="auto"/>
            <w:noWrap/>
            <w:vAlign w:val="center"/>
            <w:hideMark/>
          </w:tcPr>
          <w:p w14:paraId="4F12951D"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91</w:t>
            </w:r>
          </w:p>
        </w:tc>
      </w:tr>
      <w:tr w:rsidR="001E44AE" w:rsidRPr="001E44AE" w14:paraId="179B089C" w14:textId="77777777" w:rsidTr="001E44AE">
        <w:trPr>
          <w:trHeight w:val="254"/>
          <w:jc w:val="center"/>
        </w:trPr>
        <w:tc>
          <w:tcPr>
            <w:tcW w:w="5676" w:type="dxa"/>
            <w:tcBorders>
              <w:top w:val="nil"/>
              <w:left w:val="single" w:sz="8" w:space="0" w:color="auto"/>
              <w:bottom w:val="single" w:sz="8" w:space="0" w:color="auto"/>
              <w:right w:val="single" w:sz="8" w:space="0" w:color="auto"/>
            </w:tcBorders>
            <w:shd w:val="clear" w:color="auto" w:fill="auto"/>
            <w:noWrap/>
            <w:vAlign w:val="center"/>
            <w:hideMark/>
          </w:tcPr>
          <w:p w14:paraId="77D40ABB" w14:textId="77777777" w:rsidR="001E44AE" w:rsidRPr="001E44AE" w:rsidRDefault="001E44AE" w:rsidP="001E44AE">
            <w:pPr>
              <w:spacing w:after="0" w:line="240" w:lineRule="auto"/>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Juzgado Civil, Trabajo y Familia de Puriscal</w:t>
            </w:r>
          </w:p>
        </w:tc>
        <w:tc>
          <w:tcPr>
            <w:tcW w:w="1218" w:type="dxa"/>
            <w:tcBorders>
              <w:top w:val="nil"/>
              <w:left w:val="nil"/>
              <w:bottom w:val="single" w:sz="8" w:space="0" w:color="auto"/>
              <w:right w:val="single" w:sz="8" w:space="0" w:color="auto"/>
            </w:tcBorders>
            <w:shd w:val="clear" w:color="auto" w:fill="auto"/>
            <w:noWrap/>
            <w:vAlign w:val="center"/>
            <w:hideMark/>
          </w:tcPr>
          <w:p w14:paraId="1CACA90A"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62</w:t>
            </w:r>
          </w:p>
        </w:tc>
        <w:tc>
          <w:tcPr>
            <w:tcW w:w="1218" w:type="dxa"/>
            <w:tcBorders>
              <w:top w:val="nil"/>
              <w:left w:val="nil"/>
              <w:bottom w:val="single" w:sz="8" w:space="0" w:color="auto"/>
              <w:right w:val="single" w:sz="8" w:space="0" w:color="auto"/>
            </w:tcBorders>
            <w:shd w:val="clear" w:color="auto" w:fill="auto"/>
            <w:noWrap/>
            <w:vAlign w:val="center"/>
            <w:hideMark/>
          </w:tcPr>
          <w:p w14:paraId="26DD96E9"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57</w:t>
            </w:r>
          </w:p>
        </w:tc>
        <w:tc>
          <w:tcPr>
            <w:tcW w:w="1218" w:type="dxa"/>
            <w:tcBorders>
              <w:top w:val="nil"/>
              <w:left w:val="nil"/>
              <w:bottom w:val="single" w:sz="8" w:space="0" w:color="auto"/>
              <w:right w:val="single" w:sz="8" w:space="0" w:color="auto"/>
            </w:tcBorders>
            <w:shd w:val="clear" w:color="auto" w:fill="auto"/>
            <w:noWrap/>
            <w:vAlign w:val="center"/>
            <w:hideMark/>
          </w:tcPr>
          <w:p w14:paraId="1DF33DEA"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22</w:t>
            </w:r>
          </w:p>
        </w:tc>
      </w:tr>
      <w:tr w:rsidR="001E44AE" w:rsidRPr="001E44AE" w14:paraId="45137CEF" w14:textId="77777777" w:rsidTr="001E44AE">
        <w:trPr>
          <w:trHeight w:val="254"/>
          <w:jc w:val="center"/>
        </w:trPr>
        <w:tc>
          <w:tcPr>
            <w:tcW w:w="5676" w:type="dxa"/>
            <w:tcBorders>
              <w:top w:val="nil"/>
              <w:left w:val="single" w:sz="8" w:space="0" w:color="auto"/>
              <w:bottom w:val="single" w:sz="8" w:space="0" w:color="auto"/>
              <w:right w:val="single" w:sz="8" w:space="0" w:color="auto"/>
            </w:tcBorders>
            <w:shd w:val="clear" w:color="auto" w:fill="auto"/>
            <w:noWrap/>
            <w:vAlign w:val="center"/>
            <w:hideMark/>
          </w:tcPr>
          <w:p w14:paraId="31A610E7" w14:textId="77777777" w:rsidR="001E44AE" w:rsidRPr="001E44AE" w:rsidRDefault="001E44AE" w:rsidP="001E44AE">
            <w:pPr>
              <w:spacing w:after="0" w:line="240" w:lineRule="auto"/>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Juzgado Civil, Trabajo y Familia Osa</w:t>
            </w:r>
          </w:p>
        </w:tc>
        <w:tc>
          <w:tcPr>
            <w:tcW w:w="1218" w:type="dxa"/>
            <w:tcBorders>
              <w:top w:val="nil"/>
              <w:left w:val="nil"/>
              <w:bottom w:val="single" w:sz="8" w:space="0" w:color="auto"/>
              <w:right w:val="single" w:sz="8" w:space="0" w:color="auto"/>
            </w:tcBorders>
            <w:shd w:val="clear" w:color="auto" w:fill="auto"/>
            <w:noWrap/>
            <w:vAlign w:val="center"/>
            <w:hideMark/>
          </w:tcPr>
          <w:p w14:paraId="4AE34BA7"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56</w:t>
            </w:r>
          </w:p>
        </w:tc>
        <w:tc>
          <w:tcPr>
            <w:tcW w:w="1218" w:type="dxa"/>
            <w:tcBorders>
              <w:top w:val="nil"/>
              <w:left w:val="nil"/>
              <w:bottom w:val="single" w:sz="8" w:space="0" w:color="auto"/>
              <w:right w:val="single" w:sz="8" w:space="0" w:color="auto"/>
            </w:tcBorders>
            <w:shd w:val="clear" w:color="auto" w:fill="auto"/>
            <w:noWrap/>
            <w:vAlign w:val="center"/>
            <w:hideMark/>
          </w:tcPr>
          <w:p w14:paraId="0CDA286D"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29</w:t>
            </w:r>
          </w:p>
        </w:tc>
        <w:tc>
          <w:tcPr>
            <w:tcW w:w="1218" w:type="dxa"/>
            <w:tcBorders>
              <w:top w:val="nil"/>
              <w:left w:val="nil"/>
              <w:bottom w:val="single" w:sz="8" w:space="0" w:color="auto"/>
              <w:right w:val="single" w:sz="8" w:space="0" w:color="auto"/>
            </w:tcBorders>
            <w:shd w:val="clear" w:color="auto" w:fill="auto"/>
            <w:noWrap/>
            <w:vAlign w:val="center"/>
            <w:hideMark/>
          </w:tcPr>
          <w:p w14:paraId="284DA083" w14:textId="77777777" w:rsidR="001E44AE" w:rsidRPr="001E44AE" w:rsidRDefault="001E44AE" w:rsidP="001E44AE">
            <w:pPr>
              <w:spacing w:after="0" w:line="240" w:lineRule="auto"/>
              <w:jc w:val="center"/>
              <w:rPr>
                <w:rFonts w:ascii="Book Antiqua" w:eastAsia="Times New Roman" w:hAnsi="Book Antiqua" w:cs="Calibri"/>
                <w:color w:val="000000"/>
                <w:sz w:val="20"/>
                <w:szCs w:val="20"/>
                <w:lang w:eastAsia="es-CR"/>
              </w:rPr>
            </w:pPr>
            <w:r w:rsidRPr="001E44AE">
              <w:rPr>
                <w:rFonts w:ascii="Book Antiqua" w:eastAsia="Times New Roman" w:hAnsi="Book Antiqua" w:cs="Calibri"/>
                <w:color w:val="000000"/>
                <w:sz w:val="20"/>
                <w:szCs w:val="20"/>
                <w:lang w:eastAsia="es-CR"/>
              </w:rPr>
              <w:t>46</w:t>
            </w:r>
          </w:p>
        </w:tc>
      </w:tr>
    </w:tbl>
    <w:bookmarkEnd w:id="62"/>
    <w:p w14:paraId="379B5DC6" w14:textId="41D76136" w:rsidR="00F50DD3" w:rsidRDefault="006F27B4" w:rsidP="00355630">
      <w:pPr>
        <w:spacing w:after="0" w:line="276" w:lineRule="auto"/>
        <w:jc w:val="both"/>
        <w:rPr>
          <w:rFonts w:ascii="Book Antiqua" w:eastAsia="Calibri" w:hAnsi="Book Antiqua" w:cs="Arial"/>
          <w:i/>
          <w:iCs/>
          <w:sz w:val="20"/>
          <w:szCs w:val="20"/>
        </w:rPr>
      </w:pPr>
      <w:r w:rsidRPr="00DA0D65">
        <w:rPr>
          <w:rFonts w:ascii="Book Antiqua" w:eastAsia="Calibri" w:hAnsi="Book Antiqua" w:cs="Arial"/>
          <w:b/>
          <w:bCs/>
          <w:i/>
          <w:iCs/>
          <w:sz w:val="20"/>
          <w:szCs w:val="20"/>
        </w:rPr>
        <w:t>Fuente:</w:t>
      </w:r>
      <w:r w:rsidRPr="006F27B4">
        <w:rPr>
          <w:rFonts w:ascii="Book Antiqua" w:eastAsia="Calibri" w:hAnsi="Book Antiqua" w:cs="Arial"/>
          <w:i/>
          <w:iCs/>
          <w:sz w:val="20"/>
          <w:szCs w:val="20"/>
        </w:rPr>
        <w:t xml:space="preserve"> </w:t>
      </w:r>
      <w:r>
        <w:rPr>
          <w:rFonts w:ascii="Book Antiqua" w:eastAsia="Calibri" w:hAnsi="Book Antiqua" w:cs="Arial"/>
          <w:i/>
          <w:iCs/>
          <w:sz w:val="20"/>
          <w:szCs w:val="20"/>
        </w:rPr>
        <w:t xml:space="preserve">Subproceso de </w:t>
      </w:r>
      <w:r w:rsidRPr="006F27B4">
        <w:rPr>
          <w:rFonts w:ascii="Book Antiqua" w:eastAsia="Calibri" w:hAnsi="Book Antiqua" w:cs="Arial"/>
          <w:i/>
          <w:iCs/>
          <w:sz w:val="20"/>
          <w:szCs w:val="20"/>
        </w:rPr>
        <w:t xml:space="preserve">Modernización Institucional </w:t>
      </w:r>
      <w:r w:rsidR="00B86C44">
        <w:rPr>
          <w:rFonts w:ascii="Book Antiqua" w:eastAsia="Calibri" w:hAnsi="Book Antiqua" w:cs="Arial"/>
          <w:i/>
          <w:iCs/>
          <w:sz w:val="20"/>
          <w:szCs w:val="20"/>
        </w:rPr>
        <w:t>con datos</w:t>
      </w:r>
      <w:r w:rsidRPr="006F27B4">
        <w:rPr>
          <w:rFonts w:ascii="Book Antiqua" w:eastAsia="Calibri" w:hAnsi="Book Antiqua" w:cs="Arial"/>
          <w:i/>
          <w:iCs/>
          <w:sz w:val="20"/>
          <w:szCs w:val="20"/>
        </w:rPr>
        <w:t xml:space="preserve"> del Subproceso de Estadística</w:t>
      </w:r>
      <w:r w:rsidR="00B86C44">
        <w:rPr>
          <w:rFonts w:ascii="Book Antiqua" w:eastAsia="Calibri" w:hAnsi="Book Antiqua" w:cs="Arial"/>
          <w:i/>
          <w:iCs/>
          <w:sz w:val="20"/>
          <w:szCs w:val="20"/>
        </w:rPr>
        <w:t xml:space="preserve"> del 2022 y consulta del Balance General Interactivo del 23/2/2023</w:t>
      </w:r>
      <w:r w:rsidRPr="006F27B4">
        <w:rPr>
          <w:rFonts w:ascii="Book Antiqua" w:eastAsia="Calibri" w:hAnsi="Book Antiqua" w:cs="Arial"/>
          <w:i/>
          <w:iCs/>
          <w:sz w:val="20"/>
          <w:szCs w:val="20"/>
        </w:rPr>
        <w:t>. La entrada incluye entrados, reentrados y testimonios de piezas.</w:t>
      </w:r>
    </w:p>
    <w:p w14:paraId="7E9AD3D4" w14:textId="14BD7AAF" w:rsidR="00B15E56" w:rsidRDefault="00B15E56" w:rsidP="00355630">
      <w:pPr>
        <w:spacing w:after="0" w:line="276" w:lineRule="auto"/>
        <w:jc w:val="both"/>
        <w:rPr>
          <w:rFonts w:ascii="Book Antiqua" w:eastAsia="Calibri" w:hAnsi="Book Antiqua" w:cs="Arial"/>
          <w:i/>
          <w:iCs/>
          <w:sz w:val="20"/>
          <w:szCs w:val="20"/>
        </w:rPr>
      </w:pPr>
    </w:p>
    <w:p w14:paraId="1483F30D" w14:textId="77777777" w:rsidR="00B15E56" w:rsidRDefault="00B15E56" w:rsidP="00355630">
      <w:pPr>
        <w:spacing w:after="0" w:line="276" w:lineRule="auto"/>
        <w:jc w:val="both"/>
        <w:rPr>
          <w:rFonts w:ascii="Book Antiqua" w:eastAsia="Calibri" w:hAnsi="Book Antiqua" w:cs="Arial"/>
          <w:sz w:val="24"/>
          <w:szCs w:val="24"/>
        </w:rPr>
      </w:pPr>
    </w:p>
    <w:p w14:paraId="42339775" w14:textId="778CE0DF" w:rsidR="00BC6C07" w:rsidRDefault="00B15E56" w:rsidP="00C82410">
      <w:pPr>
        <w:spacing w:after="0" w:line="276" w:lineRule="auto"/>
        <w:jc w:val="both"/>
        <w:rPr>
          <w:rFonts w:ascii="Book Antiqua" w:eastAsia="Calibri" w:hAnsi="Book Antiqua" w:cs="Arial"/>
          <w:sz w:val="24"/>
          <w:szCs w:val="24"/>
        </w:rPr>
      </w:pPr>
      <w:r w:rsidRPr="00196C8D">
        <w:rPr>
          <w:rFonts w:ascii="Book Antiqua" w:eastAsia="Calibri" w:hAnsi="Book Antiqua" w:cs="Arial"/>
          <w:sz w:val="24"/>
          <w:szCs w:val="24"/>
        </w:rPr>
        <w:t xml:space="preserve">Por otra parte en atención a la referencia interna </w:t>
      </w:r>
      <w:r w:rsidRPr="00196C8D">
        <w:rPr>
          <w:rFonts w:ascii="Book Antiqua" w:eastAsia="Calibri" w:hAnsi="Book Antiqua" w:cs="Arial"/>
          <w:b/>
          <w:bCs/>
          <w:sz w:val="24"/>
          <w:szCs w:val="24"/>
        </w:rPr>
        <w:t>1688-202</w:t>
      </w:r>
      <w:r w:rsidR="00196C8D">
        <w:rPr>
          <w:rFonts w:ascii="Book Antiqua" w:eastAsia="Calibri" w:hAnsi="Book Antiqua" w:cs="Arial"/>
          <w:b/>
          <w:bCs/>
          <w:sz w:val="24"/>
          <w:szCs w:val="24"/>
        </w:rPr>
        <w:t>1 y 1681-2021</w:t>
      </w:r>
      <w:r w:rsidRPr="00196C8D">
        <w:rPr>
          <w:rFonts w:ascii="Book Antiqua" w:eastAsia="Calibri" w:hAnsi="Book Antiqua" w:cs="Arial"/>
          <w:sz w:val="24"/>
          <w:szCs w:val="24"/>
        </w:rPr>
        <w:t>,</w:t>
      </w:r>
      <w:r w:rsidRPr="00B15E56">
        <w:rPr>
          <w:rFonts w:ascii="Book Antiqua" w:eastAsia="Calibri" w:hAnsi="Book Antiqua" w:cs="Arial"/>
          <w:sz w:val="24"/>
          <w:szCs w:val="24"/>
        </w:rPr>
        <w:t xml:space="preserve"> </w:t>
      </w:r>
      <w:r>
        <w:rPr>
          <w:rFonts w:ascii="Book Antiqua" w:eastAsia="Calibri" w:hAnsi="Book Antiqua" w:cs="Arial"/>
          <w:sz w:val="24"/>
          <w:szCs w:val="24"/>
        </w:rPr>
        <w:t>r</w:t>
      </w:r>
      <w:r w:rsidRPr="00B15E56">
        <w:rPr>
          <w:rFonts w:ascii="Book Antiqua" w:eastAsia="Calibri" w:hAnsi="Book Antiqua" w:cs="Arial"/>
          <w:sz w:val="24"/>
          <w:szCs w:val="24"/>
        </w:rPr>
        <w:t xml:space="preserve">elacionado con </w:t>
      </w:r>
      <w:r>
        <w:rPr>
          <w:rFonts w:ascii="Book Antiqua" w:eastAsia="Calibri" w:hAnsi="Book Antiqua" w:cs="Arial"/>
          <w:sz w:val="24"/>
          <w:szCs w:val="24"/>
        </w:rPr>
        <w:t xml:space="preserve">el </w:t>
      </w:r>
      <w:r w:rsidRPr="001D0C10">
        <w:rPr>
          <w:rFonts w:ascii="Book Antiqua" w:eastAsia="Calibri" w:hAnsi="Book Antiqua" w:cs="Arial"/>
          <w:i/>
          <w:iCs/>
          <w:sz w:val="24"/>
          <w:szCs w:val="24"/>
        </w:rPr>
        <w:t>“Análisis de carga de trabajo a partir de los hallazgos en los oficios de estructuras en las siguientes oficinas: Juzgado Contravencional de Turrialba, Juzgado de Pensiones de Nicoya, Juzgado Contravencional de Alajuelita, Juzgado Contravencional de Corredores</w:t>
      </w:r>
      <w:r w:rsidR="002329B4" w:rsidRPr="001D0C10">
        <w:rPr>
          <w:rFonts w:ascii="Book Antiqua" w:eastAsia="Calibri" w:hAnsi="Book Antiqua" w:cs="Arial"/>
          <w:i/>
          <w:iCs/>
          <w:sz w:val="24"/>
          <w:szCs w:val="24"/>
        </w:rPr>
        <w:t>; además, se analiza la situación de los</w:t>
      </w:r>
      <w:r w:rsidRPr="001D0C10">
        <w:rPr>
          <w:rFonts w:ascii="Book Antiqua" w:eastAsia="Calibri" w:hAnsi="Book Antiqua" w:cs="Arial"/>
          <w:i/>
          <w:iCs/>
          <w:sz w:val="24"/>
          <w:szCs w:val="24"/>
        </w:rPr>
        <w:t xml:space="preserve"> </w:t>
      </w:r>
      <w:r w:rsidR="002329B4" w:rsidRPr="001D0C10">
        <w:rPr>
          <w:rFonts w:ascii="Book Antiqua" w:eastAsia="Calibri" w:hAnsi="Book Antiqua" w:cs="Arial"/>
          <w:i/>
          <w:iCs/>
          <w:sz w:val="24"/>
          <w:szCs w:val="24"/>
        </w:rPr>
        <w:t>Juzgados Contrav</w:t>
      </w:r>
      <w:r w:rsidRPr="001D0C10">
        <w:rPr>
          <w:rFonts w:ascii="Book Antiqua" w:eastAsia="Calibri" w:hAnsi="Book Antiqua" w:cs="Arial"/>
          <w:i/>
          <w:iCs/>
          <w:sz w:val="24"/>
          <w:szCs w:val="24"/>
        </w:rPr>
        <w:t>e</w:t>
      </w:r>
      <w:r w:rsidR="002329B4" w:rsidRPr="001D0C10">
        <w:rPr>
          <w:rFonts w:ascii="Book Antiqua" w:eastAsia="Calibri" w:hAnsi="Book Antiqua" w:cs="Arial"/>
          <w:i/>
          <w:iCs/>
          <w:sz w:val="24"/>
          <w:szCs w:val="24"/>
        </w:rPr>
        <w:t>ncional</w:t>
      </w:r>
      <w:r w:rsidR="00D359B7" w:rsidRPr="001D0C10">
        <w:rPr>
          <w:rFonts w:ascii="Book Antiqua" w:eastAsia="Calibri" w:hAnsi="Book Antiqua" w:cs="Arial"/>
          <w:i/>
          <w:iCs/>
          <w:sz w:val="24"/>
          <w:szCs w:val="24"/>
        </w:rPr>
        <w:t>es</w:t>
      </w:r>
      <w:r w:rsidR="002329B4" w:rsidRPr="001D0C10">
        <w:rPr>
          <w:rFonts w:ascii="Book Antiqua" w:eastAsia="Calibri" w:hAnsi="Book Antiqua" w:cs="Arial"/>
          <w:i/>
          <w:iCs/>
          <w:sz w:val="24"/>
          <w:szCs w:val="24"/>
        </w:rPr>
        <w:t xml:space="preserve"> de Santa Ana, Contravencional del Tercer Circuito Judicial de Alajuela (San Ramón)</w:t>
      </w:r>
      <w:r w:rsidR="00D359B7" w:rsidRPr="001D0C10">
        <w:rPr>
          <w:rFonts w:ascii="Book Antiqua" w:eastAsia="Calibri" w:hAnsi="Book Antiqua" w:cs="Arial"/>
          <w:i/>
          <w:iCs/>
          <w:sz w:val="24"/>
          <w:szCs w:val="24"/>
        </w:rPr>
        <w:t>, Contravencional de Palmares y</w:t>
      </w:r>
      <w:r w:rsidRPr="001D0C10">
        <w:rPr>
          <w:rFonts w:ascii="Book Antiqua" w:eastAsia="Calibri" w:hAnsi="Book Antiqua" w:cs="Arial"/>
          <w:i/>
          <w:iCs/>
          <w:sz w:val="24"/>
          <w:szCs w:val="24"/>
        </w:rPr>
        <w:t xml:space="preserve"> </w:t>
      </w:r>
      <w:r w:rsidR="002329B4" w:rsidRPr="001D0C10">
        <w:rPr>
          <w:rFonts w:ascii="Book Antiqua" w:eastAsia="Calibri" w:hAnsi="Book Antiqua" w:cs="Arial"/>
          <w:i/>
          <w:iCs/>
          <w:sz w:val="24"/>
          <w:szCs w:val="24"/>
        </w:rPr>
        <w:t>Contravencional de Paraíso</w:t>
      </w:r>
      <w:r w:rsidR="00196C8D">
        <w:rPr>
          <w:rFonts w:ascii="Book Antiqua" w:eastAsia="Calibri" w:hAnsi="Book Antiqua" w:cs="Arial"/>
          <w:i/>
          <w:iCs/>
          <w:sz w:val="24"/>
          <w:szCs w:val="24"/>
        </w:rPr>
        <w:t xml:space="preserve"> (incluida la asignación de un recurso adicional de Juez o Jueza recomendado en el presente informe)</w:t>
      </w:r>
      <w:r w:rsidR="00E25779">
        <w:rPr>
          <w:rFonts w:ascii="Book Antiqua" w:eastAsia="Calibri" w:hAnsi="Book Antiqua" w:cs="Arial"/>
          <w:sz w:val="24"/>
          <w:szCs w:val="24"/>
        </w:rPr>
        <w:t>”</w:t>
      </w:r>
      <w:r w:rsidR="002329B4">
        <w:rPr>
          <w:rFonts w:ascii="Book Antiqua" w:eastAsia="Calibri" w:hAnsi="Book Antiqua" w:cs="Arial"/>
          <w:sz w:val="24"/>
          <w:szCs w:val="24"/>
        </w:rPr>
        <w:t xml:space="preserve">, </w:t>
      </w:r>
      <w:r w:rsidR="00BC6C07">
        <w:rPr>
          <w:rFonts w:ascii="Book Antiqua" w:eastAsia="Calibri" w:hAnsi="Book Antiqua" w:cs="Arial"/>
          <w:sz w:val="24"/>
          <w:szCs w:val="24"/>
        </w:rPr>
        <w:t>y como parte de la revisión general de las competencias de la Jurisdicción de Familia, se remitirá a la Corte Plena en el transcurso del presente año la propuesta correspondiente.</w:t>
      </w:r>
    </w:p>
    <w:p w14:paraId="729BD374" w14:textId="5F0C0080" w:rsidR="009C3B63" w:rsidRDefault="009C3B63" w:rsidP="00C82410">
      <w:pPr>
        <w:spacing w:after="0" w:line="276" w:lineRule="auto"/>
        <w:jc w:val="both"/>
        <w:rPr>
          <w:rFonts w:ascii="Book Antiqua" w:eastAsia="Calibri" w:hAnsi="Book Antiqua" w:cs="Arial"/>
          <w:sz w:val="24"/>
          <w:szCs w:val="24"/>
        </w:rPr>
      </w:pPr>
    </w:p>
    <w:p w14:paraId="6A7C15F9" w14:textId="1D136235" w:rsidR="009C3B63" w:rsidRDefault="009C3B63" w:rsidP="00C82410">
      <w:pPr>
        <w:spacing w:after="0" w:line="276" w:lineRule="auto"/>
        <w:jc w:val="both"/>
        <w:rPr>
          <w:rFonts w:ascii="Book Antiqua" w:eastAsia="Calibri" w:hAnsi="Book Antiqua" w:cs="Arial"/>
          <w:sz w:val="24"/>
          <w:szCs w:val="24"/>
        </w:rPr>
      </w:pPr>
    </w:p>
    <w:p w14:paraId="0BAB3BE3" w14:textId="5454A58C" w:rsidR="009C3B63" w:rsidRDefault="009C3B63" w:rsidP="00C82410">
      <w:pPr>
        <w:spacing w:after="0" w:line="276" w:lineRule="auto"/>
        <w:jc w:val="both"/>
        <w:rPr>
          <w:rFonts w:ascii="Book Antiqua" w:eastAsia="Calibri" w:hAnsi="Book Antiqua" w:cs="Arial"/>
          <w:sz w:val="24"/>
          <w:szCs w:val="24"/>
        </w:rPr>
      </w:pPr>
    </w:p>
    <w:p w14:paraId="4E5FCA59" w14:textId="11F5591B" w:rsidR="009C3B63" w:rsidRDefault="009C3B63" w:rsidP="00C82410">
      <w:pPr>
        <w:spacing w:after="0" w:line="276" w:lineRule="auto"/>
        <w:jc w:val="both"/>
        <w:rPr>
          <w:rFonts w:ascii="Book Antiqua" w:eastAsia="Calibri" w:hAnsi="Book Antiqua" w:cs="Arial"/>
          <w:sz w:val="24"/>
          <w:szCs w:val="24"/>
        </w:rPr>
      </w:pPr>
    </w:p>
    <w:p w14:paraId="0C6811F7" w14:textId="21FBF2BE" w:rsidR="009C3B63" w:rsidRDefault="009C3B63" w:rsidP="00C82410">
      <w:pPr>
        <w:spacing w:after="0" w:line="276" w:lineRule="auto"/>
        <w:jc w:val="both"/>
        <w:rPr>
          <w:rFonts w:ascii="Book Antiqua" w:eastAsia="Calibri" w:hAnsi="Book Antiqua" w:cs="Arial"/>
          <w:sz w:val="24"/>
          <w:szCs w:val="24"/>
        </w:rPr>
      </w:pPr>
    </w:p>
    <w:p w14:paraId="599C28DB" w14:textId="3B566DC7" w:rsidR="009C3B63" w:rsidRDefault="009C3B63" w:rsidP="00C82410">
      <w:pPr>
        <w:spacing w:after="0" w:line="276" w:lineRule="auto"/>
        <w:jc w:val="both"/>
        <w:rPr>
          <w:rFonts w:ascii="Book Antiqua" w:eastAsia="Calibri" w:hAnsi="Book Antiqua" w:cs="Arial"/>
          <w:sz w:val="24"/>
          <w:szCs w:val="24"/>
        </w:rPr>
      </w:pPr>
    </w:p>
    <w:p w14:paraId="2C5DBEB1" w14:textId="77777777" w:rsidR="00196C8D" w:rsidRDefault="00196C8D" w:rsidP="00355630">
      <w:pPr>
        <w:spacing w:after="0" w:line="276" w:lineRule="auto"/>
        <w:jc w:val="both"/>
        <w:rPr>
          <w:rFonts w:ascii="Book Antiqua" w:eastAsia="Calibri" w:hAnsi="Book Antiqua" w:cs="Arial"/>
          <w:sz w:val="24"/>
          <w:szCs w:val="24"/>
        </w:rPr>
      </w:pPr>
      <w:bookmarkStart w:id="63" w:name="_Hlk97808124"/>
    </w:p>
    <w:p w14:paraId="5EAF3428" w14:textId="2654C6C4" w:rsidR="000E3CCF" w:rsidRPr="000E3CCF" w:rsidRDefault="000E3CCF" w:rsidP="008456A9">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0E3CCF">
        <w:rPr>
          <w:rFonts w:ascii="Book Antiqua" w:eastAsiaTheme="majorEastAsia" w:hAnsi="Book Antiqua" w:cstheme="majorBidi"/>
          <w:b/>
          <w:color w:val="1F3864" w:themeColor="accent1" w:themeShade="80"/>
          <w:sz w:val="24"/>
          <w:lang w:val="es-ES"/>
        </w:rPr>
        <w:t>Impacto del Código Procesal de Familia a partir del 1 de octubre de 202</w:t>
      </w:r>
      <w:r w:rsidR="00300450">
        <w:rPr>
          <w:rFonts w:ascii="Book Antiqua" w:eastAsiaTheme="majorEastAsia" w:hAnsi="Book Antiqua" w:cstheme="majorBidi"/>
          <w:b/>
          <w:color w:val="1F3864" w:themeColor="accent1" w:themeShade="80"/>
          <w:sz w:val="24"/>
          <w:lang w:val="es-ES"/>
        </w:rPr>
        <w:t>4</w:t>
      </w:r>
      <w:r w:rsidRPr="000E3CCF">
        <w:rPr>
          <w:rFonts w:ascii="Book Antiqua" w:eastAsiaTheme="majorEastAsia" w:hAnsi="Book Antiqua" w:cstheme="majorBidi"/>
          <w:b/>
          <w:color w:val="1F3864" w:themeColor="accent1" w:themeShade="80"/>
          <w:sz w:val="24"/>
          <w:lang w:val="es-ES"/>
        </w:rPr>
        <w:t xml:space="preserve"> en materia de Familia-</w:t>
      </w:r>
      <w:r>
        <w:rPr>
          <w:rFonts w:ascii="Book Antiqua" w:eastAsiaTheme="majorEastAsia" w:hAnsi="Book Antiqua" w:cstheme="majorBidi"/>
          <w:b/>
          <w:color w:val="1F3864" w:themeColor="accent1" w:themeShade="80"/>
          <w:sz w:val="24"/>
          <w:lang w:val="es-ES"/>
        </w:rPr>
        <w:t>Segunda</w:t>
      </w:r>
      <w:r w:rsidRPr="000E3CCF">
        <w:rPr>
          <w:rFonts w:ascii="Book Antiqua" w:eastAsiaTheme="majorEastAsia" w:hAnsi="Book Antiqua" w:cstheme="majorBidi"/>
          <w:b/>
          <w:color w:val="1F3864" w:themeColor="accent1" w:themeShade="80"/>
          <w:sz w:val="24"/>
          <w:lang w:val="es-ES"/>
        </w:rPr>
        <w:t xml:space="preserve"> Instancia</w:t>
      </w:r>
      <w:r>
        <w:rPr>
          <w:rFonts w:ascii="Book Antiqua" w:eastAsiaTheme="majorEastAsia" w:hAnsi="Book Antiqua" w:cstheme="majorBidi"/>
          <w:b/>
          <w:color w:val="1F3864" w:themeColor="accent1" w:themeShade="80"/>
          <w:sz w:val="24"/>
          <w:lang w:val="es-ES"/>
        </w:rPr>
        <w:t xml:space="preserve"> y Casación</w:t>
      </w:r>
    </w:p>
    <w:p w14:paraId="31F41397" w14:textId="77777777" w:rsidR="000E3CCF" w:rsidRDefault="000E3CCF" w:rsidP="00355630">
      <w:pPr>
        <w:spacing w:after="0" w:line="276" w:lineRule="auto"/>
        <w:jc w:val="both"/>
        <w:rPr>
          <w:rFonts w:ascii="Book Antiqua" w:eastAsia="Calibri" w:hAnsi="Book Antiqua" w:cs="Arial"/>
          <w:sz w:val="24"/>
          <w:szCs w:val="24"/>
        </w:rPr>
      </w:pPr>
    </w:p>
    <w:p w14:paraId="6A730973" w14:textId="693D8616" w:rsidR="006F27B4" w:rsidRPr="000E3CCF" w:rsidRDefault="006A4BA6" w:rsidP="00292FFD">
      <w:pPr>
        <w:pStyle w:val="Ttulo3"/>
      </w:pPr>
      <w:bookmarkStart w:id="64" w:name="_Hlk97399620"/>
      <w:bookmarkEnd w:id="63"/>
      <w:r w:rsidRPr="00612E7C">
        <w:t xml:space="preserve">5.13.1 </w:t>
      </w:r>
      <w:r w:rsidR="006F27B4" w:rsidRPr="000E3CCF">
        <w:t>Tribunal de Familia</w:t>
      </w:r>
    </w:p>
    <w:bookmarkEnd w:id="64"/>
    <w:p w14:paraId="793B77D5" w14:textId="238CA073" w:rsid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El Tribunal de Familia cuenta con la siguiente composición de recurso humano:</w:t>
      </w:r>
    </w:p>
    <w:p w14:paraId="64F41326" w14:textId="77777777" w:rsidR="00A636FA" w:rsidRPr="00A636FA" w:rsidRDefault="00A636FA" w:rsidP="00A636FA">
      <w:pPr>
        <w:spacing w:after="0" w:line="276" w:lineRule="auto"/>
        <w:jc w:val="both"/>
        <w:rPr>
          <w:rFonts w:ascii="Book Antiqua" w:eastAsia="Calibri" w:hAnsi="Book Antiqua" w:cs="Arial"/>
          <w:sz w:val="24"/>
          <w:szCs w:val="24"/>
        </w:rPr>
      </w:pPr>
    </w:p>
    <w:p w14:paraId="797125AE" w14:textId="77777777" w:rsidR="00A636FA" w:rsidRPr="00A636FA" w:rsidRDefault="00A636FA">
      <w:pPr>
        <w:numPr>
          <w:ilvl w:val="0"/>
          <w:numId w:val="23"/>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6 Juezas o Jueces 4</w:t>
      </w:r>
    </w:p>
    <w:p w14:paraId="04BF756E" w14:textId="77777777" w:rsidR="00A636FA" w:rsidRPr="00A636FA" w:rsidRDefault="00A636FA">
      <w:pPr>
        <w:numPr>
          <w:ilvl w:val="0"/>
          <w:numId w:val="23"/>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Jueza o Juez 1</w:t>
      </w:r>
    </w:p>
    <w:p w14:paraId="4008C21F" w14:textId="77777777" w:rsidR="00A636FA" w:rsidRPr="00A636FA" w:rsidRDefault="00A636FA">
      <w:pPr>
        <w:numPr>
          <w:ilvl w:val="0"/>
          <w:numId w:val="23"/>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Coordinadora o Coordinador Judicial 3</w:t>
      </w:r>
    </w:p>
    <w:p w14:paraId="2B0BEBD7" w14:textId="77777777" w:rsidR="00A636FA" w:rsidRPr="00A636FA" w:rsidRDefault="00A636FA">
      <w:pPr>
        <w:numPr>
          <w:ilvl w:val="0"/>
          <w:numId w:val="23"/>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4 Técnicas o Técnicos Judiciales 3</w:t>
      </w:r>
    </w:p>
    <w:p w14:paraId="03636303" w14:textId="6F097ED0" w:rsidR="00A636FA" w:rsidRDefault="00A636FA">
      <w:pPr>
        <w:numPr>
          <w:ilvl w:val="0"/>
          <w:numId w:val="23"/>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Auxiliar de Servicios Generales 2</w:t>
      </w:r>
    </w:p>
    <w:p w14:paraId="5A52EE2B" w14:textId="77777777" w:rsidR="000E3CCF" w:rsidRPr="00A636FA" w:rsidRDefault="000E3CCF" w:rsidP="000E3CCF">
      <w:pPr>
        <w:spacing w:after="0" w:line="276" w:lineRule="auto"/>
        <w:contextualSpacing/>
        <w:jc w:val="both"/>
        <w:rPr>
          <w:rFonts w:ascii="Book Antiqua" w:eastAsia="Calibri" w:hAnsi="Book Antiqua" w:cs="Arial"/>
          <w:sz w:val="24"/>
          <w:szCs w:val="24"/>
          <w:lang w:eastAsia="es-CR"/>
        </w:rPr>
      </w:pPr>
    </w:p>
    <w:p w14:paraId="4B7A5A0F" w14:textId="251C059F" w:rsidR="00A636FA" w:rsidRPr="00A636FA" w:rsidRDefault="00A636FA" w:rsidP="00A636F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636FA">
        <w:rPr>
          <w:rFonts w:ascii="Book Antiqua" w:eastAsia="Calibri" w:hAnsi="Book Antiqua" w:cs="Arial"/>
          <w:b/>
          <w:bCs/>
          <w:color w:val="1F497D"/>
          <w:szCs w:val="24"/>
          <w:lang w:val="es-ES" w:eastAsia="es-ES"/>
        </w:rPr>
        <w:t xml:space="preserve">Cuadro </w:t>
      </w:r>
      <w:r w:rsidRPr="00A636FA">
        <w:rPr>
          <w:rFonts w:ascii="Book Antiqua" w:eastAsia="Calibri" w:hAnsi="Book Antiqua" w:cs="Arial"/>
          <w:b/>
          <w:bCs/>
          <w:color w:val="1F497D"/>
          <w:szCs w:val="24"/>
          <w:lang w:val="es-ES" w:eastAsia="es-ES"/>
        </w:rPr>
        <w:fldChar w:fldCharType="begin"/>
      </w:r>
      <w:r w:rsidRPr="00A636FA">
        <w:rPr>
          <w:rFonts w:ascii="Book Antiqua" w:eastAsia="Calibri" w:hAnsi="Book Antiqua" w:cs="Arial"/>
          <w:b/>
          <w:bCs/>
          <w:color w:val="1F497D"/>
          <w:szCs w:val="24"/>
          <w:lang w:val="es-ES" w:eastAsia="es-ES"/>
        </w:rPr>
        <w:instrText xml:space="preserve"> SEQ Cuadro \* ARABIC </w:instrText>
      </w:r>
      <w:r w:rsidRPr="00A636FA">
        <w:rPr>
          <w:rFonts w:ascii="Book Antiqua" w:eastAsia="Calibri" w:hAnsi="Book Antiqua" w:cs="Arial"/>
          <w:b/>
          <w:bCs/>
          <w:color w:val="1F497D"/>
          <w:szCs w:val="24"/>
          <w:lang w:val="es-ES" w:eastAsia="es-ES"/>
        </w:rPr>
        <w:fldChar w:fldCharType="separate"/>
      </w:r>
      <w:r w:rsidR="00CE6F72">
        <w:rPr>
          <w:rFonts w:ascii="Book Antiqua" w:eastAsia="Calibri" w:hAnsi="Book Antiqua" w:cs="Arial"/>
          <w:b/>
          <w:bCs/>
          <w:noProof/>
          <w:color w:val="1F497D"/>
          <w:szCs w:val="24"/>
          <w:lang w:val="es-ES" w:eastAsia="es-ES"/>
        </w:rPr>
        <w:t>50</w:t>
      </w:r>
      <w:r w:rsidRPr="00A636FA">
        <w:rPr>
          <w:rFonts w:ascii="Book Antiqua" w:eastAsia="Calibri" w:hAnsi="Book Antiqua" w:cs="Arial"/>
          <w:b/>
          <w:bCs/>
          <w:color w:val="1F497D"/>
          <w:szCs w:val="24"/>
          <w:lang w:val="es-ES" w:eastAsia="es-ES"/>
        </w:rPr>
        <w:fldChar w:fldCharType="end"/>
      </w:r>
    </w:p>
    <w:p w14:paraId="2FDDCAFD" w14:textId="0C57D8C1" w:rsidR="00A636FA" w:rsidRDefault="00A636FA" w:rsidP="00A636FA">
      <w:pPr>
        <w:keepNext/>
        <w:numPr>
          <w:ilvl w:val="12"/>
          <w:numId w:val="0"/>
        </w:numPr>
        <w:spacing w:after="0" w:line="276" w:lineRule="auto"/>
        <w:jc w:val="center"/>
        <w:rPr>
          <w:rFonts w:ascii="Book Antiqua" w:eastAsia="Times New Roman" w:hAnsi="Book Antiqua" w:cs="Arial"/>
          <w:b/>
          <w:bCs/>
          <w:color w:val="1F497D"/>
          <w:lang w:eastAsia="es-ES"/>
        </w:rPr>
      </w:pPr>
      <w:r w:rsidRPr="00CE09F7">
        <w:rPr>
          <w:rFonts w:ascii="Book Antiqua" w:eastAsia="Times New Roman" w:hAnsi="Book Antiqua" w:cs="Arial"/>
          <w:b/>
          <w:bCs/>
          <w:color w:val="1F497D"/>
          <w:lang w:eastAsia="es-ES"/>
        </w:rPr>
        <w:t>Movimiento histórico de la cantidad de apelaciones resueltas por el</w:t>
      </w:r>
      <w:r w:rsidRPr="00A636FA">
        <w:rPr>
          <w:rFonts w:ascii="Book Antiqua" w:eastAsia="Times New Roman" w:hAnsi="Book Antiqua" w:cs="Arial"/>
          <w:b/>
          <w:bCs/>
          <w:color w:val="1F497D"/>
          <w:lang w:eastAsia="es-ES"/>
        </w:rPr>
        <w:t xml:space="preserve"> </w:t>
      </w:r>
    </w:p>
    <w:p w14:paraId="6AC12812" w14:textId="500FDF01" w:rsidR="00A636FA" w:rsidRDefault="00A636FA" w:rsidP="00A636FA">
      <w:pPr>
        <w:keepNext/>
        <w:spacing w:after="0" w:line="276" w:lineRule="auto"/>
        <w:jc w:val="center"/>
        <w:rPr>
          <w:rFonts w:ascii="Book Antiqua" w:eastAsia="Times New Roman" w:hAnsi="Book Antiqua" w:cs="Arial"/>
          <w:b/>
          <w:color w:val="1F497D"/>
          <w:lang w:eastAsia="es-ES"/>
        </w:rPr>
      </w:pPr>
      <w:r w:rsidRPr="00A636FA">
        <w:rPr>
          <w:rFonts w:ascii="Book Antiqua" w:eastAsia="Times New Roman" w:hAnsi="Book Antiqua" w:cs="Arial"/>
          <w:b/>
          <w:color w:val="1F497D"/>
          <w:lang w:eastAsia="es-ES"/>
        </w:rPr>
        <w:t>Tribunal de Familia</w:t>
      </w:r>
      <w:r w:rsidRPr="00A636FA">
        <w:rPr>
          <w:rFonts w:ascii="Book Antiqua" w:eastAsia="Times New Roman" w:hAnsi="Book Antiqua" w:cs="Arial"/>
          <w:b/>
          <w:bCs/>
          <w:color w:val="1F497D"/>
          <w:lang w:eastAsia="es-ES"/>
        </w:rPr>
        <w:t xml:space="preserve"> </w:t>
      </w:r>
      <w:r w:rsidRPr="00A636FA">
        <w:rPr>
          <w:rFonts w:ascii="Book Antiqua" w:eastAsia="Times New Roman" w:hAnsi="Book Antiqua" w:cs="Arial"/>
          <w:b/>
          <w:color w:val="1F497D"/>
          <w:lang w:eastAsia="es-ES"/>
        </w:rPr>
        <w:t>según Juzgado de procedencia, del 20</w:t>
      </w:r>
      <w:r w:rsidR="00373D5E">
        <w:rPr>
          <w:rFonts w:ascii="Book Antiqua" w:eastAsia="Times New Roman" w:hAnsi="Book Antiqua" w:cs="Arial"/>
          <w:b/>
          <w:color w:val="1F497D"/>
          <w:lang w:eastAsia="es-ES"/>
        </w:rPr>
        <w:t>20</w:t>
      </w:r>
      <w:r w:rsidRPr="00A636FA">
        <w:rPr>
          <w:rFonts w:ascii="Book Antiqua" w:eastAsia="Times New Roman" w:hAnsi="Book Antiqua" w:cs="Arial"/>
          <w:b/>
          <w:color w:val="1F497D"/>
          <w:lang w:eastAsia="es-ES"/>
        </w:rPr>
        <w:t xml:space="preserve"> al 20</w:t>
      </w:r>
      <w:r w:rsidR="00373D5E">
        <w:rPr>
          <w:rFonts w:ascii="Book Antiqua" w:eastAsia="Times New Roman" w:hAnsi="Book Antiqua" w:cs="Arial"/>
          <w:b/>
          <w:color w:val="1F497D"/>
          <w:lang w:eastAsia="es-ES"/>
        </w:rPr>
        <w:t>2</w:t>
      </w:r>
      <w:r w:rsidR="00B077EE">
        <w:rPr>
          <w:rFonts w:ascii="Book Antiqua" w:eastAsia="Times New Roman" w:hAnsi="Book Antiqua" w:cs="Arial"/>
          <w:b/>
          <w:color w:val="1F497D"/>
          <w:lang w:eastAsia="es-ES"/>
        </w:rPr>
        <w:t>2</w:t>
      </w:r>
    </w:p>
    <w:tbl>
      <w:tblPr>
        <w:tblW w:w="11440" w:type="dxa"/>
        <w:jc w:val="center"/>
        <w:tblCellMar>
          <w:left w:w="70" w:type="dxa"/>
          <w:right w:w="70" w:type="dxa"/>
        </w:tblCellMar>
        <w:tblLook w:val="04A0" w:firstRow="1" w:lastRow="0" w:firstColumn="1" w:lastColumn="0" w:noHBand="0" w:noVBand="1"/>
      </w:tblPr>
      <w:tblGrid>
        <w:gridCol w:w="2700"/>
        <w:gridCol w:w="520"/>
        <w:gridCol w:w="500"/>
        <w:gridCol w:w="680"/>
        <w:gridCol w:w="740"/>
        <w:gridCol w:w="660"/>
        <w:gridCol w:w="640"/>
        <w:gridCol w:w="720"/>
        <w:gridCol w:w="720"/>
        <w:gridCol w:w="640"/>
        <w:gridCol w:w="660"/>
        <w:gridCol w:w="620"/>
        <w:gridCol w:w="700"/>
        <w:gridCol w:w="940"/>
      </w:tblGrid>
      <w:tr w:rsidR="00CE09F7" w:rsidRPr="00CE09F7" w14:paraId="677A8930" w14:textId="77777777" w:rsidTr="00CE09F7">
        <w:trPr>
          <w:trHeight w:val="2095"/>
          <w:jc w:val="center"/>
        </w:trPr>
        <w:tc>
          <w:tcPr>
            <w:tcW w:w="2700" w:type="dxa"/>
            <w:tcBorders>
              <w:top w:val="single" w:sz="8" w:space="0" w:color="auto"/>
              <w:left w:val="single" w:sz="8" w:space="0" w:color="auto"/>
              <w:bottom w:val="nil"/>
              <w:right w:val="single" w:sz="8" w:space="0" w:color="auto"/>
            </w:tcBorders>
            <w:shd w:val="clear" w:color="000000" w:fill="002060"/>
            <w:vAlign w:val="center"/>
            <w:hideMark/>
          </w:tcPr>
          <w:p w14:paraId="190A459E" w14:textId="77777777" w:rsidR="00CE09F7" w:rsidRPr="00CE09F7" w:rsidRDefault="00CE09F7" w:rsidP="00CE09F7">
            <w:pPr>
              <w:spacing w:after="0" w:line="240" w:lineRule="auto"/>
              <w:jc w:val="center"/>
              <w:rPr>
                <w:rFonts w:ascii="Book Antiqua" w:eastAsia="Times New Roman" w:hAnsi="Book Antiqua" w:cs="Calibri"/>
                <w:b/>
                <w:bCs/>
                <w:color w:val="FFFFFF"/>
                <w:lang w:eastAsia="es-CR"/>
              </w:rPr>
            </w:pPr>
            <w:r w:rsidRPr="00CE09F7">
              <w:rPr>
                <w:rFonts w:ascii="Book Antiqua" w:eastAsia="Times New Roman" w:hAnsi="Book Antiqua" w:cs="Calibri"/>
                <w:b/>
                <w:bCs/>
                <w:color w:val="FFFFFF"/>
                <w:lang w:eastAsia="es-CR"/>
              </w:rPr>
              <w:t>Motivo</w:t>
            </w:r>
          </w:p>
        </w:tc>
        <w:tc>
          <w:tcPr>
            <w:tcW w:w="520" w:type="dxa"/>
            <w:tcBorders>
              <w:top w:val="single" w:sz="8" w:space="0" w:color="auto"/>
              <w:left w:val="nil"/>
              <w:bottom w:val="nil"/>
              <w:right w:val="single" w:sz="8" w:space="0" w:color="auto"/>
            </w:tcBorders>
            <w:shd w:val="clear" w:color="000000" w:fill="002060"/>
            <w:textDirection w:val="btLr"/>
            <w:vAlign w:val="center"/>
            <w:hideMark/>
          </w:tcPr>
          <w:p w14:paraId="3A1D9098"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Cartago</w:t>
            </w:r>
          </w:p>
        </w:tc>
        <w:tc>
          <w:tcPr>
            <w:tcW w:w="500" w:type="dxa"/>
            <w:tcBorders>
              <w:top w:val="single" w:sz="8" w:space="0" w:color="auto"/>
              <w:left w:val="nil"/>
              <w:bottom w:val="nil"/>
              <w:right w:val="single" w:sz="8" w:space="0" w:color="auto"/>
            </w:tcBorders>
            <w:shd w:val="clear" w:color="000000" w:fill="002060"/>
            <w:textDirection w:val="btLr"/>
            <w:vAlign w:val="center"/>
            <w:hideMark/>
          </w:tcPr>
          <w:p w14:paraId="1B40FB07"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Heredia</w:t>
            </w:r>
          </w:p>
        </w:tc>
        <w:tc>
          <w:tcPr>
            <w:tcW w:w="680" w:type="dxa"/>
            <w:tcBorders>
              <w:top w:val="single" w:sz="8" w:space="0" w:color="auto"/>
              <w:left w:val="nil"/>
              <w:bottom w:val="nil"/>
              <w:right w:val="single" w:sz="8" w:space="0" w:color="auto"/>
            </w:tcBorders>
            <w:shd w:val="clear" w:color="000000" w:fill="002060"/>
            <w:textDirection w:val="btLr"/>
            <w:vAlign w:val="center"/>
            <w:hideMark/>
          </w:tcPr>
          <w:p w14:paraId="26EAECEC" w14:textId="1E26DC80"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 xml:space="preserve"> J</w:t>
            </w:r>
            <w:r w:rsidRPr="00CE09F7">
              <w:rPr>
                <w:rFonts w:ascii="Book Antiqua" w:eastAsia="Times New Roman" w:hAnsi="Book Antiqua" w:cs="Calibri"/>
                <w:b/>
                <w:bCs/>
                <w:color w:val="FFFFFF"/>
                <w:sz w:val="18"/>
                <w:szCs w:val="18"/>
                <w:lang w:eastAsia="es-CR"/>
              </w:rPr>
              <w:t xml:space="preserve">uzgado Fam. </w:t>
            </w:r>
            <w:r>
              <w:rPr>
                <w:rFonts w:ascii="Book Antiqua" w:eastAsia="Times New Roman" w:hAnsi="Book Antiqua" w:cs="Calibri"/>
                <w:b/>
                <w:bCs/>
                <w:color w:val="FFFFFF"/>
                <w:sz w:val="18"/>
                <w:szCs w:val="18"/>
                <w:lang w:eastAsia="es-CR"/>
              </w:rPr>
              <w:t xml:space="preserve">    </w:t>
            </w:r>
            <w:r w:rsidRPr="00CE09F7">
              <w:rPr>
                <w:rFonts w:ascii="Book Antiqua" w:eastAsia="Times New Roman" w:hAnsi="Book Antiqua" w:cs="Calibri"/>
                <w:b/>
                <w:bCs/>
                <w:color w:val="FFFFFF"/>
                <w:sz w:val="18"/>
                <w:szCs w:val="18"/>
                <w:lang w:eastAsia="es-CR"/>
              </w:rPr>
              <w:t>Puntarenas</w:t>
            </w:r>
          </w:p>
        </w:tc>
        <w:tc>
          <w:tcPr>
            <w:tcW w:w="740" w:type="dxa"/>
            <w:tcBorders>
              <w:top w:val="single" w:sz="8" w:space="0" w:color="auto"/>
              <w:left w:val="nil"/>
              <w:bottom w:val="nil"/>
              <w:right w:val="single" w:sz="8" w:space="0" w:color="auto"/>
            </w:tcBorders>
            <w:shd w:val="clear" w:color="000000" w:fill="002060"/>
            <w:textDirection w:val="btLr"/>
            <w:vAlign w:val="center"/>
            <w:hideMark/>
          </w:tcPr>
          <w:p w14:paraId="1D8FE81D"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I Circ. Jud. Alajuela</w:t>
            </w:r>
          </w:p>
        </w:tc>
        <w:tc>
          <w:tcPr>
            <w:tcW w:w="660" w:type="dxa"/>
            <w:tcBorders>
              <w:top w:val="single" w:sz="8" w:space="0" w:color="auto"/>
              <w:left w:val="nil"/>
              <w:bottom w:val="nil"/>
              <w:right w:val="single" w:sz="8" w:space="0" w:color="auto"/>
            </w:tcBorders>
            <w:shd w:val="clear" w:color="000000" w:fill="002060"/>
            <w:textDirection w:val="btLr"/>
            <w:vAlign w:val="center"/>
            <w:hideMark/>
          </w:tcPr>
          <w:p w14:paraId="34C853DD"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I Circ. Jud. Zona Atlántica</w:t>
            </w:r>
          </w:p>
        </w:tc>
        <w:tc>
          <w:tcPr>
            <w:tcW w:w="640" w:type="dxa"/>
            <w:tcBorders>
              <w:top w:val="single" w:sz="8" w:space="0" w:color="auto"/>
              <w:left w:val="nil"/>
              <w:bottom w:val="nil"/>
              <w:right w:val="single" w:sz="8" w:space="0" w:color="auto"/>
            </w:tcBorders>
            <w:shd w:val="clear" w:color="000000" w:fill="002060"/>
            <w:textDirection w:val="btLr"/>
            <w:vAlign w:val="center"/>
            <w:hideMark/>
          </w:tcPr>
          <w:p w14:paraId="04460906"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I Circ. Jud. Zona Sur</w:t>
            </w:r>
          </w:p>
        </w:tc>
        <w:tc>
          <w:tcPr>
            <w:tcW w:w="720" w:type="dxa"/>
            <w:tcBorders>
              <w:top w:val="single" w:sz="8" w:space="0" w:color="auto"/>
              <w:left w:val="nil"/>
              <w:bottom w:val="nil"/>
              <w:right w:val="single" w:sz="8" w:space="0" w:color="auto"/>
            </w:tcBorders>
            <w:shd w:val="clear" w:color="000000" w:fill="002060"/>
            <w:textDirection w:val="btLr"/>
            <w:vAlign w:val="center"/>
            <w:hideMark/>
          </w:tcPr>
          <w:p w14:paraId="0DD4E674"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II Circ. Jud. Alajuela</w:t>
            </w:r>
          </w:p>
        </w:tc>
        <w:tc>
          <w:tcPr>
            <w:tcW w:w="720" w:type="dxa"/>
            <w:tcBorders>
              <w:top w:val="single" w:sz="8" w:space="0" w:color="auto"/>
              <w:left w:val="nil"/>
              <w:bottom w:val="nil"/>
              <w:right w:val="single" w:sz="8" w:space="0" w:color="auto"/>
            </w:tcBorders>
            <w:shd w:val="clear" w:color="000000" w:fill="002060"/>
            <w:textDirection w:val="btLr"/>
            <w:vAlign w:val="center"/>
            <w:hideMark/>
          </w:tcPr>
          <w:p w14:paraId="3B999741"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II Circ. Jud. Zona Atlántica</w:t>
            </w:r>
          </w:p>
        </w:tc>
        <w:tc>
          <w:tcPr>
            <w:tcW w:w="640" w:type="dxa"/>
            <w:tcBorders>
              <w:top w:val="single" w:sz="8" w:space="0" w:color="auto"/>
              <w:left w:val="nil"/>
              <w:bottom w:val="nil"/>
              <w:right w:val="single" w:sz="8" w:space="0" w:color="auto"/>
            </w:tcBorders>
            <w:shd w:val="clear" w:color="000000" w:fill="002060"/>
            <w:textDirection w:val="btLr"/>
            <w:vAlign w:val="center"/>
            <w:hideMark/>
          </w:tcPr>
          <w:p w14:paraId="0E4C6B6A"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II Circ. Jud. San José</w:t>
            </w:r>
          </w:p>
        </w:tc>
        <w:tc>
          <w:tcPr>
            <w:tcW w:w="660" w:type="dxa"/>
            <w:tcBorders>
              <w:top w:val="single" w:sz="8" w:space="0" w:color="auto"/>
              <w:left w:val="nil"/>
              <w:bottom w:val="nil"/>
              <w:right w:val="single" w:sz="8" w:space="0" w:color="auto"/>
            </w:tcBorders>
            <w:shd w:val="clear" w:color="000000" w:fill="002060"/>
            <w:textDirection w:val="btLr"/>
            <w:vAlign w:val="center"/>
            <w:hideMark/>
          </w:tcPr>
          <w:p w14:paraId="24C169F9"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Fam. III Circ. Jud. San José</w:t>
            </w:r>
          </w:p>
        </w:tc>
        <w:tc>
          <w:tcPr>
            <w:tcW w:w="620" w:type="dxa"/>
            <w:tcBorders>
              <w:top w:val="single" w:sz="8" w:space="0" w:color="auto"/>
              <w:left w:val="nil"/>
              <w:bottom w:val="nil"/>
              <w:right w:val="single" w:sz="8" w:space="0" w:color="auto"/>
            </w:tcBorders>
            <w:shd w:val="clear" w:color="000000" w:fill="002060"/>
            <w:textDirection w:val="btLr"/>
            <w:vAlign w:val="center"/>
            <w:hideMark/>
          </w:tcPr>
          <w:p w14:paraId="2B0B2C3B"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Primero Fam. San José</w:t>
            </w:r>
          </w:p>
        </w:tc>
        <w:tc>
          <w:tcPr>
            <w:tcW w:w="700" w:type="dxa"/>
            <w:tcBorders>
              <w:top w:val="single" w:sz="8" w:space="0" w:color="auto"/>
              <w:left w:val="nil"/>
              <w:bottom w:val="nil"/>
              <w:right w:val="single" w:sz="8" w:space="0" w:color="auto"/>
            </w:tcBorders>
            <w:shd w:val="clear" w:color="000000" w:fill="002060"/>
            <w:textDirection w:val="btLr"/>
            <w:vAlign w:val="center"/>
            <w:hideMark/>
          </w:tcPr>
          <w:p w14:paraId="66ACA4CE"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Juzgado Segundo Fam. San José</w:t>
            </w:r>
          </w:p>
        </w:tc>
        <w:tc>
          <w:tcPr>
            <w:tcW w:w="940" w:type="dxa"/>
            <w:tcBorders>
              <w:top w:val="single" w:sz="8" w:space="0" w:color="auto"/>
              <w:left w:val="nil"/>
              <w:bottom w:val="nil"/>
              <w:right w:val="single" w:sz="8" w:space="0" w:color="auto"/>
            </w:tcBorders>
            <w:shd w:val="clear" w:color="000000" w:fill="002060"/>
            <w:vAlign w:val="center"/>
            <w:hideMark/>
          </w:tcPr>
          <w:p w14:paraId="083B56B8"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Total general</w:t>
            </w:r>
          </w:p>
        </w:tc>
      </w:tr>
      <w:tr w:rsidR="00CE09F7" w:rsidRPr="00CE09F7" w14:paraId="1CBA1FF8" w14:textId="77777777" w:rsidTr="00CE09F7">
        <w:trPr>
          <w:trHeight w:val="490"/>
          <w:jc w:val="center"/>
        </w:trPr>
        <w:tc>
          <w:tcPr>
            <w:tcW w:w="2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EDE70E"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ADICION Y ACLARACIÓN C/LUGAR</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14:paraId="5BC5DE2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500" w:type="dxa"/>
            <w:tcBorders>
              <w:top w:val="single" w:sz="4" w:space="0" w:color="auto"/>
              <w:left w:val="nil"/>
              <w:bottom w:val="single" w:sz="4" w:space="0" w:color="auto"/>
              <w:right w:val="single" w:sz="4" w:space="0" w:color="auto"/>
            </w:tcBorders>
            <w:shd w:val="clear" w:color="auto" w:fill="auto"/>
            <w:noWrap/>
            <w:vAlign w:val="bottom"/>
            <w:hideMark/>
          </w:tcPr>
          <w:p w14:paraId="50E83E6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78AE02A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14:paraId="46A7A9D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292B5E5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14:paraId="7FD01E0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6E1BEEB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40A2DBE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14:paraId="42DAB72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14:paraId="5BB25B7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46CCD4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3D0D360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3EDF6F3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r>
      <w:tr w:rsidR="00CE09F7" w:rsidRPr="00CE09F7" w14:paraId="2BC04628" w14:textId="77777777" w:rsidTr="00CE09F7">
        <w:trPr>
          <w:trHeight w:val="490"/>
          <w:jc w:val="center"/>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2B692D29"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ADICION Y ACLARACIÓN S/LUGAR</w:t>
            </w:r>
          </w:p>
        </w:tc>
        <w:tc>
          <w:tcPr>
            <w:tcW w:w="520" w:type="dxa"/>
            <w:tcBorders>
              <w:top w:val="nil"/>
              <w:left w:val="nil"/>
              <w:bottom w:val="single" w:sz="4" w:space="0" w:color="auto"/>
              <w:right w:val="single" w:sz="4" w:space="0" w:color="auto"/>
            </w:tcBorders>
            <w:shd w:val="clear" w:color="auto" w:fill="auto"/>
            <w:noWrap/>
            <w:vAlign w:val="bottom"/>
            <w:hideMark/>
          </w:tcPr>
          <w:p w14:paraId="7CF63CF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500" w:type="dxa"/>
            <w:tcBorders>
              <w:top w:val="nil"/>
              <w:left w:val="nil"/>
              <w:bottom w:val="single" w:sz="4" w:space="0" w:color="auto"/>
              <w:right w:val="single" w:sz="4" w:space="0" w:color="auto"/>
            </w:tcBorders>
            <w:shd w:val="clear" w:color="auto" w:fill="auto"/>
            <w:noWrap/>
            <w:vAlign w:val="bottom"/>
            <w:hideMark/>
          </w:tcPr>
          <w:p w14:paraId="0D8E672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680" w:type="dxa"/>
            <w:tcBorders>
              <w:top w:val="nil"/>
              <w:left w:val="nil"/>
              <w:bottom w:val="single" w:sz="4" w:space="0" w:color="auto"/>
              <w:right w:val="single" w:sz="4" w:space="0" w:color="auto"/>
            </w:tcBorders>
            <w:shd w:val="clear" w:color="auto" w:fill="auto"/>
            <w:noWrap/>
            <w:vAlign w:val="bottom"/>
            <w:hideMark/>
          </w:tcPr>
          <w:p w14:paraId="2B17909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740" w:type="dxa"/>
            <w:tcBorders>
              <w:top w:val="nil"/>
              <w:left w:val="nil"/>
              <w:bottom w:val="single" w:sz="4" w:space="0" w:color="auto"/>
              <w:right w:val="single" w:sz="4" w:space="0" w:color="auto"/>
            </w:tcBorders>
            <w:shd w:val="clear" w:color="auto" w:fill="auto"/>
            <w:noWrap/>
            <w:vAlign w:val="bottom"/>
            <w:hideMark/>
          </w:tcPr>
          <w:p w14:paraId="4212D9C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60" w:type="dxa"/>
            <w:tcBorders>
              <w:top w:val="nil"/>
              <w:left w:val="nil"/>
              <w:bottom w:val="single" w:sz="4" w:space="0" w:color="auto"/>
              <w:right w:val="single" w:sz="4" w:space="0" w:color="auto"/>
            </w:tcBorders>
            <w:shd w:val="clear" w:color="auto" w:fill="auto"/>
            <w:noWrap/>
            <w:vAlign w:val="bottom"/>
            <w:hideMark/>
          </w:tcPr>
          <w:p w14:paraId="6838A65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605240A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4E8739D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720" w:type="dxa"/>
            <w:tcBorders>
              <w:top w:val="nil"/>
              <w:left w:val="nil"/>
              <w:bottom w:val="single" w:sz="4" w:space="0" w:color="auto"/>
              <w:right w:val="single" w:sz="4" w:space="0" w:color="auto"/>
            </w:tcBorders>
            <w:shd w:val="clear" w:color="auto" w:fill="auto"/>
            <w:noWrap/>
            <w:vAlign w:val="bottom"/>
            <w:hideMark/>
          </w:tcPr>
          <w:p w14:paraId="34C2813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40" w:type="dxa"/>
            <w:tcBorders>
              <w:top w:val="nil"/>
              <w:left w:val="nil"/>
              <w:bottom w:val="single" w:sz="4" w:space="0" w:color="auto"/>
              <w:right w:val="single" w:sz="4" w:space="0" w:color="auto"/>
            </w:tcBorders>
            <w:shd w:val="clear" w:color="auto" w:fill="auto"/>
            <w:noWrap/>
            <w:vAlign w:val="bottom"/>
            <w:hideMark/>
          </w:tcPr>
          <w:p w14:paraId="24E2DBF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660" w:type="dxa"/>
            <w:tcBorders>
              <w:top w:val="nil"/>
              <w:left w:val="nil"/>
              <w:bottom w:val="single" w:sz="4" w:space="0" w:color="auto"/>
              <w:right w:val="single" w:sz="4" w:space="0" w:color="auto"/>
            </w:tcBorders>
            <w:shd w:val="clear" w:color="auto" w:fill="auto"/>
            <w:noWrap/>
            <w:vAlign w:val="bottom"/>
            <w:hideMark/>
          </w:tcPr>
          <w:p w14:paraId="2E1E52A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620" w:type="dxa"/>
            <w:tcBorders>
              <w:top w:val="nil"/>
              <w:left w:val="nil"/>
              <w:bottom w:val="single" w:sz="4" w:space="0" w:color="auto"/>
              <w:right w:val="single" w:sz="4" w:space="0" w:color="auto"/>
            </w:tcBorders>
            <w:shd w:val="clear" w:color="auto" w:fill="auto"/>
            <w:noWrap/>
            <w:vAlign w:val="bottom"/>
            <w:hideMark/>
          </w:tcPr>
          <w:p w14:paraId="5C56818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9</w:t>
            </w:r>
          </w:p>
        </w:tc>
        <w:tc>
          <w:tcPr>
            <w:tcW w:w="700" w:type="dxa"/>
            <w:tcBorders>
              <w:top w:val="nil"/>
              <w:left w:val="nil"/>
              <w:bottom w:val="single" w:sz="4" w:space="0" w:color="auto"/>
              <w:right w:val="single" w:sz="4" w:space="0" w:color="auto"/>
            </w:tcBorders>
            <w:shd w:val="clear" w:color="auto" w:fill="auto"/>
            <w:noWrap/>
            <w:vAlign w:val="bottom"/>
            <w:hideMark/>
          </w:tcPr>
          <w:p w14:paraId="7DB4DBB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6</w:t>
            </w:r>
          </w:p>
        </w:tc>
        <w:tc>
          <w:tcPr>
            <w:tcW w:w="940" w:type="dxa"/>
            <w:tcBorders>
              <w:top w:val="nil"/>
              <w:left w:val="nil"/>
              <w:bottom w:val="single" w:sz="4" w:space="0" w:color="auto"/>
              <w:right w:val="single" w:sz="4" w:space="0" w:color="auto"/>
            </w:tcBorders>
            <w:shd w:val="clear" w:color="auto" w:fill="auto"/>
            <w:vAlign w:val="center"/>
            <w:hideMark/>
          </w:tcPr>
          <w:p w14:paraId="1E5E892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37</w:t>
            </w:r>
          </w:p>
        </w:tc>
      </w:tr>
      <w:tr w:rsidR="00CE09F7" w:rsidRPr="00CE09F7" w14:paraId="3C3D9D36"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0A502DB9"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ANULA TODO LO ACTUADO</w:t>
            </w:r>
          </w:p>
        </w:tc>
        <w:tc>
          <w:tcPr>
            <w:tcW w:w="520" w:type="dxa"/>
            <w:tcBorders>
              <w:top w:val="nil"/>
              <w:left w:val="nil"/>
              <w:bottom w:val="single" w:sz="4" w:space="0" w:color="auto"/>
              <w:right w:val="single" w:sz="4" w:space="0" w:color="auto"/>
            </w:tcBorders>
            <w:shd w:val="clear" w:color="auto" w:fill="auto"/>
            <w:noWrap/>
            <w:vAlign w:val="bottom"/>
            <w:hideMark/>
          </w:tcPr>
          <w:p w14:paraId="40F6C6B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500" w:type="dxa"/>
            <w:tcBorders>
              <w:top w:val="nil"/>
              <w:left w:val="nil"/>
              <w:bottom w:val="single" w:sz="4" w:space="0" w:color="auto"/>
              <w:right w:val="single" w:sz="4" w:space="0" w:color="auto"/>
            </w:tcBorders>
            <w:shd w:val="clear" w:color="auto" w:fill="auto"/>
            <w:noWrap/>
            <w:vAlign w:val="bottom"/>
            <w:hideMark/>
          </w:tcPr>
          <w:p w14:paraId="5632DA6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80" w:type="dxa"/>
            <w:tcBorders>
              <w:top w:val="nil"/>
              <w:left w:val="nil"/>
              <w:bottom w:val="single" w:sz="4" w:space="0" w:color="auto"/>
              <w:right w:val="single" w:sz="4" w:space="0" w:color="auto"/>
            </w:tcBorders>
            <w:shd w:val="clear" w:color="auto" w:fill="auto"/>
            <w:noWrap/>
            <w:vAlign w:val="bottom"/>
            <w:hideMark/>
          </w:tcPr>
          <w:p w14:paraId="77F2C0B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40" w:type="dxa"/>
            <w:tcBorders>
              <w:top w:val="nil"/>
              <w:left w:val="nil"/>
              <w:bottom w:val="single" w:sz="4" w:space="0" w:color="auto"/>
              <w:right w:val="single" w:sz="4" w:space="0" w:color="auto"/>
            </w:tcBorders>
            <w:shd w:val="clear" w:color="auto" w:fill="auto"/>
            <w:noWrap/>
            <w:vAlign w:val="bottom"/>
            <w:hideMark/>
          </w:tcPr>
          <w:p w14:paraId="36D932D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60" w:type="dxa"/>
            <w:tcBorders>
              <w:top w:val="nil"/>
              <w:left w:val="nil"/>
              <w:bottom w:val="single" w:sz="4" w:space="0" w:color="auto"/>
              <w:right w:val="single" w:sz="4" w:space="0" w:color="auto"/>
            </w:tcBorders>
            <w:shd w:val="clear" w:color="auto" w:fill="auto"/>
            <w:noWrap/>
            <w:vAlign w:val="bottom"/>
            <w:hideMark/>
          </w:tcPr>
          <w:p w14:paraId="4580E2E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7C8CE47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4424DC4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55237B2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40" w:type="dxa"/>
            <w:tcBorders>
              <w:top w:val="nil"/>
              <w:left w:val="nil"/>
              <w:bottom w:val="single" w:sz="4" w:space="0" w:color="auto"/>
              <w:right w:val="single" w:sz="4" w:space="0" w:color="auto"/>
            </w:tcBorders>
            <w:shd w:val="clear" w:color="auto" w:fill="auto"/>
            <w:noWrap/>
            <w:vAlign w:val="bottom"/>
            <w:hideMark/>
          </w:tcPr>
          <w:p w14:paraId="4D38DF4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60" w:type="dxa"/>
            <w:tcBorders>
              <w:top w:val="nil"/>
              <w:left w:val="nil"/>
              <w:bottom w:val="single" w:sz="4" w:space="0" w:color="auto"/>
              <w:right w:val="single" w:sz="4" w:space="0" w:color="auto"/>
            </w:tcBorders>
            <w:shd w:val="clear" w:color="auto" w:fill="auto"/>
            <w:noWrap/>
            <w:vAlign w:val="bottom"/>
            <w:hideMark/>
          </w:tcPr>
          <w:p w14:paraId="19D9E17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56AC2B3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00" w:type="dxa"/>
            <w:tcBorders>
              <w:top w:val="nil"/>
              <w:left w:val="nil"/>
              <w:bottom w:val="single" w:sz="4" w:space="0" w:color="auto"/>
              <w:right w:val="single" w:sz="4" w:space="0" w:color="auto"/>
            </w:tcBorders>
            <w:shd w:val="clear" w:color="auto" w:fill="auto"/>
            <w:noWrap/>
            <w:vAlign w:val="bottom"/>
            <w:hideMark/>
          </w:tcPr>
          <w:p w14:paraId="2602964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940" w:type="dxa"/>
            <w:tcBorders>
              <w:top w:val="nil"/>
              <w:left w:val="nil"/>
              <w:bottom w:val="single" w:sz="4" w:space="0" w:color="auto"/>
              <w:right w:val="single" w:sz="4" w:space="0" w:color="auto"/>
            </w:tcBorders>
            <w:shd w:val="clear" w:color="auto" w:fill="auto"/>
            <w:vAlign w:val="center"/>
            <w:hideMark/>
          </w:tcPr>
          <w:p w14:paraId="4C4CE01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6</w:t>
            </w:r>
          </w:p>
        </w:tc>
      </w:tr>
      <w:tr w:rsidR="00CE09F7" w:rsidRPr="00CE09F7" w14:paraId="0B3B5DCF" w14:textId="77777777" w:rsidTr="00CE09F7">
        <w:trPr>
          <w:trHeight w:val="490"/>
          <w:jc w:val="center"/>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22C4E5B4"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ANULACIÓN PARCIAL DE AUTO</w:t>
            </w:r>
          </w:p>
        </w:tc>
        <w:tc>
          <w:tcPr>
            <w:tcW w:w="520" w:type="dxa"/>
            <w:tcBorders>
              <w:top w:val="nil"/>
              <w:left w:val="nil"/>
              <w:bottom w:val="single" w:sz="4" w:space="0" w:color="auto"/>
              <w:right w:val="single" w:sz="4" w:space="0" w:color="auto"/>
            </w:tcBorders>
            <w:shd w:val="clear" w:color="auto" w:fill="auto"/>
            <w:noWrap/>
            <w:vAlign w:val="bottom"/>
            <w:hideMark/>
          </w:tcPr>
          <w:p w14:paraId="76ACEFF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500" w:type="dxa"/>
            <w:tcBorders>
              <w:top w:val="nil"/>
              <w:left w:val="nil"/>
              <w:bottom w:val="single" w:sz="4" w:space="0" w:color="auto"/>
              <w:right w:val="single" w:sz="4" w:space="0" w:color="auto"/>
            </w:tcBorders>
            <w:shd w:val="clear" w:color="auto" w:fill="auto"/>
            <w:noWrap/>
            <w:vAlign w:val="bottom"/>
            <w:hideMark/>
          </w:tcPr>
          <w:p w14:paraId="6380000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80" w:type="dxa"/>
            <w:tcBorders>
              <w:top w:val="nil"/>
              <w:left w:val="nil"/>
              <w:bottom w:val="single" w:sz="4" w:space="0" w:color="auto"/>
              <w:right w:val="single" w:sz="4" w:space="0" w:color="auto"/>
            </w:tcBorders>
            <w:shd w:val="clear" w:color="auto" w:fill="auto"/>
            <w:noWrap/>
            <w:vAlign w:val="bottom"/>
            <w:hideMark/>
          </w:tcPr>
          <w:p w14:paraId="408DBFB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40" w:type="dxa"/>
            <w:tcBorders>
              <w:top w:val="nil"/>
              <w:left w:val="nil"/>
              <w:bottom w:val="single" w:sz="4" w:space="0" w:color="auto"/>
              <w:right w:val="single" w:sz="4" w:space="0" w:color="auto"/>
            </w:tcBorders>
            <w:shd w:val="clear" w:color="auto" w:fill="auto"/>
            <w:noWrap/>
            <w:vAlign w:val="bottom"/>
            <w:hideMark/>
          </w:tcPr>
          <w:p w14:paraId="1900D20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4F855A3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49E3A2E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3CECB84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60675A0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77F4D81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0713C52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1C7E286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00" w:type="dxa"/>
            <w:tcBorders>
              <w:top w:val="nil"/>
              <w:left w:val="nil"/>
              <w:bottom w:val="single" w:sz="4" w:space="0" w:color="auto"/>
              <w:right w:val="single" w:sz="4" w:space="0" w:color="auto"/>
            </w:tcBorders>
            <w:shd w:val="clear" w:color="auto" w:fill="auto"/>
            <w:noWrap/>
            <w:vAlign w:val="bottom"/>
            <w:hideMark/>
          </w:tcPr>
          <w:p w14:paraId="2EDFDD3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940" w:type="dxa"/>
            <w:tcBorders>
              <w:top w:val="nil"/>
              <w:left w:val="nil"/>
              <w:bottom w:val="single" w:sz="4" w:space="0" w:color="auto"/>
              <w:right w:val="single" w:sz="4" w:space="0" w:color="auto"/>
            </w:tcBorders>
            <w:shd w:val="clear" w:color="auto" w:fill="auto"/>
            <w:vAlign w:val="center"/>
            <w:hideMark/>
          </w:tcPr>
          <w:p w14:paraId="5D3667D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r>
      <w:tr w:rsidR="00CE09F7" w:rsidRPr="00CE09F7" w14:paraId="0C4F55E8"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7F8A7D7A"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ANULACIÓN AUTO</w:t>
            </w:r>
          </w:p>
        </w:tc>
        <w:tc>
          <w:tcPr>
            <w:tcW w:w="520" w:type="dxa"/>
            <w:tcBorders>
              <w:top w:val="nil"/>
              <w:left w:val="nil"/>
              <w:bottom w:val="single" w:sz="4" w:space="0" w:color="auto"/>
              <w:right w:val="single" w:sz="4" w:space="0" w:color="auto"/>
            </w:tcBorders>
            <w:shd w:val="clear" w:color="auto" w:fill="auto"/>
            <w:noWrap/>
            <w:vAlign w:val="bottom"/>
            <w:hideMark/>
          </w:tcPr>
          <w:p w14:paraId="7EFCA2C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9</w:t>
            </w:r>
          </w:p>
        </w:tc>
        <w:tc>
          <w:tcPr>
            <w:tcW w:w="500" w:type="dxa"/>
            <w:tcBorders>
              <w:top w:val="nil"/>
              <w:left w:val="nil"/>
              <w:bottom w:val="single" w:sz="4" w:space="0" w:color="auto"/>
              <w:right w:val="single" w:sz="4" w:space="0" w:color="auto"/>
            </w:tcBorders>
            <w:shd w:val="clear" w:color="auto" w:fill="auto"/>
            <w:noWrap/>
            <w:vAlign w:val="bottom"/>
            <w:hideMark/>
          </w:tcPr>
          <w:p w14:paraId="3CFCECF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10</w:t>
            </w:r>
          </w:p>
        </w:tc>
        <w:tc>
          <w:tcPr>
            <w:tcW w:w="680" w:type="dxa"/>
            <w:tcBorders>
              <w:top w:val="nil"/>
              <w:left w:val="nil"/>
              <w:bottom w:val="single" w:sz="4" w:space="0" w:color="auto"/>
              <w:right w:val="single" w:sz="4" w:space="0" w:color="auto"/>
            </w:tcBorders>
            <w:shd w:val="clear" w:color="auto" w:fill="auto"/>
            <w:noWrap/>
            <w:vAlign w:val="bottom"/>
            <w:hideMark/>
          </w:tcPr>
          <w:p w14:paraId="4E1C207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740" w:type="dxa"/>
            <w:tcBorders>
              <w:top w:val="nil"/>
              <w:left w:val="nil"/>
              <w:bottom w:val="single" w:sz="4" w:space="0" w:color="auto"/>
              <w:right w:val="single" w:sz="4" w:space="0" w:color="auto"/>
            </w:tcBorders>
            <w:shd w:val="clear" w:color="auto" w:fill="auto"/>
            <w:noWrap/>
            <w:vAlign w:val="bottom"/>
            <w:hideMark/>
          </w:tcPr>
          <w:p w14:paraId="28155EE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c>
          <w:tcPr>
            <w:tcW w:w="660" w:type="dxa"/>
            <w:tcBorders>
              <w:top w:val="nil"/>
              <w:left w:val="nil"/>
              <w:bottom w:val="single" w:sz="4" w:space="0" w:color="auto"/>
              <w:right w:val="single" w:sz="4" w:space="0" w:color="auto"/>
            </w:tcBorders>
            <w:shd w:val="clear" w:color="auto" w:fill="auto"/>
            <w:noWrap/>
            <w:vAlign w:val="bottom"/>
            <w:hideMark/>
          </w:tcPr>
          <w:p w14:paraId="56E775B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40" w:type="dxa"/>
            <w:tcBorders>
              <w:top w:val="nil"/>
              <w:left w:val="nil"/>
              <w:bottom w:val="single" w:sz="4" w:space="0" w:color="auto"/>
              <w:right w:val="single" w:sz="4" w:space="0" w:color="auto"/>
            </w:tcBorders>
            <w:shd w:val="clear" w:color="auto" w:fill="auto"/>
            <w:noWrap/>
            <w:vAlign w:val="bottom"/>
            <w:hideMark/>
          </w:tcPr>
          <w:p w14:paraId="089B386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20" w:type="dxa"/>
            <w:tcBorders>
              <w:top w:val="nil"/>
              <w:left w:val="nil"/>
              <w:bottom w:val="single" w:sz="4" w:space="0" w:color="auto"/>
              <w:right w:val="single" w:sz="4" w:space="0" w:color="auto"/>
            </w:tcBorders>
            <w:shd w:val="clear" w:color="auto" w:fill="auto"/>
            <w:noWrap/>
            <w:vAlign w:val="bottom"/>
            <w:hideMark/>
          </w:tcPr>
          <w:p w14:paraId="45D0BD1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720" w:type="dxa"/>
            <w:tcBorders>
              <w:top w:val="nil"/>
              <w:left w:val="nil"/>
              <w:bottom w:val="single" w:sz="4" w:space="0" w:color="auto"/>
              <w:right w:val="single" w:sz="4" w:space="0" w:color="auto"/>
            </w:tcBorders>
            <w:shd w:val="clear" w:color="auto" w:fill="auto"/>
            <w:noWrap/>
            <w:vAlign w:val="bottom"/>
            <w:hideMark/>
          </w:tcPr>
          <w:p w14:paraId="73F2C8C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40" w:type="dxa"/>
            <w:tcBorders>
              <w:top w:val="nil"/>
              <w:left w:val="nil"/>
              <w:bottom w:val="single" w:sz="4" w:space="0" w:color="auto"/>
              <w:right w:val="single" w:sz="4" w:space="0" w:color="auto"/>
            </w:tcBorders>
            <w:shd w:val="clear" w:color="auto" w:fill="auto"/>
            <w:noWrap/>
            <w:vAlign w:val="bottom"/>
            <w:hideMark/>
          </w:tcPr>
          <w:p w14:paraId="440CBD8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11</w:t>
            </w:r>
          </w:p>
        </w:tc>
        <w:tc>
          <w:tcPr>
            <w:tcW w:w="660" w:type="dxa"/>
            <w:tcBorders>
              <w:top w:val="nil"/>
              <w:left w:val="nil"/>
              <w:bottom w:val="single" w:sz="4" w:space="0" w:color="auto"/>
              <w:right w:val="single" w:sz="4" w:space="0" w:color="auto"/>
            </w:tcBorders>
            <w:shd w:val="clear" w:color="auto" w:fill="auto"/>
            <w:noWrap/>
            <w:vAlign w:val="bottom"/>
            <w:hideMark/>
          </w:tcPr>
          <w:p w14:paraId="37CFB20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20" w:type="dxa"/>
            <w:tcBorders>
              <w:top w:val="nil"/>
              <w:left w:val="nil"/>
              <w:bottom w:val="single" w:sz="4" w:space="0" w:color="auto"/>
              <w:right w:val="single" w:sz="4" w:space="0" w:color="auto"/>
            </w:tcBorders>
            <w:shd w:val="clear" w:color="auto" w:fill="auto"/>
            <w:noWrap/>
            <w:vAlign w:val="bottom"/>
            <w:hideMark/>
          </w:tcPr>
          <w:p w14:paraId="35EE2D3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11</w:t>
            </w:r>
          </w:p>
        </w:tc>
        <w:tc>
          <w:tcPr>
            <w:tcW w:w="700" w:type="dxa"/>
            <w:tcBorders>
              <w:top w:val="nil"/>
              <w:left w:val="nil"/>
              <w:bottom w:val="single" w:sz="4" w:space="0" w:color="auto"/>
              <w:right w:val="single" w:sz="4" w:space="0" w:color="auto"/>
            </w:tcBorders>
            <w:shd w:val="clear" w:color="auto" w:fill="auto"/>
            <w:noWrap/>
            <w:vAlign w:val="bottom"/>
            <w:hideMark/>
          </w:tcPr>
          <w:p w14:paraId="0D492299"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11</w:t>
            </w:r>
          </w:p>
        </w:tc>
        <w:tc>
          <w:tcPr>
            <w:tcW w:w="940" w:type="dxa"/>
            <w:tcBorders>
              <w:top w:val="nil"/>
              <w:left w:val="nil"/>
              <w:bottom w:val="single" w:sz="4" w:space="0" w:color="auto"/>
              <w:right w:val="single" w:sz="4" w:space="0" w:color="auto"/>
            </w:tcBorders>
            <w:shd w:val="clear" w:color="auto" w:fill="auto"/>
            <w:vAlign w:val="center"/>
            <w:hideMark/>
          </w:tcPr>
          <w:p w14:paraId="49C100F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72</w:t>
            </w:r>
          </w:p>
        </w:tc>
      </w:tr>
      <w:tr w:rsidR="00CE09F7" w:rsidRPr="00CE09F7" w14:paraId="1FE62FA7" w14:textId="77777777" w:rsidTr="00CE09F7">
        <w:trPr>
          <w:trHeight w:val="490"/>
          <w:jc w:val="center"/>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5A9F6C03"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ANULACION AUTO SETENCIA</w:t>
            </w:r>
          </w:p>
        </w:tc>
        <w:tc>
          <w:tcPr>
            <w:tcW w:w="520" w:type="dxa"/>
            <w:tcBorders>
              <w:top w:val="nil"/>
              <w:left w:val="nil"/>
              <w:bottom w:val="single" w:sz="4" w:space="0" w:color="auto"/>
              <w:right w:val="single" w:sz="4" w:space="0" w:color="auto"/>
            </w:tcBorders>
            <w:shd w:val="clear" w:color="auto" w:fill="auto"/>
            <w:noWrap/>
            <w:vAlign w:val="bottom"/>
            <w:hideMark/>
          </w:tcPr>
          <w:p w14:paraId="30FF9AE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500" w:type="dxa"/>
            <w:tcBorders>
              <w:top w:val="nil"/>
              <w:left w:val="nil"/>
              <w:bottom w:val="single" w:sz="4" w:space="0" w:color="auto"/>
              <w:right w:val="single" w:sz="4" w:space="0" w:color="auto"/>
            </w:tcBorders>
            <w:shd w:val="clear" w:color="auto" w:fill="auto"/>
            <w:noWrap/>
            <w:vAlign w:val="bottom"/>
            <w:hideMark/>
          </w:tcPr>
          <w:p w14:paraId="58E6C51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80" w:type="dxa"/>
            <w:tcBorders>
              <w:top w:val="nil"/>
              <w:left w:val="nil"/>
              <w:bottom w:val="single" w:sz="4" w:space="0" w:color="auto"/>
              <w:right w:val="single" w:sz="4" w:space="0" w:color="auto"/>
            </w:tcBorders>
            <w:shd w:val="clear" w:color="auto" w:fill="auto"/>
            <w:noWrap/>
            <w:vAlign w:val="bottom"/>
            <w:hideMark/>
          </w:tcPr>
          <w:p w14:paraId="28240B8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09DA08E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60" w:type="dxa"/>
            <w:tcBorders>
              <w:top w:val="nil"/>
              <w:left w:val="nil"/>
              <w:bottom w:val="single" w:sz="4" w:space="0" w:color="auto"/>
              <w:right w:val="single" w:sz="4" w:space="0" w:color="auto"/>
            </w:tcBorders>
            <w:shd w:val="clear" w:color="auto" w:fill="auto"/>
            <w:noWrap/>
            <w:vAlign w:val="bottom"/>
            <w:hideMark/>
          </w:tcPr>
          <w:p w14:paraId="0C94C39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640" w:type="dxa"/>
            <w:tcBorders>
              <w:top w:val="nil"/>
              <w:left w:val="nil"/>
              <w:bottom w:val="single" w:sz="4" w:space="0" w:color="auto"/>
              <w:right w:val="single" w:sz="4" w:space="0" w:color="auto"/>
            </w:tcBorders>
            <w:shd w:val="clear" w:color="auto" w:fill="auto"/>
            <w:noWrap/>
            <w:vAlign w:val="bottom"/>
            <w:hideMark/>
          </w:tcPr>
          <w:p w14:paraId="421F3AE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4322EC8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20" w:type="dxa"/>
            <w:tcBorders>
              <w:top w:val="nil"/>
              <w:left w:val="nil"/>
              <w:bottom w:val="single" w:sz="4" w:space="0" w:color="auto"/>
              <w:right w:val="single" w:sz="4" w:space="0" w:color="auto"/>
            </w:tcBorders>
            <w:shd w:val="clear" w:color="auto" w:fill="auto"/>
            <w:noWrap/>
            <w:vAlign w:val="bottom"/>
            <w:hideMark/>
          </w:tcPr>
          <w:p w14:paraId="2DD9F87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1E1E219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660" w:type="dxa"/>
            <w:tcBorders>
              <w:top w:val="nil"/>
              <w:left w:val="nil"/>
              <w:bottom w:val="single" w:sz="4" w:space="0" w:color="auto"/>
              <w:right w:val="single" w:sz="4" w:space="0" w:color="auto"/>
            </w:tcBorders>
            <w:shd w:val="clear" w:color="auto" w:fill="auto"/>
            <w:noWrap/>
            <w:vAlign w:val="bottom"/>
            <w:hideMark/>
          </w:tcPr>
          <w:p w14:paraId="04FB32F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33DFCFE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00" w:type="dxa"/>
            <w:tcBorders>
              <w:top w:val="nil"/>
              <w:left w:val="nil"/>
              <w:bottom w:val="single" w:sz="4" w:space="0" w:color="auto"/>
              <w:right w:val="single" w:sz="4" w:space="0" w:color="auto"/>
            </w:tcBorders>
            <w:shd w:val="clear" w:color="auto" w:fill="auto"/>
            <w:noWrap/>
            <w:vAlign w:val="bottom"/>
            <w:hideMark/>
          </w:tcPr>
          <w:p w14:paraId="2C38A3E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940" w:type="dxa"/>
            <w:tcBorders>
              <w:top w:val="nil"/>
              <w:left w:val="nil"/>
              <w:bottom w:val="single" w:sz="4" w:space="0" w:color="auto"/>
              <w:right w:val="single" w:sz="4" w:space="0" w:color="auto"/>
            </w:tcBorders>
            <w:shd w:val="clear" w:color="auto" w:fill="auto"/>
            <w:vAlign w:val="center"/>
            <w:hideMark/>
          </w:tcPr>
          <w:p w14:paraId="13F4582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14</w:t>
            </w:r>
          </w:p>
        </w:tc>
      </w:tr>
      <w:tr w:rsidR="00CE09F7" w:rsidRPr="00CE09F7" w14:paraId="6EF0CC31"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5CBED396"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ANULACIÓN SENTENCIA</w:t>
            </w:r>
          </w:p>
        </w:tc>
        <w:tc>
          <w:tcPr>
            <w:tcW w:w="520" w:type="dxa"/>
            <w:tcBorders>
              <w:top w:val="nil"/>
              <w:left w:val="nil"/>
              <w:bottom w:val="single" w:sz="4" w:space="0" w:color="auto"/>
              <w:right w:val="single" w:sz="4" w:space="0" w:color="auto"/>
            </w:tcBorders>
            <w:shd w:val="clear" w:color="auto" w:fill="auto"/>
            <w:noWrap/>
            <w:vAlign w:val="bottom"/>
            <w:hideMark/>
          </w:tcPr>
          <w:p w14:paraId="1FC80AF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36</w:t>
            </w:r>
          </w:p>
        </w:tc>
        <w:tc>
          <w:tcPr>
            <w:tcW w:w="500" w:type="dxa"/>
            <w:tcBorders>
              <w:top w:val="nil"/>
              <w:left w:val="nil"/>
              <w:bottom w:val="single" w:sz="4" w:space="0" w:color="auto"/>
              <w:right w:val="single" w:sz="4" w:space="0" w:color="auto"/>
            </w:tcBorders>
            <w:shd w:val="clear" w:color="auto" w:fill="auto"/>
            <w:noWrap/>
            <w:vAlign w:val="bottom"/>
            <w:hideMark/>
          </w:tcPr>
          <w:p w14:paraId="585A828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24</w:t>
            </w:r>
          </w:p>
        </w:tc>
        <w:tc>
          <w:tcPr>
            <w:tcW w:w="680" w:type="dxa"/>
            <w:tcBorders>
              <w:top w:val="nil"/>
              <w:left w:val="nil"/>
              <w:bottom w:val="single" w:sz="4" w:space="0" w:color="auto"/>
              <w:right w:val="single" w:sz="4" w:space="0" w:color="auto"/>
            </w:tcBorders>
            <w:shd w:val="clear" w:color="auto" w:fill="auto"/>
            <w:noWrap/>
            <w:vAlign w:val="bottom"/>
            <w:hideMark/>
          </w:tcPr>
          <w:p w14:paraId="234E16C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c>
          <w:tcPr>
            <w:tcW w:w="740" w:type="dxa"/>
            <w:tcBorders>
              <w:top w:val="nil"/>
              <w:left w:val="nil"/>
              <w:bottom w:val="single" w:sz="4" w:space="0" w:color="auto"/>
              <w:right w:val="single" w:sz="4" w:space="0" w:color="auto"/>
            </w:tcBorders>
            <w:shd w:val="clear" w:color="auto" w:fill="auto"/>
            <w:noWrap/>
            <w:vAlign w:val="bottom"/>
            <w:hideMark/>
          </w:tcPr>
          <w:p w14:paraId="05CC06A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19</w:t>
            </w:r>
          </w:p>
        </w:tc>
        <w:tc>
          <w:tcPr>
            <w:tcW w:w="660" w:type="dxa"/>
            <w:tcBorders>
              <w:top w:val="nil"/>
              <w:left w:val="nil"/>
              <w:bottom w:val="single" w:sz="4" w:space="0" w:color="auto"/>
              <w:right w:val="single" w:sz="4" w:space="0" w:color="auto"/>
            </w:tcBorders>
            <w:shd w:val="clear" w:color="auto" w:fill="auto"/>
            <w:noWrap/>
            <w:vAlign w:val="bottom"/>
            <w:hideMark/>
          </w:tcPr>
          <w:p w14:paraId="7F27863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640" w:type="dxa"/>
            <w:tcBorders>
              <w:top w:val="nil"/>
              <w:left w:val="nil"/>
              <w:bottom w:val="single" w:sz="4" w:space="0" w:color="auto"/>
              <w:right w:val="single" w:sz="4" w:space="0" w:color="auto"/>
            </w:tcBorders>
            <w:shd w:val="clear" w:color="auto" w:fill="auto"/>
            <w:noWrap/>
            <w:vAlign w:val="bottom"/>
            <w:hideMark/>
          </w:tcPr>
          <w:p w14:paraId="2A54AE2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8</w:t>
            </w:r>
          </w:p>
        </w:tc>
        <w:tc>
          <w:tcPr>
            <w:tcW w:w="720" w:type="dxa"/>
            <w:tcBorders>
              <w:top w:val="nil"/>
              <w:left w:val="nil"/>
              <w:bottom w:val="single" w:sz="4" w:space="0" w:color="auto"/>
              <w:right w:val="single" w:sz="4" w:space="0" w:color="auto"/>
            </w:tcBorders>
            <w:shd w:val="clear" w:color="auto" w:fill="auto"/>
            <w:noWrap/>
            <w:vAlign w:val="bottom"/>
            <w:hideMark/>
          </w:tcPr>
          <w:p w14:paraId="0DA983E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9</w:t>
            </w:r>
          </w:p>
        </w:tc>
        <w:tc>
          <w:tcPr>
            <w:tcW w:w="720" w:type="dxa"/>
            <w:tcBorders>
              <w:top w:val="nil"/>
              <w:left w:val="nil"/>
              <w:bottom w:val="single" w:sz="4" w:space="0" w:color="auto"/>
              <w:right w:val="single" w:sz="4" w:space="0" w:color="auto"/>
            </w:tcBorders>
            <w:shd w:val="clear" w:color="auto" w:fill="auto"/>
            <w:noWrap/>
            <w:vAlign w:val="bottom"/>
            <w:hideMark/>
          </w:tcPr>
          <w:p w14:paraId="3B36132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9</w:t>
            </w:r>
          </w:p>
        </w:tc>
        <w:tc>
          <w:tcPr>
            <w:tcW w:w="640" w:type="dxa"/>
            <w:tcBorders>
              <w:top w:val="nil"/>
              <w:left w:val="nil"/>
              <w:bottom w:val="single" w:sz="4" w:space="0" w:color="auto"/>
              <w:right w:val="single" w:sz="4" w:space="0" w:color="auto"/>
            </w:tcBorders>
            <w:shd w:val="clear" w:color="auto" w:fill="auto"/>
            <w:noWrap/>
            <w:vAlign w:val="bottom"/>
            <w:hideMark/>
          </w:tcPr>
          <w:p w14:paraId="248A928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45</w:t>
            </w:r>
          </w:p>
        </w:tc>
        <w:tc>
          <w:tcPr>
            <w:tcW w:w="660" w:type="dxa"/>
            <w:tcBorders>
              <w:top w:val="nil"/>
              <w:left w:val="nil"/>
              <w:bottom w:val="single" w:sz="4" w:space="0" w:color="auto"/>
              <w:right w:val="single" w:sz="4" w:space="0" w:color="auto"/>
            </w:tcBorders>
            <w:shd w:val="clear" w:color="auto" w:fill="auto"/>
            <w:noWrap/>
            <w:vAlign w:val="bottom"/>
            <w:hideMark/>
          </w:tcPr>
          <w:p w14:paraId="7323C4B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20" w:type="dxa"/>
            <w:tcBorders>
              <w:top w:val="nil"/>
              <w:left w:val="nil"/>
              <w:bottom w:val="single" w:sz="4" w:space="0" w:color="auto"/>
              <w:right w:val="single" w:sz="4" w:space="0" w:color="auto"/>
            </w:tcBorders>
            <w:shd w:val="clear" w:color="auto" w:fill="auto"/>
            <w:noWrap/>
            <w:vAlign w:val="bottom"/>
            <w:hideMark/>
          </w:tcPr>
          <w:p w14:paraId="3E3F915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25</w:t>
            </w:r>
          </w:p>
        </w:tc>
        <w:tc>
          <w:tcPr>
            <w:tcW w:w="700" w:type="dxa"/>
            <w:tcBorders>
              <w:top w:val="nil"/>
              <w:left w:val="nil"/>
              <w:bottom w:val="single" w:sz="4" w:space="0" w:color="auto"/>
              <w:right w:val="single" w:sz="4" w:space="0" w:color="auto"/>
            </w:tcBorders>
            <w:shd w:val="clear" w:color="auto" w:fill="auto"/>
            <w:noWrap/>
            <w:vAlign w:val="bottom"/>
            <w:hideMark/>
          </w:tcPr>
          <w:p w14:paraId="27B80BE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28</w:t>
            </w:r>
          </w:p>
        </w:tc>
        <w:tc>
          <w:tcPr>
            <w:tcW w:w="940" w:type="dxa"/>
            <w:tcBorders>
              <w:top w:val="nil"/>
              <w:left w:val="nil"/>
              <w:bottom w:val="single" w:sz="4" w:space="0" w:color="auto"/>
              <w:right w:val="single" w:sz="4" w:space="0" w:color="auto"/>
            </w:tcBorders>
            <w:shd w:val="clear" w:color="auto" w:fill="auto"/>
            <w:vAlign w:val="center"/>
            <w:hideMark/>
          </w:tcPr>
          <w:p w14:paraId="5AAE61F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215</w:t>
            </w:r>
          </w:p>
        </w:tc>
      </w:tr>
      <w:tr w:rsidR="00CE09F7" w:rsidRPr="00CE09F7" w14:paraId="08A2FB30"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26D66BFD"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APEL. INADM. CON LUGAR</w:t>
            </w:r>
          </w:p>
        </w:tc>
        <w:tc>
          <w:tcPr>
            <w:tcW w:w="520" w:type="dxa"/>
            <w:tcBorders>
              <w:top w:val="nil"/>
              <w:left w:val="nil"/>
              <w:bottom w:val="single" w:sz="4" w:space="0" w:color="auto"/>
              <w:right w:val="single" w:sz="4" w:space="0" w:color="auto"/>
            </w:tcBorders>
            <w:shd w:val="clear" w:color="auto" w:fill="auto"/>
            <w:noWrap/>
            <w:vAlign w:val="bottom"/>
            <w:hideMark/>
          </w:tcPr>
          <w:p w14:paraId="0AF989E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500" w:type="dxa"/>
            <w:tcBorders>
              <w:top w:val="nil"/>
              <w:left w:val="nil"/>
              <w:bottom w:val="single" w:sz="4" w:space="0" w:color="auto"/>
              <w:right w:val="single" w:sz="4" w:space="0" w:color="auto"/>
            </w:tcBorders>
            <w:shd w:val="clear" w:color="auto" w:fill="auto"/>
            <w:noWrap/>
            <w:vAlign w:val="bottom"/>
            <w:hideMark/>
          </w:tcPr>
          <w:p w14:paraId="222B1C5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80" w:type="dxa"/>
            <w:tcBorders>
              <w:top w:val="nil"/>
              <w:left w:val="nil"/>
              <w:bottom w:val="single" w:sz="4" w:space="0" w:color="auto"/>
              <w:right w:val="single" w:sz="4" w:space="0" w:color="auto"/>
            </w:tcBorders>
            <w:shd w:val="clear" w:color="auto" w:fill="auto"/>
            <w:noWrap/>
            <w:vAlign w:val="bottom"/>
            <w:hideMark/>
          </w:tcPr>
          <w:p w14:paraId="6AEBC1E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717B660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26061EF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40" w:type="dxa"/>
            <w:tcBorders>
              <w:top w:val="nil"/>
              <w:left w:val="nil"/>
              <w:bottom w:val="single" w:sz="4" w:space="0" w:color="auto"/>
              <w:right w:val="single" w:sz="4" w:space="0" w:color="auto"/>
            </w:tcBorders>
            <w:shd w:val="clear" w:color="auto" w:fill="auto"/>
            <w:noWrap/>
            <w:vAlign w:val="bottom"/>
            <w:hideMark/>
          </w:tcPr>
          <w:p w14:paraId="53DDDBE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0149999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7F95EE9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35EE6A8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60" w:type="dxa"/>
            <w:tcBorders>
              <w:top w:val="nil"/>
              <w:left w:val="nil"/>
              <w:bottom w:val="single" w:sz="4" w:space="0" w:color="auto"/>
              <w:right w:val="single" w:sz="4" w:space="0" w:color="auto"/>
            </w:tcBorders>
            <w:shd w:val="clear" w:color="auto" w:fill="auto"/>
            <w:noWrap/>
            <w:vAlign w:val="bottom"/>
            <w:hideMark/>
          </w:tcPr>
          <w:p w14:paraId="1678818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20" w:type="dxa"/>
            <w:tcBorders>
              <w:top w:val="nil"/>
              <w:left w:val="nil"/>
              <w:bottom w:val="single" w:sz="4" w:space="0" w:color="auto"/>
              <w:right w:val="single" w:sz="4" w:space="0" w:color="auto"/>
            </w:tcBorders>
            <w:shd w:val="clear" w:color="auto" w:fill="auto"/>
            <w:noWrap/>
            <w:vAlign w:val="bottom"/>
            <w:hideMark/>
          </w:tcPr>
          <w:p w14:paraId="280CCC8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700" w:type="dxa"/>
            <w:tcBorders>
              <w:top w:val="nil"/>
              <w:left w:val="nil"/>
              <w:bottom w:val="single" w:sz="4" w:space="0" w:color="auto"/>
              <w:right w:val="single" w:sz="4" w:space="0" w:color="auto"/>
            </w:tcBorders>
            <w:shd w:val="clear" w:color="auto" w:fill="auto"/>
            <w:noWrap/>
            <w:vAlign w:val="bottom"/>
            <w:hideMark/>
          </w:tcPr>
          <w:p w14:paraId="0E0F971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940" w:type="dxa"/>
            <w:tcBorders>
              <w:top w:val="nil"/>
              <w:left w:val="nil"/>
              <w:bottom w:val="single" w:sz="4" w:space="0" w:color="auto"/>
              <w:right w:val="single" w:sz="4" w:space="0" w:color="auto"/>
            </w:tcBorders>
            <w:shd w:val="clear" w:color="auto" w:fill="auto"/>
            <w:vAlign w:val="center"/>
            <w:hideMark/>
          </w:tcPr>
          <w:p w14:paraId="0723EF6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11</w:t>
            </w:r>
          </w:p>
        </w:tc>
      </w:tr>
      <w:tr w:rsidR="00CE09F7" w:rsidRPr="00CE09F7" w14:paraId="2AA68829"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6F8B1496"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APEL. INADM. SIN LUGAR</w:t>
            </w:r>
          </w:p>
        </w:tc>
        <w:tc>
          <w:tcPr>
            <w:tcW w:w="520" w:type="dxa"/>
            <w:tcBorders>
              <w:top w:val="nil"/>
              <w:left w:val="nil"/>
              <w:bottom w:val="single" w:sz="4" w:space="0" w:color="auto"/>
              <w:right w:val="single" w:sz="4" w:space="0" w:color="auto"/>
            </w:tcBorders>
            <w:shd w:val="clear" w:color="auto" w:fill="auto"/>
            <w:noWrap/>
            <w:vAlign w:val="bottom"/>
            <w:hideMark/>
          </w:tcPr>
          <w:p w14:paraId="45A1A88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500" w:type="dxa"/>
            <w:tcBorders>
              <w:top w:val="nil"/>
              <w:left w:val="nil"/>
              <w:bottom w:val="single" w:sz="4" w:space="0" w:color="auto"/>
              <w:right w:val="single" w:sz="4" w:space="0" w:color="auto"/>
            </w:tcBorders>
            <w:shd w:val="clear" w:color="auto" w:fill="auto"/>
            <w:noWrap/>
            <w:vAlign w:val="bottom"/>
            <w:hideMark/>
          </w:tcPr>
          <w:p w14:paraId="65CAAAB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80" w:type="dxa"/>
            <w:tcBorders>
              <w:top w:val="nil"/>
              <w:left w:val="nil"/>
              <w:bottom w:val="single" w:sz="4" w:space="0" w:color="auto"/>
              <w:right w:val="single" w:sz="4" w:space="0" w:color="auto"/>
            </w:tcBorders>
            <w:shd w:val="clear" w:color="auto" w:fill="auto"/>
            <w:noWrap/>
            <w:vAlign w:val="bottom"/>
            <w:hideMark/>
          </w:tcPr>
          <w:p w14:paraId="2B0320D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40" w:type="dxa"/>
            <w:tcBorders>
              <w:top w:val="nil"/>
              <w:left w:val="nil"/>
              <w:bottom w:val="single" w:sz="4" w:space="0" w:color="auto"/>
              <w:right w:val="single" w:sz="4" w:space="0" w:color="auto"/>
            </w:tcBorders>
            <w:shd w:val="clear" w:color="auto" w:fill="auto"/>
            <w:noWrap/>
            <w:vAlign w:val="bottom"/>
            <w:hideMark/>
          </w:tcPr>
          <w:p w14:paraId="3210B2F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660" w:type="dxa"/>
            <w:tcBorders>
              <w:top w:val="nil"/>
              <w:left w:val="nil"/>
              <w:bottom w:val="single" w:sz="4" w:space="0" w:color="auto"/>
              <w:right w:val="single" w:sz="4" w:space="0" w:color="auto"/>
            </w:tcBorders>
            <w:shd w:val="clear" w:color="auto" w:fill="auto"/>
            <w:noWrap/>
            <w:vAlign w:val="bottom"/>
            <w:hideMark/>
          </w:tcPr>
          <w:p w14:paraId="45ADE70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40" w:type="dxa"/>
            <w:tcBorders>
              <w:top w:val="nil"/>
              <w:left w:val="nil"/>
              <w:bottom w:val="single" w:sz="4" w:space="0" w:color="auto"/>
              <w:right w:val="single" w:sz="4" w:space="0" w:color="auto"/>
            </w:tcBorders>
            <w:shd w:val="clear" w:color="auto" w:fill="auto"/>
            <w:noWrap/>
            <w:vAlign w:val="bottom"/>
            <w:hideMark/>
          </w:tcPr>
          <w:p w14:paraId="3B83B2D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46715CD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720" w:type="dxa"/>
            <w:tcBorders>
              <w:top w:val="nil"/>
              <w:left w:val="nil"/>
              <w:bottom w:val="single" w:sz="4" w:space="0" w:color="auto"/>
              <w:right w:val="single" w:sz="4" w:space="0" w:color="auto"/>
            </w:tcBorders>
            <w:shd w:val="clear" w:color="auto" w:fill="auto"/>
            <w:noWrap/>
            <w:vAlign w:val="bottom"/>
            <w:hideMark/>
          </w:tcPr>
          <w:p w14:paraId="06028EE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2B31DB2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11</w:t>
            </w:r>
          </w:p>
        </w:tc>
        <w:tc>
          <w:tcPr>
            <w:tcW w:w="660" w:type="dxa"/>
            <w:tcBorders>
              <w:top w:val="nil"/>
              <w:left w:val="nil"/>
              <w:bottom w:val="single" w:sz="4" w:space="0" w:color="auto"/>
              <w:right w:val="single" w:sz="4" w:space="0" w:color="auto"/>
            </w:tcBorders>
            <w:shd w:val="clear" w:color="auto" w:fill="auto"/>
            <w:noWrap/>
            <w:vAlign w:val="bottom"/>
            <w:hideMark/>
          </w:tcPr>
          <w:p w14:paraId="32B09AA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620" w:type="dxa"/>
            <w:tcBorders>
              <w:top w:val="nil"/>
              <w:left w:val="nil"/>
              <w:bottom w:val="single" w:sz="4" w:space="0" w:color="auto"/>
              <w:right w:val="single" w:sz="4" w:space="0" w:color="auto"/>
            </w:tcBorders>
            <w:shd w:val="clear" w:color="auto" w:fill="auto"/>
            <w:noWrap/>
            <w:vAlign w:val="bottom"/>
            <w:hideMark/>
          </w:tcPr>
          <w:p w14:paraId="3C2A5A8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8</w:t>
            </w:r>
          </w:p>
        </w:tc>
        <w:tc>
          <w:tcPr>
            <w:tcW w:w="700" w:type="dxa"/>
            <w:tcBorders>
              <w:top w:val="nil"/>
              <w:left w:val="nil"/>
              <w:bottom w:val="single" w:sz="4" w:space="0" w:color="auto"/>
              <w:right w:val="single" w:sz="4" w:space="0" w:color="auto"/>
            </w:tcBorders>
            <w:shd w:val="clear" w:color="auto" w:fill="auto"/>
            <w:noWrap/>
            <w:vAlign w:val="bottom"/>
            <w:hideMark/>
          </w:tcPr>
          <w:p w14:paraId="3FDECC2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c>
          <w:tcPr>
            <w:tcW w:w="940" w:type="dxa"/>
            <w:tcBorders>
              <w:top w:val="nil"/>
              <w:left w:val="nil"/>
              <w:bottom w:val="single" w:sz="4" w:space="0" w:color="auto"/>
              <w:right w:val="single" w:sz="4" w:space="0" w:color="auto"/>
            </w:tcBorders>
            <w:shd w:val="clear" w:color="auto" w:fill="auto"/>
            <w:vAlign w:val="center"/>
            <w:hideMark/>
          </w:tcPr>
          <w:p w14:paraId="614B8E7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43</w:t>
            </w:r>
          </w:p>
        </w:tc>
      </w:tr>
      <w:tr w:rsidR="00CE09F7" w:rsidRPr="00CE09F7" w14:paraId="5CC48984" w14:textId="77777777" w:rsidTr="00CE09F7">
        <w:trPr>
          <w:trHeight w:val="490"/>
          <w:jc w:val="center"/>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51C2678F"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APELACIÓN ADHESIVA C/LUGAR</w:t>
            </w:r>
          </w:p>
        </w:tc>
        <w:tc>
          <w:tcPr>
            <w:tcW w:w="520" w:type="dxa"/>
            <w:tcBorders>
              <w:top w:val="nil"/>
              <w:left w:val="nil"/>
              <w:bottom w:val="single" w:sz="4" w:space="0" w:color="auto"/>
              <w:right w:val="single" w:sz="4" w:space="0" w:color="auto"/>
            </w:tcBorders>
            <w:shd w:val="clear" w:color="auto" w:fill="auto"/>
            <w:noWrap/>
            <w:vAlign w:val="bottom"/>
            <w:hideMark/>
          </w:tcPr>
          <w:p w14:paraId="2A0BAA8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500" w:type="dxa"/>
            <w:tcBorders>
              <w:top w:val="nil"/>
              <w:left w:val="nil"/>
              <w:bottom w:val="single" w:sz="4" w:space="0" w:color="auto"/>
              <w:right w:val="single" w:sz="4" w:space="0" w:color="auto"/>
            </w:tcBorders>
            <w:shd w:val="clear" w:color="auto" w:fill="auto"/>
            <w:noWrap/>
            <w:vAlign w:val="bottom"/>
            <w:hideMark/>
          </w:tcPr>
          <w:p w14:paraId="1C9A8F4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80" w:type="dxa"/>
            <w:tcBorders>
              <w:top w:val="nil"/>
              <w:left w:val="nil"/>
              <w:bottom w:val="single" w:sz="4" w:space="0" w:color="auto"/>
              <w:right w:val="single" w:sz="4" w:space="0" w:color="auto"/>
            </w:tcBorders>
            <w:shd w:val="clear" w:color="auto" w:fill="auto"/>
            <w:noWrap/>
            <w:vAlign w:val="bottom"/>
            <w:hideMark/>
          </w:tcPr>
          <w:p w14:paraId="70778F8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35C9133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7DF4012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14DDD20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1CCFE0E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6DF4409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4E5E6A39"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171DDB4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6F732DE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00" w:type="dxa"/>
            <w:tcBorders>
              <w:top w:val="nil"/>
              <w:left w:val="nil"/>
              <w:bottom w:val="single" w:sz="4" w:space="0" w:color="auto"/>
              <w:right w:val="single" w:sz="4" w:space="0" w:color="auto"/>
            </w:tcBorders>
            <w:shd w:val="clear" w:color="auto" w:fill="auto"/>
            <w:noWrap/>
            <w:vAlign w:val="bottom"/>
            <w:hideMark/>
          </w:tcPr>
          <w:p w14:paraId="30B5E13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940" w:type="dxa"/>
            <w:tcBorders>
              <w:top w:val="nil"/>
              <w:left w:val="nil"/>
              <w:bottom w:val="single" w:sz="4" w:space="0" w:color="auto"/>
              <w:right w:val="single" w:sz="4" w:space="0" w:color="auto"/>
            </w:tcBorders>
            <w:shd w:val="clear" w:color="auto" w:fill="auto"/>
            <w:vAlign w:val="center"/>
            <w:hideMark/>
          </w:tcPr>
          <w:p w14:paraId="4C8D1DF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r>
      <w:tr w:rsidR="00CE09F7" w:rsidRPr="00CE09F7" w14:paraId="5CBA2183" w14:textId="77777777" w:rsidTr="00CE09F7">
        <w:trPr>
          <w:trHeight w:val="490"/>
          <w:jc w:val="center"/>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7ADC6A89"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APELACIÓN ADHESIVA S/LUGAR</w:t>
            </w:r>
          </w:p>
        </w:tc>
        <w:tc>
          <w:tcPr>
            <w:tcW w:w="520" w:type="dxa"/>
            <w:tcBorders>
              <w:top w:val="nil"/>
              <w:left w:val="nil"/>
              <w:bottom w:val="single" w:sz="4" w:space="0" w:color="auto"/>
              <w:right w:val="single" w:sz="4" w:space="0" w:color="auto"/>
            </w:tcBorders>
            <w:shd w:val="clear" w:color="auto" w:fill="auto"/>
            <w:noWrap/>
            <w:vAlign w:val="bottom"/>
            <w:hideMark/>
          </w:tcPr>
          <w:p w14:paraId="74F004F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500" w:type="dxa"/>
            <w:tcBorders>
              <w:top w:val="nil"/>
              <w:left w:val="nil"/>
              <w:bottom w:val="single" w:sz="4" w:space="0" w:color="auto"/>
              <w:right w:val="single" w:sz="4" w:space="0" w:color="auto"/>
            </w:tcBorders>
            <w:shd w:val="clear" w:color="auto" w:fill="auto"/>
            <w:noWrap/>
            <w:vAlign w:val="bottom"/>
            <w:hideMark/>
          </w:tcPr>
          <w:p w14:paraId="36FACFC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80" w:type="dxa"/>
            <w:tcBorders>
              <w:top w:val="nil"/>
              <w:left w:val="nil"/>
              <w:bottom w:val="single" w:sz="4" w:space="0" w:color="auto"/>
              <w:right w:val="single" w:sz="4" w:space="0" w:color="auto"/>
            </w:tcBorders>
            <w:shd w:val="clear" w:color="auto" w:fill="auto"/>
            <w:noWrap/>
            <w:vAlign w:val="bottom"/>
            <w:hideMark/>
          </w:tcPr>
          <w:p w14:paraId="4F027FC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2DECD7C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721DAE2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77AED9F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09EDDE9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0580D6F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3AC39D9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7D819E3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709FA78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00" w:type="dxa"/>
            <w:tcBorders>
              <w:top w:val="nil"/>
              <w:left w:val="nil"/>
              <w:bottom w:val="single" w:sz="4" w:space="0" w:color="auto"/>
              <w:right w:val="single" w:sz="4" w:space="0" w:color="auto"/>
            </w:tcBorders>
            <w:shd w:val="clear" w:color="auto" w:fill="auto"/>
            <w:noWrap/>
            <w:vAlign w:val="bottom"/>
            <w:hideMark/>
          </w:tcPr>
          <w:p w14:paraId="37EBCAE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940" w:type="dxa"/>
            <w:tcBorders>
              <w:top w:val="nil"/>
              <w:left w:val="nil"/>
              <w:bottom w:val="single" w:sz="4" w:space="0" w:color="auto"/>
              <w:right w:val="single" w:sz="4" w:space="0" w:color="auto"/>
            </w:tcBorders>
            <w:shd w:val="clear" w:color="auto" w:fill="auto"/>
            <w:vAlign w:val="center"/>
            <w:hideMark/>
          </w:tcPr>
          <w:p w14:paraId="6BD4C5E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r>
      <w:tr w:rsidR="00CE09F7" w:rsidRPr="00CE09F7" w14:paraId="0BF9C48D"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6BA487B6"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CONFIRMATORIA</w:t>
            </w:r>
          </w:p>
        </w:tc>
        <w:tc>
          <w:tcPr>
            <w:tcW w:w="520" w:type="dxa"/>
            <w:tcBorders>
              <w:top w:val="nil"/>
              <w:left w:val="nil"/>
              <w:bottom w:val="single" w:sz="4" w:space="0" w:color="auto"/>
              <w:right w:val="single" w:sz="4" w:space="0" w:color="auto"/>
            </w:tcBorders>
            <w:shd w:val="clear" w:color="auto" w:fill="auto"/>
            <w:noWrap/>
            <w:vAlign w:val="bottom"/>
            <w:hideMark/>
          </w:tcPr>
          <w:p w14:paraId="21F74B4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55</w:t>
            </w:r>
          </w:p>
        </w:tc>
        <w:tc>
          <w:tcPr>
            <w:tcW w:w="500" w:type="dxa"/>
            <w:tcBorders>
              <w:top w:val="nil"/>
              <w:left w:val="nil"/>
              <w:bottom w:val="single" w:sz="4" w:space="0" w:color="auto"/>
              <w:right w:val="single" w:sz="4" w:space="0" w:color="auto"/>
            </w:tcBorders>
            <w:shd w:val="clear" w:color="auto" w:fill="auto"/>
            <w:noWrap/>
            <w:vAlign w:val="bottom"/>
            <w:hideMark/>
          </w:tcPr>
          <w:p w14:paraId="270EB31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70</w:t>
            </w:r>
          </w:p>
        </w:tc>
        <w:tc>
          <w:tcPr>
            <w:tcW w:w="680" w:type="dxa"/>
            <w:tcBorders>
              <w:top w:val="nil"/>
              <w:left w:val="nil"/>
              <w:bottom w:val="single" w:sz="4" w:space="0" w:color="auto"/>
              <w:right w:val="single" w:sz="4" w:space="0" w:color="auto"/>
            </w:tcBorders>
            <w:shd w:val="clear" w:color="auto" w:fill="auto"/>
            <w:noWrap/>
            <w:vAlign w:val="bottom"/>
            <w:hideMark/>
          </w:tcPr>
          <w:p w14:paraId="79F92ED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18</w:t>
            </w:r>
          </w:p>
        </w:tc>
        <w:tc>
          <w:tcPr>
            <w:tcW w:w="740" w:type="dxa"/>
            <w:tcBorders>
              <w:top w:val="nil"/>
              <w:left w:val="nil"/>
              <w:bottom w:val="single" w:sz="4" w:space="0" w:color="auto"/>
              <w:right w:val="single" w:sz="4" w:space="0" w:color="auto"/>
            </w:tcBorders>
            <w:shd w:val="clear" w:color="auto" w:fill="auto"/>
            <w:noWrap/>
            <w:vAlign w:val="bottom"/>
            <w:hideMark/>
          </w:tcPr>
          <w:p w14:paraId="6787558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50</w:t>
            </w:r>
          </w:p>
        </w:tc>
        <w:tc>
          <w:tcPr>
            <w:tcW w:w="660" w:type="dxa"/>
            <w:tcBorders>
              <w:top w:val="nil"/>
              <w:left w:val="nil"/>
              <w:bottom w:val="single" w:sz="4" w:space="0" w:color="auto"/>
              <w:right w:val="single" w:sz="4" w:space="0" w:color="auto"/>
            </w:tcBorders>
            <w:shd w:val="clear" w:color="auto" w:fill="auto"/>
            <w:noWrap/>
            <w:vAlign w:val="bottom"/>
            <w:hideMark/>
          </w:tcPr>
          <w:p w14:paraId="4DEA2C3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23</w:t>
            </w:r>
          </w:p>
        </w:tc>
        <w:tc>
          <w:tcPr>
            <w:tcW w:w="640" w:type="dxa"/>
            <w:tcBorders>
              <w:top w:val="nil"/>
              <w:left w:val="nil"/>
              <w:bottom w:val="single" w:sz="4" w:space="0" w:color="auto"/>
              <w:right w:val="single" w:sz="4" w:space="0" w:color="auto"/>
            </w:tcBorders>
            <w:shd w:val="clear" w:color="auto" w:fill="auto"/>
            <w:noWrap/>
            <w:vAlign w:val="bottom"/>
            <w:hideMark/>
          </w:tcPr>
          <w:p w14:paraId="2BAFD91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32</w:t>
            </w:r>
          </w:p>
        </w:tc>
        <w:tc>
          <w:tcPr>
            <w:tcW w:w="720" w:type="dxa"/>
            <w:tcBorders>
              <w:top w:val="nil"/>
              <w:left w:val="nil"/>
              <w:bottom w:val="single" w:sz="4" w:space="0" w:color="auto"/>
              <w:right w:val="single" w:sz="4" w:space="0" w:color="auto"/>
            </w:tcBorders>
            <w:shd w:val="clear" w:color="auto" w:fill="auto"/>
            <w:noWrap/>
            <w:vAlign w:val="bottom"/>
            <w:hideMark/>
          </w:tcPr>
          <w:p w14:paraId="1428BC7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24</w:t>
            </w:r>
          </w:p>
        </w:tc>
        <w:tc>
          <w:tcPr>
            <w:tcW w:w="720" w:type="dxa"/>
            <w:tcBorders>
              <w:top w:val="nil"/>
              <w:left w:val="nil"/>
              <w:bottom w:val="single" w:sz="4" w:space="0" w:color="auto"/>
              <w:right w:val="single" w:sz="4" w:space="0" w:color="auto"/>
            </w:tcBorders>
            <w:shd w:val="clear" w:color="auto" w:fill="auto"/>
            <w:noWrap/>
            <w:vAlign w:val="bottom"/>
            <w:hideMark/>
          </w:tcPr>
          <w:p w14:paraId="79D240D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17</w:t>
            </w:r>
          </w:p>
        </w:tc>
        <w:tc>
          <w:tcPr>
            <w:tcW w:w="640" w:type="dxa"/>
            <w:tcBorders>
              <w:top w:val="nil"/>
              <w:left w:val="nil"/>
              <w:bottom w:val="single" w:sz="4" w:space="0" w:color="auto"/>
              <w:right w:val="single" w:sz="4" w:space="0" w:color="auto"/>
            </w:tcBorders>
            <w:shd w:val="clear" w:color="auto" w:fill="auto"/>
            <w:noWrap/>
            <w:vAlign w:val="bottom"/>
            <w:hideMark/>
          </w:tcPr>
          <w:p w14:paraId="120F949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90</w:t>
            </w:r>
          </w:p>
        </w:tc>
        <w:tc>
          <w:tcPr>
            <w:tcW w:w="660" w:type="dxa"/>
            <w:tcBorders>
              <w:top w:val="nil"/>
              <w:left w:val="nil"/>
              <w:bottom w:val="single" w:sz="4" w:space="0" w:color="auto"/>
              <w:right w:val="single" w:sz="4" w:space="0" w:color="auto"/>
            </w:tcBorders>
            <w:shd w:val="clear" w:color="auto" w:fill="auto"/>
            <w:noWrap/>
            <w:vAlign w:val="bottom"/>
            <w:hideMark/>
          </w:tcPr>
          <w:p w14:paraId="7AC415C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12</w:t>
            </w:r>
          </w:p>
        </w:tc>
        <w:tc>
          <w:tcPr>
            <w:tcW w:w="620" w:type="dxa"/>
            <w:tcBorders>
              <w:top w:val="nil"/>
              <w:left w:val="nil"/>
              <w:bottom w:val="single" w:sz="4" w:space="0" w:color="auto"/>
              <w:right w:val="single" w:sz="4" w:space="0" w:color="auto"/>
            </w:tcBorders>
            <w:shd w:val="clear" w:color="auto" w:fill="auto"/>
            <w:noWrap/>
            <w:vAlign w:val="bottom"/>
            <w:hideMark/>
          </w:tcPr>
          <w:p w14:paraId="4F848AF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88</w:t>
            </w:r>
          </w:p>
        </w:tc>
        <w:tc>
          <w:tcPr>
            <w:tcW w:w="700" w:type="dxa"/>
            <w:tcBorders>
              <w:top w:val="nil"/>
              <w:left w:val="nil"/>
              <w:bottom w:val="single" w:sz="4" w:space="0" w:color="auto"/>
              <w:right w:val="single" w:sz="4" w:space="0" w:color="auto"/>
            </w:tcBorders>
            <w:shd w:val="clear" w:color="auto" w:fill="auto"/>
            <w:noWrap/>
            <w:vAlign w:val="bottom"/>
            <w:hideMark/>
          </w:tcPr>
          <w:p w14:paraId="2AD3585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53</w:t>
            </w:r>
          </w:p>
        </w:tc>
        <w:tc>
          <w:tcPr>
            <w:tcW w:w="940" w:type="dxa"/>
            <w:tcBorders>
              <w:top w:val="nil"/>
              <w:left w:val="nil"/>
              <w:bottom w:val="single" w:sz="4" w:space="0" w:color="auto"/>
              <w:right w:val="single" w:sz="4" w:space="0" w:color="auto"/>
            </w:tcBorders>
            <w:shd w:val="clear" w:color="auto" w:fill="auto"/>
            <w:vAlign w:val="center"/>
            <w:hideMark/>
          </w:tcPr>
          <w:p w14:paraId="08F0765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532</w:t>
            </w:r>
          </w:p>
        </w:tc>
      </w:tr>
      <w:tr w:rsidR="00CE09F7" w:rsidRPr="00CE09F7" w14:paraId="3433E8F7"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07F604E1"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DEFINE COMPETENCIA</w:t>
            </w:r>
          </w:p>
        </w:tc>
        <w:tc>
          <w:tcPr>
            <w:tcW w:w="520" w:type="dxa"/>
            <w:tcBorders>
              <w:top w:val="nil"/>
              <w:left w:val="nil"/>
              <w:bottom w:val="single" w:sz="4" w:space="0" w:color="auto"/>
              <w:right w:val="single" w:sz="4" w:space="0" w:color="auto"/>
            </w:tcBorders>
            <w:shd w:val="clear" w:color="auto" w:fill="auto"/>
            <w:noWrap/>
            <w:vAlign w:val="bottom"/>
            <w:hideMark/>
          </w:tcPr>
          <w:p w14:paraId="0425F34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14</w:t>
            </w:r>
          </w:p>
        </w:tc>
        <w:tc>
          <w:tcPr>
            <w:tcW w:w="500" w:type="dxa"/>
            <w:tcBorders>
              <w:top w:val="nil"/>
              <w:left w:val="nil"/>
              <w:bottom w:val="single" w:sz="4" w:space="0" w:color="auto"/>
              <w:right w:val="single" w:sz="4" w:space="0" w:color="auto"/>
            </w:tcBorders>
            <w:shd w:val="clear" w:color="auto" w:fill="auto"/>
            <w:noWrap/>
            <w:vAlign w:val="bottom"/>
            <w:hideMark/>
          </w:tcPr>
          <w:p w14:paraId="3EF36FF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14</w:t>
            </w:r>
          </w:p>
        </w:tc>
        <w:tc>
          <w:tcPr>
            <w:tcW w:w="680" w:type="dxa"/>
            <w:tcBorders>
              <w:top w:val="nil"/>
              <w:left w:val="nil"/>
              <w:bottom w:val="single" w:sz="4" w:space="0" w:color="auto"/>
              <w:right w:val="single" w:sz="4" w:space="0" w:color="auto"/>
            </w:tcBorders>
            <w:shd w:val="clear" w:color="auto" w:fill="auto"/>
            <w:noWrap/>
            <w:vAlign w:val="bottom"/>
            <w:hideMark/>
          </w:tcPr>
          <w:p w14:paraId="1C1C44C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740" w:type="dxa"/>
            <w:tcBorders>
              <w:top w:val="nil"/>
              <w:left w:val="nil"/>
              <w:bottom w:val="single" w:sz="4" w:space="0" w:color="auto"/>
              <w:right w:val="single" w:sz="4" w:space="0" w:color="auto"/>
            </w:tcBorders>
            <w:shd w:val="clear" w:color="auto" w:fill="auto"/>
            <w:noWrap/>
            <w:vAlign w:val="bottom"/>
            <w:hideMark/>
          </w:tcPr>
          <w:p w14:paraId="0386860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21</w:t>
            </w:r>
          </w:p>
        </w:tc>
        <w:tc>
          <w:tcPr>
            <w:tcW w:w="660" w:type="dxa"/>
            <w:tcBorders>
              <w:top w:val="nil"/>
              <w:left w:val="nil"/>
              <w:bottom w:val="single" w:sz="4" w:space="0" w:color="auto"/>
              <w:right w:val="single" w:sz="4" w:space="0" w:color="auto"/>
            </w:tcBorders>
            <w:shd w:val="clear" w:color="auto" w:fill="auto"/>
            <w:noWrap/>
            <w:vAlign w:val="bottom"/>
            <w:hideMark/>
          </w:tcPr>
          <w:p w14:paraId="5AD0227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7DC809D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720" w:type="dxa"/>
            <w:tcBorders>
              <w:top w:val="nil"/>
              <w:left w:val="nil"/>
              <w:bottom w:val="single" w:sz="4" w:space="0" w:color="auto"/>
              <w:right w:val="single" w:sz="4" w:space="0" w:color="auto"/>
            </w:tcBorders>
            <w:shd w:val="clear" w:color="auto" w:fill="auto"/>
            <w:noWrap/>
            <w:vAlign w:val="bottom"/>
            <w:hideMark/>
          </w:tcPr>
          <w:p w14:paraId="7E2EAE0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720" w:type="dxa"/>
            <w:tcBorders>
              <w:top w:val="nil"/>
              <w:left w:val="nil"/>
              <w:bottom w:val="single" w:sz="4" w:space="0" w:color="auto"/>
              <w:right w:val="single" w:sz="4" w:space="0" w:color="auto"/>
            </w:tcBorders>
            <w:shd w:val="clear" w:color="auto" w:fill="auto"/>
            <w:noWrap/>
            <w:vAlign w:val="bottom"/>
            <w:hideMark/>
          </w:tcPr>
          <w:p w14:paraId="5FD67D6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640" w:type="dxa"/>
            <w:tcBorders>
              <w:top w:val="nil"/>
              <w:left w:val="nil"/>
              <w:bottom w:val="single" w:sz="4" w:space="0" w:color="auto"/>
              <w:right w:val="single" w:sz="4" w:space="0" w:color="auto"/>
            </w:tcBorders>
            <w:shd w:val="clear" w:color="auto" w:fill="auto"/>
            <w:noWrap/>
            <w:vAlign w:val="bottom"/>
            <w:hideMark/>
          </w:tcPr>
          <w:p w14:paraId="4294FFC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35</w:t>
            </w:r>
          </w:p>
        </w:tc>
        <w:tc>
          <w:tcPr>
            <w:tcW w:w="660" w:type="dxa"/>
            <w:tcBorders>
              <w:top w:val="nil"/>
              <w:left w:val="nil"/>
              <w:bottom w:val="single" w:sz="4" w:space="0" w:color="auto"/>
              <w:right w:val="single" w:sz="4" w:space="0" w:color="auto"/>
            </w:tcBorders>
            <w:shd w:val="clear" w:color="auto" w:fill="auto"/>
            <w:noWrap/>
            <w:vAlign w:val="bottom"/>
            <w:hideMark/>
          </w:tcPr>
          <w:p w14:paraId="692553B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10</w:t>
            </w:r>
          </w:p>
        </w:tc>
        <w:tc>
          <w:tcPr>
            <w:tcW w:w="620" w:type="dxa"/>
            <w:tcBorders>
              <w:top w:val="nil"/>
              <w:left w:val="nil"/>
              <w:bottom w:val="single" w:sz="4" w:space="0" w:color="auto"/>
              <w:right w:val="single" w:sz="4" w:space="0" w:color="auto"/>
            </w:tcBorders>
            <w:shd w:val="clear" w:color="auto" w:fill="auto"/>
            <w:noWrap/>
            <w:vAlign w:val="bottom"/>
            <w:hideMark/>
          </w:tcPr>
          <w:p w14:paraId="5808F52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c>
          <w:tcPr>
            <w:tcW w:w="700" w:type="dxa"/>
            <w:tcBorders>
              <w:top w:val="nil"/>
              <w:left w:val="nil"/>
              <w:bottom w:val="single" w:sz="4" w:space="0" w:color="auto"/>
              <w:right w:val="single" w:sz="4" w:space="0" w:color="auto"/>
            </w:tcBorders>
            <w:shd w:val="clear" w:color="auto" w:fill="auto"/>
            <w:noWrap/>
            <w:vAlign w:val="bottom"/>
            <w:hideMark/>
          </w:tcPr>
          <w:p w14:paraId="6AB103E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11</w:t>
            </w:r>
          </w:p>
        </w:tc>
        <w:tc>
          <w:tcPr>
            <w:tcW w:w="940" w:type="dxa"/>
            <w:tcBorders>
              <w:top w:val="nil"/>
              <w:left w:val="nil"/>
              <w:bottom w:val="single" w:sz="4" w:space="0" w:color="auto"/>
              <w:right w:val="single" w:sz="4" w:space="0" w:color="auto"/>
            </w:tcBorders>
            <w:shd w:val="clear" w:color="auto" w:fill="auto"/>
            <w:vAlign w:val="center"/>
            <w:hideMark/>
          </w:tcPr>
          <w:p w14:paraId="23EF73A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126</w:t>
            </w:r>
          </w:p>
        </w:tc>
      </w:tr>
      <w:tr w:rsidR="00CE09F7" w:rsidRPr="00CE09F7" w14:paraId="13F18995"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467D20C6"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DEMANDA INADMISIBLE</w:t>
            </w:r>
          </w:p>
        </w:tc>
        <w:tc>
          <w:tcPr>
            <w:tcW w:w="520" w:type="dxa"/>
            <w:tcBorders>
              <w:top w:val="nil"/>
              <w:left w:val="nil"/>
              <w:bottom w:val="single" w:sz="4" w:space="0" w:color="auto"/>
              <w:right w:val="single" w:sz="4" w:space="0" w:color="auto"/>
            </w:tcBorders>
            <w:shd w:val="clear" w:color="auto" w:fill="auto"/>
            <w:noWrap/>
            <w:vAlign w:val="bottom"/>
            <w:hideMark/>
          </w:tcPr>
          <w:p w14:paraId="495F2BF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500" w:type="dxa"/>
            <w:tcBorders>
              <w:top w:val="nil"/>
              <w:left w:val="nil"/>
              <w:bottom w:val="single" w:sz="4" w:space="0" w:color="auto"/>
              <w:right w:val="single" w:sz="4" w:space="0" w:color="auto"/>
            </w:tcBorders>
            <w:shd w:val="clear" w:color="auto" w:fill="auto"/>
            <w:noWrap/>
            <w:vAlign w:val="bottom"/>
            <w:hideMark/>
          </w:tcPr>
          <w:p w14:paraId="63275D8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80" w:type="dxa"/>
            <w:tcBorders>
              <w:top w:val="nil"/>
              <w:left w:val="nil"/>
              <w:bottom w:val="single" w:sz="4" w:space="0" w:color="auto"/>
              <w:right w:val="single" w:sz="4" w:space="0" w:color="auto"/>
            </w:tcBorders>
            <w:shd w:val="clear" w:color="auto" w:fill="auto"/>
            <w:noWrap/>
            <w:vAlign w:val="bottom"/>
            <w:hideMark/>
          </w:tcPr>
          <w:p w14:paraId="783AFA79"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09A7E14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087A3B3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543F297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16277F3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0447726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43FC15E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60" w:type="dxa"/>
            <w:tcBorders>
              <w:top w:val="nil"/>
              <w:left w:val="nil"/>
              <w:bottom w:val="single" w:sz="4" w:space="0" w:color="auto"/>
              <w:right w:val="single" w:sz="4" w:space="0" w:color="auto"/>
            </w:tcBorders>
            <w:shd w:val="clear" w:color="auto" w:fill="auto"/>
            <w:noWrap/>
            <w:vAlign w:val="bottom"/>
            <w:hideMark/>
          </w:tcPr>
          <w:p w14:paraId="38E14C3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20" w:type="dxa"/>
            <w:tcBorders>
              <w:top w:val="nil"/>
              <w:left w:val="nil"/>
              <w:bottom w:val="single" w:sz="4" w:space="0" w:color="auto"/>
              <w:right w:val="single" w:sz="4" w:space="0" w:color="auto"/>
            </w:tcBorders>
            <w:shd w:val="clear" w:color="auto" w:fill="auto"/>
            <w:noWrap/>
            <w:vAlign w:val="bottom"/>
            <w:hideMark/>
          </w:tcPr>
          <w:p w14:paraId="3636634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00" w:type="dxa"/>
            <w:tcBorders>
              <w:top w:val="nil"/>
              <w:left w:val="nil"/>
              <w:bottom w:val="single" w:sz="4" w:space="0" w:color="auto"/>
              <w:right w:val="single" w:sz="4" w:space="0" w:color="auto"/>
            </w:tcBorders>
            <w:shd w:val="clear" w:color="auto" w:fill="auto"/>
            <w:noWrap/>
            <w:vAlign w:val="bottom"/>
            <w:hideMark/>
          </w:tcPr>
          <w:p w14:paraId="5F8C621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940" w:type="dxa"/>
            <w:tcBorders>
              <w:top w:val="nil"/>
              <w:left w:val="nil"/>
              <w:bottom w:val="single" w:sz="4" w:space="0" w:color="auto"/>
              <w:right w:val="single" w:sz="4" w:space="0" w:color="auto"/>
            </w:tcBorders>
            <w:shd w:val="clear" w:color="auto" w:fill="auto"/>
            <w:vAlign w:val="center"/>
            <w:hideMark/>
          </w:tcPr>
          <w:p w14:paraId="279B82B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r>
      <w:tr w:rsidR="00CE09F7" w:rsidRPr="00CE09F7" w14:paraId="7F537FB2"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3437E555"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DESISTIDO</w:t>
            </w:r>
          </w:p>
        </w:tc>
        <w:tc>
          <w:tcPr>
            <w:tcW w:w="520" w:type="dxa"/>
            <w:tcBorders>
              <w:top w:val="nil"/>
              <w:left w:val="nil"/>
              <w:bottom w:val="single" w:sz="4" w:space="0" w:color="auto"/>
              <w:right w:val="single" w:sz="4" w:space="0" w:color="auto"/>
            </w:tcBorders>
            <w:shd w:val="clear" w:color="auto" w:fill="auto"/>
            <w:noWrap/>
            <w:vAlign w:val="bottom"/>
            <w:hideMark/>
          </w:tcPr>
          <w:p w14:paraId="5F65BD4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500" w:type="dxa"/>
            <w:tcBorders>
              <w:top w:val="nil"/>
              <w:left w:val="nil"/>
              <w:bottom w:val="single" w:sz="4" w:space="0" w:color="auto"/>
              <w:right w:val="single" w:sz="4" w:space="0" w:color="auto"/>
            </w:tcBorders>
            <w:shd w:val="clear" w:color="auto" w:fill="auto"/>
            <w:noWrap/>
            <w:vAlign w:val="bottom"/>
            <w:hideMark/>
          </w:tcPr>
          <w:p w14:paraId="5D1C217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80" w:type="dxa"/>
            <w:tcBorders>
              <w:top w:val="nil"/>
              <w:left w:val="nil"/>
              <w:bottom w:val="single" w:sz="4" w:space="0" w:color="auto"/>
              <w:right w:val="single" w:sz="4" w:space="0" w:color="auto"/>
            </w:tcBorders>
            <w:shd w:val="clear" w:color="auto" w:fill="auto"/>
            <w:noWrap/>
            <w:vAlign w:val="bottom"/>
            <w:hideMark/>
          </w:tcPr>
          <w:p w14:paraId="1B3DB58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296A560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6F7273A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14CAA65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3D5CB3D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286B531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385E432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60" w:type="dxa"/>
            <w:tcBorders>
              <w:top w:val="nil"/>
              <w:left w:val="nil"/>
              <w:bottom w:val="single" w:sz="4" w:space="0" w:color="auto"/>
              <w:right w:val="single" w:sz="4" w:space="0" w:color="auto"/>
            </w:tcBorders>
            <w:shd w:val="clear" w:color="auto" w:fill="auto"/>
            <w:noWrap/>
            <w:vAlign w:val="bottom"/>
            <w:hideMark/>
          </w:tcPr>
          <w:p w14:paraId="134263A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20" w:type="dxa"/>
            <w:tcBorders>
              <w:top w:val="nil"/>
              <w:left w:val="nil"/>
              <w:bottom w:val="single" w:sz="4" w:space="0" w:color="auto"/>
              <w:right w:val="single" w:sz="4" w:space="0" w:color="auto"/>
            </w:tcBorders>
            <w:shd w:val="clear" w:color="auto" w:fill="auto"/>
            <w:noWrap/>
            <w:vAlign w:val="bottom"/>
            <w:hideMark/>
          </w:tcPr>
          <w:p w14:paraId="74F560D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700" w:type="dxa"/>
            <w:tcBorders>
              <w:top w:val="nil"/>
              <w:left w:val="nil"/>
              <w:bottom w:val="single" w:sz="4" w:space="0" w:color="auto"/>
              <w:right w:val="single" w:sz="4" w:space="0" w:color="auto"/>
            </w:tcBorders>
            <w:shd w:val="clear" w:color="auto" w:fill="auto"/>
            <w:noWrap/>
            <w:vAlign w:val="bottom"/>
            <w:hideMark/>
          </w:tcPr>
          <w:p w14:paraId="049034C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940" w:type="dxa"/>
            <w:tcBorders>
              <w:top w:val="nil"/>
              <w:left w:val="nil"/>
              <w:bottom w:val="single" w:sz="4" w:space="0" w:color="auto"/>
              <w:right w:val="single" w:sz="4" w:space="0" w:color="auto"/>
            </w:tcBorders>
            <w:shd w:val="clear" w:color="auto" w:fill="auto"/>
            <w:vAlign w:val="center"/>
            <w:hideMark/>
          </w:tcPr>
          <w:p w14:paraId="2B448949"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8</w:t>
            </w:r>
          </w:p>
        </w:tc>
      </w:tr>
      <w:tr w:rsidR="00CE09F7" w:rsidRPr="00CE09F7" w14:paraId="3A09171F" w14:textId="77777777" w:rsidTr="00CE09F7">
        <w:trPr>
          <w:trHeight w:val="490"/>
          <w:jc w:val="center"/>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4156C920"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DEVUELTO TRÁMITE INCOMPLETO</w:t>
            </w:r>
          </w:p>
        </w:tc>
        <w:tc>
          <w:tcPr>
            <w:tcW w:w="520" w:type="dxa"/>
            <w:tcBorders>
              <w:top w:val="nil"/>
              <w:left w:val="nil"/>
              <w:bottom w:val="single" w:sz="4" w:space="0" w:color="auto"/>
              <w:right w:val="single" w:sz="4" w:space="0" w:color="auto"/>
            </w:tcBorders>
            <w:shd w:val="clear" w:color="auto" w:fill="auto"/>
            <w:noWrap/>
            <w:vAlign w:val="bottom"/>
            <w:hideMark/>
          </w:tcPr>
          <w:p w14:paraId="396E9509"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500" w:type="dxa"/>
            <w:tcBorders>
              <w:top w:val="nil"/>
              <w:left w:val="nil"/>
              <w:bottom w:val="single" w:sz="4" w:space="0" w:color="auto"/>
              <w:right w:val="single" w:sz="4" w:space="0" w:color="auto"/>
            </w:tcBorders>
            <w:shd w:val="clear" w:color="auto" w:fill="auto"/>
            <w:noWrap/>
            <w:vAlign w:val="bottom"/>
            <w:hideMark/>
          </w:tcPr>
          <w:p w14:paraId="62584DE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80" w:type="dxa"/>
            <w:tcBorders>
              <w:top w:val="nil"/>
              <w:left w:val="nil"/>
              <w:bottom w:val="single" w:sz="4" w:space="0" w:color="auto"/>
              <w:right w:val="single" w:sz="4" w:space="0" w:color="auto"/>
            </w:tcBorders>
            <w:shd w:val="clear" w:color="auto" w:fill="auto"/>
            <w:noWrap/>
            <w:vAlign w:val="bottom"/>
            <w:hideMark/>
          </w:tcPr>
          <w:p w14:paraId="70B0F29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40" w:type="dxa"/>
            <w:tcBorders>
              <w:top w:val="nil"/>
              <w:left w:val="nil"/>
              <w:bottom w:val="single" w:sz="4" w:space="0" w:color="auto"/>
              <w:right w:val="single" w:sz="4" w:space="0" w:color="auto"/>
            </w:tcBorders>
            <w:shd w:val="clear" w:color="auto" w:fill="auto"/>
            <w:noWrap/>
            <w:vAlign w:val="bottom"/>
            <w:hideMark/>
          </w:tcPr>
          <w:p w14:paraId="4F56EDE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60" w:type="dxa"/>
            <w:tcBorders>
              <w:top w:val="nil"/>
              <w:left w:val="nil"/>
              <w:bottom w:val="single" w:sz="4" w:space="0" w:color="auto"/>
              <w:right w:val="single" w:sz="4" w:space="0" w:color="auto"/>
            </w:tcBorders>
            <w:shd w:val="clear" w:color="auto" w:fill="auto"/>
            <w:noWrap/>
            <w:vAlign w:val="bottom"/>
            <w:hideMark/>
          </w:tcPr>
          <w:p w14:paraId="54F2BF7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40" w:type="dxa"/>
            <w:tcBorders>
              <w:top w:val="nil"/>
              <w:left w:val="nil"/>
              <w:bottom w:val="single" w:sz="4" w:space="0" w:color="auto"/>
              <w:right w:val="single" w:sz="4" w:space="0" w:color="auto"/>
            </w:tcBorders>
            <w:shd w:val="clear" w:color="auto" w:fill="auto"/>
            <w:noWrap/>
            <w:vAlign w:val="bottom"/>
            <w:hideMark/>
          </w:tcPr>
          <w:p w14:paraId="7FA829A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7153857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2C3452A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40" w:type="dxa"/>
            <w:tcBorders>
              <w:top w:val="nil"/>
              <w:left w:val="nil"/>
              <w:bottom w:val="single" w:sz="4" w:space="0" w:color="auto"/>
              <w:right w:val="single" w:sz="4" w:space="0" w:color="auto"/>
            </w:tcBorders>
            <w:shd w:val="clear" w:color="auto" w:fill="auto"/>
            <w:noWrap/>
            <w:vAlign w:val="bottom"/>
            <w:hideMark/>
          </w:tcPr>
          <w:p w14:paraId="6E5335C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0942986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5ADCF54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700" w:type="dxa"/>
            <w:tcBorders>
              <w:top w:val="nil"/>
              <w:left w:val="nil"/>
              <w:bottom w:val="single" w:sz="4" w:space="0" w:color="auto"/>
              <w:right w:val="single" w:sz="4" w:space="0" w:color="auto"/>
            </w:tcBorders>
            <w:shd w:val="clear" w:color="auto" w:fill="auto"/>
            <w:noWrap/>
            <w:vAlign w:val="bottom"/>
            <w:hideMark/>
          </w:tcPr>
          <w:p w14:paraId="69BB043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940" w:type="dxa"/>
            <w:tcBorders>
              <w:top w:val="nil"/>
              <w:left w:val="nil"/>
              <w:bottom w:val="single" w:sz="4" w:space="0" w:color="auto"/>
              <w:right w:val="single" w:sz="4" w:space="0" w:color="auto"/>
            </w:tcBorders>
            <w:shd w:val="clear" w:color="auto" w:fill="auto"/>
            <w:vAlign w:val="center"/>
            <w:hideMark/>
          </w:tcPr>
          <w:p w14:paraId="469E17E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9</w:t>
            </w:r>
          </w:p>
        </w:tc>
      </w:tr>
      <w:tr w:rsidR="00CE09F7" w:rsidRPr="00CE09F7" w14:paraId="11DDA1D5" w14:textId="77777777" w:rsidTr="00CE09F7">
        <w:trPr>
          <w:trHeight w:val="490"/>
          <w:jc w:val="center"/>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09C8DE4D"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EMPLAZAMIENTO POR TRÁMITES PENDIENTES</w:t>
            </w:r>
          </w:p>
        </w:tc>
        <w:tc>
          <w:tcPr>
            <w:tcW w:w="520" w:type="dxa"/>
            <w:tcBorders>
              <w:top w:val="nil"/>
              <w:left w:val="nil"/>
              <w:bottom w:val="single" w:sz="4" w:space="0" w:color="auto"/>
              <w:right w:val="single" w:sz="4" w:space="0" w:color="auto"/>
            </w:tcBorders>
            <w:shd w:val="clear" w:color="auto" w:fill="auto"/>
            <w:noWrap/>
            <w:vAlign w:val="bottom"/>
            <w:hideMark/>
          </w:tcPr>
          <w:p w14:paraId="7A04E1D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500" w:type="dxa"/>
            <w:tcBorders>
              <w:top w:val="nil"/>
              <w:left w:val="nil"/>
              <w:bottom w:val="single" w:sz="4" w:space="0" w:color="auto"/>
              <w:right w:val="single" w:sz="4" w:space="0" w:color="auto"/>
            </w:tcBorders>
            <w:shd w:val="clear" w:color="auto" w:fill="auto"/>
            <w:noWrap/>
            <w:vAlign w:val="bottom"/>
            <w:hideMark/>
          </w:tcPr>
          <w:p w14:paraId="285A272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80" w:type="dxa"/>
            <w:tcBorders>
              <w:top w:val="nil"/>
              <w:left w:val="nil"/>
              <w:bottom w:val="single" w:sz="4" w:space="0" w:color="auto"/>
              <w:right w:val="single" w:sz="4" w:space="0" w:color="auto"/>
            </w:tcBorders>
            <w:shd w:val="clear" w:color="auto" w:fill="auto"/>
            <w:noWrap/>
            <w:vAlign w:val="bottom"/>
            <w:hideMark/>
          </w:tcPr>
          <w:p w14:paraId="259D598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2080D07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08CA03B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48FDCDA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4BC6C29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2324665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4677BE2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7AC692C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2EF956A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00" w:type="dxa"/>
            <w:tcBorders>
              <w:top w:val="nil"/>
              <w:left w:val="nil"/>
              <w:bottom w:val="single" w:sz="4" w:space="0" w:color="auto"/>
              <w:right w:val="single" w:sz="4" w:space="0" w:color="auto"/>
            </w:tcBorders>
            <w:shd w:val="clear" w:color="auto" w:fill="auto"/>
            <w:noWrap/>
            <w:vAlign w:val="bottom"/>
            <w:hideMark/>
          </w:tcPr>
          <w:p w14:paraId="2E7EECD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940" w:type="dxa"/>
            <w:tcBorders>
              <w:top w:val="nil"/>
              <w:left w:val="nil"/>
              <w:bottom w:val="single" w:sz="4" w:space="0" w:color="auto"/>
              <w:right w:val="single" w:sz="4" w:space="0" w:color="auto"/>
            </w:tcBorders>
            <w:shd w:val="clear" w:color="auto" w:fill="auto"/>
            <w:vAlign w:val="center"/>
            <w:hideMark/>
          </w:tcPr>
          <w:p w14:paraId="56518EB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r>
      <w:tr w:rsidR="00CE09F7" w:rsidRPr="00CE09F7" w14:paraId="444EB70C"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7E96328E"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MAL ADMITIDA</w:t>
            </w:r>
          </w:p>
        </w:tc>
        <w:tc>
          <w:tcPr>
            <w:tcW w:w="520" w:type="dxa"/>
            <w:tcBorders>
              <w:top w:val="nil"/>
              <w:left w:val="nil"/>
              <w:bottom w:val="single" w:sz="4" w:space="0" w:color="auto"/>
              <w:right w:val="single" w:sz="4" w:space="0" w:color="auto"/>
            </w:tcBorders>
            <w:shd w:val="clear" w:color="auto" w:fill="auto"/>
            <w:noWrap/>
            <w:vAlign w:val="bottom"/>
            <w:hideMark/>
          </w:tcPr>
          <w:p w14:paraId="631E6B0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c>
          <w:tcPr>
            <w:tcW w:w="500" w:type="dxa"/>
            <w:tcBorders>
              <w:top w:val="nil"/>
              <w:left w:val="nil"/>
              <w:bottom w:val="single" w:sz="4" w:space="0" w:color="auto"/>
              <w:right w:val="single" w:sz="4" w:space="0" w:color="auto"/>
            </w:tcBorders>
            <w:shd w:val="clear" w:color="auto" w:fill="auto"/>
            <w:noWrap/>
            <w:vAlign w:val="bottom"/>
            <w:hideMark/>
          </w:tcPr>
          <w:p w14:paraId="20FD6FC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10</w:t>
            </w:r>
          </w:p>
        </w:tc>
        <w:tc>
          <w:tcPr>
            <w:tcW w:w="680" w:type="dxa"/>
            <w:tcBorders>
              <w:top w:val="nil"/>
              <w:left w:val="nil"/>
              <w:bottom w:val="single" w:sz="4" w:space="0" w:color="auto"/>
              <w:right w:val="single" w:sz="4" w:space="0" w:color="auto"/>
            </w:tcBorders>
            <w:shd w:val="clear" w:color="auto" w:fill="auto"/>
            <w:noWrap/>
            <w:vAlign w:val="bottom"/>
            <w:hideMark/>
          </w:tcPr>
          <w:p w14:paraId="35B5AC3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740" w:type="dxa"/>
            <w:tcBorders>
              <w:top w:val="nil"/>
              <w:left w:val="nil"/>
              <w:bottom w:val="single" w:sz="4" w:space="0" w:color="auto"/>
              <w:right w:val="single" w:sz="4" w:space="0" w:color="auto"/>
            </w:tcBorders>
            <w:shd w:val="clear" w:color="auto" w:fill="auto"/>
            <w:noWrap/>
            <w:vAlign w:val="bottom"/>
            <w:hideMark/>
          </w:tcPr>
          <w:p w14:paraId="159B7C3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c>
          <w:tcPr>
            <w:tcW w:w="660" w:type="dxa"/>
            <w:tcBorders>
              <w:top w:val="nil"/>
              <w:left w:val="nil"/>
              <w:bottom w:val="single" w:sz="4" w:space="0" w:color="auto"/>
              <w:right w:val="single" w:sz="4" w:space="0" w:color="auto"/>
            </w:tcBorders>
            <w:shd w:val="clear" w:color="auto" w:fill="auto"/>
            <w:noWrap/>
            <w:vAlign w:val="bottom"/>
            <w:hideMark/>
          </w:tcPr>
          <w:p w14:paraId="08F8139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40" w:type="dxa"/>
            <w:tcBorders>
              <w:top w:val="nil"/>
              <w:left w:val="nil"/>
              <w:bottom w:val="single" w:sz="4" w:space="0" w:color="auto"/>
              <w:right w:val="single" w:sz="4" w:space="0" w:color="auto"/>
            </w:tcBorders>
            <w:shd w:val="clear" w:color="auto" w:fill="auto"/>
            <w:noWrap/>
            <w:vAlign w:val="bottom"/>
            <w:hideMark/>
          </w:tcPr>
          <w:p w14:paraId="3014F6C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720" w:type="dxa"/>
            <w:tcBorders>
              <w:top w:val="nil"/>
              <w:left w:val="nil"/>
              <w:bottom w:val="single" w:sz="4" w:space="0" w:color="auto"/>
              <w:right w:val="single" w:sz="4" w:space="0" w:color="auto"/>
            </w:tcBorders>
            <w:shd w:val="clear" w:color="auto" w:fill="auto"/>
            <w:noWrap/>
            <w:vAlign w:val="bottom"/>
            <w:hideMark/>
          </w:tcPr>
          <w:p w14:paraId="2F4CF9F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720" w:type="dxa"/>
            <w:tcBorders>
              <w:top w:val="nil"/>
              <w:left w:val="nil"/>
              <w:bottom w:val="single" w:sz="4" w:space="0" w:color="auto"/>
              <w:right w:val="single" w:sz="4" w:space="0" w:color="auto"/>
            </w:tcBorders>
            <w:shd w:val="clear" w:color="auto" w:fill="auto"/>
            <w:noWrap/>
            <w:vAlign w:val="bottom"/>
            <w:hideMark/>
          </w:tcPr>
          <w:p w14:paraId="371ECE0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640" w:type="dxa"/>
            <w:tcBorders>
              <w:top w:val="nil"/>
              <w:left w:val="nil"/>
              <w:bottom w:val="single" w:sz="4" w:space="0" w:color="auto"/>
              <w:right w:val="single" w:sz="4" w:space="0" w:color="auto"/>
            </w:tcBorders>
            <w:shd w:val="clear" w:color="auto" w:fill="auto"/>
            <w:noWrap/>
            <w:vAlign w:val="bottom"/>
            <w:hideMark/>
          </w:tcPr>
          <w:p w14:paraId="33D3A79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660" w:type="dxa"/>
            <w:tcBorders>
              <w:top w:val="nil"/>
              <w:left w:val="nil"/>
              <w:bottom w:val="single" w:sz="4" w:space="0" w:color="auto"/>
              <w:right w:val="single" w:sz="4" w:space="0" w:color="auto"/>
            </w:tcBorders>
            <w:shd w:val="clear" w:color="auto" w:fill="auto"/>
            <w:noWrap/>
            <w:vAlign w:val="bottom"/>
            <w:hideMark/>
          </w:tcPr>
          <w:p w14:paraId="59D0D75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620" w:type="dxa"/>
            <w:tcBorders>
              <w:top w:val="nil"/>
              <w:left w:val="nil"/>
              <w:bottom w:val="single" w:sz="4" w:space="0" w:color="auto"/>
              <w:right w:val="single" w:sz="4" w:space="0" w:color="auto"/>
            </w:tcBorders>
            <w:shd w:val="clear" w:color="auto" w:fill="auto"/>
            <w:noWrap/>
            <w:vAlign w:val="bottom"/>
            <w:hideMark/>
          </w:tcPr>
          <w:p w14:paraId="3BE1369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10</w:t>
            </w:r>
          </w:p>
        </w:tc>
        <w:tc>
          <w:tcPr>
            <w:tcW w:w="700" w:type="dxa"/>
            <w:tcBorders>
              <w:top w:val="nil"/>
              <w:left w:val="nil"/>
              <w:bottom w:val="single" w:sz="4" w:space="0" w:color="auto"/>
              <w:right w:val="single" w:sz="4" w:space="0" w:color="auto"/>
            </w:tcBorders>
            <w:shd w:val="clear" w:color="auto" w:fill="auto"/>
            <w:noWrap/>
            <w:vAlign w:val="bottom"/>
            <w:hideMark/>
          </w:tcPr>
          <w:p w14:paraId="49F8E5F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20</w:t>
            </w:r>
          </w:p>
        </w:tc>
        <w:tc>
          <w:tcPr>
            <w:tcW w:w="940" w:type="dxa"/>
            <w:tcBorders>
              <w:top w:val="nil"/>
              <w:left w:val="nil"/>
              <w:bottom w:val="single" w:sz="4" w:space="0" w:color="auto"/>
              <w:right w:val="single" w:sz="4" w:space="0" w:color="auto"/>
            </w:tcBorders>
            <w:shd w:val="clear" w:color="auto" w:fill="auto"/>
            <w:vAlign w:val="center"/>
            <w:hideMark/>
          </w:tcPr>
          <w:p w14:paraId="6C9C53F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78</w:t>
            </w:r>
          </w:p>
        </w:tc>
      </w:tr>
      <w:tr w:rsidR="00CE09F7" w:rsidRPr="00CE09F7" w14:paraId="1844920E"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1AD132BC"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MODIFICATORIA</w:t>
            </w:r>
          </w:p>
        </w:tc>
        <w:tc>
          <w:tcPr>
            <w:tcW w:w="520" w:type="dxa"/>
            <w:tcBorders>
              <w:top w:val="nil"/>
              <w:left w:val="nil"/>
              <w:bottom w:val="single" w:sz="4" w:space="0" w:color="auto"/>
              <w:right w:val="single" w:sz="4" w:space="0" w:color="auto"/>
            </w:tcBorders>
            <w:shd w:val="clear" w:color="auto" w:fill="auto"/>
            <w:noWrap/>
            <w:vAlign w:val="bottom"/>
            <w:hideMark/>
          </w:tcPr>
          <w:p w14:paraId="669414E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500" w:type="dxa"/>
            <w:tcBorders>
              <w:top w:val="nil"/>
              <w:left w:val="nil"/>
              <w:bottom w:val="single" w:sz="4" w:space="0" w:color="auto"/>
              <w:right w:val="single" w:sz="4" w:space="0" w:color="auto"/>
            </w:tcBorders>
            <w:shd w:val="clear" w:color="auto" w:fill="auto"/>
            <w:noWrap/>
            <w:vAlign w:val="bottom"/>
            <w:hideMark/>
          </w:tcPr>
          <w:p w14:paraId="59F40F5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80" w:type="dxa"/>
            <w:tcBorders>
              <w:top w:val="nil"/>
              <w:left w:val="nil"/>
              <w:bottom w:val="single" w:sz="4" w:space="0" w:color="auto"/>
              <w:right w:val="single" w:sz="4" w:space="0" w:color="auto"/>
            </w:tcBorders>
            <w:shd w:val="clear" w:color="auto" w:fill="auto"/>
            <w:noWrap/>
            <w:vAlign w:val="bottom"/>
            <w:hideMark/>
          </w:tcPr>
          <w:p w14:paraId="02FD090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4050CAA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60" w:type="dxa"/>
            <w:tcBorders>
              <w:top w:val="nil"/>
              <w:left w:val="nil"/>
              <w:bottom w:val="single" w:sz="4" w:space="0" w:color="auto"/>
              <w:right w:val="single" w:sz="4" w:space="0" w:color="auto"/>
            </w:tcBorders>
            <w:shd w:val="clear" w:color="auto" w:fill="auto"/>
            <w:noWrap/>
            <w:vAlign w:val="bottom"/>
            <w:hideMark/>
          </w:tcPr>
          <w:p w14:paraId="767C4D5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19AF716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7A9D2C0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20" w:type="dxa"/>
            <w:tcBorders>
              <w:top w:val="nil"/>
              <w:left w:val="nil"/>
              <w:bottom w:val="single" w:sz="4" w:space="0" w:color="auto"/>
              <w:right w:val="single" w:sz="4" w:space="0" w:color="auto"/>
            </w:tcBorders>
            <w:shd w:val="clear" w:color="auto" w:fill="auto"/>
            <w:noWrap/>
            <w:vAlign w:val="bottom"/>
            <w:hideMark/>
          </w:tcPr>
          <w:p w14:paraId="7AAF765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385CBC0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660" w:type="dxa"/>
            <w:tcBorders>
              <w:top w:val="nil"/>
              <w:left w:val="nil"/>
              <w:bottom w:val="single" w:sz="4" w:space="0" w:color="auto"/>
              <w:right w:val="single" w:sz="4" w:space="0" w:color="auto"/>
            </w:tcBorders>
            <w:shd w:val="clear" w:color="auto" w:fill="auto"/>
            <w:noWrap/>
            <w:vAlign w:val="bottom"/>
            <w:hideMark/>
          </w:tcPr>
          <w:p w14:paraId="58A553B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5988ABA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00" w:type="dxa"/>
            <w:tcBorders>
              <w:top w:val="nil"/>
              <w:left w:val="nil"/>
              <w:bottom w:val="single" w:sz="4" w:space="0" w:color="auto"/>
              <w:right w:val="single" w:sz="4" w:space="0" w:color="auto"/>
            </w:tcBorders>
            <w:shd w:val="clear" w:color="auto" w:fill="auto"/>
            <w:noWrap/>
            <w:vAlign w:val="bottom"/>
            <w:hideMark/>
          </w:tcPr>
          <w:p w14:paraId="6B2D22C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940" w:type="dxa"/>
            <w:tcBorders>
              <w:top w:val="nil"/>
              <w:left w:val="nil"/>
              <w:bottom w:val="single" w:sz="4" w:space="0" w:color="auto"/>
              <w:right w:val="single" w:sz="4" w:space="0" w:color="auto"/>
            </w:tcBorders>
            <w:shd w:val="clear" w:color="auto" w:fill="auto"/>
            <w:vAlign w:val="center"/>
            <w:hideMark/>
          </w:tcPr>
          <w:p w14:paraId="3D9BACE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11</w:t>
            </w:r>
          </w:p>
        </w:tc>
      </w:tr>
      <w:tr w:rsidR="00CE09F7" w:rsidRPr="00CE09F7" w14:paraId="7C8B89BC"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19A3D3CB"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RESOLUCIÓN MÚLTIPLE</w:t>
            </w:r>
          </w:p>
        </w:tc>
        <w:tc>
          <w:tcPr>
            <w:tcW w:w="520" w:type="dxa"/>
            <w:tcBorders>
              <w:top w:val="nil"/>
              <w:left w:val="nil"/>
              <w:bottom w:val="single" w:sz="4" w:space="0" w:color="auto"/>
              <w:right w:val="single" w:sz="4" w:space="0" w:color="auto"/>
            </w:tcBorders>
            <w:shd w:val="clear" w:color="auto" w:fill="auto"/>
            <w:noWrap/>
            <w:vAlign w:val="bottom"/>
            <w:hideMark/>
          </w:tcPr>
          <w:p w14:paraId="3D00C8C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12</w:t>
            </w:r>
          </w:p>
        </w:tc>
        <w:tc>
          <w:tcPr>
            <w:tcW w:w="500" w:type="dxa"/>
            <w:tcBorders>
              <w:top w:val="nil"/>
              <w:left w:val="nil"/>
              <w:bottom w:val="single" w:sz="4" w:space="0" w:color="auto"/>
              <w:right w:val="single" w:sz="4" w:space="0" w:color="auto"/>
            </w:tcBorders>
            <w:shd w:val="clear" w:color="auto" w:fill="auto"/>
            <w:noWrap/>
            <w:vAlign w:val="bottom"/>
            <w:hideMark/>
          </w:tcPr>
          <w:p w14:paraId="622305F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12</w:t>
            </w:r>
          </w:p>
        </w:tc>
        <w:tc>
          <w:tcPr>
            <w:tcW w:w="680" w:type="dxa"/>
            <w:tcBorders>
              <w:top w:val="nil"/>
              <w:left w:val="nil"/>
              <w:bottom w:val="single" w:sz="4" w:space="0" w:color="auto"/>
              <w:right w:val="single" w:sz="4" w:space="0" w:color="auto"/>
            </w:tcBorders>
            <w:shd w:val="clear" w:color="auto" w:fill="auto"/>
            <w:noWrap/>
            <w:vAlign w:val="bottom"/>
            <w:hideMark/>
          </w:tcPr>
          <w:p w14:paraId="74A954E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740" w:type="dxa"/>
            <w:tcBorders>
              <w:top w:val="nil"/>
              <w:left w:val="nil"/>
              <w:bottom w:val="single" w:sz="4" w:space="0" w:color="auto"/>
              <w:right w:val="single" w:sz="4" w:space="0" w:color="auto"/>
            </w:tcBorders>
            <w:shd w:val="clear" w:color="auto" w:fill="auto"/>
            <w:noWrap/>
            <w:vAlign w:val="bottom"/>
            <w:hideMark/>
          </w:tcPr>
          <w:p w14:paraId="1F2B499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c>
          <w:tcPr>
            <w:tcW w:w="660" w:type="dxa"/>
            <w:tcBorders>
              <w:top w:val="nil"/>
              <w:left w:val="nil"/>
              <w:bottom w:val="single" w:sz="4" w:space="0" w:color="auto"/>
              <w:right w:val="single" w:sz="4" w:space="0" w:color="auto"/>
            </w:tcBorders>
            <w:shd w:val="clear" w:color="auto" w:fill="auto"/>
            <w:noWrap/>
            <w:vAlign w:val="bottom"/>
            <w:hideMark/>
          </w:tcPr>
          <w:p w14:paraId="5AB3ACE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39FDF65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720" w:type="dxa"/>
            <w:tcBorders>
              <w:top w:val="nil"/>
              <w:left w:val="nil"/>
              <w:bottom w:val="single" w:sz="4" w:space="0" w:color="auto"/>
              <w:right w:val="single" w:sz="4" w:space="0" w:color="auto"/>
            </w:tcBorders>
            <w:shd w:val="clear" w:color="auto" w:fill="auto"/>
            <w:noWrap/>
            <w:vAlign w:val="bottom"/>
            <w:hideMark/>
          </w:tcPr>
          <w:p w14:paraId="5EE00CD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54599ED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640" w:type="dxa"/>
            <w:tcBorders>
              <w:top w:val="nil"/>
              <w:left w:val="nil"/>
              <w:bottom w:val="single" w:sz="4" w:space="0" w:color="auto"/>
              <w:right w:val="single" w:sz="4" w:space="0" w:color="auto"/>
            </w:tcBorders>
            <w:shd w:val="clear" w:color="auto" w:fill="auto"/>
            <w:noWrap/>
            <w:vAlign w:val="bottom"/>
            <w:hideMark/>
          </w:tcPr>
          <w:p w14:paraId="0D30BA2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660" w:type="dxa"/>
            <w:tcBorders>
              <w:top w:val="nil"/>
              <w:left w:val="nil"/>
              <w:bottom w:val="single" w:sz="4" w:space="0" w:color="auto"/>
              <w:right w:val="single" w:sz="4" w:space="0" w:color="auto"/>
            </w:tcBorders>
            <w:shd w:val="clear" w:color="auto" w:fill="auto"/>
            <w:noWrap/>
            <w:vAlign w:val="bottom"/>
            <w:hideMark/>
          </w:tcPr>
          <w:p w14:paraId="2161A47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620" w:type="dxa"/>
            <w:tcBorders>
              <w:top w:val="nil"/>
              <w:left w:val="nil"/>
              <w:bottom w:val="single" w:sz="4" w:space="0" w:color="auto"/>
              <w:right w:val="single" w:sz="4" w:space="0" w:color="auto"/>
            </w:tcBorders>
            <w:shd w:val="clear" w:color="auto" w:fill="auto"/>
            <w:noWrap/>
            <w:vAlign w:val="bottom"/>
            <w:hideMark/>
          </w:tcPr>
          <w:p w14:paraId="39F005B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14</w:t>
            </w:r>
          </w:p>
        </w:tc>
        <w:tc>
          <w:tcPr>
            <w:tcW w:w="700" w:type="dxa"/>
            <w:tcBorders>
              <w:top w:val="nil"/>
              <w:left w:val="nil"/>
              <w:bottom w:val="single" w:sz="4" w:space="0" w:color="auto"/>
              <w:right w:val="single" w:sz="4" w:space="0" w:color="auto"/>
            </w:tcBorders>
            <w:shd w:val="clear" w:color="auto" w:fill="auto"/>
            <w:noWrap/>
            <w:vAlign w:val="bottom"/>
            <w:hideMark/>
          </w:tcPr>
          <w:p w14:paraId="4818CB39"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940" w:type="dxa"/>
            <w:tcBorders>
              <w:top w:val="nil"/>
              <w:left w:val="nil"/>
              <w:bottom w:val="single" w:sz="4" w:space="0" w:color="auto"/>
              <w:right w:val="single" w:sz="4" w:space="0" w:color="auto"/>
            </w:tcBorders>
            <w:shd w:val="clear" w:color="auto" w:fill="auto"/>
            <w:vAlign w:val="center"/>
            <w:hideMark/>
          </w:tcPr>
          <w:p w14:paraId="7A391FF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66</w:t>
            </w:r>
          </w:p>
        </w:tc>
      </w:tr>
      <w:tr w:rsidR="00CE09F7" w:rsidRPr="00CE09F7" w14:paraId="50A8A7A8"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102FF732"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REVOCA PARCIALMENTE</w:t>
            </w:r>
          </w:p>
        </w:tc>
        <w:tc>
          <w:tcPr>
            <w:tcW w:w="520" w:type="dxa"/>
            <w:tcBorders>
              <w:top w:val="nil"/>
              <w:left w:val="nil"/>
              <w:bottom w:val="single" w:sz="4" w:space="0" w:color="auto"/>
              <w:right w:val="single" w:sz="4" w:space="0" w:color="auto"/>
            </w:tcBorders>
            <w:shd w:val="clear" w:color="auto" w:fill="auto"/>
            <w:noWrap/>
            <w:vAlign w:val="bottom"/>
            <w:hideMark/>
          </w:tcPr>
          <w:p w14:paraId="1B2B036C"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500" w:type="dxa"/>
            <w:tcBorders>
              <w:top w:val="nil"/>
              <w:left w:val="nil"/>
              <w:bottom w:val="single" w:sz="4" w:space="0" w:color="auto"/>
              <w:right w:val="single" w:sz="4" w:space="0" w:color="auto"/>
            </w:tcBorders>
            <w:shd w:val="clear" w:color="auto" w:fill="auto"/>
            <w:noWrap/>
            <w:vAlign w:val="bottom"/>
            <w:hideMark/>
          </w:tcPr>
          <w:p w14:paraId="5C2EF9E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80" w:type="dxa"/>
            <w:tcBorders>
              <w:top w:val="nil"/>
              <w:left w:val="nil"/>
              <w:bottom w:val="single" w:sz="4" w:space="0" w:color="auto"/>
              <w:right w:val="single" w:sz="4" w:space="0" w:color="auto"/>
            </w:tcBorders>
            <w:shd w:val="clear" w:color="auto" w:fill="auto"/>
            <w:noWrap/>
            <w:vAlign w:val="bottom"/>
            <w:hideMark/>
          </w:tcPr>
          <w:p w14:paraId="11372C6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0CAF387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60" w:type="dxa"/>
            <w:tcBorders>
              <w:top w:val="nil"/>
              <w:left w:val="nil"/>
              <w:bottom w:val="single" w:sz="4" w:space="0" w:color="auto"/>
              <w:right w:val="single" w:sz="4" w:space="0" w:color="auto"/>
            </w:tcBorders>
            <w:shd w:val="clear" w:color="auto" w:fill="auto"/>
            <w:noWrap/>
            <w:vAlign w:val="bottom"/>
            <w:hideMark/>
          </w:tcPr>
          <w:p w14:paraId="39153CC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7EC8EC6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20" w:type="dxa"/>
            <w:tcBorders>
              <w:top w:val="nil"/>
              <w:left w:val="nil"/>
              <w:bottom w:val="single" w:sz="4" w:space="0" w:color="auto"/>
              <w:right w:val="single" w:sz="4" w:space="0" w:color="auto"/>
            </w:tcBorders>
            <w:shd w:val="clear" w:color="auto" w:fill="auto"/>
            <w:noWrap/>
            <w:vAlign w:val="bottom"/>
            <w:hideMark/>
          </w:tcPr>
          <w:p w14:paraId="7D21933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20" w:type="dxa"/>
            <w:tcBorders>
              <w:top w:val="nil"/>
              <w:left w:val="nil"/>
              <w:bottom w:val="single" w:sz="4" w:space="0" w:color="auto"/>
              <w:right w:val="single" w:sz="4" w:space="0" w:color="auto"/>
            </w:tcBorders>
            <w:shd w:val="clear" w:color="auto" w:fill="auto"/>
            <w:noWrap/>
            <w:vAlign w:val="bottom"/>
            <w:hideMark/>
          </w:tcPr>
          <w:p w14:paraId="0C198B9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4B0BBA0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5</w:t>
            </w:r>
          </w:p>
        </w:tc>
        <w:tc>
          <w:tcPr>
            <w:tcW w:w="660" w:type="dxa"/>
            <w:tcBorders>
              <w:top w:val="nil"/>
              <w:left w:val="nil"/>
              <w:bottom w:val="single" w:sz="4" w:space="0" w:color="auto"/>
              <w:right w:val="single" w:sz="4" w:space="0" w:color="auto"/>
            </w:tcBorders>
            <w:shd w:val="clear" w:color="auto" w:fill="auto"/>
            <w:noWrap/>
            <w:vAlign w:val="bottom"/>
            <w:hideMark/>
          </w:tcPr>
          <w:p w14:paraId="1BED5B0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7BCA720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700" w:type="dxa"/>
            <w:tcBorders>
              <w:top w:val="nil"/>
              <w:left w:val="nil"/>
              <w:bottom w:val="single" w:sz="4" w:space="0" w:color="auto"/>
              <w:right w:val="single" w:sz="4" w:space="0" w:color="auto"/>
            </w:tcBorders>
            <w:shd w:val="clear" w:color="auto" w:fill="auto"/>
            <w:noWrap/>
            <w:vAlign w:val="bottom"/>
            <w:hideMark/>
          </w:tcPr>
          <w:p w14:paraId="2086AB1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940" w:type="dxa"/>
            <w:tcBorders>
              <w:top w:val="nil"/>
              <w:left w:val="nil"/>
              <w:bottom w:val="single" w:sz="4" w:space="0" w:color="auto"/>
              <w:right w:val="single" w:sz="4" w:space="0" w:color="auto"/>
            </w:tcBorders>
            <w:shd w:val="clear" w:color="auto" w:fill="auto"/>
            <w:vAlign w:val="center"/>
            <w:hideMark/>
          </w:tcPr>
          <w:p w14:paraId="695DDB08"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10</w:t>
            </w:r>
          </w:p>
        </w:tc>
      </w:tr>
      <w:tr w:rsidR="00CE09F7" w:rsidRPr="00CE09F7" w14:paraId="31C1BD38" w14:textId="77777777" w:rsidTr="00CE09F7">
        <w:trPr>
          <w:trHeight w:val="290"/>
          <w:jc w:val="center"/>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7134CB7E"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REVOCATORIA</w:t>
            </w:r>
          </w:p>
        </w:tc>
        <w:tc>
          <w:tcPr>
            <w:tcW w:w="520" w:type="dxa"/>
            <w:tcBorders>
              <w:top w:val="nil"/>
              <w:left w:val="nil"/>
              <w:bottom w:val="single" w:sz="4" w:space="0" w:color="auto"/>
              <w:right w:val="single" w:sz="4" w:space="0" w:color="auto"/>
            </w:tcBorders>
            <w:shd w:val="clear" w:color="auto" w:fill="auto"/>
            <w:noWrap/>
            <w:vAlign w:val="bottom"/>
            <w:hideMark/>
          </w:tcPr>
          <w:p w14:paraId="116F9D7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36</w:t>
            </w:r>
          </w:p>
        </w:tc>
        <w:tc>
          <w:tcPr>
            <w:tcW w:w="500" w:type="dxa"/>
            <w:tcBorders>
              <w:top w:val="nil"/>
              <w:left w:val="nil"/>
              <w:bottom w:val="single" w:sz="4" w:space="0" w:color="auto"/>
              <w:right w:val="single" w:sz="4" w:space="0" w:color="auto"/>
            </w:tcBorders>
            <w:shd w:val="clear" w:color="auto" w:fill="auto"/>
            <w:noWrap/>
            <w:vAlign w:val="bottom"/>
            <w:hideMark/>
          </w:tcPr>
          <w:p w14:paraId="01F84E93"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34</w:t>
            </w:r>
          </w:p>
        </w:tc>
        <w:tc>
          <w:tcPr>
            <w:tcW w:w="680" w:type="dxa"/>
            <w:tcBorders>
              <w:top w:val="nil"/>
              <w:left w:val="nil"/>
              <w:bottom w:val="single" w:sz="4" w:space="0" w:color="auto"/>
              <w:right w:val="single" w:sz="4" w:space="0" w:color="auto"/>
            </w:tcBorders>
            <w:shd w:val="clear" w:color="auto" w:fill="auto"/>
            <w:noWrap/>
            <w:vAlign w:val="bottom"/>
            <w:hideMark/>
          </w:tcPr>
          <w:p w14:paraId="2DEB124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12</w:t>
            </w:r>
          </w:p>
        </w:tc>
        <w:tc>
          <w:tcPr>
            <w:tcW w:w="740" w:type="dxa"/>
            <w:tcBorders>
              <w:top w:val="nil"/>
              <w:left w:val="nil"/>
              <w:bottom w:val="single" w:sz="4" w:space="0" w:color="auto"/>
              <w:right w:val="single" w:sz="4" w:space="0" w:color="auto"/>
            </w:tcBorders>
            <w:shd w:val="clear" w:color="auto" w:fill="auto"/>
            <w:noWrap/>
            <w:vAlign w:val="bottom"/>
            <w:hideMark/>
          </w:tcPr>
          <w:p w14:paraId="2E29F6F5"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22</w:t>
            </w:r>
          </w:p>
        </w:tc>
        <w:tc>
          <w:tcPr>
            <w:tcW w:w="660" w:type="dxa"/>
            <w:tcBorders>
              <w:top w:val="nil"/>
              <w:left w:val="nil"/>
              <w:bottom w:val="single" w:sz="4" w:space="0" w:color="auto"/>
              <w:right w:val="single" w:sz="4" w:space="0" w:color="auto"/>
            </w:tcBorders>
            <w:shd w:val="clear" w:color="auto" w:fill="auto"/>
            <w:noWrap/>
            <w:vAlign w:val="bottom"/>
            <w:hideMark/>
          </w:tcPr>
          <w:p w14:paraId="1AF3DD7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7</w:t>
            </w:r>
          </w:p>
        </w:tc>
        <w:tc>
          <w:tcPr>
            <w:tcW w:w="640" w:type="dxa"/>
            <w:tcBorders>
              <w:top w:val="nil"/>
              <w:left w:val="nil"/>
              <w:bottom w:val="single" w:sz="4" w:space="0" w:color="auto"/>
              <w:right w:val="single" w:sz="4" w:space="0" w:color="auto"/>
            </w:tcBorders>
            <w:shd w:val="clear" w:color="auto" w:fill="auto"/>
            <w:noWrap/>
            <w:vAlign w:val="bottom"/>
            <w:hideMark/>
          </w:tcPr>
          <w:p w14:paraId="1883C42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9</w:t>
            </w:r>
          </w:p>
        </w:tc>
        <w:tc>
          <w:tcPr>
            <w:tcW w:w="720" w:type="dxa"/>
            <w:tcBorders>
              <w:top w:val="nil"/>
              <w:left w:val="nil"/>
              <w:bottom w:val="single" w:sz="4" w:space="0" w:color="auto"/>
              <w:right w:val="single" w:sz="4" w:space="0" w:color="auto"/>
            </w:tcBorders>
            <w:shd w:val="clear" w:color="auto" w:fill="auto"/>
            <w:noWrap/>
            <w:vAlign w:val="bottom"/>
            <w:hideMark/>
          </w:tcPr>
          <w:p w14:paraId="120895D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14</w:t>
            </w:r>
          </w:p>
        </w:tc>
        <w:tc>
          <w:tcPr>
            <w:tcW w:w="720" w:type="dxa"/>
            <w:tcBorders>
              <w:top w:val="nil"/>
              <w:left w:val="nil"/>
              <w:bottom w:val="single" w:sz="4" w:space="0" w:color="auto"/>
              <w:right w:val="single" w:sz="4" w:space="0" w:color="auto"/>
            </w:tcBorders>
            <w:shd w:val="clear" w:color="auto" w:fill="auto"/>
            <w:noWrap/>
            <w:vAlign w:val="bottom"/>
            <w:hideMark/>
          </w:tcPr>
          <w:p w14:paraId="6E68F6C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6</w:t>
            </w:r>
          </w:p>
        </w:tc>
        <w:tc>
          <w:tcPr>
            <w:tcW w:w="640" w:type="dxa"/>
            <w:tcBorders>
              <w:top w:val="nil"/>
              <w:left w:val="nil"/>
              <w:bottom w:val="single" w:sz="4" w:space="0" w:color="auto"/>
              <w:right w:val="single" w:sz="4" w:space="0" w:color="auto"/>
            </w:tcBorders>
            <w:shd w:val="clear" w:color="auto" w:fill="auto"/>
            <w:noWrap/>
            <w:vAlign w:val="bottom"/>
            <w:hideMark/>
          </w:tcPr>
          <w:p w14:paraId="4BD0076F"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32</w:t>
            </w:r>
          </w:p>
        </w:tc>
        <w:tc>
          <w:tcPr>
            <w:tcW w:w="660" w:type="dxa"/>
            <w:tcBorders>
              <w:top w:val="nil"/>
              <w:left w:val="nil"/>
              <w:bottom w:val="single" w:sz="4" w:space="0" w:color="auto"/>
              <w:right w:val="single" w:sz="4" w:space="0" w:color="auto"/>
            </w:tcBorders>
            <w:shd w:val="clear" w:color="auto" w:fill="auto"/>
            <w:noWrap/>
            <w:vAlign w:val="bottom"/>
            <w:hideMark/>
          </w:tcPr>
          <w:p w14:paraId="06BA10C2"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8</w:t>
            </w:r>
          </w:p>
        </w:tc>
        <w:tc>
          <w:tcPr>
            <w:tcW w:w="620" w:type="dxa"/>
            <w:tcBorders>
              <w:top w:val="nil"/>
              <w:left w:val="nil"/>
              <w:bottom w:val="single" w:sz="4" w:space="0" w:color="auto"/>
              <w:right w:val="single" w:sz="4" w:space="0" w:color="auto"/>
            </w:tcBorders>
            <w:shd w:val="clear" w:color="auto" w:fill="auto"/>
            <w:noWrap/>
            <w:vAlign w:val="bottom"/>
            <w:hideMark/>
          </w:tcPr>
          <w:p w14:paraId="2B219761"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39</w:t>
            </w:r>
          </w:p>
        </w:tc>
        <w:tc>
          <w:tcPr>
            <w:tcW w:w="700" w:type="dxa"/>
            <w:tcBorders>
              <w:top w:val="nil"/>
              <w:left w:val="nil"/>
              <w:bottom w:val="single" w:sz="4" w:space="0" w:color="auto"/>
              <w:right w:val="single" w:sz="4" w:space="0" w:color="auto"/>
            </w:tcBorders>
            <w:shd w:val="clear" w:color="auto" w:fill="auto"/>
            <w:noWrap/>
            <w:vAlign w:val="bottom"/>
            <w:hideMark/>
          </w:tcPr>
          <w:p w14:paraId="42B920DB"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38</w:t>
            </w:r>
          </w:p>
        </w:tc>
        <w:tc>
          <w:tcPr>
            <w:tcW w:w="940" w:type="dxa"/>
            <w:tcBorders>
              <w:top w:val="nil"/>
              <w:left w:val="nil"/>
              <w:bottom w:val="single" w:sz="4" w:space="0" w:color="auto"/>
              <w:right w:val="single" w:sz="4" w:space="0" w:color="auto"/>
            </w:tcBorders>
            <w:shd w:val="clear" w:color="auto" w:fill="auto"/>
            <w:vAlign w:val="center"/>
            <w:hideMark/>
          </w:tcPr>
          <w:p w14:paraId="532E4960"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257</w:t>
            </w:r>
          </w:p>
        </w:tc>
      </w:tr>
      <w:tr w:rsidR="00CE09F7" w:rsidRPr="00CE09F7" w14:paraId="308DAFC8" w14:textId="77777777" w:rsidTr="00CE09F7">
        <w:trPr>
          <w:trHeight w:val="490"/>
          <w:jc w:val="center"/>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7084E2E9" w14:textId="77777777" w:rsidR="00CE09F7" w:rsidRPr="00CE09F7" w:rsidRDefault="00CE09F7" w:rsidP="00CE09F7">
            <w:pPr>
              <w:spacing w:after="0" w:line="240" w:lineRule="auto"/>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SIN LUGAR POR FALTA DE INTERES</w:t>
            </w:r>
          </w:p>
        </w:tc>
        <w:tc>
          <w:tcPr>
            <w:tcW w:w="520" w:type="dxa"/>
            <w:tcBorders>
              <w:top w:val="nil"/>
              <w:left w:val="nil"/>
              <w:bottom w:val="single" w:sz="4" w:space="0" w:color="auto"/>
              <w:right w:val="single" w:sz="4" w:space="0" w:color="auto"/>
            </w:tcBorders>
            <w:shd w:val="clear" w:color="auto" w:fill="auto"/>
            <w:noWrap/>
            <w:vAlign w:val="bottom"/>
            <w:hideMark/>
          </w:tcPr>
          <w:p w14:paraId="3501EF1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500" w:type="dxa"/>
            <w:tcBorders>
              <w:top w:val="nil"/>
              <w:left w:val="nil"/>
              <w:bottom w:val="single" w:sz="4" w:space="0" w:color="auto"/>
              <w:right w:val="single" w:sz="4" w:space="0" w:color="auto"/>
            </w:tcBorders>
            <w:shd w:val="clear" w:color="auto" w:fill="auto"/>
            <w:noWrap/>
            <w:vAlign w:val="bottom"/>
            <w:hideMark/>
          </w:tcPr>
          <w:p w14:paraId="263F301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680" w:type="dxa"/>
            <w:tcBorders>
              <w:top w:val="nil"/>
              <w:left w:val="nil"/>
              <w:bottom w:val="single" w:sz="4" w:space="0" w:color="auto"/>
              <w:right w:val="single" w:sz="4" w:space="0" w:color="auto"/>
            </w:tcBorders>
            <w:shd w:val="clear" w:color="auto" w:fill="auto"/>
            <w:noWrap/>
            <w:vAlign w:val="bottom"/>
            <w:hideMark/>
          </w:tcPr>
          <w:p w14:paraId="61247BD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40" w:type="dxa"/>
            <w:tcBorders>
              <w:top w:val="nil"/>
              <w:left w:val="nil"/>
              <w:bottom w:val="single" w:sz="4" w:space="0" w:color="auto"/>
              <w:right w:val="single" w:sz="4" w:space="0" w:color="auto"/>
            </w:tcBorders>
            <w:shd w:val="clear" w:color="auto" w:fill="auto"/>
            <w:noWrap/>
            <w:vAlign w:val="bottom"/>
            <w:hideMark/>
          </w:tcPr>
          <w:p w14:paraId="4FAF6AE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2</w:t>
            </w:r>
          </w:p>
        </w:tc>
        <w:tc>
          <w:tcPr>
            <w:tcW w:w="660" w:type="dxa"/>
            <w:tcBorders>
              <w:top w:val="nil"/>
              <w:left w:val="nil"/>
              <w:bottom w:val="single" w:sz="4" w:space="0" w:color="auto"/>
              <w:right w:val="single" w:sz="4" w:space="0" w:color="auto"/>
            </w:tcBorders>
            <w:shd w:val="clear" w:color="auto" w:fill="auto"/>
            <w:noWrap/>
            <w:vAlign w:val="bottom"/>
            <w:hideMark/>
          </w:tcPr>
          <w:p w14:paraId="17A5EA0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40" w:type="dxa"/>
            <w:tcBorders>
              <w:top w:val="nil"/>
              <w:left w:val="nil"/>
              <w:bottom w:val="single" w:sz="4" w:space="0" w:color="auto"/>
              <w:right w:val="single" w:sz="4" w:space="0" w:color="auto"/>
            </w:tcBorders>
            <w:shd w:val="clear" w:color="auto" w:fill="auto"/>
            <w:noWrap/>
            <w:vAlign w:val="bottom"/>
            <w:hideMark/>
          </w:tcPr>
          <w:p w14:paraId="5310DA6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720" w:type="dxa"/>
            <w:tcBorders>
              <w:top w:val="nil"/>
              <w:left w:val="nil"/>
              <w:bottom w:val="single" w:sz="4" w:space="0" w:color="auto"/>
              <w:right w:val="single" w:sz="4" w:space="0" w:color="auto"/>
            </w:tcBorders>
            <w:shd w:val="clear" w:color="auto" w:fill="auto"/>
            <w:noWrap/>
            <w:vAlign w:val="bottom"/>
            <w:hideMark/>
          </w:tcPr>
          <w:p w14:paraId="4897678D"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720" w:type="dxa"/>
            <w:tcBorders>
              <w:top w:val="nil"/>
              <w:left w:val="nil"/>
              <w:bottom w:val="single" w:sz="4" w:space="0" w:color="auto"/>
              <w:right w:val="single" w:sz="4" w:space="0" w:color="auto"/>
            </w:tcBorders>
            <w:shd w:val="clear" w:color="auto" w:fill="auto"/>
            <w:noWrap/>
            <w:vAlign w:val="bottom"/>
            <w:hideMark/>
          </w:tcPr>
          <w:p w14:paraId="736C66A9"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3</w:t>
            </w:r>
          </w:p>
        </w:tc>
        <w:tc>
          <w:tcPr>
            <w:tcW w:w="640" w:type="dxa"/>
            <w:tcBorders>
              <w:top w:val="nil"/>
              <w:left w:val="nil"/>
              <w:bottom w:val="single" w:sz="4" w:space="0" w:color="auto"/>
              <w:right w:val="single" w:sz="4" w:space="0" w:color="auto"/>
            </w:tcBorders>
            <w:shd w:val="clear" w:color="auto" w:fill="auto"/>
            <w:noWrap/>
            <w:vAlign w:val="bottom"/>
            <w:hideMark/>
          </w:tcPr>
          <w:p w14:paraId="20AB4474"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660" w:type="dxa"/>
            <w:tcBorders>
              <w:top w:val="nil"/>
              <w:left w:val="nil"/>
              <w:bottom w:val="single" w:sz="4" w:space="0" w:color="auto"/>
              <w:right w:val="single" w:sz="4" w:space="0" w:color="auto"/>
            </w:tcBorders>
            <w:shd w:val="clear" w:color="auto" w:fill="auto"/>
            <w:noWrap/>
            <w:vAlign w:val="bottom"/>
            <w:hideMark/>
          </w:tcPr>
          <w:p w14:paraId="656DCEB6"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 </w:t>
            </w:r>
          </w:p>
        </w:tc>
        <w:tc>
          <w:tcPr>
            <w:tcW w:w="620" w:type="dxa"/>
            <w:tcBorders>
              <w:top w:val="nil"/>
              <w:left w:val="nil"/>
              <w:bottom w:val="single" w:sz="4" w:space="0" w:color="auto"/>
              <w:right w:val="single" w:sz="4" w:space="0" w:color="auto"/>
            </w:tcBorders>
            <w:shd w:val="clear" w:color="auto" w:fill="auto"/>
            <w:noWrap/>
            <w:vAlign w:val="bottom"/>
            <w:hideMark/>
          </w:tcPr>
          <w:p w14:paraId="409FFB47"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4</w:t>
            </w:r>
          </w:p>
        </w:tc>
        <w:tc>
          <w:tcPr>
            <w:tcW w:w="700" w:type="dxa"/>
            <w:tcBorders>
              <w:top w:val="nil"/>
              <w:left w:val="nil"/>
              <w:bottom w:val="single" w:sz="4" w:space="0" w:color="auto"/>
              <w:right w:val="single" w:sz="4" w:space="0" w:color="auto"/>
            </w:tcBorders>
            <w:shd w:val="clear" w:color="auto" w:fill="auto"/>
            <w:noWrap/>
            <w:vAlign w:val="bottom"/>
            <w:hideMark/>
          </w:tcPr>
          <w:p w14:paraId="5477A07E"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w:t>
            </w:r>
          </w:p>
        </w:tc>
        <w:tc>
          <w:tcPr>
            <w:tcW w:w="940" w:type="dxa"/>
            <w:tcBorders>
              <w:top w:val="nil"/>
              <w:left w:val="nil"/>
              <w:bottom w:val="single" w:sz="4" w:space="0" w:color="auto"/>
              <w:right w:val="single" w:sz="4" w:space="0" w:color="auto"/>
            </w:tcBorders>
            <w:shd w:val="clear" w:color="auto" w:fill="auto"/>
            <w:vAlign w:val="center"/>
            <w:hideMark/>
          </w:tcPr>
          <w:p w14:paraId="0C54E97A" w14:textId="77777777" w:rsidR="00CE09F7" w:rsidRPr="00CE09F7" w:rsidRDefault="00CE09F7" w:rsidP="00CE09F7">
            <w:pPr>
              <w:spacing w:after="0" w:line="240" w:lineRule="auto"/>
              <w:jc w:val="center"/>
              <w:rPr>
                <w:rFonts w:ascii="Book Antiqua" w:eastAsia="Times New Roman" w:hAnsi="Book Antiqua" w:cs="Calibri"/>
                <w:color w:val="000000"/>
                <w:sz w:val="18"/>
                <w:szCs w:val="18"/>
                <w:lang w:eastAsia="es-CR"/>
              </w:rPr>
            </w:pPr>
            <w:r w:rsidRPr="00CE09F7">
              <w:rPr>
                <w:rFonts w:ascii="Book Antiqua" w:eastAsia="Times New Roman" w:hAnsi="Book Antiqua" w:cs="Calibri"/>
                <w:color w:val="000000"/>
                <w:sz w:val="18"/>
                <w:szCs w:val="18"/>
                <w:lang w:eastAsia="es-CR"/>
              </w:rPr>
              <w:t>18</w:t>
            </w:r>
          </w:p>
        </w:tc>
      </w:tr>
      <w:tr w:rsidR="00CE09F7" w:rsidRPr="00CE09F7" w14:paraId="5E475017" w14:textId="77777777" w:rsidTr="00CE09F7">
        <w:trPr>
          <w:trHeight w:val="300"/>
          <w:jc w:val="center"/>
        </w:trPr>
        <w:tc>
          <w:tcPr>
            <w:tcW w:w="2700" w:type="dxa"/>
            <w:tcBorders>
              <w:top w:val="nil"/>
              <w:left w:val="single" w:sz="8" w:space="0" w:color="auto"/>
              <w:bottom w:val="single" w:sz="8" w:space="0" w:color="auto"/>
              <w:right w:val="single" w:sz="8" w:space="0" w:color="auto"/>
            </w:tcBorders>
            <w:shd w:val="clear" w:color="000000" w:fill="808080"/>
            <w:vAlign w:val="center"/>
            <w:hideMark/>
          </w:tcPr>
          <w:p w14:paraId="469D69EA" w14:textId="77777777" w:rsidR="00CE09F7" w:rsidRPr="00CE09F7" w:rsidRDefault="00CE09F7" w:rsidP="00CE09F7">
            <w:pPr>
              <w:spacing w:after="0" w:line="240" w:lineRule="auto"/>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Total general</w:t>
            </w:r>
          </w:p>
        </w:tc>
        <w:tc>
          <w:tcPr>
            <w:tcW w:w="520" w:type="dxa"/>
            <w:tcBorders>
              <w:top w:val="nil"/>
              <w:left w:val="nil"/>
              <w:bottom w:val="single" w:sz="8" w:space="0" w:color="auto"/>
              <w:right w:val="single" w:sz="8" w:space="0" w:color="auto"/>
            </w:tcBorders>
            <w:shd w:val="clear" w:color="000000" w:fill="808080"/>
            <w:vAlign w:val="center"/>
            <w:hideMark/>
          </w:tcPr>
          <w:p w14:paraId="1FF5232E"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182</w:t>
            </w:r>
          </w:p>
        </w:tc>
        <w:tc>
          <w:tcPr>
            <w:tcW w:w="500" w:type="dxa"/>
            <w:tcBorders>
              <w:top w:val="nil"/>
              <w:left w:val="nil"/>
              <w:bottom w:val="single" w:sz="8" w:space="0" w:color="auto"/>
              <w:right w:val="single" w:sz="8" w:space="0" w:color="auto"/>
            </w:tcBorders>
            <w:shd w:val="clear" w:color="000000" w:fill="808080"/>
            <w:vAlign w:val="center"/>
            <w:hideMark/>
          </w:tcPr>
          <w:p w14:paraId="1A536824"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189</w:t>
            </w:r>
          </w:p>
        </w:tc>
        <w:tc>
          <w:tcPr>
            <w:tcW w:w="680" w:type="dxa"/>
            <w:tcBorders>
              <w:top w:val="nil"/>
              <w:left w:val="nil"/>
              <w:bottom w:val="single" w:sz="8" w:space="0" w:color="auto"/>
              <w:right w:val="single" w:sz="8" w:space="0" w:color="auto"/>
            </w:tcBorders>
            <w:shd w:val="clear" w:color="000000" w:fill="808080"/>
            <w:vAlign w:val="center"/>
            <w:hideMark/>
          </w:tcPr>
          <w:p w14:paraId="0CCEEB0C"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56</w:t>
            </w:r>
          </w:p>
        </w:tc>
        <w:tc>
          <w:tcPr>
            <w:tcW w:w="740" w:type="dxa"/>
            <w:tcBorders>
              <w:top w:val="nil"/>
              <w:left w:val="nil"/>
              <w:bottom w:val="single" w:sz="8" w:space="0" w:color="auto"/>
              <w:right w:val="single" w:sz="8" w:space="0" w:color="auto"/>
            </w:tcBorders>
            <w:shd w:val="clear" w:color="000000" w:fill="808080"/>
            <w:vAlign w:val="center"/>
            <w:hideMark/>
          </w:tcPr>
          <w:p w14:paraId="791BE726"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149</w:t>
            </w:r>
          </w:p>
        </w:tc>
        <w:tc>
          <w:tcPr>
            <w:tcW w:w="660" w:type="dxa"/>
            <w:tcBorders>
              <w:top w:val="nil"/>
              <w:left w:val="nil"/>
              <w:bottom w:val="single" w:sz="8" w:space="0" w:color="auto"/>
              <w:right w:val="single" w:sz="8" w:space="0" w:color="auto"/>
            </w:tcBorders>
            <w:shd w:val="clear" w:color="000000" w:fill="808080"/>
            <w:vAlign w:val="center"/>
            <w:hideMark/>
          </w:tcPr>
          <w:p w14:paraId="3E7F9B0F"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43</w:t>
            </w:r>
          </w:p>
        </w:tc>
        <w:tc>
          <w:tcPr>
            <w:tcW w:w="640" w:type="dxa"/>
            <w:tcBorders>
              <w:top w:val="nil"/>
              <w:left w:val="nil"/>
              <w:bottom w:val="single" w:sz="8" w:space="0" w:color="auto"/>
              <w:right w:val="single" w:sz="8" w:space="0" w:color="auto"/>
            </w:tcBorders>
            <w:shd w:val="clear" w:color="000000" w:fill="808080"/>
            <w:vAlign w:val="center"/>
            <w:hideMark/>
          </w:tcPr>
          <w:p w14:paraId="406C6AD6"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60</w:t>
            </w:r>
          </w:p>
        </w:tc>
        <w:tc>
          <w:tcPr>
            <w:tcW w:w="720" w:type="dxa"/>
            <w:tcBorders>
              <w:top w:val="nil"/>
              <w:left w:val="nil"/>
              <w:bottom w:val="single" w:sz="8" w:space="0" w:color="auto"/>
              <w:right w:val="single" w:sz="8" w:space="0" w:color="auto"/>
            </w:tcBorders>
            <w:shd w:val="clear" w:color="000000" w:fill="808080"/>
            <w:vAlign w:val="center"/>
            <w:hideMark/>
          </w:tcPr>
          <w:p w14:paraId="1A4B6C29"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72</w:t>
            </w:r>
          </w:p>
        </w:tc>
        <w:tc>
          <w:tcPr>
            <w:tcW w:w="720" w:type="dxa"/>
            <w:tcBorders>
              <w:top w:val="nil"/>
              <w:left w:val="nil"/>
              <w:bottom w:val="single" w:sz="8" w:space="0" w:color="auto"/>
              <w:right w:val="single" w:sz="8" w:space="0" w:color="auto"/>
            </w:tcBorders>
            <w:shd w:val="clear" w:color="000000" w:fill="808080"/>
            <w:vAlign w:val="center"/>
            <w:hideMark/>
          </w:tcPr>
          <w:p w14:paraId="5A812142"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51</w:t>
            </w:r>
          </w:p>
        </w:tc>
        <w:tc>
          <w:tcPr>
            <w:tcW w:w="640" w:type="dxa"/>
            <w:tcBorders>
              <w:top w:val="nil"/>
              <w:left w:val="nil"/>
              <w:bottom w:val="single" w:sz="8" w:space="0" w:color="auto"/>
              <w:right w:val="single" w:sz="8" w:space="0" w:color="auto"/>
            </w:tcBorders>
            <w:shd w:val="clear" w:color="000000" w:fill="808080"/>
            <w:vAlign w:val="center"/>
            <w:hideMark/>
          </w:tcPr>
          <w:p w14:paraId="26E5BBF1"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261</w:t>
            </w:r>
          </w:p>
        </w:tc>
        <w:tc>
          <w:tcPr>
            <w:tcW w:w="660" w:type="dxa"/>
            <w:tcBorders>
              <w:top w:val="nil"/>
              <w:left w:val="nil"/>
              <w:bottom w:val="single" w:sz="8" w:space="0" w:color="auto"/>
              <w:right w:val="single" w:sz="8" w:space="0" w:color="auto"/>
            </w:tcBorders>
            <w:shd w:val="clear" w:color="000000" w:fill="808080"/>
            <w:vAlign w:val="center"/>
            <w:hideMark/>
          </w:tcPr>
          <w:p w14:paraId="5667D3A8"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51</w:t>
            </w:r>
          </w:p>
        </w:tc>
        <w:tc>
          <w:tcPr>
            <w:tcW w:w="620" w:type="dxa"/>
            <w:tcBorders>
              <w:top w:val="nil"/>
              <w:left w:val="nil"/>
              <w:bottom w:val="single" w:sz="8" w:space="0" w:color="auto"/>
              <w:right w:val="single" w:sz="8" w:space="0" w:color="auto"/>
            </w:tcBorders>
            <w:shd w:val="clear" w:color="000000" w:fill="808080"/>
            <w:vAlign w:val="center"/>
            <w:hideMark/>
          </w:tcPr>
          <w:p w14:paraId="682FBC54"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228</w:t>
            </w:r>
          </w:p>
        </w:tc>
        <w:tc>
          <w:tcPr>
            <w:tcW w:w="700" w:type="dxa"/>
            <w:tcBorders>
              <w:top w:val="nil"/>
              <w:left w:val="nil"/>
              <w:bottom w:val="single" w:sz="8" w:space="0" w:color="auto"/>
              <w:right w:val="single" w:sz="8" w:space="0" w:color="auto"/>
            </w:tcBorders>
            <w:shd w:val="clear" w:color="000000" w:fill="808080"/>
            <w:vAlign w:val="center"/>
            <w:hideMark/>
          </w:tcPr>
          <w:p w14:paraId="0A58DCBA"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186</w:t>
            </w:r>
          </w:p>
        </w:tc>
        <w:tc>
          <w:tcPr>
            <w:tcW w:w="940" w:type="dxa"/>
            <w:tcBorders>
              <w:top w:val="nil"/>
              <w:left w:val="nil"/>
              <w:bottom w:val="single" w:sz="8" w:space="0" w:color="auto"/>
              <w:right w:val="single" w:sz="8" w:space="0" w:color="auto"/>
            </w:tcBorders>
            <w:shd w:val="clear" w:color="000000" w:fill="808080"/>
            <w:vAlign w:val="center"/>
            <w:hideMark/>
          </w:tcPr>
          <w:p w14:paraId="0E1888DD" w14:textId="77777777" w:rsidR="00CE09F7" w:rsidRPr="00CE09F7" w:rsidRDefault="00CE09F7" w:rsidP="00CE09F7">
            <w:pPr>
              <w:spacing w:after="0" w:line="240" w:lineRule="auto"/>
              <w:jc w:val="center"/>
              <w:rPr>
                <w:rFonts w:ascii="Book Antiqua" w:eastAsia="Times New Roman" w:hAnsi="Book Antiqua" w:cs="Calibri"/>
                <w:b/>
                <w:bCs/>
                <w:color w:val="FFFFFF"/>
                <w:sz w:val="18"/>
                <w:szCs w:val="18"/>
                <w:lang w:eastAsia="es-CR"/>
              </w:rPr>
            </w:pPr>
            <w:r w:rsidRPr="00CE09F7">
              <w:rPr>
                <w:rFonts w:ascii="Book Antiqua" w:eastAsia="Times New Roman" w:hAnsi="Book Antiqua" w:cs="Calibri"/>
                <w:b/>
                <w:bCs/>
                <w:color w:val="FFFFFF"/>
                <w:sz w:val="18"/>
                <w:szCs w:val="18"/>
                <w:lang w:eastAsia="es-CR"/>
              </w:rPr>
              <w:t>1528</w:t>
            </w:r>
          </w:p>
        </w:tc>
      </w:tr>
    </w:tbl>
    <w:p w14:paraId="6D926070" w14:textId="571AAC33" w:rsidR="00B077EE" w:rsidRDefault="00373D5E" w:rsidP="00CE09F7">
      <w:pPr>
        <w:spacing w:after="0" w:line="240" w:lineRule="auto"/>
        <w:ind w:hanging="1276"/>
        <w:jc w:val="both"/>
        <w:rPr>
          <w:rFonts w:ascii="Book Antiqua" w:eastAsia="Calibri" w:hAnsi="Book Antiqua" w:cs="Arial"/>
          <w:i/>
          <w:iCs/>
          <w:sz w:val="20"/>
          <w:szCs w:val="20"/>
        </w:rPr>
      </w:pPr>
      <w:r w:rsidRPr="00B077EE">
        <w:rPr>
          <w:rFonts w:ascii="Book Antiqua" w:eastAsia="Calibri" w:hAnsi="Book Antiqua" w:cs="Arial"/>
          <w:b/>
          <w:bCs/>
          <w:i/>
          <w:iCs/>
          <w:sz w:val="20"/>
          <w:szCs w:val="20"/>
        </w:rPr>
        <w:t>Fuente:</w:t>
      </w:r>
      <w:r w:rsidRPr="00373D5E">
        <w:rPr>
          <w:rFonts w:ascii="Book Antiqua" w:eastAsia="Calibri" w:hAnsi="Book Antiqua" w:cs="Arial"/>
          <w:i/>
          <w:iCs/>
          <w:sz w:val="20"/>
          <w:szCs w:val="20"/>
        </w:rPr>
        <w:t xml:space="preserve"> Subproceso de Modernización Institucional, con datos del Subproceso de Estadística del 20</w:t>
      </w:r>
      <w:r>
        <w:rPr>
          <w:rFonts w:ascii="Book Antiqua" w:eastAsia="Calibri" w:hAnsi="Book Antiqua" w:cs="Arial"/>
          <w:i/>
          <w:iCs/>
          <w:sz w:val="20"/>
          <w:szCs w:val="20"/>
        </w:rPr>
        <w:t>20</w:t>
      </w:r>
      <w:r w:rsidRPr="00373D5E">
        <w:rPr>
          <w:rFonts w:ascii="Book Antiqua" w:eastAsia="Calibri" w:hAnsi="Book Antiqua" w:cs="Arial"/>
          <w:i/>
          <w:iCs/>
          <w:sz w:val="20"/>
          <w:szCs w:val="20"/>
        </w:rPr>
        <w:t xml:space="preserve"> al 20</w:t>
      </w:r>
      <w:r>
        <w:rPr>
          <w:rFonts w:ascii="Book Antiqua" w:eastAsia="Calibri" w:hAnsi="Book Antiqua" w:cs="Arial"/>
          <w:i/>
          <w:iCs/>
          <w:sz w:val="20"/>
          <w:szCs w:val="20"/>
        </w:rPr>
        <w:t>2</w:t>
      </w:r>
      <w:r w:rsidR="00CE09F7">
        <w:rPr>
          <w:rFonts w:ascii="Book Antiqua" w:eastAsia="Calibri" w:hAnsi="Book Antiqua" w:cs="Arial"/>
          <w:i/>
          <w:iCs/>
          <w:sz w:val="20"/>
          <w:szCs w:val="20"/>
        </w:rPr>
        <w:t xml:space="preserve">2 </w:t>
      </w:r>
      <w:r w:rsidR="00B077EE">
        <w:rPr>
          <w:rFonts w:ascii="Book Antiqua" w:eastAsia="Calibri" w:hAnsi="Book Antiqua" w:cs="Arial"/>
          <w:i/>
          <w:iCs/>
          <w:sz w:val="20"/>
          <w:szCs w:val="20"/>
        </w:rPr>
        <w:t xml:space="preserve">y </w:t>
      </w:r>
      <w:r w:rsidR="00CE09F7">
        <w:rPr>
          <w:rFonts w:ascii="Book Antiqua" w:eastAsia="Calibri" w:hAnsi="Book Antiqua" w:cs="Arial"/>
          <w:i/>
          <w:iCs/>
          <w:sz w:val="20"/>
          <w:szCs w:val="20"/>
        </w:rPr>
        <w:t xml:space="preserve">consulta del </w:t>
      </w:r>
      <w:r w:rsidR="00B077EE">
        <w:rPr>
          <w:rFonts w:ascii="Book Antiqua" w:eastAsia="Calibri" w:hAnsi="Book Antiqua" w:cs="Arial"/>
          <w:i/>
          <w:iCs/>
          <w:sz w:val="20"/>
          <w:szCs w:val="20"/>
        </w:rPr>
        <w:t>Balance General Interactivo del 7/3/2023.</w:t>
      </w:r>
    </w:p>
    <w:p w14:paraId="66B8B119" w14:textId="2E8A0C0B" w:rsidR="00A636FA" w:rsidRDefault="0042562F" w:rsidP="00CE09F7">
      <w:pPr>
        <w:spacing w:after="0" w:line="240" w:lineRule="auto"/>
        <w:ind w:hanging="1276"/>
        <w:jc w:val="both"/>
        <w:rPr>
          <w:rFonts w:ascii="Book Antiqua" w:eastAsia="Calibri" w:hAnsi="Book Antiqua" w:cs="Arial"/>
          <w:i/>
          <w:iCs/>
          <w:sz w:val="20"/>
          <w:szCs w:val="20"/>
        </w:rPr>
      </w:pPr>
      <w:r w:rsidRPr="00B077EE">
        <w:rPr>
          <w:rFonts w:ascii="Book Antiqua" w:eastAsia="Calibri" w:hAnsi="Book Antiqua" w:cs="Arial"/>
          <w:b/>
          <w:bCs/>
          <w:i/>
          <w:iCs/>
          <w:sz w:val="20"/>
          <w:szCs w:val="20"/>
        </w:rPr>
        <w:t>Nota:</w:t>
      </w:r>
      <w:r w:rsidRPr="00B077EE">
        <w:rPr>
          <w:rFonts w:ascii="Book Antiqua" w:eastAsia="Calibri" w:hAnsi="Book Antiqua" w:cs="Arial"/>
          <w:i/>
          <w:iCs/>
          <w:sz w:val="20"/>
          <w:szCs w:val="20"/>
        </w:rPr>
        <w:t xml:space="preserve"> Valores indicado</w:t>
      </w:r>
      <w:r w:rsidR="00143EFA" w:rsidRPr="00B077EE">
        <w:rPr>
          <w:rFonts w:ascii="Book Antiqua" w:eastAsia="Calibri" w:hAnsi="Book Antiqua" w:cs="Arial"/>
          <w:i/>
          <w:iCs/>
          <w:sz w:val="20"/>
          <w:szCs w:val="20"/>
        </w:rPr>
        <w:t>s</w:t>
      </w:r>
      <w:r w:rsidRPr="00B077EE">
        <w:rPr>
          <w:rFonts w:ascii="Book Antiqua" w:eastAsia="Calibri" w:hAnsi="Book Antiqua" w:cs="Arial"/>
          <w:i/>
          <w:iCs/>
          <w:sz w:val="20"/>
          <w:szCs w:val="20"/>
        </w:rPr>
        <w:t xml:space="preserve"> en el cuadro anterior corresponde</w:t>
      </w:r>
      <w:r w:rsidR="00143EFA" w:rsidRPr="00B077EE">
        <w:rPr>
          <w:rFonts w:ascii="Book Antiqua" w:eastAsia="Calibri" w:hAnsi="Book Antiqua" w:cs="Arial"/>
          <w:i/>
          <w:iCs/>
          <w:sz w:val="20"/>
          <w:szCs w:val="20"/>
        </w:rPr>
        <w:t>n</w:t>
      </w:r>
      <w:r w:rsidRPr="00B077EE">
        <w:rPr>
          <w:rFonts w:ascii="Book Antiqua" w:eastAsia="Calibri" w:hAnsi="Book Antiqua" w:cs="Arial"/>
          <w:i/>
          <w:iCs/>
          <w:sz w:val="20"/>
          <w:szCs w:val="20"/>
        </w:rPr>
        <w:t xml:space="preserve"> a la suma de los años 2020</w:t>
      </w:r>
      <w:r w:rsidR="00B077EE" w:rsidRPr="00B077EE">
        <w:rPr>
          <w:rFonts w:ascii="Book Antiqua" w:eastAsia="Calibri" w:hAnsi="Book Antiqua" w:cs="Arial"/>
          <w:i/>
          <w:iCs/>
          <w:sz w:val="20"/>
          <w:szCs w:val="20"/>
        </w:rPr>
        <w:t>,</w:t>
      </w:r>
      <w:r w:rsidRPr="00B077EE">
        <w:rPr>
          <w:rFonts w:ascii="Book Antiqua" w:eastAsia="Calibri" w:hAnsi="Book Antiqua" w:cs="Arial"/>
          <w:i/>
          <w:iCs/>
          <w:sz w:val="20"/>
          <w:szCs w:val="20"/>
        </w:rPr>
        <w:t xml:space="preserve"> </w:t>
      </w:r>
      <w:r w:rsidR="00B077EE" w:rsidRPr="00B077EE">
        <w:rPr>
          <w:rFonts w:ascii="Book Antiqua" w:eastAsia="Calibri" w:hAnsi="Book Antiqua" w:cs="Arial"/>
          <w:i/>
          <w:iCs/>
          <w:sz w:val="20"/>
          <w:szCs w:val="20"/>
        </w:rPr>
        <w:t xml:space="preserve">2021 </w:t>
      </w:r>
      <w:r w:rsidRPr="00B077EE">
        <w:rPr>
          <w:rFonts w:ascii="Book Antiqua" w:eastAsia="Calibri" w:hAnsi="Book Antiqua" w:cs="Arial"/>
          <w:i/>
          <w:iCs/>
          <w:sz w:val="20"/>
          <w:szCs w:val="20"/>
        </w:rPr>
        <w:t>y 202</w:t>
      </w:r>
      <w:r w:rsidR="00B077EE" w:rsidRPr="00B077EE">
        <w:rPr>
          <w:rFonts w:ascii="Book Antiqua" w:eastAsia="Calibri" w:hAnsi="Book Antiqua" w:cs="Arial"/>
          <w:i/>
          <w:iCs/>
          <w:sz w:val="20"/>
          <w:szCs w:val="20"/>
        </w:rPr>
        <w:t>2</w:t>
      </w:r>
      <w:r w:rsidRPr="00B077EE">
        <w:rPr>
          <w:rFonts w:ascii="Book Antiqua" w:eastAsia="Calibri" w:hAnsi="Book Antiqua" w:cs="Arial"/>
          <w:i/>
          <w:iCs/>
          <w:sz w:val="20"/>
          <w:szCs w:val="20"/>
        </w:rPr>
        <w:t xml:space="preserve">. Por ejemplo el tema de competencia, el ingreso en esos </w:t>
      </w:r>
      <w:r w:rsidR="00B077EE" w:rsidRPr="00B077EE">
        <w:rPr>
          <w:rFonts w:ascii="Book Antiqua" w:eastAsia="Calibri" w:hAnsi="Book Antiqua" w:cs="Arial"/>
          <w:i/>
          <w:iCs/>
          <w:sz w:val="20"/>
          <w:szCs w:val="20"/>
        </w:rPr>
        <w:t>3</w:t>
      </w:r>
      <w:r w:rsidRPr="00B077EE">
        <w:rPr>
          <w:rFonts w:ascii="Book Antiqua" w:eastAsia="Calibri" w:hAnsi="Book Antiqua" w:cs="Arial"/>
          <w:i/>
          <w:iCs/>
          <w:sz w:val="20"/>
          <w:szCs w:val="20"/>
        </w:rPr>
        <w:t xml:space="preserve"> años fue de 12</w:t>
      </w:r>
      <w:r w:rsidR="00B077EE" w:rsidRPr="00B077EE">
        <w:rPr>
          <w:rFonts w:ascii="Book Antiqua" w:eastAsia="Calibri" w:hAnsi="Book Antiqua" w:cs="Arial"/>
          <w:i/>
          <w:iCs/>
          <w:sz w:val="20"/>
          <w:szCs w:val="20"/>
        </w:rPr>
        <w:t>6</w:t>
      </w:r>
      <w:r w:rsidRPr="00B077EE">
        <w:rPr>
          <w:rFonts w:ascii="Book Antiqua" w:eastAsia="Calibri" w:hAnsi="Book Antiqua" w:cs="Arial"/>
          <w:i/>
          <w:iCs/>
          <w:sz w:val="20"/>
          <w:szCs w:val="20"/>
        </w:rPr>
        <w:t xml:space="preserve"> casos, un promedio anual de </w:t>
      </w:r>
      <w:r w:rsidR="00B077EE" w:rsidRPr="00B077EE">
        <w:rPr>
          <w:rFonts w:ascii="Book Antiqua" w:eastAsia="Calibri" w:hAnsi="Book Antiqua" w:cs="Arial"/>
          <w:i/>
          <w:iCs/>
          <w:sz w:val="20"/>
          <w:szCs w:val="20"/>
        </w:rPr>
        <w:t>42</w:t>
      </w:r>
      <w:r w:rsidRPr="00B077EE">
        <w:rPr>
          <w:rFonts w:ascii="Book Antiqua" w:eastAsia="Calibri" w:hAnsi="Book Antiqua" w:cs="Arial"/>
          <w:i/>
          <w:iCs/>
          <w:sz w:val="20"/>
          <w:szCs w:val="20"/>
        </w:rPr>
        <w:t xml:space="preserve"> o mensual de </w:t>
      </w:r>
      <w:r w:rsidR="00B077EE" w:rsidRPr="00B077EE">
        <w:rPr>
          <w:rFonts w:ascii="Book Antiqua" w:eastAsia="Calibri" w:hAnsi="Book Antiqua" w:cs="Arial"/>
          <w:i/>
          <w:iCs/>
          <w:sz w:val="20"/>
          <w:szCs w:val="20"/>
        </w:rPr>
        <w:t>4</w:t>
      </w:r>
      <w:r w:rsidRPr="00B077EE">
        <w:rPr>
          <w:rFonts w:ascii="Book Antiqua" w:eastAsia="Calibri" w:hAnsi="Book Antiqua" w:cs="Arial"/>
          <w:i/>
          <w:iCs/>
          <w:sz w:val="20"/>
          <w:szCs w:val="20"/>
        </w:rPr>
        <w:t xml:space="preserve"> casos.</w:t>
      </w:r>
      <w:r>
        <w:rPr>
          <w:rFonts w:ascii="Book Antiqua" w:eastAsia="Calibri" w:hAnsi="Book Antiqua" w:cs="Arial"/>
          <w:i/>
          <w:iCs/>
          <w:sz w:val="20"/>
          <w:szCs w:val="20"/>
        </w:rPr>
        <w:t xml:space="preserve"> </w:t>
      </w:r>
    </w:p>
    <w:p w14:paraId="25E1C39D" w14:textId="77777777" w:rsidR="00B077EE" w:rsidRDefault="00B077EE" w:rsidP="00A636FA">
      <w:pPr>
        <w:spacing w:after="0" w:line="276" w:lineRule="auto"/>
        <w:jc w:val="both"/>
        <w:rPr>
          <w:rFonts w:ascii="Book Antiqua" w:eastAsia="Calibri" w:hAnsi="Book Antiqua" w:cs="Arial"/>
          <w:sz w:val="24"/>
          <w:szCs w:val="24"/>
          <w:highlight w:val="cyan"/>
        </w:rPr>
      </w:pPr>
    </w:p>
    <w:p w14:paraId="2E5F1C7C" w14:textId="6D37500D" w:rsidR="00A636FA" w:rsidRPr="00A636FA" w:rsidRDefault="00A636FA" w:rsidP="00A636FA">
      <w:pPr>
        <w:spacing w:after="0" w:line="276" w:lineRule="auto"/>
        <w:jc w:val="both"/>
        <w:rPr>
          <w:rFonts w:ascii="Book Antiqua" w:eastAsia="Calibri" w:hAnsi="Book Antiqua" w:cs="Arial"/>
          <w:sz w:val="24"/>
          <w:szCs w:val="24"/>
        </w:rPr>
      </w:pPr>
      <w:r w:rsidRPr="00E72EC5">
        <w:rPr>
          <w:rFonts w:ascii="Book Antiqua" w:eastAsia="Calibri" w:hAnsi="Book Antiqua" w:cs="Arial"/>
          <w:sz w:val="24"/>
          <w:szCs w:val="24"/>
        </w:rPr>
        <w:t>De la información del cuadro anterior, se desprende que el Tribunal de Familia conoció durante el periodo del 20</w:t>
      </w:r>
      <w:r w:rsidR="00373D5E" w:rsidRPr="00E72EC5">
        <w:rPr>
          <w:rFonts w:ascii="Book Antiqua" w:eastAsia="Calibri" w:hAnsi="Book Antiqua" w:cs="Arial"/>
          <w:sz w:val="24"/>
          <w:szCs w:val="24"/>
        </w:rPr>
        <w:t>20</w:t>
      </w:r>
      <w:r w:rsidRPr="00E72EC5">
        <w:rPr>
          <w:rFonts w:ascii="Book Antiqua" w:eastAsia="Calibri" w:hAnsi="Book Antiqua" w:cs="Arial"/>
          <w:sz w:val="24"/>
          <w:szCs w:val="24"/>
        </w:rPr>
        <w:t xml:space="preserve"> al 202</w:t>
      </w:r>
      <w:r w:rsidR="00E72EC5" w:rsidRPr="00E72EC5">
        <w:rPr>
          <w:rFonts w:ascii="Book Antiqua" w:eastAsia="Calibri" w:hAnsi="Book Antiqua" w:cs="Arial"/>
          <w:sz w:val="24"/>
          <w:szCs w:val="24"/>
        </w:rPr>
        <w:t>2</w:t>
      </w:r>
      <w:r w:rsidRPr="00E72EC5">
        <w:rPr>
          <w:rFonts w:ascii="Book Antiqua" w:eastAsia="Calibri" w:hAnsi="Book Antiqua" w:cs="Arial"/>
          <w:sz w:val="24"/>
          <w:szCs w:val="24"/>
        </w:rPr>
        <w:t xml:space="preserve"> un total de </w:t>
      </w:r>
      <w:r w:rsidR="00373D5E" w:rsidRPr="00E72EC5">
        <w:rPr>
          <w:rFonts w:ascii="Book Antiqua" w:eastAsia="Calibri" w:hAnsi="Book Antiqua" w:cs="Arial"/>
          <w:sz w:val="24"/>
          <w:szCs w:val="24"/>
        </w:rPr>
        <w:t>1</w:t>
      </w:r>
      <w:r w:rsidRPr="00E72EC5">
        <w:rPr>
          <w:rFonts w:ascii="Book Antiqua" w:eastAsia="Calibri" w:hAnsi="Book Antiqua" w:cs="Arial"/>
          <w:sz w:val="24"/>
          <w:szCs w:val="24"/>
        </w:rPr>
        <w:t> </w:t>
      </w:r>
      <w:r w:rsidR="00E72EC5" w:rsidRPr="00E72EC5">
        <w:rPr>
          <w:rFonts w:ascii="Book Antiqua" w:eastAsia="Calibri" w:hAnsi="Book Antiqua" w:cs="Arial"/>
          <w:sz w:val="24"/>
          <w:szCs w:val="24"/>
        </w:rPr>
        <w:t>528</w:t>
      </w:r>
      <w:r w:rsidRPr="00E72EC5">
        <w:rPr>
          <w:rFonts w:ascii="Book Antiqua" w:eastAsia="Calibri" w:hAnsi="Book Antiqua" w:cs="Arial"/>
          <w:sz w:val="24"/>
          <w:szCs w:val="24"/>
        </w:rPr>
        <w:t xml:space="preserve"> apelaciones procedentes de los Juzgados Especializados de Familia, los tres despachos que presentaron más recursos durante este periodo fueron el Juzgado de Familia del Segundo Circuito Judicial de </w:t>
      </w:r>
      <w:r w:rsidR="00A6287D" w:rsidRPr="00E72EC5">
        <w:rPr>
          <w:rFonts w:ascii="Book Antiqua" w:eastAsia="Calibri" w:hAnsi="Book Antiqua" w:cs="Arial"/>
          <w:sz w:val="24"/>
          <w:szCs w:val="24"/>
        </w:rPr>
        <w:t xml:space="preserve"> </w:t>
      </w:r>
      <w:r w:rsidRPr="00E72EC5">
        <w:rPr>
          <w:rFonts w:ascii="Book Antiqua" w:eastAsia="Calibri" w:hAnsi="Book Antiqua" w:cs="Arial"/>
          <w:sz w:val="24"/>
          <w:szCs w:val="24"/>
        </w:rPr>
        <w:t xml:space="preserve">San José con </w:t>
      </w:r>
      <w:r w:rsidR="00373D5E" w:rsidRPr="00E72EC5">
        <w:rPr>
          <w:rFonts w:ascii="Book Antiqua" w:eastAsia="Calibri" w:hAnsi="Book Antiqua" w:cs="Arial"/>
          <w:sz w:val="24"/>
          <w:szCs w:val="24"/>
        </w:rPr>
        <w:t>26</w:t>
      </w:r>
      <w:r w:rsidR="00E72EC5" w:rsidRPr="00E72EC5">
        <w:rPr>
          <w:rFonts w:ascii="Book Antiqua" w:eastAsia="Calibri" w:hAnsi="Book Antiqua" w:cs="Arial"/>
          <w:sz w:val="24"/>
          <w:szCs w:val="24"/>
        </w:rPr>
        <w:t>1</w:t>
      </w:r>
      <w:r w:rsidRPr="00E72EC5">
        <w:rPr>
          <w:rFonts w:ascii="Book Antiqua" w:eastAsia="Calibri" w:hAnsi="Book Antiqua" w:cs="Arial"/>
          <w:sz w:val="24"/>
          <w:szCs w:val="24"/>
        </w:rPr>
        <w:t xml:space="preserve"> asuntos, seguido del </w:t>
      </w:r>
      <w:r w:rsidR="00373D5E" w:rsidRPr="00E72EC5">
        <w:rPr>
          <w:rFonts w:ascii="Book Antiqua" w:eastAsia="Calibri" w:hAnsi="Book Antiqua" w:cs="Arial"/>
          <w:sz w:val="24"/>
          <w:szCs w:val="24"/>
        </w:rPr>
        <w:t xml:space="preserve">Juzgado </w:t>
      </w:r>
      <w:r w:rsidR="00F802E9" w:rsidRPr="00E72EC5">
        <w:rPr>
          <w:rFonts w:ascii="Book Antiqua" w:eastAsia="Calibri" w:hAnsi="Book Antiqua" w:cs="Arial"/>
          <w:sz w:val="24"/>
          <w:szCs w:val="24"/>
        </w:rPr>
        <w:t xml:space="preserve">Primero </w:t>
      </w:r>
      <w:r w:rsidR="00373D5E" w:rsidRPr="00E72EC5">
        <w:rPr>
          <w:rFonts w:ascii="Book Antiqua" w:eastAsia="Calibri" w:hAnsi="Book Antiqua" w:cs="Arial"/>
          <w:sz w:val="24"/>
          <w:szCs w:val="24"/>
        </w:rPr>
        <w:t xml:space="preserve">de Familia de San </w:t>
      </w:r>
      <w:r w:rsidR="00143EFA" w:rsidRPr="00E72EC5">
        <w:rPr>
          <w:rFonts w:ascii="Book Antiqua" w:eastAsia="Calibri" w:hAnsi="Book Antiqua" w:cs="Arial"/>
          <w:sz w:val="24"/>
          <w:szCs w:val="24"/>
        </w:rPr>
        <w:t>José</w:t>
      </w:r>
      <w:r w:rsidR="00373D5E" w:rsidRPr="00E72EC5">
        <w:rPr>
          <w:rFonts w:ascii="Book Antiqua" w:eastAsia="Calibri" w:hAnsi="Book Antiqua" w:cs="Arial"/>
          <w:sz w:val="24"/>
          <w:szCs w:val="24"/>
        </w:rPr>
        <w:t xml:space="preserve"> </w:t>
      </w:r>
      <w:r w:rsidR="00F802E9" w:rsidRPr="00E72EC5">
        <w:rPr>
          <w:rFonts w:ascii="Book Antiqua" w:eastAsia="Calibri" w:hAnsi="Book Antiqua" w:cs="Arial"/>
          <w:sz w:val="24"/>
          <w:szCs w:val="24"/>
        </w:rPr>
        <w:t>con 2</w:t>
      </w:r>
      <w:r w:rsidR="00E72EC5" w:rsidRPr="00E72EC5">
        <w:rPr>
          <w:rFonts w:ascii="Book Antiqua" w:eastAsia="Calibri" w:hAnsi="Book Antiqua" w:cs="Arial"/>
          <w:sz w:val="24"/>
          <w:szCs w:val="24"/>
        </w:rPr>
        <w:t>28</w:t>
      </w:r>
      <w:r w:rsidR="00F802E9" w:rsidRPr="00E72EC5">
        <w:rPr>
          <w:rFonts w:ascii="Book Antiqua" w:eastAsia="Calibri" w:hAnsi="Book Antiqua" w:cs="Arial"/>
          <w:sz w:val="24"/>
          <w:szCs w:val="24"/>
        </w:rPr>
        <w:t xml:space="preserve"> y en tercer lugar el </w:t>
      </w:r>
      <w:r w:rsidR="00373D5E" w:rsidRPr="00E72EC5">
        <w:rPr>
          <w:rFonts w:ascii="Book Antiqua" w:eastAsia="Calibri" w:hAnsi="Book Antiqua" w:cs="Arial"/>
          <w:sz w:val="24"/>
          <w:szCs w:val="24"/>
        </w:rPr>
        <w:t xml:space="preserve">Juzgado de Familia de </w:t>
      </w:r>
      <w:r w:rsidR="00E72EC5" w:rsidRPr="00E72EC5">
        <w:rPr>
          <w:rFonts w:ascii="Book Antiqua" w:eastAsia="Calibri" w:hAnsi="Book Antiqua" w:cs="Arial"/>
          <w:sz w:val="24"/>
          <w:szCs w:val="24"/>
        </w:rPr>
        <w:t>Heredia</w:t>
      </w:r>
      <w:r w:rsidR="00373D5E" w:rsidRPr="00E72EC5">
        <w:rPr>
          <w:rFonts w:ascii="Book Antiqua" w:eastAsia="Calibri" w:hAnsi="Book Antiqua" w:cs="Arial"/>
          <w:sz w:val="24"/>
          <w:szCs w:val="24"/>
        </w:rPr>
        <w:t xml:space="preserve"> con </w:t>
      </w:r>
      <w:r w:rsidR="00F802E9" w:rsidRPr="00E72EC5">
        <w:rPr>
          <w:rFonts w:ascii="Book Antiqua" w:eastAsia="Calibri" w:hAnsi="Book Antiqua" w:cs="Arial"/>
          <w:sz w:val="24"/>
          <w:szCs w:val="24"/>
        </w:rPr>
        <w:t>1</w:t>
      </w:r>
      <w:r w:rsidR="00E72EC5" w:rsidRPr="00E72EC5">
        <w:rPr>
          <w:rFonts w:ascii="Book Antiqua" w:eastAsia="Calibri" w:hAnsi="Book Antiqua" w:cs="Arial"/>
          <w:sz w:val="24"/>
          <w:szCs w:val="24"/>
        </w:rPr>
        <w:t>8</w:t>
      </w:r>
      <w:r w:rsidR="00F802E9" w:rsidRPr="00E72EC5">
        <w:rPr>
          <w:rFonts w:ascii="Book Antiqua" w:eastAsia="Calibri" w:hAnsi="Book Antiqua" w:cs="Arial"/>
          <w:sz w:val="24"/>
          <w:szCs w:val="24"/>
        </w:rPr>
        <w:t xml:space="preserve">9 </w:t>
      </w:r>
      <w:r w:rsidRPr="00E72EC5">
        <w:rPr>
          <w:rFonts w:ascii="Book Antiqua" w:eastAsia="Calibri" w:hAnsi="Book Antiqua" w:cs="Arial"/>
          <w:sz w:val="24"/>
          <w:szCs w:val="24"/>
        </w:rPr>
        <w:t xml:space="preserve">casos, en menor cantidad se tiene el Juzgado de Familia del </w:t>
      </w:r>
      <w:r w:rsidR="00F802E9" w:rsidRPr="00E72EC5">
        <w:rPr>
          <w:rFonts w:ascii="Book Antiqua" w:eastAsia="Calibri" w:hAnsi="Book Antiqua" w:cs="Arial"/>
          <w:sz w:val="24"/>
          <w:szCs w:val="24"/>
        </w:rPr>
        <w:t>Primer</w:t>
      </w:r>
      <w:r w:rsidRPr="00E72EC5">
        <w:rPr>
          <w:rFonts w:ascii="Book Antiqua" w:eastAsia="Calibri" w:hAnsi="Book Antiqua" w:cs="Arial"/>
          <w:sz w:val="24"/>
          <w:szCs w:val="24"/>
        </w:rPr>
        <w:t xml:space="preserve"> Circuito Judicial de la Zona Atlántica con </w:t>
      </w:r>
      <w:r w:rsidR="00E72EC5" w:rsidRPr="00E72EC5">
        <w:rPr>
          <w:rFonts w:ascii="Book Antiqua" w:eastAsia="Calibri" w:hAnsi="Book Antiqua" w:cs="Arial"/>
          <w:sz w:val="24"/>
          <w:szCs w:val="24"/>
        </w:rPr>
        <w:t>4</w:t>
      </w:r>
      <w:r w:rsidRPr="00E72EC5">
        <w:rPr>
          <w:rFonts w:ascii="Book Antiqua" w:eastAsia="Calibri" w:hAnsi="Book Antiqua" w:cs="Arial"/>
          <w:sz w:val="24"/>
          <w:szCs w:val="24"/>
        </w:rPr>
        <w:t xml:space="preserve">3 apelaciones, seguido del Juzgado de Familia del Segundo Circuito Judicial de </w:t>
      </w:r>
      <w:r w:rsidR="00F802E9" w:rsidRPr="00E72EC5">
        <w:rPr>
          <w:rFonts w:ascii="Book Antiqua" w:eastAsia="Calibri" w:hAnsi="Book Antiqua" w:cs="Arial"/>
          <w:sz w:val="24"/>
          <w:szCs w:val="24"/>
        </w:rPr>
        <w:t>la Zona Atlántica</w:t>
      </w:r>
      <w:r w:rsidRPr="00E72EC5">
        <w:rPr>
          <w:rFonts w:ascii="Book Antiqua" w:eastAsia="Calibri" w:hAnsi="Book Antiqua" w:cs="Arial"/>
          <w:sz w:val="24"/>
          <w:szCs w:val="24"/>
        </w:rPr>
        <w:t xml:space="preserve"> </w:t>
      </w:r>
      <w:r w:rsidR="00F802E9" w:rsidRPr="00E72EC5">
        <w:rPr>
          <w:rFonts w:ascii="Book Antiqua" w:eastAsia="Calibri" w:hAnsi="Book Antiqua" w:cs="Arial"/>
          <w:sz w:val="24"/>
          <w:szCs w:val="24"/>
        </w:rPr>
        <w:t xml:space="preserve">y </w:t>
      </w:r>
      <w:r w:rsidRPr="00E72EC5">
        <w:rPr>
          <w:rFonts w:ascii="Book Antiqua" w:eastAsia="Calibri" w:hAnsi="Book Antiqua" w:cs="Arial"/>
          <w:sz w:val="24"/>
          <w:szCs w:val="24"/>
        </w:rPr>
        <w:t xml:space="preserve">el </w:t>
      </w:r>
      <w:bookmarkStart w:id="65" w:name="_Hlk96997045"/>
      <w:r w:rsidRPr="00E72EC5">
        <w:rPr>
          <w:rFonts w:ascii="Book Antiqua" w:eastAsia="Calibri" w:hAnsi="Book Antiqua" w:cs="Arial"/>
          <w:sz w:val="24"/>
          <w:szCs w:val="24"/>
        </w:rPr>
        <w:t xml:space="preserve">Juzgado </w:t>
      </w:r>
      <w:r w:rsidR="00F802E9" w:rsidRPr="00E72EC5">
        <w:rPr>
          <w:rFonts w:ascii="Book Antiqua" w:eastAsia="Calibri" w:hAnsi="Book Antiqua" w:cs="Arial"/>
          <w:sz w:val="24"/>
          <w:szCs w:val="24"/>
        </w:rPr>
        <w:t>de Familia del Tercer Circuito Judicial</w:t>
      </w:r>
      <w:r w:rsidRPr="00E72EC5">
        <w:rPr>
          <w:rFonts w:ascii="Book Antiqua" w:eastAsia="Calibri" w:hAnsi="Book Antiqua" w:cs="Arial"/>
          <w:sz w:val="24"/>
          <w:szCs w:val="24"/>
        </w:rPr>
        <w:t xml:space="preserve"> de San José</w:t>
      </w:r>
      <w:r w:rsidR="00F802E9" w:rsidRPr="00E72EC5">
        <w:rPr>
          <w:rFonts w:ascii="Book Antiqua" w:eastAsia="Calibri" w:hAnsi="Book Antiqua" w:cs="Arial"/>
          <w:sz w:val="24"/>
          <w:szCs w:val="24"/>
        </w:rPr>
        <w:t>, Desamparados</w:t>
      </w:r>
      <w:r w:rsidRPr="00E72EC5">
        <w:rPr>
          <w:rFonts w:ascii="Book Antiqua" w:eastAsia="Calibri" w:hAnsi="Book Antiqua" w:cs="Arial"/>
          <w:sz w:val="24"/>
          <w:szCs w:val="24"/>
        </w:rPr>
        <w:t xml:space="preserve"> </w:t>
      </w:r>
      <w:bookmarkEnd w:id="65"/>
      <w:r w:rsidRPr="00E72EC5">
        <w:rPr>
          <w:rFonts w:ascii="Book Antiqua" w:eastAsia="Calibri" w:hAnsi="Book Antiqua" w:cs="Arial"/>
          <w:sz w:val="24"/>
          <w:szCs w:val="24"/>
        </w:rPr>
        <w:t xml:space="preserve">con </w:t>
      </w:r>
      <w:r w:rsidR="00E72EC5" w:rsidRPr="00E72EC5">
        <w:rPr>
          <w:rFonts w:ascii="Book Antiqua" w:eastAsia="Calibri" w:hAnsi="Book Antiqua" w:cs="Arial"/>
          <w:sz w:val="24"/>
          <w:szCs w:val="24"/>
        </w:rPr>
        <w:t>51</w:t>
      </w:r>
      <w:r w:rsidR="00F802E9" w:rsidRPr="00E72EC5">
        <w:rPr>
          <w:rFonts w:ascii="Book Antiqua" w:eastAsia="Calibri" w:hAnsi="Book Antiqua" w:cs="Arial"/>
          <w:sz w:val="24"/>
          <w:szCs w:val="24"/>
        </w:rPr>
        <w:t xml:space="preserve"> </w:t>
      </w:r>
      <w:r w:rsidRPr="00E72EC5">
        <w:rPr>
          <w:rFonts w:ascii="Book Antiqua" w:eastAsia="Calibri" w:hAnsi="Book Antiqua" w:cs="Arial"/>
          <w:sz w:val="24"/>
          <w:szCs w:val="24"/>
        </w:rPr>
        <w:t>asuntos</w:t>
      </w:r>
      <w:r w:rsidR="00F802E9" w:rsidRPr="00E72EC5">
        <w:rPr>
          <w:rFonts w:ascii="Book Antiqua" w:eastAsia="Calibri" w:hAnsi="Book Antiqua" w:cs="Arial"/>
          <w:sz w:val="24"/>
          <w:szCs w:val="24"/>
        </w:rPr>
        <w:t xml:space="preserve"> cada uno</w:t>
      </w:r>
      <w:r w:rsidRPr="00E72EC5">
        <w:rPr>
          <w:rFonts w:ascii="Book Antiqua" w:eastAsia="Calibri" w:hAnsi="Book Antiqua" w:cs="Arial"/>
          <w:sz w:val="24"/>
          <w:szCs w:val="24"/>
        </w:rPr>
        <w:t xml:space="preserve">. Es decir, en promedio en esos </w:t>
      </w:r>
      <w:r w:rsidR="00E72EC5" w:rsidRPr="00E72EC5">
        <w:rPr>
          <w:rFonts w:ascii="Book Antiqua" w:eastAsia="Calibri" w:hAnsi="Book Antiqua" w:cs="Arial"/>
          <w:sz w:val="24"/>
          <w:szCs w:val="24"/>
        </w:rPr>
        <w:t>3</w:t>
      </w:r>
      <w:r w:rsidRPr="00E72EC5">
        <w:rPr>
          <w:rFonts w:ascii="Book Antiqua" w:eastAsia="Calibri" w:hAnsi="Book Antiqua" w:cs="Arial"/>
          <w:sz w:val="24"/>
          <w:szCs w:val="24"/>
        </w:rPr>
        <w:t xml:space="preserve"> años, resolvió </w:t>
      </w:r>
      <w:r w:rsidR="00E72EC5">
        <w:rPr>
          <w:rFonts w:ascii="Book Antiqua" w:eastAsia="Calibri" w:hAnsi="Book Antiqua" w:cs="Arial"/>
          <w:sz w:val="24"/>
          <w:szCs w:val="24"/>
        </w:rPr>
        <w:t>509</w:t>
      </w:r>
      <w:r w:rsidRPr="00E72EC5">
        <w:rPr>
          <w:rFonts w:ascii="Book Antiqua" w:eastAsia="Calibri" w:hAnsi="Book Antiqua" w:cs="Arial"/>
          <w:sz w:val="24"/>
          <w:szCs w:val="24"/>
        </w:rPr>
        <w:t xml:space="preserve"> apelaciones.</w:t>
      </w:r>
      <w:r w:rsidRPr="00A636FA">
        <w:rPr>
          <w:rFonts w:ascii="Book Antiqua" w:eastAsia="Calibri" w:hAnsi="Book Antiqua" w:cs="Arial"/>
          <w:sz w:val="24"/>
          <w:szCs w:val="24"/>
        </w:rPr>
        <w:t xml:space="preserve"> </w:t>
      </w:r>
    </w:p>
    <w:p w14:paraId="11D49545" w14:textId="77777777" w:rsidR="00A636FA" w:rsidRPr="00A636FA" w:rsidRDefault="00A636FA" w:rsidP="00A636FA">
      <w:pPr>
        <w:spacing w:after="0" w:line="276" w:lineRule="auto"/>
        <w:jc w:val="both"/>
        <w:rPr>
          <w:rFonts w:ascii="Book Antiqua" w:eastAsia="Calibri" w:hAnsi="Book Antiqua" w:cs="Arial"/>
          <w:sz w:val="24"/>
          <w:szCs w:val="24"/>
        </w:rPr>
      </w:pPr>
    </w:p>
    <w:p w14:paraId="236F31D7" w14:textId="4F0228F0" w:rsidR="00A636FA" w:rsidRDefault="00A636FA" w:rsidP="00A636FA">
      <w:pPr>
        <w:spacing w:after="0" w:line="276" w:lineRule="auto"/>
        <w:jc w:val="both"/>
        <w:rPr>
          <w:rFonts w:ascii="Book Antiqua" w:eastAsia="Calibri" w:hAnsi="Book Antiqua" w:cs="Arial"/>
          <w:sz w:val="24"/>
          <w:szCs w:val="24"/>
        </w:rPr>
      </w:pPr>
      <w:r w:rsidRPr="00186C08">
        <w:rPr>
          <w:rFonts w:ascii="Book Antiqua" w:eastAsia="Calibri" w:hAnsi="Book Antiqua" w:cs="Arial"/>
          <w:sz w:val="24"/>
          <w:szCs w:val="24"/>
        </w:rPr>
        <w:t>Para el 202</w:t>
      </w:r>
      <w:r w:rsidR="00186C08" w:rsidRPr="00186C08">
        <w:rPr>
          <w:rFonts w:ascii="Book Antiqua" w:eastAsia="Calibri" w:hAnsi="Book Antiqua" w:cs="Arial"/>
          <w:sz w:val="24"/>
          <w:szCs w:val="24"/>
        </w:rPr>
        <w:t>2</w:t>
      </w:r>
      <w:r w:rsidRPr="00186C08">
        <w:rPr>
          <w:rFonts w:ascii="Book Antiqua" w:eastAsia="Calibri" w:hAnsi="Book Antiqua" w:cs="Arial"/>
          <w:sz w:val="24"/>
          <w:szCs w:val="24"/>
        </w:rPr>
        <w:t>, logró terminar 1</w:t>
      </w:r>
      <w:r w:rsidR="004A0635" w:rsidRPr="00186C08">
        <w:rPr>
          <w:rFonts w:ascii="Book Antiqua" w:eastAsia="Calibri" w:hAnsi="Book Antiqua" w:cs="Arial"/>
          <w:sz w:val="24"/>
          <w:szCs w:val="24"/>
        </w:rPr>
        <w:t xml:space="preserve"> </w:t>
      </w:r>
      <w:r w:rsidR="00186C08" w:rsidRPr="00186C08">
        <w:rPr>
          <w:rFonts w:ascii="Book Antiqua" w:eastAsia="Calibri" w:hAnsi="Book Antiqua" w:cs="Arial"/>
          <w:sz w:val="24"/>
          <w:szCs w:val="24"/>
        </w:rPr>
        <w:t>1</w:t>
      </w:r>
      <w:r w:rsidR="00C7739C" w:rsidRPr="00186C08">
        <w:rPr>
          <w:rFonts w:ascii="Book Antiqua" w:eastAsia="Calibri" w:hAnsi="Book Antiqua" w:cs="Arial"/>
          <w:sz w:val="24"/>
          <w:szCs w:val="24"/>
        </w:rPr>
        <w:t>8</w:t>
      </w:r>
      <w:r w:rsidR="00186C08" w:rsidRPr="00186C08">
        <w:rPr>
          <w:rFonts w:ascii="Book Antiqua" w:eastAsia="Calibri" w:hAnsi="Book Antiqua" w:cs="Arial"/>
          <w:sz w:val="24"/>
          <w:szCs w:val="24"/>
        </w:rPr>
        <w:t>2</w:t>
      </w:r>
      <w:r w:rsidRPr="00186C08">
        <w:rPr>
          <w:rFonts w:ascii="Book Antiqua" w:eastAsia="Calibri" w:hAnsi="Book Antiqua" w:cs="Arial"/>
          <w:sz w:val="24"/>
          <w:szCs w:val="24"/>
        </w:rPr>
        <w:t xml:space="preserve"> recursos en </w:t>
      </w:r>
      <w:r w:rsidR="00C7739C" w:rsidRPr="00186C08">
        <w:rPr>
          <w:rFonts w:ascii="Book Antiqua" w:eastAsia="Calibri" w:hAnsi="Book Antiqua" w:cs="Arial"/>
          <w:sz w:val="24"/>
          <w:szCs w:val="24"/>
        </w:rPr>
        <w:t>F</w:t>
      </w:r>
      <w:r w:rsidRPr="00186C08">
        <w:rPr>
          <w:rFonts w:ascii="Book Antiqua" w:eastAsia="Calibri" w:hAnsi="Book Antiqua" w:cs="Arial"/>
          <w:sz w:val="24"/>
          <w:szCs w:val="24"/>
        </w:rPr>
        <w:t xml:space="preserve">amilia y </w:t>
      </w:r>
      <w:r w:rsidR="00186C08" w:rsidRPr="00186C08">
        <w:rPr>
          <w:rFonts w:ascii="Book Antiqua" w:eastAsia="Calibri" w:hAnsi="Book Antiqua" w:cs="Arial"/>
          <w:sz w:val="24"/>
          <w:szCs w:val="24"/>
        </w:rPr>
        <w:t>660</w:t>
      </w:r>
      <w:r w:rsidR="00C7739C" w:rsidRPr="00186C08">
        <w:rPr>
          <w:rFonts w:ascii="Book Antiqua" w:eastAsia="Calibri" w:hAnsi="Book Antiqua" w:cs="Arial"/>
          <w:sz w:val="24"/>
          <w:szCs w:val="24"/>
        </w:rPr>
        <w:t xml:space="preserve"> en Violencia Doméstica, f</w:t>
      </w:r>
      <w:r w:rsidRPr="00186C08">
        <w:rPr>
          <w:rFonts w:ascii="Book Antiqua" w:eastAsia="Calibri" w:hAnsi="Book Antiqua" w:cs="Arial"/>
          <w:sz w:val="24"/>
          <w:szCs w:val="24"/>
        </w:rPr>
        <w:t xml:space="preserve">inalizó con un circulante en trámite de </w:t>
      </w:r>
      <w:r w:rsidR="00186C08" w:rsidRPr="00186C08">
        <w:rPr>
          <w:rFonts w:ascii="Book Antiqua" w:eastAsia="Calibri" w:hAnsi="Book Antiqua" w:cs="Arial"/>
          <w:sz w:val="24"/>
          <w:szCs w:val="24"/>
        </w:rPr>
        <w:t>4</w:t>
      </w:r>
      <w:r w:rsidR="00C7739C" w:rsidRPr="00186C08">
        <w:rPr>
          <w:rFonts w:ascii="Book Antiqua" w:eastAsia="Calibri" w:hAnsi="Book Antiqua" w:cs="Arial"/>
          <w:sz w:val="24"/>
          <w:szCs w:val="24"/>
        </w:rPr>
        <w:t>8</w:t>
      </w:r>
      <w:r w:rsidR="00186C08" w:rsidRPr="00186C08">
        <w:rPr>
          <w:rFonts w:ascii="Book Antiqua" w:eastAsia="Calibri" w:hAnsi="Book Antiqua" w:cs="Arial"/>
          <w:sz w:val="24"/>
          <w:szCs w:val="24"/>
        </w:rPr>
        <w:t>1</w:t>
      </w:r>
      <w:r w:rsidRPr="00186C08">
        <w:rPr>
          <w:rFonts w:ascii="Book Antiqua" w:eastAsia="Calibri" w:hAnsi="Book Antiqua" w:cs="Arial"/>
          <w:sz w:val="24"/>
          <w:szCs w:val="24"/>
        </w:rPr>
        <w:t xml:space="preserve"> asuntos (</w:t>
      </w:r>
      <w:r w:rsidR="00186C08" w:rsidRPr="00186C08">
        <w:rPr>
          <w:rFonts w:ascii="Book Antiqua" w:eastAsia="Calibri" w:hAnsi="Book Antiqua" w:cs="Arial"/>
          <w:sz w:val="24"/>
          <w:szCs w:val="24"/>
        </w:rPr>
        <w:t>415</w:t>
      </w:r>
      <w:r w:rsidRPr="00186C08">
        <w:rPr>
          <w:rFonts w:ascii="Book Antiqua" w:eastAsia="Calibri" w:hAnsi="Book Antiqua" w:cs="Arial"/>
          <w:sz w:val="24"/>
          <w:szCs w:val="24"/>
        </w:rPr>
        <w:t xml:space="preserve"> en Familia y </w:t>
      </w:r>
      <w:r w:rsidR="00C7739C" w:rsidRPr="00186C08">
        <w:rPr>
          <w:rFonts w:ascii="Book Antiqua" w:eastAsia="Calibri" w:hAnsi="Book Antiqua" w:cs="Arial"/>
          <w:sz w:val="24"/>
          <w:szCs w:val="24"/>
        </w:rPr>
        <w:t>6</w:t>
      </w:r>
      <w:r w:rsidR="00186C08" w:rsidRPr="00186C08">
        <w:rPr>
          <w:rFonts w:ascii="Book Antiqua" w:eastAsia="Calibri" w:hAnsi="Book Antiqua" w:cs="Arial"/>
          <w:sz w:val="24"/>
          <w:szCs w:val="24"/>
        </w:rPr>
        <w:t>6</w:t>
      </w:r>
      <w:r w:rsidRPr="00186C08">
        <w:rPr>
          <w:rFonts w:ascii="Book Antiqua" w:eastAsia="Calibri" w:hAnsi="Book Antiqua" w:cs="Arial"/>
          <w:sz w:val="24"/>
          <w:szCs w:val="24"/>
        </w:rPr>
        <w:t xml:space="preserve"> en Violencia Doméstica).</w:t>
      </w:r>
      <w:r w:rsidRPr="00A636FA">
        <w:rPr>
          <w:rFonts w:ascii="Book Antiqua" w:eastAsia="Calibri" w:hAnsi="Book Antiqua" w:cs="Arial"/>
          <w:sz w:val="24"/>
          <w:szCs w:val="24"/>
        </w:rPr>
        <w:t xml:space="preserve">  </w:t>
      </w:r>
    </w:p>
    <w:p w14:paraId="5B3E4D36" w14:textId="77777777" w:rsidR="00300450" w:rsidRPr="00A636FA" w:rsidRDefault="00300450" w:rsidP="00A636FA">
      <w:pPr>
        <w:spacing w:after="0" w:line="276" w:lineRule="auto"/>
        <w:jc w:val="both"/>
        <w:rPr>
          <w:rFonts w:ascii="Book Antiqua" w:eastAsia="Calibri" w:hAnsi="Book Antiqua" w:cs="Arial"/>
          <w:sz w:val="24"/>
          <w:szCs w:val="24"/>
        </w:rPr>
      </w:pPr>
    </w:p>
    <w:p w14:paraId="5346F00A" w14:textId="70393B7D"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Duración de los procesos atendidos por el Tribunal de Familia</w:t>
      </w:r>
    </w:p>
    <w:p w14:paraId="26E4D45B" w14:textId="77777777" w:rsidR="008456A9" w:rsidRDefault="008456A9" w:rsidP="0001202E">
      <w:pPr>
        <w:spacing w:after="0" w:line="276" w:lineRule="auto"/>
        <w:jc w:val="both"/>
        <w:rPr>
          <w:rFonts w:ascii="Book Antiqua" w:eastAsia="Calibri" w:hAnsi="Book Antiqua" w:cs="Arial"/>
          <w:sz w:val="24"/>
          <w:szCs w:val="24"/>
        </w:rPr>
      </w:pPr>
    </w:p>
    <w:p w14:paraId="78920C07" w14:textId="5328220A" w:rsidR="0001202E" w:rsidRDefault="0001202E" w:rsidP="0001202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incluyen </w:t>
      </w:r>
      <w:r w:rsidR="00813A57">
        <w:rPr>
          <w:rFonts w:ascii="Book Antiqua" w:eastAsia="Calibri" w:hAnsi="Book Antiqua" w:cs="Arial"/>
          <w:sz w:val="24"/>
          <w:szCs w:val="24"/>
        </w:rPr>
        <w:t>3</w:t>
      </w:r>
      <w:r>
        <w:rPr>
          <w:rFonts w:ascii="Book Antiqua" w:eastAsia="Calibri" w:hAnsi="Book Antiqua" w:cs="Arial"/>
          <w:sz w:val="24"/>
          <w:szCs w:val="24"/>
        </w:rPr>
        <w:t xml:space="preserve"> cuadros con la información aportada por el Subproceso de Estadística, en donde se visualiza por clase de asunto, la duración o cantidad de tiempo transcurrido entre que ingreso el recurso hasta que se </w:t>
      </w:r>
      <w:r w:rsidR="009227B9">
        <w:rPr>
          <w:rFonts w:ascii="Book Antiqua" w:eastAsia="Calibri" w:hAnsi="Book Antiqua" w:cs="Arial"/>
          <w:sz w:val="24"/>
          <w:szCs w:val="24"/>
        </w:rPr>
        <w:t>finalizó</w:t>
      </w:r>
      <w:r>
        <w:rPr>
          <w:rFonts w:ascii="Book Antiqua" w:eastAsia="Calibri" w:hAnsi="Book Antiqua" w:cs="Arial"/>
          <w:sz w:val="24"/>
          <w:szCs w:val="24"/>
        </w:rPr>
        <w:t xml:space="preserve"> el proceso a nivel de los sistemas informáticos.</w:t>
      </w:r>
    </w:p>
    <w:p w14:paraId="760EFF14" w14:textId="77777777" w:rsidR="0001202E" w:rsidRDefault="0001202E" w:rsidP="0001202E">
      <w:pPr>
        <w:spacing w:after="0" w:line="276" w:lineRule="auto"/>
        <w:jc w:val="both"/>
        <w:rPr>
          <w:rFonts w:ascii="Book Antiqua" w:eastAsia="Calibri" w:hAnsi="Book Antiqua" w:cs="Arial"/>
          <w:sz w:val="24"/>
          <w:szCs w:val="24"/>
        </w:rPr>
      </w:pPr>
    </w:p>
    <w:p w14:paraId="40AB3177" w14:textId="67A41DA1" w:rsidR="00C0062B" w:rsidRPr="00813A57" w:rsidRDefault="0001202E" w:rsidP="0001202E">
      <w:pPr>
        <w:spacing w:line="276" w:lineRule="auto"/>
        <w:jc w:val="both"/>
        <w:rPr>
          <w:rFonts w:ascii="Book Antiqua" w:hAnsi="Book Antiqua"/>
          <w:sz w:val="24"/>
          <w:szCs w:val="24"/>
        </w:rPr>
      </w:pPr>
      <w:r w:rsidRPr="00813A57">
        <w:rPr>
          <w:rFonts w:ascii="Book Antiqua" w:hAnsi="Book Antiqua"/>
          <w:sz w:val="24"/>
          <w:szCs w:val="24"/>
        </w:rPr>
        <w:t xml:space="preserve">En cuanto a la duración de los procesos en el Tribunal de Familia, </w:t>
      </w:r>
      <w:r w:rsidR="00300450" w:rsidRPr="00813A57">
        <w:rPr>
          <w:rFonts w:ascii="Book Antiqua" w:hAnsi="Book Antiqua"/>
          <w:sz w:val="24"/>
          <w:szCs w:val="24"/>
        </w:rPr>
        <w:t xml:space="preserve">para el 2020 </w:t>
      </w:r>
      <w:r w:rsidRPr="00813A57">
        <w:rPr>
          <w:rFonts w:ascii="Book Antiqua" w:hAnsi="Book Antiqua"/>
          <w:sz w:val="24"/>
          <w:szCs w:val="24"/>
        </w:rPr>
        <w:t xml:space="preserve">en promedio tardaron en resolverse en </w:t>
      </w:r>
      <w:r w:rsidRPr="00813A57">
        <w:rPr>
          <w:rFonts w:ascii="Book Antiqua" w:hAnsi="Book Antiqua"/>
          <w:b/>
          <w:bCs/>
          <w:sz w:val="24"/>
          <w:szCs w:val="24"/>
        </w:rPr>
        <w:t>2 meses y 3 semanas</w:t>
      </w:r>
      <w:r w:rsidR="00813A57" w:rsidRPr="00813A57">
        <w:rPr>
          <w:rFonts w:ascii="Book Antiqua" w:hAnsi="Book Antiqua"/>
          <w:b/>
          <w:bCs/>
          <w:sz w:val="24"/>
          <w:szCs w:val="24"/>
        </w:rPr>
        <w:t>,</w:t>
      </w:r>
      <w:r w:rsidRPr="00813A57">
        <w:rPr>
          <w:rFonts w:ascii="Book Antiqua" w:hAnsi="Book Antiqua"/>
          <w:sz w:val="24"/>
          <w:szCs w:val="24"/>
        </w:rPr>
        <w:t xml:space="preserve"> para el 2021 la duración fue de </w:t>
      </w:r>
      <w:r w:rsidRPr="00813A57">
        <w:rPr>
          <w:rFonts w:ascii="Book Antiqua" w:hAnsi="Book Antiqua"/>
          <w:b/>
          <w:bCs/>
          <w:sz w:val="24"/>
          <w:szCs w:val="24"/>
        </w:rPr>
        <w:t>3 meses</w:t>
      </w:r>
      <w:r w:rsidR="00813A57" w:rsidRPr="00813A57">
        <w:rPr>
          <w:rFonts w:ascii="Book Antiqua" w:hAnsi="Book Antiqua"/>
          <w:b/>
          <w:bCs/>
          <w:sz w:val="24"/>
          <w:szCs w:val="24"/>
        </w:rPr>
        <w:t xml:space="preserve"> </w:t>
      </w:r>
      <w:r w:rsidR="00813A57" w:rsidRPr="00813A57">
        <w:rPr>
          <w:rFonts w:ascii="Book Antiqua" w:hAnsi="Book Antiqua"/>
          <w:sz w:val="24"/>
          <w:szCs w:val="24"/>
        </w:rPr>
        <w:t>y para 2022 la duración fue de</w:t>
      </w:r>
      <w:r w:rsidR="00813A57" w:rsidRPr="00813A57">
        <w:rPr>
          <w:rFonts w:ascii="Book Antiqua" w:hAnsi="Book Antiqua"/>
          <w:b/>
          <w:bCs/>
          <w:sz w:val="24"/>
          <w:szCs w:val="24"/>
        </w:rPr>
        <w:t xml:space="preserve"> 3 meses</w:t>
      </w:r>
      <w:r w:rsidR="00C0062B" w:rsidRPr="00813A57">
        <w:rPr>
          <w:rFonts w:ascii="Book Antiqua" w:hAnsi="Book Antiqua"/>
          <w:sz w:val="24"/>
          <w:szCs w:val="24"/>
        </w:rPr>
        <w:t xml:space="preserve">.  </w:t>
      </w:r>
    </w:p>
    <w:p w14:paraId="481F757E" w14:textId="2FEAA205" w:rsidR="00D07A9E" w:rsidRDefault="00C0062B" w:rsidP="0001202E">
      <w:pPr>
        <w:spacing w:line="276" w:lineRule="auto"/>
        <w:jc w:val="both"/>
        <w:rPr>
          <w:rFonts w:ascii="Book Antiqua" w:hAnsi="Book Antiqua"/>
          <w:sz w:val="24"/>
          <w:szCs w:val="24"/>
        </w:rPr>
      </w:pPr>
      <w:r w:rsidRPr="00813A57">
        <w:rPr>
          <w:rFonts w:ascii="Book Antiqua" w:hAnsi="Book Antiqua"/>
          <w:sz w:val="24"/>
          <w:szCs w:val="24"/>
        </w:rPr>
        <w:t>En 2020</w:t>
      </w:r>
      <w:r w:rsidR="0001202E" w:rsidRPr="00813A57">
        <w:rPr>
          <w:rFonts w:ascii="Book Antiqua" w:hAnsi="Book Antiqua"/>
          <w:sz w:val="24"/>
          <w:szCs w:val="24"/>
        </w:rPr>
        <w:t xml:space="preserve"> los</w:t>
      </w:r>
      <w:r w:rsidRPr="00813A57">
        <w:rPr>
          <w:rFonts w:ascii="Book Antiqua" w:hAnsi="Book Antiqua"/>
          <w:sz w:val="24"/>
          <w:szCs w:val="24"/>
        </w:rPr>
        <w:t xml:space="preserve"> recursos que se resolvieron en menos tiempo fueron</w:t>
      </w:r>
      <w:r w:rsidR="0001202E" w:rsidRPr="00813A57">
        <w:rPr>
          <w:rFonts w:ascii="Book Antiqua" w:hAnsi="Book Antiqua"/>
          <w:sz w:val="24"/>
          <w:szCs w:val="24"/>
        </w:rPr>
        <w:t xml:space="preserve"> </w:t>
      </w:r>
      <w:r w:rsidR="0001202E" w:rsidRPr="00813A57">
        <w:rPr>
          <w:rFonts w:ascii="Book Antiqua" w:hAnsi="Book Antiqua"/>
          <w:i/>
          <w:iCs/>
          <w:sz w:val="24"/>
          <w:szCs w:val="24"/>
        </w:rPr>
        <w:t>“Declaratoria de extramatrimonialidad”</w:t>
      </w:r>
      <w:r w:rsidR="0001202E" w:rsidRPr="00813A57">
        <w:rPr>
          <w:rFonts w:ascii="Book Antiqua" w:hAnsi="Book Antiqua"/>
          <w:sz w:val="24"/>
          <w:szCs w:val="24"/>
        </w:rPr>
        <w:t xml:space="preserve"> que se revolvi</w:t>
      </w:r>
      <w:r w:rsidRPr="00813A57">
        <w:rPr>
          <w:rFonts w:ascii="Book Antiqua" w:hAnsi="Book Antiqua"/>
          <w:sz w:val="24"/>
          <w:szCs w:val="24"/>
        </w:rPr>
        <w:t>eron</w:t>
      </w:r>
      <w:r w:rsidR="0001202E" w:rsidRPr="00813A57">
        <w:rPr>
          <w:rFonts w:ascii="Book Antiqua" w:hAnsi="Book Antiqua"/>
          <w:sz w:val="24"/>
          <w:szCs w:val="24"/>
        </w:rPr>
        <w:t xml:space="preserve"> en 1 mes 1 semana</w:t>
      </w:r>
      <w:r w:rsidRPr="00813A57">
        <w:rPr>
          <w:rFonts w:ascii="Book Antiqua" w:hAnsi="Book Antiqua"/>
          <w:sz w:val="24"/>
          <w:szCs w:val="24"/>
        </w:rPr>
        <w:t xml:space="preserve"> en promedio</w:t>
      </w:r>
      <w:r w:rsidR="00813A57" w:rsidRPr="00813A57">
        <w:rPr>
          <w:rFonts w:ascii="Book Antiqua" w:hAnsi="Book Antiqua"/>
          <w:sz w:val="24"/>
          <w:szCs w:val="24"/>
        </w:rPr>
        <w:t>, p</w:t>
      </w:r>
      <w:r w:rsidRPr="00813A57">
        <w:rPr>
          <w:rFonts w:ascii="Book Antiqua" w:hAnsi="Book Antiqua"/>
          <w:sz w:val="24"/>
          <w:szCs w:val="24"/>
        </w:rPr>
        <w:t>ara 2021 fueron los recursos en procesos de “</w:t>
      </w:r>
      <w:r w:rsidRPr="00813A57">
        <w:rPr>
          <w:rFonts w:ascii="Book Antiqua" w:hAnsi="Book Antiqua"/>
          <w:i/>
          <w:iCs/>
          <w:sz w:val="24"/>
          <w:szCs w:val="24"/>
        </w:rPr>
        <w:t>Adopción</w:t>
      </w:r>
      <w:r w:rsidRPr="00813A57">
        <w:rPr>
          <w:rFonts w:ascii="Book Antiqua" w:hAnsi="Book Antiqua"/>
          <w:sz w:val="24"/>
          <w:szCs w:val="24"/>
        </w:rPr>
        <w:t>” e “</w:t>
      </w:r>
      <w:r w:rsidRPr="00813A57">
        <w:rPr>
          <w:rFonts w:ascii="Book Antiqua" w:hAnsi="Book Antiqua"/>
          <w:i/>
          <w:iCs/>
          <w:sz w:val="24"/>
          <w:szCs w:val="24"/>
        </w:rPr>
        <w:t>Inc. Nulidad notificación”,</w:t>
      </w:r>
      <w:r w:rsidRPr="00813A57">
        <w:rPr>
          <w:rFonts w:ascii="Book Antiqua" w:hAnsi="Book Antiqua"/>
          <w:sz w:val="24"/>
          <w:szCs w:val="24"/>
        </w:rPr>
        <w:t xml:space="preserve"> resueltos en 1 mes 1 semana</w:t>
      </w:r>
      <w:r w:rsidR="00813A57" w:rsidRPr="00813A57">
        <w:rPr>
          <w:rFonts w:ascii="Book Antiqua" w:hAnsi="Book Antiqua"/>
          <w:sz w:val="24"/>
          <w:szCs w:val="24"/>
        </w:rPr>
        <w:t xml:space="preserve"> y para el 2022 los de restitución internacional en 3 semanas</w:t>
      </w:r>
      <w:r w:rsidRPr="00813A57">
        <w:rPr>
          <w:rFonts w:ascii="Book Antiqua" w:hAnsi="Book Antiqua"/>
          <w:sz w:val="24"/>
          <w:szCs w:val="24"/>
        </w:rPr>
        <w:t>.</w:t>
      </w:r>
      <w:r>
        <w:rPr>
          <w:rFonts w:ascii="Book Antiqua" w:hAnsi="Book Antiqua"/>
          <w:sz w:val="24"/>
          <w:szCs w:val="24"/>
        </w:rPr>
        <w:t xml:space="preserve"> </w:t>
      </w:r>
    </w:p>
    <w:p w14:paraId="2B85D5FB" w14:textId="766F54E2"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66" w:name="_Hlk129174564"/>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CE6F72">
        <w:rPr>
          <w:rFonts w:ascii="Book Antiqua" w:eastAsia="Calibri" w:hAnsi="Book Antiqua" w:cs="Arial"/>
          <w:b/>
          <w:bCs/>
          <w:noProof/>
          <w:color w:val="1F497D"/>
          <w:szCs w:val="24"/>
          <w:lang w:val="es-ES" w:eastAsia="es-ES"/>
        </w:rPr>
        <w:t>51</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486ECD02"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DBBA2DC"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20</w:t>
      </w:r>
    </w:p>
    <w:tbl>
      <w:tblPr>
        <w:tblW w:w="5000" w:type="pct"/>
        <w:tblCellMar>
          <w:left w:w="70" w:type="dxa"/>
          <w:right w:w="70" w:type="dxa"/>
        </w:tblCellMar>
        <w:tblLook w:val="04A0" w:firstRow="1" w:lastRow="0" w:firstColumn="1" w:lastColumn="0" w:noHBand="0" w:noVBand="1"/>
      </w:tblPr>
      <w:tblGrid>
        <w:gridCol w:w="4629"/>
        <w:gridCol w:w="1119"/>
        <w:gridCol w:w="3080"/>
      </w:tblGrid>
      <w:tr w:rsidR="0001202E" w:rsidRPr="00C0062B" w14:paraId="19FA0651" w14:textId="77777777" w:rsidTr="00035934">
        <w:trPr>
          <w:trHeight w:val="290"/>
        </w:trPr>
        <w:tc>
          <w:tcPr>
            <w:tcW w:w="2779"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bookmarkEnd w:id="66"/>
          <w:p w14:paraId="0263C9A9"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Clase y Procedimiento</w:t>
            </w:r>
          </w:p>
        </w:tc>
        <w:tc>
          <w:tcPr>
            <w:tcW w:w="791" w:type="pct"/>
            <w:tcBorders>
              <w:top w:val="single" w:sz="4" w:space="0" w:color="auto"/>
              <w:left w:val="nil"/>
              <w:bottom w:val="single" w:sz="4" w:space="0" w:color="auto"/>
              <w:right w:val="single" w:sz="4" w:space="0" w:color="auto"/>
            </w:tcBorders>
            <w:shd w:val="clear" w:color="000000" w:fill="002060"/>
            <w:noWrap/>
            <w:vAlign w:val="bottom"/>
            <w:hideMark/>
          </w:tcPr>
          <w:p w14:paraId="493C15E9"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Cantidad</w:t>
            </w:r>
          </w:p>
        </w:tc>
        <w:tc>
          <w:tcPr>
            <w:tcW w:w="1430" w:type="pct"/>
            <w:tcBorders>
              <w:top w:val="single" w:sz="4" w:space="0" w:color="auto"/>
              <w:left w:val="nil"/>
              <w:bottom w:val="single" w:sz="4" w:space="0" w:color="auto"/>
              <w:right w:val="single" w:sz="4" w:space="0" w:color="auto"/>
            </w:tcBorders>
            <w:shd w:val="clear" w:color="000000" w:fill="002060"/>
            <w:noWrap/>
            <w:vAlign w:val="bottom"/>
            <w:hideMark/>
          </w:tcPr>
          <w:p w14:paraId="21216A5C"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Duración Promedio</w:t>
            </w:r>
          </w:p>
        </w:tc>
      </w:tr>
      <w:tr w:rsidR="0001202E" w:rsidRPr="00C0062B" w14:paraId="5AEF3C0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7D1226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Adopción</w:t>
            </w:r>
          </w:p>
        </w:tc>
        <w:tc>
          <w:tcPr>
            <w:tcW w:w="791" w:type="pct"/>
            <w:tcBorders>
              <w:top w:val="nil"/>
              <w:left w:val="nil"/>
              <w:bottom w:val="single" w:sz="4" w:space="0" w:color="auto"/>
              <w:right w:val="single" w:sz="4" w:space="0" w:color="auto"/>
            </w:tcBorders>
            <w:shd w:val="clear" w:color="auto" w:fill="auto"/>
            <w:noWrap/>
            <w:vAlign w:val="bottom"/>
            <w:hideMark/>
          </w:tcPr>
          <w:p w14:paraId="1D2270A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430" w:type="pct"/>
            <w:tcBorders>
              <w:top w:val="nil"/>
              <w:left w:val="nil"/>
              <w:bottom w:val="single" w:sz="4" w:space="0" w:color="auto"/>
              <w:right w:val="single" w:sz="4" w:space="0" w:color="auto"/>
            </w:tcBorders>
            <w:shd w:val="clear" w:color="auto" w:fill="auto"/>
            <w:noWrap/>
            <w:vAlign w:val="bottom"/>
            <w:hideMark/>
          </w:tcPr>
          <w:p w14:paraId="4D47EA2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1739011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6DDB7A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Autorización salida país</w:t>
            </w:r>
          </w:p>
        </w:tc>
        <w:tc>
          <w:tcPr>
            <w:tcW w:w="791" w:type="pct"/>
            <w:tcBorders>
              <w:top w:val="nil"/>
              <w:left w:val="nil"/>
              <w:bottom w:val="single" w:sz="4" w:space="0" w:color="auto"/>
              <w:right w:val="single" w:sz="4" w:space="0" w:color="auto"/>
            </w:tcBorders>
            <w:shd w:val="clear" w:color="auto" w:fill="auto"/>
            <w:noWrap/>
            <w:vAlign w:val="bottom"/>
            <w:hideMark/>
          </w:tcPr>
          <w:p w14:paraId="22DC1C0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18</w:t>
            </w:r>
          </w:p>
        </w:tc>
        <w:tc>
          <w:tcPr>
            <w:tcW w:w="1430" w:type="pct"/>
            <w:tcBorders>
              <w:top w:val="nil"/>
              <w:left w:val="nil"/>
              <w:bottom w:val="single" w:sz="4" w:space="0" w:color="auto"/>
              <w:right w:val="single" w:sz="4" w:space="0" w:color="auto"/>
            </w:tcBorders>
            <w:shd w:val="clear" w:color="auto" w:fill="auto"/>
            <w:noWrap/>
            <w:vAlign w:val="bottom"/>
            <w:hideMark/>
          </w:tcPr>
          <w:p w14:paraId="712AEFA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9F7909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0EA6E3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Conflicto autoridad parental</w:t>
            </w:r>
          </w:p>
        </w:tc>
        <w:tc>
          <w:tcPr>
            <w:tcW w:w="791" w:type="pct"/>
            <w:tcBorders>
              <w:top w:val="nil"/>
              <w:left w:val="nil"/>
              <w:bottom w:val="single" w:sz="4" w:space="0" w:color="auto"/>
              <w:right w:val="single" w:sz="4" w:space="0" w:color="auto"/>
            </w:tcBorders>
            <w:shd w:val="clear" w:color="auto" w:fill="auto"/>
            <w:noWrap/>
            <w:vAlign w:val="bottom"/>
            <w:hideMark/>
          </w:tcPr>
          <w:p w14:paraId="3C92548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10</w:t>
            </w:r>
          </w:p>
        </w:tc>
        <w:tc>
          <w:tcPr>
            <w:tcW w:w="1430" w:type="pct"/>
            <w:tcBorders>
              <w:top w:val="nil"/>
              <w:left w:val="nil"/>
              <w:bottom w:val="single" w:sz="4" w:space="0" w:color="auto"/>
              <w:right w:val="single" w:sz="4" w:space="0" w:color="auto"/>
            </w:tcBorders>
            <w:shd w:val="clear" w:color="auto" w:fill="auto"/>
            <w:noWrap/>
            <w:vAlign w:val="bottom"/>
            <w:hideMark/>
          </w:tcPr>
          <w:p w14:paraId="54C162C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2307B64" w14:textId="77777777" w:rsidTr="00C0062B">
        <w:trPr>
          <w:trHeight w:val="126"/>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4973977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de extramatrimonialidad</w:t>
            </w:r>
          </w:p>
        </w:tc>
        <w:tc>
          <w:tcPr>
            <w:tcW w:w="791" w:type="pct"/>
            <w:tcBorders>
              <w:top w:val="nil"/>
              <w:left w:val="nil"/>
              <w:bottom w:val="single" w:sz="4" w:space="0" w:color="auto"/>
              <w:right w:val="single" w:sz="4" w:space="0" w:color="auto"/>
            </w:tcBorders>
            <w:shd w:val="clear" w:color="auto" w:fill="auto"/>
            <w:noWrap/>
            <w:vAlign w:val="bottom"/>
            <w:hideMark/>
          </w:tcPr>
          <w:p w14:paraId="7286DEE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430" w:type="pct"/>
            <w:tcBorders>
              <w:top w:val="nil"/>
              <w:left w:val="nil"/>
              <w:bottom w:val="single" w:sz="4" w:space="0" w:color="auto"/>
              <w:right w:val="single" w:sz="4" w:space="0" w:color="auto"/>
            </w:tcBorders>
            <w:shd w:val="clear" w:color="auto" w:fill="auto"/>
            <w:noWrap/>
            <w:vAlign w:val="bottom"/>
            <w:hideMark/>
          </w:tcPr>
          <w:p w14:paraId="3B2193D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0B828197" w14:textId="77777777" w:rsidTr="00C0062B">
        <w:trPr>
          <w:trHeight w:val="23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8FA633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judicial de abandono</w:t>
            </w:r>
          </w:p>
        </w:tc>
        <w:tc>
          <w:tcPr>
            <w:tcW w:w="791" w:type="pct"/>
            <w:tcBorders>
              <w:top w:val="nil"/>
              <w:left w:val="nil"/>
              <w:bottom w:val="single" w:sz="4" w:space="0" w:color="auto"/>
              <w:right w:val="single" w:sz="4" w:space="0" w:color="auto"/>
            </w:tcBorders>
            <w:shd w:val="clear" w:color="auto" w:fill="auto"/>
            <w:noWrap/>
            <w:vAlign w:val="bottom"/>
            <w:hideMark/>
          </w:tcPr>
          <w:p w14:paraId="68BD6EE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29</w:t>
            </w:r>
          </w:p>
        </w:tc>
        <w:tc>
          <w:tcPr>
            <w:tcW w:w="1430" w:type="pct"/>
            <w:tcBorders>
              <w:top w:val="nil"/>
              <w:left w:val="nil"/>
              <w:bottom w:val="single" w:sz="4" w:space="0" w:color="auto"/>
              <w:right w:val="single" w:sz="4" w:space="0" w:color="auto"/>
            </w:tcBorders>
            <w:shd w:val="clear" w:color="auto" w:fill="auto"/>
            <w:noWrap/>
            <w:vAlign w:val="bottom"/>
            <w:hideMark/>
          </w:tcPr>
          <w:p w14:paraId="46537A2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6B5860C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8B239A6"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paternidad</w:t>
            </w:r>
          </w:p>
        </w:tc>
        <w:tc>
          <w:tcPr>
            <w:tcW w:w="791" w:type="pct"/>
            <w:tcBorders>
              <w:top w:val="nil"/>
              <w:left w:val="nil"/>
              <w:bottom w:val="single" w:sz="4" w:space="0" w:color="auto"/>
              <w:right w:val="single" w:sz="4" w:space="0" w:color="auto"/>
            </w:tcBorders>
            <w:shd w:val="clear" w:color="auto" w:fill="auto"/>
            <w:noWrap/>
            <w:vAlign w:val="bottom"/>
            <w:hideMark/>
          </w:tcPr>
          <w:p w14:paraId="585A6D3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201BF37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 meses 2 semanas</w:t>
            </w:r>
          </w:p>
        </w:tc>
      </w:tr>
      <w:tr w:rsidR="0001202E" w:rsidRPr="00C0062B" w14:paraId="5DA042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8852A0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Depósito judicial</w:t>
            </w:r>
          </w:p>
        </w:tc>
        <w:tc>
          <w:tcPr>
            <w:tcW w:w="791" w:type="pct"/>
            <w:tcBorders>
              <w:top w:val="nil"/>
              <w:left w:val="nil"/>
              <w:bottom w:val="single" w:sz="4" w:space="0" w:color="auto"/>
              <w:right w:val="single" w:sz="4" w:space="0" w:color="auto"/>
            </w:tcBorders>
            <w:shd w:val="clear" w:color="auto" w:fill="auto"/>
            <w:noWrap/>
            <w:vAlign w:val="bottom"/>
            <w:hideMark/>
          </w:tcPr>
          <w:p w14:paraId="67AB0F7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430" w:type="pct"/>
            <w:tcBorders>
              <w:top w:val="nil"/>
              <w:left w:val="nil"/>
              <w:bottom w:val="single" w:sz="4" w:space="0" w:color="auto"/>
              <w:right w:val="single" w:sz="4" w:space="0" w:color="auto"/>
            </w:tcBorders>
            <w:shd w:val="clear" w:color="auto" w:fill="auto"/>
            <w:noWrap/>
            <w:vAlign w:val="bottom"/>
            <w:hideMark/>
          </w:tcPr>
          <w:p w14:paraId="287CFA6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5D25764F" w14:textId="77777777" w:rsidTr="00035934">
        <w:trPr>
          <w:trHeight w:val="62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828C6D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Desafectación al régimen de habitación familiar</w:t>
            </w:r>
          </w:p>
        </w:tc>
        <w:tc>
          <w:tcPr>
            <w:tcW w:w="791" w:type="pct"/>
            <w:tcBorders>
              <w:top w:val="nil"/>
              <w:left w:val="nil"/>
              <w:bottom w:val="single" w:sz="4" w:space="0" w:color="auto"/>
              <w:right w:val="single" w:sz="4" w:space="0" w:color="auto"/>
            </w:tcBorders>
            <w:shd w:val="clear" w:color="auto" w:fill="auto"/>
            <w:noWrap/>
            <w:vAlign w:val="bottom"/>
            <w:hideMark/>
          </w:tcPr>
          <w:p w14:paraId="7F613AA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430" w:type="pct"/>
            <w:tcBorders>
              <w:top w:val="nil"/>
              <w:left w:val="nil"/>
              <w:bottom w:val="single" w:sz="4" w:space="0" w:color="auto"/>
              <w:right w:val="single" w:sz="4" w:space="0" w:color="auto"/>
            </w:tcBorders>
            <w:shd w:val="clear" w:color="auto" w:fill="auto"/>
            <w:noWrap/>
            <w:vAlign w:val="bottom"/>
            <w:hideMark/>
          </w:tcPr>
          <w:p w14:paraId="5015533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9C8DA4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138AA0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w:t>
            </w:r>
          </w:p>
        </w:tc>
        <w:tc>
          <w:tcPr>
            <w:tcW w:w="791" w:type="pct"/>
            <w:tcBorders>
              <w:top w:val="nil"/>
              <w:left w:val="nil"/>
              <w:bottom w:val="single" w:sz="4" w:space="0" w:color="auto"/>
              <w:right w:val="single" w:sz="4" w:space="0" w:color="auto"/>
            </w:tcBorders>
            <w:shd w:val="clear" w:color="auto" w:fill="auto"/>
            <w:noWrap/>
            <w:vAlign w:val="bottom"/>
            <w:hideMark/>
          </w:tcPr>
          <w:p w14:paraId="75E0065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201</w:t>
            </w:r>
          </w:p>
        </w:tc>
        <w:tc>
          <w:tcPr>
            <w:tcW w:w="1430" w:type="pct"/>
            <w:tcBorders>
              <w:top w:val="nil"/>
              <w:left w:val="nil"/>
              <w:bottom w:val="single" w:sz="4" w:space="0" w:color="auto"/>
              <w:right w:val="single" w:sz="4" w:space="0" w:color="auto"/>
            </w:tcBorders>
            <w:shd w:val="clear" w:color="auto" w:fill="auto"/>
            <w:noWrap/>
            <w:vAlign w:val="bottom"/>
            <w:hideMark/>
          </w:tcPr>
          <w:p w14:paraId="2E60271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ECAEA5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9699FD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 por mutuo consentimiento</w:t>
            </w:r>
          </w:p>
        </w:tc>
        <w:tc>
          <w:tcPr>
            <w:tcW w:w="791" w:type="pct"/>
            <w:tcBorders>
              <w:top w:val="nil"/>
              <w:left w:val="nil"/>
              <w:bottom w:val="single" w:sz="4" w:space="0" w:color="auto"/>
              <w:right w:val="single" w:sz="4" w:space="0" w:color="auto"/>
            </w:tcBorders>
            <w:shd w:val="clear" w:color="auto" w:fill="auto"/>
            <w:noWrap/>
            <w:vAlign w:val="bottom"/>
            <w:hideMark/>
          </w:tcPr>
          <w:p w14:paraId="1426E09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26</w:t>
            </w:r>
          </w:p>
        </w:tc>
        <w:tc>
          <w:tcPr>
            <w:tcW w:w="1430" w:type="pct"/>
            <w:tcBorders>
              <w:top w:val="nil"/>
              <w:left w:val="nil"/>
              <w:bottom w:val="single" w:sz="4" w:space="0" w:color="auto"/>
              <w:right w:val="single" w:sz="4" w:space="0" w:color="auto"/>
            </w:tcBorders>
            <w:shd w:val="clear" w:color="auto" w:fill="auto"/>
            <w:noWrap/>
            <w:vAlign w:val="bottom"/>
            <w:hideMark/>
          </w:tcPr>
          <w:p w14:paraId="3282CBA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7CC9B9A"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98C889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Ejecución de sentencia</w:t>
            </w:r>
          </w:p>
        </w:tc>
        <w:tc>
          <w:tcPr>
            <w:tcW w:w="791" w:type="pct"/>
            <w:tcBorders>
              <w:top w:val="nil"/>
              <w:left w:val="nil"/>
              <w:bottom w:val="single" w:sz="4" w:space="0" w:color="auto"/>
              <w:right w:val="single" w:sz="4" w:space="0" w:color="auto"/>
            </w:tcBorders>
            <w:shd w:val="clear" w:color="auto" w:fill="auto"/>
            <w:noWrap/>
            <w:vAlign w:val="bottom"/>
            <w:hideMark/>
          </w:tcPr>
          <w:p w14:paraId="0F61985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49</w:t>
            </w:r>
          </w:p>
        </w:tc>
        <w:tc>
          <w:tcPr>
            <w:tcW w:w="1430" w:type="pct"/>
            <w:tcBorders>
              <w:top w:val="nil"/>
              <w:left w:val="nil"/>
              <w:bottom w:val="single" w:sz="4" w:space="0" w:color="auto"/>
              <w:right w:val="single" w:sz="4" w:space="0" w:color="auto"/>
            </w:tcBorders>
            <w:shd w:val="clear" w:color="auto" w:fill="auto"/>
            <w:noWrap/>
            <w:vAlign w:val="bottom"/>
            <w:hideMark/>
          </w:tcPr>
          <w:p w14:paraId="2E1D5ED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6F6F4208"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F7A249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Fijación Alimentaria</w:t>
            </w:r>
          </w:p>
        </w:tc>
        <w:tc>
          <w:tcPr>
            <w:tcW w:w="791" w:type="pct"/>
            <w:tcBorders>
              <w:top w:val="nil"/>
              <w:left w:val="nil"/>
              <w:bottom w:val="single" w:sz="4" w:space="0" w:color="auto"/>
              <w:right w:val="single" w:sz="4" w:space="0" w:color="auto"/>
            </w:tcBorders>
            <w:shd w:val="clear" w:color="auto" w:fill="auto"/>
            <w:noWrap/>
            <w:vAlign w:val="bottom"/>
            <w:hideMark/>
          </w:tcPr>
          <w:p w14:paraId="4BDA467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48</w:t>
            </w:r>
          </w:p>
        </w:tc>
        <w:tc>
          <w:tcPr>
            <w:tcW w:w="1430" w:type="pct"/>
            <w:tcBorders>
              <w:top w:val="nil"/>
              <w:left w:val="nil"/>
              <w:bottom w:val="single" w:sz="4" w:space="0" w:color="auto"/>
              <w:right w:val="single" w:sz="4" w:space="0" w:color="auto"/>
            </w:tcBorders>
            <w:shd w:val="clear" w:color="auto" w:fill="auto"/>
            <w:noWrap/>
            <w:vAlign w:val="bottom"/>
            <w:hideMark/>
          </w:tcPr>
          <w:p w14:paraId="0FCE110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287202BC"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A45119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Guarda crianza y educación</w:t>
            </w:r>
          </w:p>
        </w:tc>
        <w:tc>
          <w:tcPr>
            <w:tcW w:w="791" w:type="pct"/>
            <w:tcBorders>
              <w:top w:val="nil"/>
              <w:left w:val="nil"/>
              <w:bottom w:val="single" w:sz="4" w:space="0" w:color="auto"/>
              <w:right w:val="single" w:sz="4" w:space="0" w:color="auto"/>
            </w:tcBorders>
            <w:shd w:val="clear" w:color="auto" w:fill="auto"/>
            <w:noWrap/>
            <w:vAlign w:val="bottom"/>
            <w:hideMark/>
          </w:tcPr>
          <w:p w14:paraId="66C16C4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85</w:t>
            </w:r>
          </w:p>
        </w:tc>
        <w:tc>
          <w:tcPr>
            <w:tcW w:w="1430" w:type="pct"/>
            <w:tcBorders>
              <w:top w:val="nil"/>
              <w:left w:val="nil"/>
              <w:bottom w:val="single" w:sz="4" w:space="0" w:color="auto"/>
              <w:right w:val="single" w:sz="4" w:space="0" w:color="auto"/>
            </w:tcBorders>
            <w:shd w:val="clear" w:color="auto" w:fill="auto"/>
            <w:noWrap/>
            <w:vAlign w:val="bottom"/>
            <w:hideMark/>
          </w:tcPr>
          <w:p w14:paraId="2564D5F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490F9E13"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8DFA62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paternidad</w:t>
            </w:r>
          </w:p>
        </w:tc>
        <w:tc>
          <w:tcPr>
            <w:tcW w:w="791" w:type="pct"/>
            <w:tcBorders>
              <w:top w:val="nil"/>
              <w:left w:val="nil"/>
              <w:bottom w:val="single" w:sz="4" w:space="0" w:color="auto"/>
              <w:right w:val="single" w:sz="4" w:space="0" w:color="auto"/>
            </w:tcBorders>
            <w:shd w:val="clear" w:color="auto" w:fill="auto"/>
            <w:noWrap/>
            <w:vAlign w:val="bottom"/>
            <w:hideMark/>
          </w:tcPr>
          <w:p w14:paraId="76F55D4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17</w:t>
            </w:r>
          </w:p>
        </w:tc>
        <w:tc>
          <w:tcPr>
            <w:tcW w:w="1430" w:type="pct"/>
            <w:tcBorders>
              <w:top w:val="nil"/>
              <w:left w:val="nil"/>
              <w:bottom w:val="single" w:sz="4" w:space="0" w:color="auto"/>
              <w:right w:val="single" w:sz="4" w:space="0" w:color="auto"/>
            </w:tcBorders>
            <w:shd w:val="clear" w:color="auto" w:fill="auto"/>
            <w:noWrap/>
            <w:vAlign w:val="bottom"/>
            <w:hideMark/>
          </w:tcPr>
          <w:p w14:paraId="3E07B74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0C1AE792"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73012F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reconocimiento</w:t>
            </w:r>
          </w:p>
        </w:tc>
        <w:tc>
          <w:tcPr>
            <w:tcW w:w="791" w:type="pct"/>
            <w:tcBorders>
              <w:top w:val="nil"/>
              <w:left w:val="nil"/>
              <w:bottom w:val="single" w:sz="4" w:space="0" w:color="auto"/>
              <w:right w:val="single" w:sz="4" w:space="0" w:color="auto"/>
            </w:tcBorders>
            <w:shd w:val="clear" w:color="auto" w:fill="auto"/>
            <w:noWrap/>
            <w:vAlign w:val="bottom"/>
            <w:hideMark/>
          </w:tcPr>
          <w:p w14:paraId="0A54ACA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38</w:t>
            </w:r>
          </w:p>
        </w:tc>
        <w:tc>
          <w:tcPr>
            <w:tcW w:w="1430" w:type="pct"/>
            <w:tcBorders>
              <w:top w:val="nil"/>
              <w:left w:val="nil"/>
              <w:bottom w:val="single" w:sz="4" w:space="0" w:color="auto"/>
              <w:right w:val="single" w:sz="4" w:space="0" w:color="auto"/>
            </w:tcBorders>
            <w:shd w:val="clear" w:color="auto" w:fill="auto"/>
            <w:noWrap/>
            <w:vAlign w:val="bottom"/>
            <w:hideMark/>
          </w:tcPr>
          <w:p w14:paraId="6D70668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7A39D68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F32964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Cobro honorarios abogado</w:t>
            </w:r>
          </w:p>
        </w:tc>
        <w:tc>
          <w:tcPr>
            <w:tcW w:w="791" w:type="pct"/>
            <w:tcBorders>
              <w:top w:val="nil"/>
              <w:left w:val="nil"/>
              <w:bottom w:val="single" w:sz="4" w:space="0" w:color="auto"/>
              <w:right w:val="single" w:sz="4" w:space="0" w:color="auto"/>
            </w:tcBorders>
            <w:shd w:val="clear" w:color="auto" w:fill="auto"/>
            <w:noWrap/>
            <w:vAlign w:val="bottom"/>
            <w:hideMark/>
          </w:tcPr>
          <w:p w14:paraId="52BC954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w:t>
            </w:r>
          </w:p>
        </w:tc>
        <w:tc>
          <w:tcPr>
            <w:tcW w:w="1430" w:type="pct"/>
            <w:tcBorders>
              <w:top w:val="nil"/>
              <w:left w:val="nil"/>
              <w:bottom w:val="single" w:sz="4" w:space="0" w:color="auto"/>
              <w:right w:val="single" w:sz="4" w:space="0" w:color="auto"/>
            </w:tcBorders>
            <w:shd w:val="clear" w:color="auto" w:fill="auto"/>
            <w:noWrap/>
            <w:vAlign w:val="bottom"/>
            <w:hideMark/>
          </w:tcPr>
          <w:p w14:paraId="27B8DE6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661EA78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7E9196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actuac. y resol.</w:t>
            </w:r>
          </w:p>
        </w:tc>
        <w:tc>
          <w:tcPr>
            <w:tcW w:w="791" w:type="pct"/>
            <w:tcBorders>
              <w:top w:val="nil"/>
              <w:left w:val="nil"/>
              <w:bottom w:val="single" w:sz="4" w:space="0" w:color="auto"/>
              <w:right w:val="single" w:sz="4" w:space="0" w:color="auto"/>
            </w:tcBorders>
            <w:shd w:val="clear" w:color="auto" w:fill="auto"/>
            <w:noWrap/>
            <w:vAlign w:val="bottom"/>
            <w:hideMark/>
          </w:tcPr>
          <w:p w14:paraId="6481063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44D979B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44F6B6FC"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10F097E"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notificación</w:t>
            </w:r>
          </w:p>
        </w:tc>
        <w:tc>
          <w:tcPr>
            <w:tcW w:w="791" w:type="pct"/>
            <w:tcBorders>
              <w:top w:val="nil"/>
              <w:left w:val="nil"/>
              <w:bottom w:val="single" w:sz="4" w:space="0" w:color="auto"/>
              <w:right w:val="single" w:sz="4" w:space="0" w:color="auto"/>
            </w:tcBorders>
            <w:shd w:val="clear" w:color="auto" w:fill="auto"/>
            <w:noWrap/>
            <w:vAlign w:val="bottom"/>
            <w:hideMark/>
          </w:tcPr>
          <w:p w14:paraId="78EBF9D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0FDDA45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0 meses 2 semanas</w:t>
            </w:r>
          </w:p>
        </w:tc>
      </w:tr>
      <w:tr w:rsidR="0001202E" w:rsidRPr="00C0062B" w14:paraId="63A419A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7D6B46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Remoción Curador</w:t>
            </w:r>
          </w:p>
        </w:tc>
        <w:tc>
          <w:tcPr>
            <w:tcW w:w="791" w:type="pct"/>
            <w:tcBorders>
              <w:top w:val="nil"/>
              <w:left w:val="nil"/>
              <w:bottom w:val="single" w:sz="4" w:space="0" w:color="auto"/>
              <w:right w:val="single" w:sz="4" w:space="0" w:color="auto"/>
            </w:tcBorders>
            <w:shd w:val="clear" w:color="auto" w:fill="auto"/>
            <w:noWrap/>
            <w:vAlign w:val="bottom"/>
            <w:hideMark/>
          </w:tcPr>
          <w:p w14:paraId="12D442A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740E4CC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58 meses 2 semanas</w:t>
            </w:r>
          </w:p>
        </w:tc>
      </w:tr>
      <w:tr w:rsidR="0001202E" w:rsidRPr="00C0062B" w14:paraId="4D7B97E1" w14:textId="77777777" w:rsidTr="00C0062B">
        <w:trPr>
          <w:trHeight w:val="304"/>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2979E248" w14:textId="7798DA26"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Interrelación Familiar (</w:t>
            </w:r>
            <w:r w:rsidR="00813A57" w:rsidRPr="00C0062B">
              <w:rPr>
                <w:rFonts w:ascii="Book Antiqua" w:eastAsia="Times New Roman" w:hAnsi="Book Antiqua" w:cs="Calibri"/>
                <w:lang w:eastAsia="es-CR"/>
              </w:rPr>
              <w:t>régimen</w:t>
            </w:r>
            <w:r w:rsidRPr="00C0062B">
              <w:rPr>
                <w:rFonts w:ascii="Book Antiqua" w:eastAsia="Times New Roman" w:hAnsi="Book Antiqua" w:cs="Calibri"/>
                <w:lang w:eastAsia="es-CR"/>
              </w:rPr>
              <w:t xml:space="preserve"> de visitas)</w:t>
            </w:r>
          </w:p>
        </w:tc>
        <w:tc>
          <w:tcPr>
            <w:tcW w:w="791" w:type="pct"/>
            <w:tcBorders>
              <w:top w:val="nil"/>
              <w:left w:val="nil"/>
              <w:bottom w:val="single" w:sz="4" w:space="0" w:color="auto"/>
              <w:right w:val="single" w:sz="4" w:space="0" w:color="auto"/>
            </w:tcBorders>
            <w:shd w:val="clear" w:color="auto" w:fill="auto"/>
            <w:noWrap/>
            <w:vAlign w:val="bottom"/>
            <w:hideMark/>
          </w:tcPr>
          <w:p w14:paraId="43EAB53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136</w:t>
            </w:r>
          </w:p>
        </w:tc>
        <w:tc>
          <w:tcPr>
            <w:tcW w:w="1430" w:type="pct"/>
            <w:tcBorders>
              <w:top w:val="nil"/>
              <w:left w:val="nil"/>
              <w:bottom w:val="single" w:sz="4" w:space="0" w:color="auto"/>
              <w:right w:val="single" w:sz="4" w:space="0" w:color="auto"/>
            </w:tcBorders>
            <w:shd w:val="clear" w:color="auto" w:fill="auto"/>
            <w:noWrap/>
            <w:vAlign w:val="bottom"/>
            <w:hideMark/>
          </w:tcPr>
          <w:p w14:paraId="1E37607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11DF41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97E81D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Investigación de paternidad</w:t>
            </w:r>
          </w:p>
        </w:tc>
        <w:tc>
          <w:tcPr>
            <w:tcW w:w="791" w:type="pct"/>
            <w:tcBorders>
              <w:top w:val="nil"/>
              <w:left w:val="nil"/>
              <w:bottom w:val="single" w:sz="4" w:space="0" w:color="auto"/>
              <w:right w:val="single" w:sz="4" w:space="0" w:color="auto"/>
            </w:tcBorders>
            <w:shd w:val="clear" w:color="auto" w:fill="auto"/>
            <w:noWrap/>
            <w:vAlign w:val="bottom"/>
            <w:hideMark/>
          </w:tcPr>
          <w:p w14:paraId="254896B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26</w:t>
            </w:r>
          </w:p>
        </w:tc>
        <w:tc>
          <w:tcPr>
            <w:tcW w:w="1430" w:type="pct"/>
            <w:tcBorders>
              <w:top w:val="nil"/>
              <w:left w:val="nil"/>
              <w:bottom w:val="single" w:sz="4" w:space="0" w:color="auto"/>
              <w:right w:val="single" w:sz="4" w:space="0" w:color="auto"/>
            </w:tcBorders>
            <w:shd w:val="clear" w:color="auto" w:fill="auto"/>
            <w:noWrap/>
            <w:vAlign w:val="bottom"/>
            <w:hideMark/>
          </w:tcPr>
          <w:p w14:paraId="6CCA8A0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383497B6" w14:textId="77777777" w:rsidTr="00C0062B">
        <w:trPr>
          <w:trHeight w:val="356"/>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5296C52"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Modificaciones de fallo (Patria Potestad)</w:t>
            </w:r>
          </w:p>
        </w:tc>
        <w:tc>
          <w:tcPr>
            <w:tcW w:w="791" w:type="pct"/>
            <w:tcBorders>
              <w:top w:val="nil"/>
              <w:left w:val="nil"/>
              <w:bottom w:val="single" w:sz="4" w:space="0" w:color="auto"/>
              <w:right w:val="single" w:sz="4" w:space="0" w:color="auto"/>
            </w:tcBorders>
            <w:shd w:val="clear" w:color="auto" w:fill="auto"/>
            <w:noWrap/>
            <w:vAlign w:val="bottom"/>
            <w:hideMark/>
          </w:tcPr>
          <w:p w14:paraId="012D637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w:t>
            </w:r>
          </w:p>
        </w:tc>
        <w:tc>
          <w:tcPr>
            <w:tcW w:w="1430" w:type="pct"/>
            <w:tcBorders>
              <w:top w:val="nil"/>
              <w:left w:val="nil"/>
              <w:bottom w:val="single" w:sz="4" w:space="0" w:color="auto"/>
              <w:right w:val="single" w:sz="4" w:space="0" w:color="auto"/>
            </w:tcBorders>
            <w:shd w:val="clear" w:color="auto" w:fill="auto"/>
            <w:noWrap/>
            <w:vAlign w:val="bottom"/>
            <w:hideMark/>
          </w:tcPr>
          <w:p w14:paraId="454D0E9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1F5765D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54ACE78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Nulidad de matrimonio</w:t>
            </w:r>
          </w:p>
        </w:tc>
        <w:tc>
          <w:tcPr>
            <w:tcW w:w="791" w:type="pct"/>
            <w:tcBorders>
              <w:top w:val="nil"/>
              <w:left w:val="nil"/>
              <w:bottom w:val="single" w:sz="4" w:space="0" w:color="auto"/>
              <w:right w:val="single" w:sz="4" w:space="0" w:color="auto"/>
            </w:tcBorders>
            <w:shd w:val="clear" w:color="auto" w:fill="auto"/>
            <w:noWrap/>
            <w:vAlign w:val="bottom"/>
            <w:hideMark/>
          </w:tcPr>
          <w:p w14:paraId="083BDC2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27</w:t>
            </w:r>
          </w:p>
        </w:tc>
        <w:tc>
          <w:tcPr>
            <w:tcW w:w="1430" w:type="pct"/>
            <w:tcBorders>
              <w:top w:val="nil"/>
              <w:left w:val="nil"/>
              <w:bottom w:val="single" w:sz="4" w:space="0" w:color="auto"/>
              <w:right w:val="single" w:sz="4" w:space="0" w:color="auto"/>
            </w:tcBorders>
            <w:shd w:val="clear" w:color="auto" w:fill="auto"/>
            <w:noWrap/>
            <w:vAlign w:val="bottom"/>
            <w:hideMark/>
          </w:tcPr>
          <w:p w14:paraId="7B7A568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7782BB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6EBDF3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w:t>
            </w:r>
          </w:p>
        </w:tc>
        <w:tc>
          <w:tcPr>
            <w:tcW w:w="791" w:type="pct"/>
            <w:tcBorders>
              <w:top w:val="nil"/>
              <w:left w:val="nil"/>
              <w:bottom w:val="single" w:sz="4" w:space="0" w:color="auto"/>
              <w:right w:val="single" w:sz="4" w:space="0" w:color="auto"/>
            </w:tcBorders>
            <w:shd w:val="clear" w:color="auto" w:fill="auto"/>
            <w:noWrap/>
            <w:vAlign w:val="bottom"/>
            <w:hideMark/>
          </w:tcPr>
          <w:p w14:paraId="51DF64E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91</w:t>
            </w:r>
          </w:p>
        </w:tc>
        <w:tc>
          <w:tcPr>
            <w:tcW w:w="1430" w:type="pct"/>
            <w:tcBorders>
              <w:top w:val="nil"/>
              <w:left w:val="nil"/>
              <w:bottom w:val="single" w:sz="4" w:space="0" w:color="auto"/>
              <w:right w:val="single" w:sz="4" w:space="0" w:color="auto"/>
            </w:tcBorders>
            <w:shd w:val="clear" w:color="auto" w:fill="auto"/>
            <w:noWrap/>
            <w:vAlign w:val="bottom"/>
            <w:hideMark/>
          </w:tcPr>
          <w:p w14:paraId="022F9C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751F7BD0" w14:textId="77777777" w:rsidTr="00035934">
        <w:trPr>
          <w:trHeight w:val="62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D64AA3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de liquidación anticipada de bienes gananciales</w:t>
            </w:r>
          </w:p>
        </w:tc>
        <w:tc>
          <w:tcPr>
            <w:tcW w:w="791" w:type="pct"/>
            <w:tcBorders>
              <w:top w:val="nil"/>
              <w:left w:val="nil"/>
              <w:bottom w:val="single" w:sz="4" w:space="0" w:color="auto"/>
              <w:right w:val="single" w:sz="4" w:space="0" w:color="auto"/>
            </w:tcBorders>
            <w:shd w:val="clear" w:color="auto" w:fill="auto"/>
            <w:noWrap/>
            <w:vAlign w:val="bottom"/>
            <w:hideMark/>
          </w:tcPr>
          <w:p w14:paraId="49E3D11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46</w:t>
            </w:r>
          </w:p>
        </w:tc>
        <w:tc>
          <w:tcPr>
            <w:tcW w:w="1430" w:type="pct"/>
            <w:tcBorders>
              <w:top w:val="nil"/>
              <w:left w:val="nil"/>
              <w:bottom w:val="single" w:sz="4" w:space="0" w:color="auto"/>
              <w:right w:val="single" w:sz="4" w:space="0" w:color="auto"/>
            </w:tcBorders>
            <w:shd w:val="clear" w:color="auto" w:fill="auto"/>
            <w:noWrap/>
            <w:vAlign w:val="bottom"/>
            <w:hideMark/>
          </w:tcPr>
          <w:p w14:paraId="43D8F44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0438984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53DDD3B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Nulidad de venta</w:t>
            </w:r>
          </w:p>
        </w:tc>
        <w:tc>
          <w:tcPr>
            <w:tcW w:w="791" w:type="pct"/>
            <w:tcBorders>
              <w:top w:val="nil"/>
              <w:left w:val="nil"/>
              <w:bottom w:val="single" w:sz="4" w:space="0" w:color="auto"/>
              <w:right w:val="single" w:sz="4" w:space="0" w:color="auto"/>
            </w:tcBorders>
            <w:shd w:val="clear" w:color="auto" w:fill="auto"/>
            <w:noWrap/>
            <w:vAlign w:val="bottom"/>
            <w:hideMark/>
          </w:tcPr>
          <w:p w14:paraId="00102F1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07EC02E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 meses 0 semanas</w:t>
            </w:r>
          </w:p>
        </w:tc>
      </w:tr>
      <w:tr w:rsidR="0001202E" w:rsidRPr="00C0062B" w14:paraId="5C0CF5C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A360DE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Proceso especial protección</w:t>
            </w:r>
          </w:p>
        </w:tc>
        <w:tc>
          <w:tcPr>
            <w:tcW w:w="791" w:type="pct"/>
            <w:tcBorders>
              <w:top w:val="nil"/>
              <w:left w:val="nil"/>
              <w:bottom w:val="single" w:sz="4" w:space="0" w:color="auto"/>
              <w:right w:val="single" w:sz="4" w:space="0" w:color="auto"/>
            </w:tcBorders>
            <w:shd w:val="clear" w:color="auto" w:fill="auto"/>
            <w:noWrap/>
            <w:vAlign w:val="bottom"/>
            <w:hideMark/>
          </w:tcPr>
          <w:p w14:paraId="56BF930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430" w:type="pct"/>
            <w:tcBorders>
              <w:top w:val="nil"/>
              <w:left w:val="nil"/>
              <w:bottom w:val="single" w:sz="4" w:space="0" w:color="auto"/>
              <w:right w:val="single" w:sz="4" w:space="0" w:color="auto"/>
            </w:tcBorders>
            <w:shd w:val="clear" w:color="auto" w:fill="auto"/>
            <w:noWrap/>
            <w:vAlign w:val="bottom"/>
            <w:hideMark/>
          </w:tcPr>
          <w:p w14:paraId="0E793C5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087C6042" w14:textId="77777777" w:rsidTr="00035934">
        <w:trPr>
          <w:trHeight w:val="620"/>
        </w:trPr>
        <w:tc>
          <w:tcPr>
            <w:tcW w:w="2779" w:type="pct"/>
            <w:tcBorders>
              <w:top w:val="nil"/>
              <w:left w:val="single" w:sz="4" w:space="0" w:color="auto"/>
              <w:bottom w:val="single" w:sz="4" w:space="0" w:color="auto"/>
              <w:right w:val="single" w:sz="4" w:space="0" w:color="auto"/>
            </w:tcBorders>
            <w:shd w:val="clear" w:color="000000" w:fill="FFFFFF"/>
            <w:vAlign w:val="bottom"/>
            <w:hideMark/>
          </w:tcPr>
          <w:p w14:paraId="783EA0A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de hijo mujer casada oposición</w:t>
            </w:r>
          </w:p>
        </w:tc>
        <w:tc>
          <w:tcPr>
            <w:tcW w:w="791" w:type="pct"/>
            <w:tcBorders>
              <w:top w:val="nil"/>
              <w:left w:val="nil"/>
              <w:bottom w:val="single" w:sz="4" w:space="0" w:color="auto"/>
              <w:right w:val="single" w:sz="4" w:space="0" w:color="auto"/>
            </w:tcBorders>
            <w:shd w:val="clear" w:color="auto" w:fill="auto"/>
            <w:noWrap/>
            <w:vAlign w:val="bottom"/>
            <w:hideMark/>
          </w:tcPr>
          <w:p w14:paraId="15A5DEB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w:t>
            </w:r>
          </w:p>
        </w:tc>
        <w:tc>
          <w:tcPr>
            <w:tcW w:w="1430" w:type="pct"/>
            <w:tcBorders>
              <w:top w:val="nil"/>
              <w:left w:val="nil"/>
              <w:bottom w:val="single" w:sz="4" w:space="0" w:color="auto"/>
              <w:right w:val="single" w:sz="4" w:space="0" w:color="auto"/>
            </w:tcBorders>
            <w:shd w:val="clear" w:color="auto" w:fill="auto"/>
            <w:noWrap/>
            <w:vAlign w:val="bottom"/>
            <w:hideMark/>
          </w:tcPr>
          <w:p w14:paraId="175DE73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2F6E2F5B"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68582B2"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unión de hecho</w:t>
            </w:r>
          </w:p>
        </w:tc>
        <w:tc>
          <w:tcPr>
            <w:tcW w:w="791" w:type="pct"/>
            <w:tcBorders>
              <w:top w:val="nil"/>
              <w:left w:val="nil"/>
              <w:bottom w:val="single" w:sz="4" w:space="0" w:color="auto"/>
              <w:right w:val="single" w:sz="4" w:space="0" w:color="auto"/>
            </w:tcBorders>
            <w:shd w:val="clear" w:color="auto" w:fill="auto"/>
            <w:noWrap/>
            <w:vAlign w:val="bottom"/>
            <w:hideMark/>
          </w:tcPr>
          <w:p w14:paraId="6AF39B6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92</w:t>
            </w:r>
          </w:p>
        </w:tc>
        <w:tc>
          <w:tcPr>
            <w:tcW w:w="1430" w:type="pct"/>
            <w:tcBorders>
              <w:top w:val="nil"/>
              <w:left w:val="nil"/>
              <w:bottom w:val="single" w:sz="4" w:space="0" w:color="auto"/>
              <w:right w:val="single" w:sz="4" w:space="0" w:color="auto"/>
            </w:tcBorders>
            <w:shd w:val="clear" w:color="auto" w:fill="auto"/>
            <w:noWrap/>
            <w:vAlign w:val="bottom"/>
            <w:hideMark/>
          </w:tcPr>
          <w:p w14:paraId="1E9E068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028FEFC3" w14:textId="77777777" w:rsidTr="00D07A9E">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11B919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Restitución internacional de menores</w:t>
            </w:r>
          </w:p>
        </w:tc>
        <w:tc>
          <w:tcPr>
            <w:tcW w:w="791" w:type="pct"/>
            <w:tcBorders>
              <w:top w:val="nil"/>
              <w:left w:val="nil"/>
              <w:bottom w:val="single" w:sz="4" w:space="0" w:color="auto"/>
              <w:right w:val="single" w:sz="4" w:space="0" w:color="auto"/>
            </w:tcBorders>
            <w:shd w:val="clear" w:color="auto" w:fill="auto"/>
            <w:noWrap/>
            <w:vAlign w:val="bottom"/>
            <w:hideMark/>
          </w:tcPr>
          <w:p w14:paraId="09AE594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430" w:type="pct"/>
            <w:tcBorders>
              <w:top w:val="nil"/>
              <w:left w:val="nil"/>
              <w:bottom w:val="single" w:sz="4" w:space="0" w:color="auto"/>
              <w:right w:val="single" w:sz="4" w:space="0" w:color="auto"/>
            </w:tcBorders>
            <w:shd w:val="clear" w:color="auto" w:fill="auto"/>
            <w:noWrap/>
            <w:vAlign w:val="bottom"/>
            <w:hideMark/>
          </w:tcPr>
          <w:p w14:paraId="00A2D9F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05CAF45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6EDACF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Salvaguardia</w:t>
            </w:r>
          </w:p>
        </w:tc>
        <w:tc>
          <w:tcPr>
            <w:tcW w:w="791" w:type="pct"/>
            <w:tcBorders>
              <w:top w:val="nil"/>
              <w:left w:val="nil"/>
              <w:bottom w:val="single" w:sz="4" w:space="0" w:color="auto"/>
              <w:right w:val="single" w:sz="4" w:space="0" w:color="auto"/>
            </w:tcBorders>
            <w:shd w:val="clear" w:color="auto" w:fill="auto"/>
            <w:noWrap/>
            <w:vAlign w:val="bottom"/>
            <w:hideMark/>
          </w:tcPr>
          <w:p w14:paraId="4711234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41</w:t>
            </w:r>
          </w:p>
        </w:tc>
        <w:tc>
          <w:tcPr>
            <w:tcW w:w="1430" w:type="pct"/>
            <w:tcBorders>
              <w:top w:val="nil"/>
              <w:left w:val="nil"/>
              <w:bottom w:val="single" w:sz="4" w:space="0" w:color="auto"/>
              <w:right w:val="single" w:sz="4" w:space="0" w:color="auto"/>
            </w:tcBorders>
            <w:shd w:val="clear" w:color="auto" w:fill="auto"/>
            <w:noWrap/>
            <w:vAlign w:val="bottom"/>
            <w:hideMark/>
          </w:tcPr>
          <w:p w14:paraId="77835E7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137C7CC7" w14:textId="77777777" w:rsidTr="00C0062B">
        <w:trPr>
          <w:trHeight w:val="327"/>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560D490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Separación judicial por mutuo consentimiento</w:t>
            </w:r>
          </w:p>
        </w:tc>
        <w:tc>
          <w:tcPr>
            <w:tcW w:w="791" w:type="pct"/>
            <w:tcBorders>
              <w:top w:val="nil"/>
              <w:left w:val="nil"/>
              <w:bottom w:val="single" w:sz="4" w:space="0" w:color="auto"/>
              <w:right w:val="single" w:sz="4" w:space="0" w:color="auto"/>
            </w:tcBorders>
            <w:shd w:val="clear" w:color="auto" w:fill="auto"/>
            <w:noWrap/>
            <w:vAlign w:val="bottom"/>
            <w:hideMark/>
          </w:tcPr>
          <w:p w14:paraId="56B8A3E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12</w:t>
            </w:r>
          </w:p>
        </w:tc>
        <w:tc>
          <w:tcPr>
            <w:tcW w:w="1430" w:type="pct"/>
            <w:tcBorders>
              <w:top w:val="nil"/>
              <w:left w:val="nil"/>
              <w:bottom w:val="single" w:sz="4" w:space="0" w:color="auto"/>
              <w:right w:val="single" w:sz="4" w:space="0" w:color="auto"/>
            </w:tcBorders>
            <w:shd w:val="clear" w:color="auto" w:fill="auto"/>
            <w:noWrap/>
            <w:vAlign w:val="bottom"/>
            <w:hideMark/>
          </w:tcPr>
          <w:p w14:paraId="0474E4D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3 semanas</w:t>
            </w:r>
          </w:p>
        </w:tc>
      </w:tr>
      <w:tr w:rsidR="0001202E" w:rsidRPr="00C0062B" w14:paraId="67FCE90E"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9CBA24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Solicitud de matrimonio</w:t>
            </w:r>
          </w:p>
        </w:tc>
        <w:tc>
          <w:tcPr>
            <w:tcW w:w="791" w:type="pct"/>
            <w:tcBorders>
              <w:top w:val="nil"/>
              <w:left w:val="nil"/>
              <w:bottom w:val="single" w:sz="4" w:space="0" w:color="auto"/>
              <w:right w:val="single" w:sz="4" w:space="0" w:color="auto"/>
            </w:tcBorders>
            <w:shd w:val="clear" w:color="auto" w:fill="auto"/>
            <w:noWrap/>
            <w:vAlign w:val="bottom"/>
            <w:hideMark/>
          </w:tcPr>
          <w:p w14:paraId="041C67C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50C6717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0A9D4865"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C85A8B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Suspensión Patria Potestad</w:t>
            </w:r>
          </w:p>
        </w:tc>
        <w:tc>
          <w:tcPr>
            <w:tcW w:w="791" w:type="pct"/>
            <w:tcBorders>
              <w:top w:val="nil"/>
              <w:left w:val="nil"/>
              <w:bottom w:val="single" w:sz="4" w:space="0" w:color="auto"/>
              <w:right w:val="single" w:sz="4" w:space="0" w:color="auto"/>
            </w:tcBorders>
            <w:shd w:val="clear" w:color="auto" w:fill="auto"/>
            <w:noWrap/>
            <w:vAlign w:val="bottom"/>
            <w:hideMark/>
          </w:tcPr>
          <w:p w14:paraId="5EA613C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43</w:t>
            </w:r>
          </w:p>
        </w:tc>
        <w:tc>
          <w:tcPr>
            <w:tcW w:w="1430" w:type="pct"/>
            <w:tcBorders>
              <w:top w:val="nil"/>
              <w:left w:val="nil"/>
              <w:bottom w:val="single" w:sz="4" w:space="0" w:color="auto"/>
              <w:right w:val="single" w:sz="4" w:space="0" w:color="auto"/>
            </w:tcBorders>
            <w:shd w:val="clear" w:color="auto" w:fill="auto"/>
            <w:noWrap/>
            <w:vAlign w:val="bottom"/>
            <w:hideMark/>
          </w:tcPr>
          <w:p w14:paraId="2452769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24CB9B70" w14:textId="77777777" w:rsidTr="00C0062B">
        <w:trPr>
          <w:trHeight w:val="6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EEEF89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Utilidad y necesidad</w:t>
            </w:r>
          </w:p>
        </w:tc>
        <w:tc>
          <w:tcPr>
            <w:tcW w:w="791" w:type="pct"/>
            <w:tcBorders>
              <w:top w:val="nil"/>
              <w:left w:val="nil"/>
              <w:bottom w:val="single" w:sz="4" w:space="0" w:color="auto"/>
              <w:right w:val="single" w:sz="4" w:space="0" w:color="auto"/>
            </w:tcBorders>
            <w:shd w:val="clear" w:color="auto" w:fill="auto"/>
            <w:noWrap/>
            <w:vAlign w:val="bottom"/>
            <w:hideMark/>
          </w:tcPr>
          <w:p w14:paraId="40C4D2D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430" w:type="pct"/>
            <w:tcBorders>
              <w:top w:val="nil"/>
              <w:left w:val="nil"/>
              <w:bottom w:val="single" w:sz="4" w:space="0" w:color="auto"/>
              <w:right w:val="single" w:sz="4" w:space="0" w:color="auto"/>
            </w:tcBorders>
            <w:shd w:val="clear" w:color="auto" w:fill="auto"/>
            <w:noWrap/>
            <w:vAlign w:val="bottom"/>
            <w:hideMark/>
          </w:tcPr>
          <w:p w14:paraId="59DA3FB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59F24F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216DB80" w14:textId="77777777" w:rsidR="0001202E" w:rsidRPr="00C0062B" w:rsidRDefault="0001202E" w:rsidP="00C0062B">
            <w:pPr>
              <w:spacing w:after="0" w:line="276" w:lineRule="auto"/>
              <w:rPr>
                <w:rFonts w:ascii="Book Antiqua" w:eastAsia="Times New Roman" w:hAnsi="Book Antiqua" w:cs="Calibri"/>
                <w:b/>
                <w:bCs/>
                <w:lang w:eastAsia="es-CR"/>
              </w:rPr>
            </w:pPr>
            <w:r w:rsidRPr="00C0062B">
              <w:rPr>
                <w:rFonts w:ascii="Book Antiqua" w:eastAsia="Times New Roman" w:hAnsi="Book Antiqua" w:cs="Calibri"/>
                <w:b/>
                <w:bCs/>
                <w:lang w:eastAsia="es-CR"/>
              </w:rPr>
              <w:t>Total</w:t>
            </w:r>
          </w:p>
        </w:tc>
        <w:tc>
          <w:tcPr>
            <w:tcW w:w="791" w:type="pct"/>
            <w:tcBorders>
              <w:top w:val="nil"/>
              <w:left w:val="nil"/>
              <w:bottom w:val="single" w:sz="4" w:space="0" w:color="auto"/>
              <w:right w:val="single" w:sz="4" w:space="0" w:color="auto"/>
            </w:tcBorders>
            <w:shd w:val="clear" w:color="auto" w:fill="auto"/>
            <w:noWrap/>
            <w:vAlign w:val="bottom"/>
            <w:hideMark/>
          </w:tcPr>
          <w:p w14:paraId="31EF7FBD" w14:textId="77777777" w:rsidR="0001202E" w:rsidRPr="00C0062B" w:rsidRDefault="0001202E" w:rsidP="00C0062B">
            <w:pPr>
              <w:spacing w:after="0" w:line="276" w:lineRule="auto"/>
              <w:jc w:val="center"/>
              <w:rPr>
                <w:rFonts w:ascii="Book Antiqua" w:eastAsia="Times New Roman" w:hAnsi="Book Antiqua" w:cs="Calibri"/>
                <w:b/>
                <w:bCs/>
                <w:lang w:eastAsia="es-CR"/>
              </w:rPr>
            </w:pPr>
            <w:r w:rsidRPr="00C0062B">
              <w:rPr>
                <w:rFonts w:ascii="Book Antiqua" w:eastAsia="Times New Roman" w:hAnsi="Book Antiqua" w:cs="Calibri"/>
                <w:b/>
                <w:bCs/>
                <w:lang w:eastAsia="es-CR"/>
              </w:rPr>
              <w:t>1 115</w:t>
            </w:r>
          </w:p>
        </w:tc>
        <w:tc>
          <w:tcPr>
            <w:tcW w:w="1430" w:type="pct"/>
            <w:tcBorders>
              <w:top w:val="nil"/>
              <w:left w:val="nil"/>
              <w:bottom w:val="single" w:sz="4" w:space="0" w:color="auto"/>
              <w:right w:val="single" w:sz="4" w:space="0" w:color="auto"/>
            </w:tcBorders>
            <w:shd w:val="clear" w:color="auto" w:fill="auto"/>
            <w:noWrap/>
            <w:vAlign w:val="bottom"/>
            <w:hideMark/>
          </w:tcPr>
          <w:p w14:paraId="4C043F04" w14:textId="5EA47159" w:rsidR="0001202E" w:rsidRPr="00C0062B" w:rsidRDefault="0001202E" w:rsidP="00C0062B">
            <w:pPr>
              <w:spacing w:after="0" w:line="276" w:lineRule="auto"/>
              <w:jc w:val="center"/>
              <w:rPr>
                <w:rFonts w:ascii="Book Antiqua" w:eastAsia="Times New Roman" w:hAnsi="Book Antiqua" w:cs="Calibri"/>
                <w:b/>
                <w:bCs/>
                <w:lang w:eastAsia="es-CR"/>
              </w:rPr>
            </w:pPr>
            <w:r w:rsidRPr="00C0062B">
              <w:rPr>
                <w:rFonts w:ascii="Book Antiqua" w:eastAsia="Times New Roman" w:hAnsi="Book Antiqua" w:cs="Calibri"/>
                <w:b/>
                <w:bCs/>
                <w:lang w:eastAsia="es-CR"/>
              </w:rPr>
              <w:t>Promedio: 2 meses 3 semanas</w:t>
            </w:r>
          </w:p>
        </w:tc>
      </w:tr>
    </w:tbl>
    <w:p w14:paraId="6149DC7D" w14:textId="575677C6" w:rsidR="0001202E" w:rsidRPr="00221B46" w:rsidRDefault="0001202E" w:rsidP="0001202E">
      <w:pPr>
        <w:spacing w:line="276" w:lineRule="auto"/>
        <w:jc w:val="both"/>
        <w:rPr>
          <w:rFonts w:ascii="Book Antiqua" w:hAnsi="Book Antiqua"/>
          <w:i/>
          <w:iCs/>
          <w:sz w:val="20"/>
          <w:szCs w:val="20"/>
        </w:rPr>
      </w:pPr>
      <w:r w:rsidRPr="00B8406C">
        <w:rPr>
          <w:rFonts w:ascii="Book Antiqua" w:hAnsi="Book Antiqua"/>
          <w:b/>
          <w:bCs/>
          <w:i/>
          <w:iCs/>
          <w:sz w:val="20"/>
          <w:szCs w:val="20"/>
        </w:rPr>
        <w:t>Fuente:</w:t>
      </w:r>
      <w:r w:rsidRPr="00632CF0">
        <w:rPr>
          <w:rFonts w:ascii="Book Antiqua" w:hAnsi="Book Antiqua"/>
          <w:i/>
          <w:iCs/>
          <w:sz w:val="20"/>
          <w:szCs w:val="20"/>
        </w:rPr>
        <w:t xml:space="preserve"> </w:t>
      </w:r>
      <w:r w:rsidR="002C05E4">
        <w:rPr>
          <w:rFonts w:ascii="Book Antiqua" w:hAnsi="Book Antiqua"/>
          <w:i/>
          <w:iCs/>
          <w:sz w:val="20"/>
          <w:szCs w:val="20"/>
        </w:rPr>
        <w:t xml:space="preserve">Subproceso de </w:t>
      </w:r>
      <w:r w:rsidRPr="00632CF0">
        <w:rPr>
          <w:rFonts w:ascii="Book Antiqua" w:hAnsi="Book Antiqua"/>
          <w:i/>
          <w:iCs/>
          <w:sz w:val="20"/>
          <w:szCs w:val="20"/>
        </w:rPr>
        <w:t>Modernización Institucional con datos del Subproceso de Estadística.</w:t>
      </w:r>
    </w:p>
    <w:p w14:paraId="38DA0F17" w14:textId="21E0D1C8"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CE6F72">
        <w:rPr>
          <w:rFonts w:ascii="Book Antiqua" w:eastAsia="Calibri" w:hAnsi="Book Antiqua" w:cs="Arial"/>
          <w:b/>
          <w:bCs/>
          <w:noProof/>
          <w:color w:val="1F497D"/>
          <w:szCs w:val="24"/>
          <w:lang w:val="es-ES" w:eastAsia="es-ES"/>
        </w:rPr>
        <w:t>52</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081A9C4"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295A97D3"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4722"/>
        <w:gridCol w:w="1069"/>
        <w:gridCol w:w="3037"/>
      </w:tblGrid>
      <w:tr w:rsidR="0001202E" w:rsidRPr="00C0062B" w14:paraId="019FEF0E" w14:textId="77777777" w:rsidTr="00035934">
        <w:trPr>
          <w:trHeight w:val="290"/>
        </w:trPr>
        <w:tc>
          <w:tcPr>
            <w:tcW w:w="2907"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37F4868"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Clase y Procedimiento</w:t>
            </w:r>
          </w:p>
        </w:tc>
        <w:tc>
          <w:tcPr>
            <w:tcW w:w="837" w:type="pct"/>
            <w:tcBorders>
              <w:top w:val="single" w:sz="4" w:space="0" w:color="auto"/>
              <w:left w:val="nil"/>
              <w:bottom w:val="single" w:sz="4" w:space="0" w:color="auto"/>
              <w:right w:val="single" w:sz="4" w:space="0" w:color="auto"/>
            </w:tcBorders>
            <w:shd w:val="clear" w:color="000000" w:fill="002060"/>
            <w:noWrap/>
            <w:vAlign w:val="bottom"/>
            <w:hideMark/>
          </w:tcPr>
          <w:p w14:paraId="15096D97"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Cantidad</w:t>
            </w:r>
          </w:p>
        </w:tc>
        <w:tc>
          <w:tcPr>
            <w:tcW w:w="1256" w:type="pct"/>
            <w:tcBorders>
              <w:top w:val="single" w:sz="4" w:space="0" w:color="auto"/>
              <w:left w:val="nil"/>
              <w:bottom w:val="single" w:sz="4" w:space="0" w:color="auto"/>
              <w:right w:val="single" w:sz="4" w:space="0" w:color="auto"/>
            </w:tcBorders>
            <w:shd w:val="clear" w:color="000000" w:fill="002060"/>
            <w:noWrap/>
            <w:vAlign w:val="bottom"/>
            <w:hideMark/>
          </w:tcPr>
          <w:p w14:paraId="25BDE8FD"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Duración Promedio</w:t>
            </w:r>
          </w:p>
        </w:tc>
      </w:tr>
      <w:tr w:rsidR="0001202E" w:rsidRPr="00C0062B" w14:paraId="47D09C3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FA2A7F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Adopción</w:t>
            </w:r>
          </w:p>
        </w:tc>
        <w:tc>
          <w:tcPr>
            <w:tcW w:w="837" w:type="pct"/>
            <w:tcBorders>
              <w:top w:val="nil"/>
              <w:left w:val="nil"/>
              <w:bottom w:val="single" w:sz="4" w:space="0" w:color="auto"/>
              <w:right w:val="single" w:sz="4" w:space="0" w:color="auto"/>
            </w:tcBorders>
            <w:shd w:val="clear" w:color="auto" w:fill="auto"/>
            <w:noWrap/>
            <w:vAlign w:val="bottom"/>
            <w:hideMark/>
          </w:tcPr>
          <w:p w14:paraId="4E121A8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w:t>
            </w:r>
          </w:p>
        </w:tc>
        <w:tc>
          <w:tcPr>
            <w:tcW w:w="1256" w:type="pct"/>
            <w:tcBorders>
              <w:top w:val="nil"/>
              <w:left w:val="nil"/>
              <w:bottom w:val="single" w:sz="4" w:space="0" w:color="auto"/>
              <w:right w:val="single" w:sz="4" w:space="0" w:color="auto"/>
            </w:tcBorders>
            <w:shd w:val="clear" w:color="auto" w:fill="auto"/>
            <w:noWrap/>
            <w:vAlign w:val="bottom"/>
            <w:hideMark/>
          </w:tcPr>
          <w:p w14:paraId="278F843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6DE49B32"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9056FC0"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Autorización salida país</w:t>
            </w:r>
          </w:p>
        </w:tc>
        <w:tc>
          <w:tcPr>
            <w:tcW w:w="837" w:type="pct"/>
            <w:tcBorders>
              <w:top w:val="nil"/>
              <w:left w:val="nil"/>
              <w:bottom w:val="single" w:sz="4" w:space="0" w:color="auto"/>
              <w:right w:val="single" w:sz="4" w:space="0" w:color="auto"/>
            </w:tcBorders>
            <w:shd w:val="clear" w:color="auto" w:fill="auto"/>
            <w:noWrap/>
            <w:vAlign w:val="bottom"/>
            <w:hideMark/>
          </w:tcPr>
          <w:p w14:paraId="509CF2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w:t>
            </w:r>
          </w:p>
        </w:tc>
        <w:tc>
          <w:tcPr>
            <w:tcW w:w="1256" w:type="pct"/>
            <w:tcBorders>
              <w:top w:val="nil"/>
              <w:left w:val="nil"/>
              <w:bottom w:val="single" w:sz="4" w:space="0" w:color="auto"/>
              <w:right w:val="single" w:sz="4" w:space="0" w:color="auto"/>
            </w:tcBorders>
            <w:shd w:val="clear" w:color="auto" w:fill="auto"/>
            <w:noWrap/>
            <w:vAlign w:val="bottom"/>
            <w:hideMark/>
          </w:tcPr>
          <w:p w14:paraId="2FFF3D6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7D6C71AB"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622BF2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Conflicto autoridad parental</w:t>
            </w:r>
          </w:p>
        </w:tc>
        <w:tc>
          <w:tcPr>
            <w:tcW w:w="837" w:type="pct"/>
            <w:tcBorders>
              <w:top w:val="nil"/>
              <w:left w:val="nil"/>
              <w:bottom w:val="single" w:sz="4" w:space="0" w:color="auto"/>
              <w:right w:val="single" w:sz="4" w:space="0" w:color="auto"/>
            </w:tcBorders>
            <w:shd w:val="clear" w:color="auto" w:fill="auto"/>
            <w:noWrap/>
            <w:vAlign w:val="bottom"/>
            <w:hideMark/>
          </w:tcPr>
          <w:p w14:paraId="2E0B397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256" w:type="pct"/>
            <w:tcBorders>
              <w:top w:val="nil"/>
              <w:left w:val="nil"/>
              <w:bottom w:val="single" w:sz="4" w:space="0" w:color="auto"/>
              <w:right w:val="single" w:sz="4" w:space="0" w:color="auto"/>
            </w:tcBorders>
            <w:shd w:val="clear" w:color="auto" w:fill="auto"/>
            <w:noWrap/>
            <w:vAlign w:val="bottom"/>
            <w:hideMark/>
          </w:tcPr>
          <w:p w14:paraId="7FA87A6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014A1DA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451AC6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de extramatrimonialidad</w:t>
            </w:r>
          </w:p>
        </w:tc>
        <w:tc>
          <w:tcPr>
            <w:tcW w:w="837" w:type="pct"/>
            <w:tcBorders>
              <w:top w:val="nil"/>
              <w:left w:val="nil"/>
              <w:bottom w:val="single" w:sz="4" w:space="0" w:color="auto"/>
              <w:right w:val="single" w:sz="4" w:space="0" w:color="auto"/>
            </w:tcBorders>
            <w:shd w:val="clear" w:color="auto" w:fill="auto"/>
            <w:noWrap/>
            <w:vAlign w:val="bottom"/>
            <w:hideMark/>
          </w:tcPr>
          <w:p w14:paraId="0C509C7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256" w:type="pct"/>
            <w:tcBorders>
              <w:top w:val="nil"/>
              <w:left w:val="nil"/>
              <w:bottom w:val="single" w:sz="4" w:space="0" w:color="auto"/>
              <w:right w:val="single" w:sz="4" w:space="0" w:color="auto"/>
            </w:tcBorders>
            <w:shd w:val="clear" w:color="auto" w:fill="auto"/>
            <w:noWrap/>
            <w:vAlign w:val="bottom"/>
            <w:hideMark/>
          </w:tcPr>
          <w:p w14:paraId="0B8ED33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15B1E37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3616C3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judicial de abandono</w:t>
            </w:r>
          </w:p>
        </w:tc>
        <w:tc>
          <w:tcPr>
            <w:tcW w:w="837" w:type="pct"/>
            <w:tcBorders>
              <w:top w:val="nil"/>
              <w:left w:val="nil"/>
              <w:bottom w:val="single" w:sz="4" w:space="0" w:color="auto"/>
              <w:right w:val="single" w:sz="4" w:space="0" w:color="auto"/>
            </w:tcBorders>
            <w:shd w:val="clear" w:color="auto" w:fill="auto"/>
            <w:noWrap/>
            <w:vAlign w:val="bottom"/>
            <w:hideMark/>
          </w:tcPr>
          <w:p w14:paraId="1B82135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25</w:t>
            </w:r>
          </w:p>
        </w:tc>
        <w:tc>
          <w:tcPr>
            <w:tcW w:w="1256" w:type="pct"/>
            <w:tcBorders>
              <w:top w:val="nil"/>
              <w:left w:val="nil"/>
              <w:bottom w:val="single" w:sz="4" w:space="0" w:color="auto"/>
              <w:right w:val="single" w:sz="4" w:space="0" w:color="auto"/>
            </w:tcBorders>
            <w:shd w:val="clear" w:color="auto" w:fill="auto"/>
            <w:noWrap/>
            <w:vAlign w:val="bottom"/>
            <w:hideMark/>
          </w:tcPr>
          <w:p w14:paraId="682CB1E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61CEA8C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46F333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paternidad</w:t>
            </w:r>
          </w:p>
        </w:tc>
        <w:tc>
          <w:tcPr>
            <w:tcW w:w="837" w:type="pct"/>
            <w:tcBorders>
              <w:top w:val="nil"/>
              <w:left w:val="nil"/>
              <w:bottom w:val="single" w:sz="4" w:space="0" w:color="auto"/>
              <w:right w:val="single" w:sz="4" w:space="0" w:color="auto"/>
            </w:tcBorders>
            <w:shd w:val="clear" w:color="auto" w:fill="auto"/>
            <w:noWrap/>
            <w:vAlign w:val="bottom"/>
            <w:hideMark/>
          </w:tcPr>
          <w:p w14:paraId="190D155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w:t>
            </w:r>
          </w:p>
        </w:tc>
        <w:tc>
          <w:tcPr>
            <w:tcW w:w="1256" w:type="pct"/>
            <w:tcBorders>
              <w:top w:val="nil"/>
              <w:left w:val="nil"/>
              <w:bottom w:val="single" w:sz="4" w:space="0" w:color="auto"/>
              <w:right w:val="single" w:sz="4" w:space="0" w:color="auto"/>
            </w:tcBorders>
            <w:shd w:val="clear" w:color="auto" w:fill="auto"/>
            <w:noWrap/>
            <w:vAlign w:val="bottom"/>
            <w:hideMark/>
          </w:tcPr>
          <w:p w14:paraId="25F9235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546E9F1B"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02E067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Depósito judicial</w:t>
            </w:r>
          </w:p>
        </w:tc>
        <w:tc>
          <w:tcPr>
            <w:tcW w:w="837" w:type="pct"/>
            <w:tcBorders>
              <w:top w:val="nil"/>
              <w:left w:val="nil"/>
              <w:bottom w:val="single" w:sz="4" w:space="0" w:color="auto"/>
              <w:right w:val="single" w:sz="4" w:space="0" w:color="auto"/>
            </w:tcBorders>
            <w:shd w:val="clear" w:color="auto" w:fill="auto"/>
            <w:noWrap/>
            <w:vAlign w:val="bottom"/>
            <w:hideMark/>
          </w:tcPr>
          <w:p w14:paraId="10BB5FE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23</w:t>
            </w:r>
          </w:p>
        </w:tc>
        <w:tc>
          <w:tcPr>
            <w:tcW w:w="1256" w:type="pct"/>
            <w:tcBorders>
              <w:top w:val="nil"/>
              <w:left w:val="nil"/>
              <w:bottom w:val="single" w:sz="4" w:space="0" w:color="auto"/>
              <w:right w:val="single" w:sz="4" w:space="0" w:color="auto"/>
            </w:tcBorders>
            <w:shd w:val="clear" w:color="auto" w:fill="auto"/>
            <w:noWrap/>
            <w:vAlign w:val="bottom"/>
            <w:hideMark/>
          </w:tcPr>
          <w:p w14:paraId="7F5AAB6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4ADE1CE3" w14:textId="77777777" w:rsidTr="00C0062B">
        <w:trPr>
          <w:trHeight w:val="264"/>
        </w:trPr>
        <w:tc>
          <w:tcPr>
            <w:tcW w:w="2907" w:type="pct"/>
            <w:tcBorders>
              <w:top w:val="nil"/>
              <w:left w:val="single" w:sz="4" w:space="0" w:color="auto"/>
              <w:bottom w:val="single" w:sz="4" w:space="0" w:color="auto"/>
              <w:right w:val="single" w:sz="4" w:space="0" w:color="auto"/>
            </w:tcBorders>
            <w:shd w:val="clear" w:color="auto" w:fill="auto"/>
            <w:vAlign w:val="bottom"/>
            <w:hideMark/>
          </w:tcPr>
          <w:p w14:paraId="32DA9F0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Desafectación al régimen de habitación familiar</w:t>
            </w:r>
          </w:p>
        </w:tc>
        <w:tc>
          <w:tcPr>
            <w:tcW w:w="837" w:type="pct"/>
            <w:tcBorders>
              <w:top w:val="nil"/>
              <w:left w:val="nil"/>
              <w:bottom w:val="single" w:sz="4" w:space="0" w:color="auto"/>
              <w:right w:val="single" w:sz="4" w:space="0" w:color="auto"/>
            </w:tcBorders>
            <w:shd w:val="clear" w:color="auto" w:fill="auto"/>
            <w:noWrap/>
            <w:vAlign w:val="bottom"/>
            <w:hideMark/>
          </w:tcPr>
          <w:p w14:paraId="0814CA8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w:t>
            </w:r>
          </w:p>
        </w:tc>
        <w:tc>
          <w:tcPr>
            <w:tcW w:w="1256" w:type="pct"/>
            <w:tcBorders>
              <w:top w:val="nil"/>
              <w:left w:val="nil"/>
              <w:bottom w:val="single" w:sz="4" w:space="0" w:color="auto"/>
              <w:right w:val="single" w:sz="4" w:space="0" w:color="auto"/>
            </w:tcBorders>
            <w:shd w:val="clear" w:color="auto" w:fill="auto"/>
            <w:noWrap/>
            <w:vAlign w:val="bottom"/>
            <w:hideMark/>
          </w:tcPr>
          <w:p w14:paraId="20AA933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6114C6D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60718F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w:t>
            </w:r>
          </w:p>
        </w:tc>
        <w:tc>
          <w:tcPr>
            <w:tcW w:w="837" w:type="pct"/>
            <w:tcBorders>
              <w:top w:val="nil"/>
              <w:left w:val="nil"/>
              <w:bottom w:val="single" w:sz="4" w:space="0" w:color="auto"/>
              <w:right w:val="single" w:sz="4" w:space="0" w:color="auto"/>
            </w:tcBorders>
            <w:shd w:val="clear" w:color="auto" w:fill="auto"/>
            <w:noWrap/>
            <w:vAlign w:val="bottom"/>
            <w:hideMark/>
          </w:tcPr>
          <w:p w14:paraId="19568AA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196</w:t>
            </w:r>
          </w:p>
        </w:tc>
        <w:tc>
          <w:tcPr>
            <w:tcW w:w="1256" w:type="pct"/>
            <w:tcBorders>
              <w:top w:val="nil"/>
              <w:left w:val="nil"/>
              <w:bottom w:val="single" w:sz="4" w:space="0" w:color="auto"/>
              <w:right w:val="single" w:sz="4" w:space="0" w:color="auto"/>
            </w:tcBorders>
            <w:shd w:val="clear" w:color="auto" w:fill="auto"/>
            <w:noWrap/>
            <w:vAlign w:val="bottom"/>
            <w:hideMark/>
          </w:tcPr>
          <w:p w14:paraId="28124CB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61B83C7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51DFEB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 por mutuo consentimiento</w:t>
            </w:r>
          </w:p>
        </w:tc>
        <w:tc>
          <w:tcPr>
            <w:tcW w:w="837" w:type="pct"/>
            <w:tcBorders>
              <w:top w:val="nil"/>
              <w:left w:val="nil"/>
              <w:bottom w:val="single" w:sz="4" w:space="0" w:color="auto"/>
              <w:right w:val="single" w:sz="4" w:space="0" w:color="auto"/>
            </w:tcBorders>
            <w:shd w:val="clear" w:color="auto" w:fill="auto"/>
            <w:noWrap/>
            <w:vAlign w:val="bottom"/>
            <w:hideMark/>
          </w:tcPr>
          <w:p w14:paraId="1AC100E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42</w:t>
            </w:r>
          </w:p>
        </w:tc>
        <w:tc>
          <w:tcPr>
            <w:tcW w:w="1256" w:type="pct"/>
            <w:tcBorders>
              <w:top w:val="nil"/>
              <w:left w:val="nil"/>
              <w:bottom w:val="single" w:sz="4" w:space="0" w:color="auto"/>
              <w:right w:val="single" w:sz="4" w:space="0" w:color="auto"/>
            </w:tcBorders>
            <w:shd w:val="clear" w:color="auto" w:fill="auto"/>
            <w:noWrap/>
            <w:vAlign w:val="bottom"/>
            <w:hideMark/>
          </w:tcPr>
          <w:p w14:paraId="794B884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22E862C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3F4D3C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Ejecución de sentencia</w:t>
            </w:r>
          </w:p>
        </w:tc>
        <w:tc>
          <w:tcPr>
            <w:tcW w:w="837" w:type="pct"/>
            <w:tcBorders>
              <w:top w:val="nil"/>
              <w:left w:val="nil"/>
              <w:bottom w:val="single" w:sz="4" w:space="0" w:color="auto"/>
              <w:right w:val="single" w:sz="4" w:space="0" w:color="auto"/>
            </w:tcBorders>
            <w:shd w:val="clear" w:color="auto" w:fill="auto"/>
            <w:noWrap/>
            <w:vAlign w:val="bottom"/>
            <w:hideMark/>
          </w:tcPr>
          <w:p w14:paraId="126D9A1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63</w:t>
            </w:r>
          </w:p>
        </w:tc>
        <w:tc>
          <w:tcPr>
            <w:tcW w:w="1256" w:type="pct"/>
            <w:tcBorders>
              <w:top w:val="nil"/>
              <w:left w:val="nil"/>
              <w:bottom w:val="single" w:sz="4" w:space="0" w:color="auto"/>
              <w:right w:val="single" w:sz="4" w:space="0" w:color="auto"/>
            </w:tcBorders>
            <w:shd w:val="clear" w:color="auto" w:fill="auto"/>
            <w:noWrap/>
            <w:vAlign w:val="bottom"/>
            <w:hideMark/>
          </w:tcPr>
          <w:p w14:paraId="11BD36B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73451EA6"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821EF1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Fijación Alimentaria</w:t>
            </w:r>
          </w:p>
        </w:tc>
        <w:tc>
          <w:tcPr>
            <w:tcW w:w="837" w:type="pct"/>
            <w:tcBorders>
              <w:top w:val="nil"/>
              <w:left w:val="nil"/>
              <w:bottom w:val="single" w:sz="4" w:space="0" w:color="auto"/>
              <w:right w:val="single" w:sz="4" w:space="0" w:color="auto"/>
            </w:tcBorders>
            <w:shd w:val="clear" w:color="auto" w:fill="auto"/>
            <w:noWrap/>
            <w:vAlign w:val="bottom"/>
            <w:hideMark/>
          </w:tcPr>
          <w:p w14:paraId="58DD2E4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30</w:t>
            </w:r>
          </w:p>
        </w:tc>
        <w:tc>
          <w:tcPr>
            <w:tcW w:w="1256" w:type="pct"/>
            <w:tcBorders>
              <w:top w:val="nil"/>
              <w:left w:val="nil"/>
              <w:bottom w:val="single" w:sz="4" w:space="0" w:color="auto"/>
              <w:right w:val="single" w:sz="4" w:space="0" w:color="auto"/>
            </w:tcBorders>
            <w:shd w:val="clear" w:color="auto" w:fill="auto"/>
            <w:noWrap/>
            <w:vAlign w:val="bottom"/>
            <w:hideMark/>
          </w:tcPr>
          <w:p w14:paraId="3846129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1483ED7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3DB5ABA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Guarda crianza y educación</w:t>
            </w:r>
          </w:p>
        </w:tc>
        <w:tc>
          <w:tcPr>
            <w:tcW w:w="837" w:type="pct"/>
            <w:tcBorders>
              <w:top w:val="nil"/>
              <w:left w:val="nil"/>
              <w:bottom w:val="single" w:sz="4" w:space="0" w:color="auto"/>
              <w:right w:val="single" w:sz="4" w:space="0" w:color="auto"/>
            </w:tcBorders>
            <w:shd w:val="clear" w:color="auto" w:fill="auto"/>
            <w:noWrap/>
            <w:vAlign w:val="bottom"/>
            <w:hideMark/>
          </w:tcPr>
          <w:p w14:paraId="7D88294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80</w:t>
            </w:r>
          </w:p>
        </w:tc>
        <w:tc>
          <w:tcPr>
            <w:tcW w:w="1256" w:type="pct"/>
            <w:tcBorders>
              <w:top w:val="nil"/>
              <w:left w:val="nil"/>
              <w:bottom w:val="single" w:sz="4" w:space="0" w:color="auto"/>
              <w:right w:val="single" w:sz="4" w:space="0" w:color="auto"/>
            </w:tcBorders>
            <w:shd w:val="clear" w:color="auto" w:fill="auto"/>
            <w:noWrap/>
            <w:vAlign w:val="bottom"/>
            <w:hideMark/>
          </w:tcPr>
          <w:p w14:paraId="6BA42DF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1B90D1F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438CF0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paternidad</w:t>
            </w:r>
          </w:p>
        </w:tc>
        <w:tc>
          <w:tcPr>
            <w:tcW w:w="837" w:type="pct"/>
            <w:tcBorders>
              <w:top w:val="nil"/>
              <w:left w:val="nil"/>
              <w:bottom w:val="single" w:sz="4" w:space="0" w:color="auto"/>
              <w:right w:val="single" w:sz="4" w:space="0" w:color="auto"/>
            </w:tcBorders>
            <w:shd w:val="clear" w:color="auto" w:fill="auto"/>
            <w:noWrap/>
            <w:vAlign w:val="bottom"/>
            <w:hideMark/>
          </w:tcPr>
          <w:p w14:paraId="326A5A1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21</w:t>
            </w:r>
          </w:p>
        </w:tc>
        <w:tc>
          <w:tcPr>
            <w:tcW w:w="1256" w:type="pct"/>
            <w:tcBorders>
              <w:top w:val="nil"/>
              <w:left w:val="nil"/>
              <w:bottom w:val="single" w:sz="4" w:space="0" w:color="auto"/>
              <w:right w:val="single" w:sz="4" w:space="0" w:color="auto"/>
            </w:tcBorders>
            <w:shd w:val="clear" w:color="auto" w:fill="auto"/>
            <w:noWrap/>
            <w:vAlign w:val="bottom"/>
            <w:hideMark/>
          </w:tcPr>
          <w:p w14:paraId="350F007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72E1D87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DD374D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reconocimiento</w:t>
            </w:r>
          </w:p>
        </w:tc>
        <w:tc>
          <w:tcPr>
            <w:tcW w:w="837" w:type="pct"/>
            <w:tcBorders>
              <w:top w:val="nil"/>
              <w:left w:val="nil"/>
              <w:bottom w:val="single" w:sz="4" w:space="0" w:color="auto"/>
              <w:right w:val="single" w:sz="4" w:space="0" w:color="auto"/>
            </w:tcBorders>
            <w:shd w:val="clear" w:color="auto" w:fill="auto"/>
            <w:noWrap/>
            <w:vAlign w:val="bottom"/>
            <w:hideMark/>
          </w:tcPr>
          <w:p w14:paraId="5436A8A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39</w:t>
            </w:r>
          </w:p>
        </w:tc>
        <w:tc>
          <w:tcPr>
            <w:tcW w:w="1256" w:type="pct"/>
            <w:tcBorders>
              <w:top w:val="nil"/>
              <w:left w:val="nil"/>
              <w:bottom w:val="single" w:sz="4" w:space="0" w:color="auto"/>
              <w:right w:val="single" w:sz="4" w:space="0" w:color="auto"/>
            </w:tcBorders>
            <w:shd w:val="clear" w:color="auto" w:fill="auto"/>
            <w:noWrap/>
            <w:vAlign w:val="bottom"/>
            <w:hideMark/>
          </w:tcPr>
          <w:p w14:paraId="4FF1309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30C833E"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D3AFFC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Cobro honorarios abogado</w:t>
            </w:r>
          </w:p>
        </w:tc>
        <w:tc>
          <w:tcPr>
            <w:tcW w:w="837" w:type="pct"/>
            <w:tcBorders>
              <w:top w:val="nil"/>
              <w:left w:val="nil"/>
              <w:bottom w:val="single" w:sz="4" w:space="0" w:color="auto"/>
              <w:right w:val="single" w:sz="4" w:space="0" w:color="auto"/>
            </w:tcBorders>
            <w:shd w:val="clear" w:color="auto" w:fill="auto"/>
            <w:noWrap/>
            <w:vAlign w:val="bottom"/>
            <w:hideMark/>
          </w:tcPr>
          <w:p w14:paraId="3B72B94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10</w:t>
            </w:r>
          </w:p>
        </w:tc>
        <w:tc>
          <w:tcPr>
            <w:tcW w:w="1256" w:type="pct"/>
            <w:tcBorders>
              <w:top w:val="nil"/>
              <w:left w:val="nil"/>
              <w:bottom w:val="single" w:sz="4" w:space="0" w:color="auto"/>
              <w:right w:val="single" w:sz="4" w:space="0" w:color="auto"/>
            </w:tcBorders>
            <w:shd w:val="clear" w:color="auto" w:fill="auto"/>
            <w:noWrap/>
            <w:vAlign w:val="bottom"/>
            <w:hideMark/>
          </w:tcPr>
          <w:p w14:paraId="3B3A9FA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4CEE2DC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213C1B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Modif. Guarda Crianza y Educación</w:t>
            </w:r>
          </w:p>
        </w:tc>
        <w:tc>
          <w:tcPr>
            <w:tcW w:w="837" w:type="pct"/>
            <w:tcBorders>
              <w:top w:val="nil"/>
              <w:left w:val="nil"/>
              <w:bottom w:val="single" w:sz="4" w:space="0" w:color="auto"/>
              <w:right w:val="single" w:sz="4" w:space="0" w:color="auto"/>
            </w:tcBorders>
            <w:shd w:val="clear" w:color="auto" w:fill="auto"/>
            <w:noWrap/>
            <w:vAlign w:val="bottom"/>
            <w:hideMark/>
          </w:tcPr>
          <w:p w14:paraId="6AFC057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w:t>
            </w:r>
          </w:p>
        </w:tc>
        <w:tc>
          <w:tcPr>
            <w:tcW w:w="1256" w:type="pct"/>
            <w:tcBorders>
              <w:top w:val="nil"/>
              <w:left w:val="nil"/>
              <w:bottom w:val="single" w:sz="4" w:space="0" w:color="auto"/>
              <w:right w:val="single" w:sz="4" w:space="0" w:color="auto"/>
            </w:tcBorders>
            <w:shd w:val="clear" w:color="auto" w:fill="auto"/>
            <w:noWrap/>
            <w:vAlign w:val="bottom"/>
            <w:hideMark/>
          </w:tcPr>
          <w:p w14:paraId="616A7A9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4956583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85FF2B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Modificación de fallo</w:t>
            </w:r>
          </w:p>
        </w:tc>
        <w:tc>
          <w:tcPr>
            <w:tcW w:w="837" w:type="pct"/>
            <w:tcBorders>
              <w:top w:val="nil"/>
              <w:left w:val="nil"/>
              <w:bottom w:val="single" w:sz="4" w:space="0" w:color="auto"/>
              <w:right w:val="single" w:sz="4" w:space="0" w:color="auto"/>
            </w:tcBorders>
            <w:shd w:val="clear" w:color="auto" w:fill="auto"/>
            <w:noWrap/>
            <w:vAlign w:val="bottom"/>
            <w:hideMark/>
          </w:tcPr>
          <w:p w14:paraId="43EFC0E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w:t>
            </w:r>
          </w:p>
        </w:tc>
        <w:tc>
          <w:tcPr>
            <w:tcW w:w="1256" w:type="pct"/>
            <w:tcBorders>
              <w:top w:val="nil"/>
              <w:left w:val="nil"/>
              <w:bottom w:val="single" w:sz="4" w:space="0" w:color="auto"/>
              <w:right w:val="single" w:sz="4" w:space="0" w:color="auto"/>
            </w:tcBorders>
            <w:shd w:val="clear" w:color="auto" w:fill="auto"/>
            <w:noWrap/>
            <w:vAlign w:val="bottom"/>
            <w:hideMark/>
          </w:tcPr>
          <w:p w14:paraId="5FC951D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027C0A5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083E48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actuac. y resol.</w:t>
            </w:r>
          </w:p>
        </w:tc>
        <w:tc>
          <w:tcPr>
            <w:tcW w:w="837" w:type="pct"/>
            <w:tcBorders>
              <w:top w:val="nil"/>
              <w:left w:val="nil"/>
              <w:bottom w:val="single" w:sz="4" w:space="0" w:color="auto"/>
              <w:right w:val="single" w:sz="4" w:space="0" w:color="auto"/>
            </w:tcBorders>
            <w:shd w:val="clear" w:color="auto" w:fill="auto"/>
            <w:noWrap/>
            <w:vAlign w:val="bottom"/>
            <w:hideMark/>
          </w:tcPr>
          <w:p w14:paraId="2EE36D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w:t>
            </w:r>
          </w:p>
        </w:tc>
        <w:tc>
          <w:tcPr>
            <w:tcW w:w="1256" w:type="pct"/>
            <w:tcBorders>
              <w:top w:val="nil"/>
              <w:left w:val="nil"/>
              <w:bottom w:val="single" w:sz="4" w:space="0" w:color="auto"/>
              <w:right w:val="single" w:sz="4" w:space="0" w:color="auto"/>
            </w:tcBorders>
            <w:shd w:val="clear" w:color="auto" w:fill="auto"/>
            <w:noWrap/>
            <w:vAlign w:val="bottom"/>
            <w:hideMark/>
          </w:tcPr>
          <w:p w14:paraId="65F8525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1FDB709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BA61FB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notificación</w:t>
            </w:r>
          </w:p>
        </w:tc>
        <w:tc>
          <w:tcPr>
            <w:tcW w:w="837" w:type="pct"/>
            <w:tcBorders>
              <w:top w:val="nil"/>
              <w:left w:val="nil"/>
              <w:bottom w:val="single" w:sz="4" w:space="0" w:color="auto"/>
              <w:right w:val="single" w:sz="4" w:space="0" w:color="auto"/>
            </w:tcBorders>
            <w:shd w:val="clear" w:color="auto" w:fill="auto"/>
            <w:noWrap/>
            <w:vAlign w:val="bottom"/>
            <w:hideMark/>
          </w:tcPr>
          <w:p w14:paraId="5F1BCD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w:t>
            </w:r>
          </w:p>
        </w:tc>
        <w:tc>
          <w:tcPr>
            <w:tcW w:w="1256" w:type="pct"/>
            <w:tcBorders>
              <w:top w:val="nil"/>
              <w:left w:val="nil"/>
              <w:bottom w:val="single" w:sz="4" w:space="0" w:color="auto"/>
              <w:right w:val="single" w:sz="4" w:space="0" w:color="auto"/>
            </w:tcBorders>
            <w:shd w:val="clear" w:color="auto" w:fill="auto"/>
            <w:noWrap/>
            <w:vAlign w:val="bottom"/>
            <w:hideMark/>
          </w:tcPr>
          <w:p w14:paraId="48B3414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47685AC7"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07C4FF7"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Remoción Curador</w:t>
            </w:r>
          </w:p>
        </w:tc>
        <w:tc>
          <w:tcPr>
            <w:tcW w:w="837" w:type="pct"/>
            <w:tcBorders>
              <w:top w:val="nil"/>
              <w:left w:val="nil"/>
              <w:bottom w:val="single" w:sz="4" w:space="0" w:color="auto"/>
              <w:right w:val="single" w:sz="4" w:space="0" w:color="auto"/>
            </w:tcBorders>
            <w:shd w:val="clear" w:color="auto" w:fill="auto"/>
            <w:noWrap/>
            <w:vAlign w:val="bottom"/>
            <w:hideMark/>
          </w:tcPr>
          <w:p w14:paraId="7C14862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3A6B74B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25824868"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96F722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Visitas</w:t>
            </w:r>
          </w:p>
        </w:tc>
        <w:tc>
          <w:tcPr>
            <w:tcW w:w="837" w:type="pct"/>
            <w:tcBorders>
              <w:top w:val="nil"/>
              <w:left w:val="nil"/>
              <w:bottom w:val="single" w:sz="4" w:space="0" w:color="auto"/>
              <w:right w:val="single" w:sz="4" w:space="0" w:color="auto"/>
            </w:tcBorders>
            <w:shd w:val="clear" w:color="auto" w:fill="auto"/>
            <w:noWrap/>
            <w:vAlign w:val="bottom"/>
            <w:hideMark/>
          </w:tcPr>
          <w:p w14:paraId="137A8D7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256" w:type="pct"/>
            <w:tcBorders>
              <w:top w:val="nil"/>
              <w:left w:val="nil"/>
              <w:bottom w:val="single" w:sz="4" w:space="0" w:color="auto"/>
              <w:right w:val="single" w:sz="4" w:space="0" w:color="auto"/>
            </w:tcBorders>
            <w:shd w:val="clear" w:color="auto" w:fill="auto"/>
            <w:noWrap/>
            <w:vAlign w:val="bottom"/>
            <w:hideMark/>
          </w:tcPr>
          <w:p w14:paraId="5F93006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4A78BEAA"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22075F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Interrelación Familiar (régimen de visitas)</w:t>
            </w:r>
          </w:p>
        </w:tc>
        <w:tc>
          <w:tcPr>
            <w:tcW w:w="837" w:type="pct"/>
            <w:tcBorders>
              <w:top w:val="nil"/>
              <w:left w:val="nil"/>
              <w:bottom w:val="single" w:sz="4" w:space="0" w:color="auto"/>
              <w:right w:val="single" w:sz="4" w:space="0" w:color="auto"/>
            </w:tcBorders>
            <w:shd w:val="clear" w:color="auto" w:fill="auto"/>
            <w:noWrap/>
            <w:vAlign w:val="bottom"/>
            <w:hideMark/>
          </w:tcPr>
          <w:p w14:paraId="025ADA8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146</w:t>
            </w:r>
          </w:p>
        </w:tc>
        <w:tc>
          <w:tcPr>
            <w:tcW w:w="1256" w:type="pct"/>
            <w:tcBorders>
              <w:top w:val="nil"/>
              <w:left w:val="nil"/>
              <w:bottom w:val="single" w:sz="4" w:space="0" w:color="auto"/>
              <w:right w:val="single" w:sz="4" w:space="0" w:color="auto"/>
            </w:tcBorders>
            <w:shd w:val="clear" w:color="auto" w:fill="auto"/>
            <w:noWrap/>
            <w:vAlign w:val="bottom"/>
            <w:hideMark/>
          </w:tcPr>
          <w:p w14:paraId="727D42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79EC923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5376AD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Investigación de paternidad</w:t>
            </w:r>
          </w:p>
        </w:tc>
        <w:tc>
          <w:tcPr>
            <w:tcW w:w="837" w:type="pct"/>
            <w:tcBorders>
              <w:top w:val="nil"/>
              <w:left w:val="nil"/>
              <w:bottom w:val="single" w:sz="4" w:space="0" w:color="auto"/>
              <w:right w:val="single" w:sz="4" w:space="0" w:color="auto"/>
            </w:tcBorders>
            <w:shd w:val="clear" w:color="auto" w:fill="auto"/>
            <w:noWrap/>
            <w:vAlign w:val="bottom"/>
            <w:hideMark/>
          </w:tcPr>
          <w:p w14:paraId="0A0A368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29</w:t>
            </w:r>
          </w:p>
        </w:tc>
        <w:tc>
          <w:tcPr>
            <w:tcW w:w="1256" w:type="pct"/>
            <w:tcBorders>
              <w:top w:val="nil"/>
              <w:left w:val="nil"/>
              <w:bottom w:val="single" w:sz="4" w:space="0" w:color="auto"/>
              <w:right w:val="single" w:sz="4" w:space="0" w:color="auto"/>
            </w:tcBorders>
            <w:shd w:val="clear" w:color="auto" w:fill="auto"/>
            <w:noWrap/>
            <w:vAlign w:val="bottom"/>
            <w:hideMark/>
          </w:tcPr>
          <w:p w14:paraId="44D9FDD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57FC8429" w14:textId="77777777" w:rsidTr="00C0062B">
        <w:trPr>
          <w:trHeight w:val="351"/>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3B2827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Nulidad de matrimonio</w:t>
            </w:r>
          </w:p>
        </w:tc>
        <w:tc>
          <w:tcPr>
            <w:tcW w:w="837" w:type="pct"/>
            <w:tcBorders>
              <w:top w:val="nil"/>
              <w:left w:val="nil"/>
              <w:bottom w:val="single" w:sz="4" w:space="0" w:color="auto"/>
              <w:right w:val="single" w:sz="4" w:space="0" w:color="auto"/>
            </w:tcBorders>
            <w:shd w:val="clear" w:color="auto" w:fill="auto"/>
            <w:noWrap/>
            <w:vAlign w:val="bottom"/>
            <w:hideMark/>
          </w:tcPr>
          <w:p w14:paraId="7244603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28</w:t>
            </w:r>
          </w:p>
        </w:tc>
        <w:tc>
          <w:tcPr>
            <w:tcW w:w="1256" w:type="pct"/>
            <w:tcBorders>
              <w:top w:val="nil"/>
              <w:left w:val="nil"/>
              <w:bottom w:val="single" w:sz="4" w:space="0" w:color="auto"/>
              <w:right w:val="single" w:sz="4" w:space="0" w:color="auto"/>
            </w:tcBorders>
            <w:shd w:val="clear" w:color="auto" w:fill="auto"/>
            <w:noWrap/>
            <w:vAlign w:val="bottom"/>
            <w:hideMark/>
          </w:tcPr>
          <w:p w14:paraId="442B9B9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630EE097"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D66FB5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w:t>
            </w:r>
          </w:p>
        </w:tc>
        <w:tc>
          <w:tcPr>
            <w:tcW w:w="837" w:type="pct"/>
            <w:tcBorders>
              <w:top w:val="nil"/>
              <w:left w:val="nil"/>
              <w:bottom w:val="single" w:sz="4" w:space="0" w:color="auto"/>
              <w:right w:val="single" w:sz="4" w:space="0" w:color="auto"/>
            </w:tcBorders>
            <w:shd w:val="clear" w:color="auto" w:fill="auto"/>
            <w:noWrap/>
            <w:vAlign w:val="bottom"/>
            <w:hideMark/>
          </w:tcPr>
          <w:p w14:paraId="42C5791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85</w:t>
            </w:r>
          </w:p>
        </w:tc>
        <w:tc>
          <w:tcPr>
            <w:tcW w:w="1256" w:type="pct"/>
            <w:tcBorders>
              <w:top w:val="nil"/>
              <w:left w:val="nil"/>
              <w:bottom w:val="single" w:sz="4" w:space="0" w:color="auto"/>
              <w:right w:val="single" w:sz="4" w:space="0" w:color="auto"/>
            </w:tcBorders>
            <w:shd w:val="clear" w:color="auto" w:fill="auto"/>
            <w:noWrap/>
            <w:vAlign w:val="bottom"/>
            <w:hideMark/>
          </w:tcPr>
          <w:p w14:paraId="2CC37FE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1 semana</w:t>
            </w:r>
          </w:p>
        </w:tc>
      </w:tr>
      <w:tr w:rsidR="0001202E" w:rsidRPr="00C0062B" w14:paraId="6A54C8FB" w14:textId="77777777" w:rsidTr="00035934">
        <w:trPr>
          <w:trHeight w:val="620"/>
        </w:trPr>
        <w:tc>
          <w:tcPr>
            <w:tcW w:w="2907" w:type="pct"/>
            <w:tcBorders>
              <w:top w:val="nil"/>
              <w:left w:val="single" w:sz="4" w:space="0" w:color="auto"/>
              <w:bottom w:val="single" w:sz="4" w:space="0" w:color="auto"/>
              <w:right w:val="single" w:sz="4" w:space="0" w:color="auto"/>
            </w:tcBorders>
            <w:shd w:val="clear" w:color="auto" w:fill="auto"/>
            <w:vAlign w:val="bottom"/>
            <w:hideMark/>
          </w:tcPr>
          <w:p w14:paraId="4CCADD9E"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de liquidación anticipada de bienes gananciales</w:t>
            </w:r>
          </w:p>
        </w:tc>
        <w:tc>
          <w:tcPr>
            <w:tcW w:w="837" w:type="pct"/>
            <w:tcBorders>
              <w:top w:val="nil"/>
              <w:left w:val="nil"/>
              <w:bottom w:val="single" w:sz="4" w:space="0" w:color="auto"/>
              <w:right w:val="single" w:sz="4" w:space="0" w:color="auto"/>
            </w:tcBorders>
            <w:shd w:val="clear" w:color="auto" w:fill="auto"/>
            <w:noWrap/>
            <w:vAlign w:val="bottom"/>
            <w:hideMark/>
          </w:tcPr>
          <w:p w14:paraId="1DA4CB4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34</w:t>
            </w:r>
          </w:p>
        </w:tc>
        <w:tc>
          <w:tcPr>
            <w:tcW w:w="1256" w:type="pct"/>
            <w:tcBorders>
              <w:top w:val="nil"/>
              <w:left w:val="nil"/>
              <w:bottom w:val="single" w:sz="4" w:space="0" w:color="auto"/>
              <w:right w:val="single" w:sz="4" w:space="0" w:color="auto"/>
            </w:tcBorders>
            <w:shd w:val="clear" w:color="auto" w:fill="auto"/>
            <w:noWrap/>
            <w:vAlign w:val="bottom"/>
            <w:hideMark/>
          </w:tcPr>
          <w:p w14:paraId="5617CE5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3 semanas</w:t>
            </w:r>
          </w:p>
        </w:tc>
      </w:tr>
      <w:tr w:rsidR="0001202E" w:rsidRPr="00C0062B" w14:paraId="0A746403" w14:textId="77777777" w:rsidTr="00C0062B">
        <w:trPr>
          <w:trHeight w:val="312"/>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1AF476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Nulidad de venta</w:t>
            </w:r>
          </w:p>
        </w:tc>
        <w:tc>
          <w:tcPr>
            <w:tcW w:w="837" w:type="pct"/>
            <w:tcBorders>
              <w:top w:val="nil"/>
              <w:left w:val="nil"/>
              <w:bottom w:val="single" w:sz="4" w:space="0" w:color="auto"/>
              <w:right w:val="single" w:sz="4" w:space="0" w:color="auto"/>
            </w:tcBorders>
            <w:shd w:val="clear" w:color="auto" w:fill="auto"/>
            <w:noWrap/>
            <w:vAlign w:val="bottom"/>
            <w:hideMark/>
          </w:tcPr>
          <w:p w14:paraId="4C53552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 </w:t>
            </w:r>
          </w:p>
        </w:tc>
        <w:tc>
          <w:tcPr>
            <w:tcW w:w="1256" w:type="pct"/>
            <w:tcBorders>
              <w:top w:val="nil"/>
              <w:left w:val="nil"/>
              <w:bottom w:val="single" w:sz="4" w:space="0" w:color="auto"/>
              <w:right w:val="single" w:sz="4" w:space="0" w:color="auto"/>
            </w:tcBorders>
            <w:shd w:val="clear" w:color="auto" w:fill="auto"/>
            <w:noWrap/>
            <w:vAlign w:val="bottom"/>
            <w:hideMark/>
          </w:tcPr>
          <w:p w14:paraId="33F649A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 </w:t>
            </w:r>
          </w:p>
        </w:tc>
      </w:tr>
      <w:tr w:rsidR="0001202E" w:rsidRPr="00C0062B" w14:paraId="1AE1A874"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E2D807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Proceso especial protección</w:t>
            </w:r>
          </w:p>
        </w:tc>
        <w:tc>
          <w:tcPr>
            <w:tcW w:w="837" w:type="pct"/>
            <w:tcBorders>
              <w:top w:val="nil"/>
              <w:left w:val="nil"/>
              <w:bottom w:val="single" w:sz="4" w:space="0" w:color="auto"/>
              <w:right w:val="single" w:sz="4" w:space="0" w:color="auto"/>
            </w:tcBorders>
            <w:shd w:val="clear" w:color="auto" w:fill="auto"/>
            <w:noWrap/>
            <w:vAlign w:val="bottom"/>
            <w:hideMark/>
          </w:tcPr>
          <w:p w14:paraId="22A6F42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256" w:type="pct"/>
            <w:tcBorders>
              <w:top w:val="nil"/>
              <w:left w:val="nil"/>
              <w:bottom w:val="single" w:sz="4" w:space="0" w:color="auto"/>
              <w:right w:val="single" w:sz="4" w:space="0" w:color="auto"/>
            </w:tcBorders>
            <w:shd w:val="clear" w:color="auto" w:fill="auto"/>
            <w:noWrap/>
            <w:vAlign w:val="bottom"/>
            <w:hideMark/>
          </w:tcPr>
          <w:p w14:paraId="79F0831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B20A780" w14:textId="77777777" w:rsidTr="00C0062B">
        <w:trPr>
          <w:trHeight w:val="353"/>
        </w:trPr>
        <w:tc>
          <w:tcPr>
            <w:tcW w:w="2907" w:type="pct"/>
            <w:tcBorders>
              <w:top w:val="nil"/>
              <w:left w:val="single" w:sz="4" w:space="0" w:color="auto"/>
              <w:bottom w:val="single" w:sz="4" w:space="0" w:color="auto"/>
              <w:right w:val="single" w:sz="4" w:space="0" w:color="auto"/>
            </w:tcBorders>
            <w:shd w:val="clear" w:color="000000" w:fill="FFFFFF"/>
            <w:vAlign w:val="bottom"/>
            <w:hideMark/>
          </w:tcPr>
          <w:p w14:paraId="5E082C4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de hijo mujer casada oposición</w:t>
            </w:r>
          </w:p>
        </w:tc>
        <w:tc>
          <w:tcPr>
            <w:tcW w:w="837" w:type="pct"/>
            <w:tcBorders>
              <w:top w:val="nil"/>
              <w:left w:val="nil"/>
              <w:bottom w:val="single" w:sz="4" w:space="0" w:color="auto"/>
              <w:right w:val="single" w:sz="4" w:space="0" w:color="auto"/>
            </w:tcBorders>
            <w:shd w:val="clear" w:color="auto" w:fill="auto"/>
            <w:noWrap/>
            <w:vAlign w:val="bottom"/>
            <w:hideMark/>
          </w:tcPr>
          <w:p w14:paraId="7A986EB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256" w:type="pct"/>
            <w:tcBorders>
              <w:top w:val="nil"/>
              <w:left w:val="nil"/>
              <w:bottom w:val="single" w:sz="4" w:space="0" w:color="auto"/>
              <w:right w:val="single" w:sz="4" w:space="0" w:color="auto"/>
            </w:tcBorders>
            <w:shd w:val="clear" w:color="auto" w:fill="auto"/>
            <w:noWrap/>
            <w:vAlign w:val="bottom"/>
            <w:hideMark/>
          </w:tcPr>
          <w:p w14:paraId="44DC868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2D5F99D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EC6D2E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unión de hecho</w:t>
            </w:r>
          </w:p>
        </w:tc>
        <w:tc>
          <w:tcPr>
            <w:tcW w:w="837" w:type="pct"/>
            <w:tcBorders>
              <w:top w:val="nil"/>
              <w:left w:val="nil"/>
              <w:bottom w:val="single" w:sz="4" w:space="0" w:color="auto"/>
              <w:right w:val="single" w:sz="4" w:space="0" w:color="auto"/>
            </w:tcBorders>
            <w:shd w:val="clear" w:color="auto" w:fill="auto"/>
            <w:noWrap/>
            <w:vAlign w:val="bottom"/>
            <w:hideMark/>
          </w:tcPr>
          <w:p w14:paraId="7C950BD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117</w:t>
            </w:r>
          </w:p>
        </w:tc>
        <w:tc>
          <w:tcPr>
            <w:tcW w:w="1256" w:type="pct"/>
            <w:tcBorders>
              <w:top w:val="nil"/>
              <w:left w:val="nil"/>
              <w:bottom w:val="single" w:sz="4" w:space="0" w:color="auto"/>
              <w:right w:val="single" w:sz="4" w:space="0" w:color="auto"/>
            </w:tcBorders>
            <w:shd w:val="clear" w:color="auto" w:fill="auto"/>
            <w:noWrap/>
            <w:vAlign w:val="bottom"/>
            <w:hideMark/>
          </w:tcPr>
          <w:p w14:paraId="7CF3BB2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7D6A1C1B" w14:textId="77777777" w:rsidTr="00C0062B">
        <w:trPr>
          <w:trHeight w:val="378"/>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79CA7E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Responsabilidad civil</w:t>
            </w:r>
          </w:p>
        </w:tc>
        <w:tc>
          <w:tcPr>
            <w:tcW w:w="837" w:type="pct"/>
            <w:tcBorders>
              <w:top w:val="nil"/>
              <w:left w:val="nil"/>
              <w:bottom w:val="single" w:sz="4" w:space="0" w:color="auto"/>
              <w:right w:val="single" w:sz="4" w:space="0" w:color="auto"/>
            </w:tcBorders>
            <w:shd w:val="clear" w:color="auto" w:fill="auto"/>
            <w:noWrap/>
            <w:vAlign w:val="bottom"/>
            <w:hideMark/>
          </w:tcPr>
          <w:p w14:paraId="5FE19BC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6D2347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753D80C6" w14:textId="77777777" w:rsidTr="00D07A9E">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AC53C3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Restitución internacional de menores</w:t>
            </w:r>
          </w:p>
        </w:tc>
        <w:tc>
          <w:tcPr>
            <w:tcW w:w="837" w:type="pct"/>
            <w:tcBorders>
              <w:top w:val="nil"/>
              <w:left w:val="nil"/>
              <w:bottom w:val="single" w:sz="4" w:space="0" w:color="auto"/>
              <w:right w:val="single" w:sz="4" w:space="0" w:color="auto"/>
            </w:tcBorders>
            <w:shd w:val="clear" w:color="auto" w:fill="auto"/>
            <w:noWrap/>
            <w:vAlign w:val="bottom"/>
            <w:hideMark/>
          </w:tcPr>
          <w:p w14:paraId="2BA3959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23</w:t>
            </w:r>
          </w:p>
        </w:tc>
        <w:tc>
          <w:tcPr>
            <w:tcW w:w="1256" w:type="pct"/>
            <w:tcBorders>
              <w:top w:val="nil"/>
              <w:left w:val="nil"/>
              <w:bottom w:val="single" w:sz="4" w:space="0" w:color="auto"/>
              <w:right w:val="single" w:sz="4" w:space="0" w:color="auto"/>
            </w:tcBorders>
            <w:shd w:val="clear" w:color="auto" w:fill="auto"/>
            <w:noWrap/>
            <w:vAlign w:val="bottom"/>
            <w:hideMark/>
          </w:tcPr>
          <w:p w14:paraId="3DAEC80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215F34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38214E7"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Salvaguardia</w:t>
            </w:r>
          </w:p>
        </w:tc>
        <w:tc>
          <w:tcPr>
            <w:tcW w:w="837" w:type="pct"/>
            <w:tcBorders>
              <w:top w:val="nil"/>
              <w:left w:val="nil"/>
              <w:bottom w:val="single" w:sz="4" w:space="0" w:color="auto"/>
              <w:right w:val="single" w:sz="4" w:space="0" w:color="auto"/>
            </w:tcBorders>
            <w:shd w:val="clear" w:color="auto" w:fill="auto"/>
            <w:noWrap/>
            <w:vAlign w:val="bottom"/>
            <w:hideMark/>
          </w:tcPr>
          <w:p w14:paraId="4068CE3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34</w:t>
            </w:r>
          </w:p>
        </w:tc>
        <w:tc>
          <w:tcPr>
            <w:tcW w:w="1256" w:type="pct"/>
            <w:tcBorders>
              <w:top w:val="nil"/>
              <w:left w:val="nil"/>
              <w:bottom w:val="single" w:sz="4" w:space="0" w:color="auto"/>
              <w:right w:val="single" w:sz="4" w:space="0" w:color="auto"/>
            </w:tcBorders>
            <w:shd w:val="clear" w:color="auto" w:fill="auto"/>
            <w:noWrap/>
            <w:vAlign w:val="bottom"/>
            <w:hideMark/>
          </w:tcPr>
          <w:p w14:paraId="0FBAF35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7858840E"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F23884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Separación judicial por mutuo consentimiento</w:t>
            </w:r>
          </w:p>
        </w:tc>
        <w:tc>
          <w:tcPr>
            <w:tcW w:w="837" w:type="pct"/>
            <w:tcBorders>
              <w:top w:val="nil"/>
              <w:left w:val="nil"/>
              <w:bottom w:val="single" w:sz="4" w:space="0" w:color="auto"/>
              <w:right w:val="single" w:sz="4" w:space="0" w:color="auto"/>
            </w:tcBorders>
            <w:shd w:val="clear" w:color="auto" w:fill="auto"/>
            <w:noWrap/>
            <w:vAlign w:val="bottom"/>
            <w:hideMark/>
          </w:tcPr>
          <w:p w14:paraId="412F9AD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24</w:t>
            </w:r>
          </w:p>
        </w:tc>
        <w:tc>
          <w:tcPr>
            <w:tcW w:w="1256" w:type="pct"/>
            <w:tcBorders>
              <w:top w:val="nil"/>
              <w:left w:val="nil"/>
              <w:bottom w:val="single" w:sz="4" w:space="0" w:color="auto"/>
              <w:right w:val="single" w:sz="4" w:space="0" w:color="auto"/>
            </w:tcBorders>
            <w:shd w:val="clear" w:color="auto" w:fill="auto"/>
            <w:noWrap/>
            <w:vAlign w:val="bottom"/>
            <w:hideMark/>
          </w:tcPr>
          <w:p w14:paraId="5A548AA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3 semanas</w:t>
            </w:r>
          </w:p>
        </w:tc>
      </w:tr>
      <w:tr w:rsidR="0001202E" w:rsidRPr="00C0062B" w14:paraId="3D0887A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6CF074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Suspensión Patria Potestad</w:t>
            </w:r>
          </w:p>
        </w:tc>
        <w:tc>
          <w:tcPr>
            <w:tcW w:w="837" w:type="pct"/>
            <w:tcBorders>
              <w:top w:val="nil"/>
              <w:left w:val="nil"/>
              <w:bottom w:val="single" w:sz="4" w:space="0" w:color="auto"/>
              <w:right w:val="single" w:sz="4" w:space="0" w:color="auto"/>
            </w:tcBorders>
            <w:shd w:val="clear" w:color="auto" w:fill="auto"/>
            <w:noWrap/>
            <w:vAlign w:val="bottom"/>
            <w:hideMark/>
          </w:tcPr>
          <w:p w14:paraId="7F57ABF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28</w:t>
            </w:r>
          </w:p>
        </w:tc>
        <w:tc>
          <w:tcPr>
            <w:tcW w:w="1256" w:type="pct"/>
            <w:tcBorders>
              <w:top w:val="nil"/>
              <w:left w:val="nil"/>
              <w:bottom w:val="single" w:sz="4" w:space="0" w:color="auto"/>
              <w:right w:val="single" w:sz="4" w:space="0" w:color="auto"/>
            </w:tcBorders>
            <w:shd w:val="clear" w:color="auto" w:fill="auto"/>
            <w:noWrap/>
            <w:vAlign w:val="bottom"/>
            <w:hideMark/>
          </w:tcPr>
          <w:p w14:paraId="616D66A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523BEB0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B493A8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Tutela institucional</w:t>
            </w:r>
          </w:p>
        </w:tc>
        <w:tc>
          <w:tcPr>
            <w:tcW w:w="837" w:type="pct"/>
            <w:tcBorders>
              <w:top w:val="nil"/>
              <w:left w:val="nil"/>
              <w:bottom w:val="single" w:sz="4" w:space="0" w:color="auto"/>
              <w:right w:val="single" w:sz="4" w:space="0" w:color="auto"/>
            </w:tcBorders>
            <w:shd w:val="clear" w:color="auto" w:fill="auto"/>
            <w:noWrap/>
            <w:vAlign w:val="bottom"/>
            <w:hideMark/>
          </w:tcPr>
          <w:p w14:paraId="1358437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3C20D29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30323EF2"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FB5701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Utilidad y necesidad</w:t>
            </w:r>
          </w:p>
        </w:tc>
        <w:tc>
          <w:tcPr>
            <w:tcW w:w="837" w:type="pct"/>
            <w:tcBorders>
              <w:top w:val="nil"/>
              <w:left w:val="nil"/>
              <w:bottom w:val="single" w:sz="4" w:space="0" w:color="auto"/>
              <w:right w:val="single" w:sz="4" w:space="0" w:color="auto"/>
            </w:tcBorders>
            <w:shd w:val="clear" w:color="auto" w:fill="auto"/>
            <w:noWrap/>
            <w:vAlign w:val="bottom"/>
            <w:hideMark/>
          </w:tcPr>
          <w:p w14:paraId="4E9B2EA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13</w:t>
            </w:r>
          </w:p>
        </w:tc>
        <w:tc>
          <w:tcPr>
            <w:tcW w:w="1256" w:type="pct"/>
            <w:tcBorders>
              <w:top w:val="nil"/>
              <w:left w:val="nil"/>
              <w:bottom w:val="single" w:sz="4" w:space="0" w:color="auto"/>
              <w:right w:val="single" w:sz="4" w:space="0" w:color="auto"/>
            </w:tcBorders>
            <w:shd w:val="clear" w:color="auto" w:fill="auto"/>
            <w:noWrap/>
            <w:vAlign w:val="bottom"/>
            <w:hideMark/>
          </w:tcPr>
          <w:p w14:paraId="32598AE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3D4540DC" w14:textId="77777777" w:rsidTr="00035934">
        <w:trPr>
          <w:trHeight w:val="29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2A595E5" w14:textId="77777777" w:rsidR="0001202E" w:rsidRPr="00C0062B" w:rsidRDefault="0001202E" w:rsidP="00C0062B">
            <w:pPr>
              <w:spacing w:after="0" w:line="276" w:lineRule="auto"/>
              <w:jc w:val="both"/>
              <w:rPr>
                <w:rFonts w:ascii="Book Antiqua" w:eastAsia="Times New Roman" w:hAnsi="Book Antiqua" w:cs="Calibri"/>
                <w:b/>
                <w:bCs/>
                <w:color w:val="000000"/>
                <w:lang w:eastAsia="es-CR"/>
              </w:rPr>
            </w:pPr>
            <w:r w:rsidRPr="00C0062B">
              <w:rPr>
                <w:rFonts w:ascii="Book Antiqua" w:eastAsia="Times New Roman" w:hAnsi="Book Antiqua" w:cs="Calibri"/>
                <w:b/>
                <w:bCs/>
                <w:color w:val="000000"/>
                <w:lang w:eastAsia="es-CR"/>
              </w:rPr>
              <w:t>Total</w:t>
            </w:r>
          </w:p>
        </w:tc>
        <w:tc>
          <w:tcPr>
            <w:tcW w:w="837" w:type="pct"/>
            <w:tcBorders>
              <w:top w:val="nil"/>
              <w:left w:val="nil"/>
              <w:bottom w:val="single" w:sz="4" w:space="0" w:color="auto"/>
              <w:right w:val="single" w:sz="4" w:space="0" w:color="auto"/>
            </w:tcBorders>
            <w:shd w:val="clear" w:color="auto" w:fill="auto"/>
            <w:noWrap/>
            <w:vAlign w:val="bottom"/>
            <w:hideMark/>
          </w:tcPr>
          <w:p w14:paraId="75742CB5" w14:textId="77777777" w:rsidR="0001202E" w:rsidRPr="00C0062B" w:rsidRDefault="0001202E" w:rsidP="00C0062B">
            <w:pPr>
              <w:spacing w:after="0" w:line="276" w:lineRule="auto"/>
              <w:jc w:val="center"/>
              <w:rPr>
                <w:rFonts w:ascii="Book Antiqua" w:eastAsia="Times New Roman" w:hAnsi="Book Antiqua" w:cs="Calibri"/>
                <w:b/>
                <w:bCs/>
                <w:color w:val="000000"/>
                <w:lang w:eastAsia="es-CR"/>
              </w:rPr>
            </w:pPr>
            <w:r w:rsidRPr="00C0062B">
              <w:rPr>
                <w:rFonts w:ascii="Book Antiqua" w:eastAsia="Times New Roman" w:hAnsi="Book Antiqua" w:cs="Calibri"/>
                <w:b/>
                <w:bCs/>
                <w:color w:val="000000"/>
                <w:lang w:eastAsia="es-CR"/>
              </w:rPr>
              <w:t>1181</w:t>
            </w:r>
          </w:p>
        </w:tc>
        <w:tc>
          <w:tcPr>
            <w:tcW w:w="1256" w:type="pct"/>
            <w:tcBorders>
              <w:top w:val="nil"/>
              <w:left w:val="nil"/>
              <w:bottom w:val="single" w:sz="4" w:space="0" w:color="auto"/>
              <w:right w:val="single" w:sz="4" w:space="0" w:color="auto"/>
            </w:tcBorders>
            <w:shd w:val="clear" w:color="auto" w:fill="auto"/>
            <w:noWrap/>
            <w:vAlign w:val="bottom"/>
            <w:hideMark/>
          </w:tcPr>
          <w:p w14:paraId="04E416A4" w14:textId="793A5C18" w:rsidR="0001202E" w:rsidRPr="00C0062B" w:rsidRDefault="00C0062B" w:rsidP="00C0062B">
            <w:pPr>
              <w:spacing w:after="0" w:line="276"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 xml:space="preserve">Promedio </w:t>
            </w:r>
            <w:r w:rsidR="0001202E" w:rsidRPr="00C0062B">
              <w:rPr>
                <w:rFonts w:ascii="Book Antiqua" w:eastAsia="Times New Roman" w:hAnsi="Book Antiqua" w:cs="Calibri"/>
                <w:b/>
                <w:bCs/>
                <w:color w:val="000000"/>
                <w:lang w:eastAsia="es-CR"/>
              </w:rPr>
              <w:t>3 meses o semanas</w:t>
            </w:r>
          </w:p>
        </w:tc>
      </w:tr>
    </w:tbl>
    <w:p w14:paraId="7491F187" w14:textId="2B3DDE97" w:rsidR="00D07A9E" w:rsidRPr="00221B46" w:rsidRDefault="0001202E" w:rsidP="00221B46">
      <w:pPr>
        <w:spacing w:line="276" w:lineRule="auto"/>
        <w:jc w:val="both"/>
        <w:rPr>
          <w:rFonts w:ascii="Book Antiqua" w:hAnsi="Book Antiqua"/>
          <w:i/>
          <w:iCs/>
          <w:sz w:val="20"/>
          <w:szCs w:val="20"/>
        </w:rPr>
      </w:pPr>
      <w:bookmarkStart w:id="67" w:name="_Hlk129174488"/>
      <w:r w:rsidRPr="00B8406C">
        <w:rPr>
          <w:rFonts w:ascii="Book Antiqua" w:hAnsi="Book Antiqua"/>
          <w:b/>
          <w:bCs/>
          <w:i/>
          <w:iCs/>
          <w:sz w:val="20"/>
          <w:szCs w:val="20"/>
        </w:rPr>
        <w:t>Fuente:</w:t>
      </w:r>
      <w:r w:rsidRPr="00632CF0">
        <w:rPr>
          <w:rFonts w:ascii="Book Antiqua" w:hAnsi="Book Antiqua"/>
          <w:i/>
          <w:iCs/>
          <w:sz w:val="20"/>
          <w:szCs w:val="20"/>
        </w:rPr>
        <w:t xml:space="preserve"> </w:t>
      </w:r>
      <w:r w:rsidR="002C05E4">
        <w:rPr>
          <w:rFonts w:ascii="Book Antiqua" w:hAnsi="Book Antiqua"/>
          <w:i/>
          <w:iCs/>
          <w:sz w:val="20"/>
          <w:szCs w:val="20"/>
        </w:rPr>
        <w:t xml:space="preserve">Subproceso de </w:t>
      </w:r>
      <w:r w:rsidRPr="00632CF0">
        <w:rPr>
          <w:rFonts w:ascii="Book Antiqua" w:hAnsi="Book Antiqua"/>
          <w:i/>
          <w:iCs/>
          <w:sz w:val="20"/>
          <w:szCs w:val="20"/>
        </w:rPr>
        <w:t>Modernización Institucional con datos del Subproceso de Estadística.</w:t>
      </w:r>
      <w:bookmarkEnd w:id="67"/>
    </w:p>
    <w:p w14:paraId="475880B3" w14:textId="13AE6A94" w:rsidR="00D07A9E" w:rsidRPr="001212F0" w:rsidRDefault="00D07A9E" w:rsidP="00D07A9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CE6F72">
        <w:rPr>
          <w:rFonts w:ascii="Book Antiqua" w:eastAsia="Calibri" w:hAnsi="Book Antiqua" w:cs="Arial"/>
          <w:b/>
          <w:bCs/>
          <w:noProof/>
          <w:color w:val="1F497D"/>
          <w:szCs w:val="24"/>
          <w:lang w:val="es-ES" w:eastAsia="es-ES"/>
        </w:rPr>
        <w:t>53</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94E23A7" w14:textId="77777777" w:rsidR="00D07A9E" w:rsidRPr="001212F0" w:rsidRDefault="00D07A9E" w:rsidP="00D07A9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35BA823A" w14:textId="4F9CA0F3" w:rsidR="00D07A9E" w:rsidRPr="001212F0" w:rsidRDefault="00D07A9E" w:rsidP="00D07A9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w:t>
      </w:r>
      <w:r w:rsidR="00813A57">
        <w:rPr>
          <w:rFonts w:ascii="Book Antiqua" w:eastAsia="Calibri" w:hAnsi="Book Antiqua" w:cs="Arial"/>
          <w:b/>
          <w:bCs/>
          <w:color w:val="1F497D"/>
          <w:szCs w:val="24"/>
          <w:lang w:val="es-ES" w:eastAsia="es-ES"/>
        </w:rPr>
        <w:t>2</w:t>
      </w:r>
    </w:p>
    <w:tbl>
      <w:tblPr>
        <w:tblW w:w="8797" w:type="dxa"/>
        <w:tblCellMar>
          <w:left w:w="70" w:type="dxa"/>
          <w:right w:w="70" w:type="dxa"/>
        </w:tblCellMar>
        <w:tblLook w:val="04A0" w:firstRow="1" w:lastRow="0" w:firstColumn="1" w:lastColumn="0" w:noHBand="0" w:noVBand="1"/>
      </w:tblPr>
      <w:tblGrid>
        <w:gridCol w:w="5412"/>
        <w:gridCol w:w="1151"/>
        <w:gridCol w:w="2234"/>
      </w:tblGrid>
      <w:tr w:rsidR="00D07A9E" w:rsidRPr="00D07A9E" w14:paraId="61978D05" w14:textId="77777777" w:rsidTr="00D07A9E">
        <w:trPr>
          <w:trHeight w:val="520"/>
        </w:trPr>
        <w:tc>
          <w:tcPr>
            <w:tcW w:w="541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89AFC7F" w14:textId="77777777" w:rsidR="00D07A9E" w:rsidRPr="00D07A9E" w:rsidRDefault="00D07A9E" w:rsidP="00D07A9E">
            <w:pPr>
              <w:spacing w:after="0" w:line="240" w:lineRule="auto"/>
              <w:jc w:val="center"/>
              <w:rPr>
                <w:rFonts w:ascii="Book Antiqua" w:eastAsia="Times New Roman" w:hAnsi="Book Antiqua" w:cs="Calibri"/>
                <w:b/>
                <w:bCs/>
                <w:color w:val="FFFFFF"/>
                <w:sz w:val="20"/>
                <w:szCs w:val="20"/>
                <w:lang w:eastAsia="es-CR"/>
              </w:rPr>
            </w:pPr>
            <w:r w:rsidRPr="00D07A9E">
              <w:rPr>
                <w:rFonts w:ascii="Book Antiqua" w:eastAsia="Times New Roman" w:hAnsi="Book Antiqua" w:cs="Calibri"/>
                <w:b/>
                <w:bCs/>
                <w:color w:val="FFFFFF"/>
                <w:sz w:val="20"/>
                <w:szCs w:val="20"/>
                <w:lang w:eastAsia="es-CR"/>
              </w:rPr>
              <w:t>Clase y Procedimiento</w:t>
            </w:r>
          </w:p>
        </w:tc>
        <w:tc>
          <w:tcPr>
            <w:tcW w:w="1151" w:type="dxa"/>
            <w:tcBorders>
              <w:top w:val="single" w:sz="4" w:space="0" w:color="auto"/>
              <w:left w:val="nil"/>
              <w:bottom w:val="single" w:sz="4" w:space="0" w:color="auto"/>
              <w:right w:val="single" w:sz="4" w:space="0" w:color="auto"/>
            </w:tcBorders>
            <w:shd w:val="clear" w:color="000000" w:fill="002060"/>
            <w:noWrap/>
            <w:vAlign w:val="center"/>
            <w:hideMark/>
          </w:tcPr>
          <w:p w14:paraId="4CD588CD" w14:textId="77777777" w:rsidR="00D07A9E" w:rsidRPr="00D07A9E" w:rsidRDefault="00D07A9E" w:rsidP="00D07A9E">
            <w:pPr>
              <w:spacing w:after="0" w:line="240" w:lineRule="auto"/>
              <w:jc w:val="center"/>
              <w:rPr>
                <w:rFonts w:ascii="Book Antiqua" w:eastAsia="Times New Roman" w:hAnsi="Book Antiqua" w:cs="Calibri"/>
                <w:b/>
                <w:bCs/>
                <w:color w:val="FFFFFF"/>
                <w:sz w:val="20"/>
                <w:szCs w:val="20"/>
                <w:lang w:eastAsia="es-CR"/>
              </w:rPr>
            </w:pPr>
            <w:r w:rsidRPr="00D07A9E">
              <w:rPr>
                <w:rFonts w:ascii="Book Antiqua" w:eastAsia="Times New Roman" w:hAnsi="Book Antiqua" w:cs="Calibri"/>
                <w:b/>
                <w:bCs/>
                <w:color w:val="FFFFFF"/>
                <w:sz w:val="20"/>
                <w:szCs w:val="20"/>
                <w:lang w:eastAsia="es-CR"/>
              </w:rPr>
              <w:t>Cantidad</w:t>
            </w:r>
          </w:p>
        </w:tc>
        <w:tc>
          <w:tcPr>
            <w:tcW w:w="2234" w:type="dxa"/>
            <w:tcBorders>
              <w:top w:val="single" w:sz="4" w:space="0" w:color="auto"/>
              <w:left w:val="nil"/>
              <w:bottom w:val="single" w:sz="4" w:space="0" w:color="auto"/>
              <w:right w:val="single" w:sz="4" w:space="0" w:color="auto"/>
            </w:tcBorders>
            <w:shd w:val="clear" w:color="000000" w:fill="002060"/>
            <w:noWrap/>
            <w:vAlign w:val="center"/>
            <w:hideMark/>
          </w:tcPr>
          <w:p w14:paraId="36EDF332" w14:textId="77777777" w:rsidR="00D07A9E" w:rsidRPr="00D07A9E" w:rsidRDefault="00D07A9E" w:rsidP="00D07A9E">
            <w:pPr>
              <w:spacing w:after="0" w:line="240" w:lineRule="auto"/>
              <w:jc w:val="center"/>
              <w:rPr>
                <w:rFonts w:ascii="Book Antiqua" w:eastAsia="Times New Roman" w:hAnsi="Book Antiqua" w:cs="Calibri"/>
                <w:b/>
                <w:bCs/>
                <w:color w:val="FFFFFF"/>
                <w:sz w:val="20"/>
                <w:szCs w:val="20"/>
                <w:lang w:eastAsia="es-CR"/>
              </w:rPr>
            </w:pPr>
            <w:r w:rsidRPr="00D07A9E">
              <w:rPr>
                <w:rFonts w:ascii="Book Antiqua" w:eastAsia="Times New Roman" w:hAnsi="Book Antiqua" w:cs="Calibri"/>
                <w:b/>
                <w:bCs/>
                <w:color w:val="FFFFFF"/>
                <w:sz w:val="20"/>
                <w:szCs w:val="20"/>
                <w:lang w:eastAsia="es-CR"/>
              </w:rPr>
              <w:t>Duración Promedio</w:t>
            </w:r>
          </w:p>
        </w:tc>
      </w:tr>
      <w:tr w:rsidR="00D07A9E" w:rsidRPr="00D07A9E" w14:paraId="0FEC9CF5"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0E09DA14"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Afirmación De Paternidad</w:t>
            </w:r>
          </w:p>
        </w:tc>
        <w:tc>
          <w:tcPr>
            <w:tcW w:w="1151" w:type="dxa"/>
            <w:tcBorders>
              <w:top w:val="nil"/>
              <w:left w:val="nil"/>
              <w:bottom w:val="single" w:sz="4" w:space="0" w:color="auto"/>
              <w:right w:val="single" w:sz="4" w:space="0" w:color="auto"/>
            </w:tcBorders>
            <w:shd w:val="clear" w:color="auto" w:fill="auto"/>
            <w:noWrap/>
            <w:vAlign w:val="bottom"/>
            <w:hideMark/>
          </w:tcPr>
          <w:p w14:paraId="2AFFDBE7"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34A3EDF5"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6 meses 3 semanas</w:t>
            </w:r>
          </w:p>
        </w:tc>
      </w:tr>
      <w:tr w:rsidR="00D07A9E" w:rsidRPr="00D07A9E" w14:paraId="4BD04394"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034E2B63"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Tercerías</w:t>
            </w:r>
          </w:p>
        </w:tc>
        <w:tc>
          <w:tcPr>
            <w:tcW w:w="1151" w:type="dxa"/>
            <w:tcBorders>
              <w:top w:val="nil"/>
              <w:left w:val="nil"/>
              <w:bottom w:val="single" w:sz="4" w:space="0" w:color="auto"/>
              <w:right w:val="single" w:sz="4" w:space="0" w:color="auto"/>
            </w:tcBorders>
            <w:shd w:val="clear" w:color="auto" w:fill="auto"/>
            <w:noWrap/>
            <w:vAlign w:val="bottom"/>
            <w:hideMark/>
          </w:tcPr>
          <w:p w14:paraId="68E33A45"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703F69F1"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6 meses 0 semanas</w:t>
            </w:r>
          </w:p>
        </w:tc>
      </w:tr>
      <w:tr w:rsidR="00D07A9E" w:rsidRPr="00D07A9E" w14:paraId="705856CD"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0FBD5684"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Trámite De Apelación</w:t>
            </w:r>
          </w:p>
        </w:tc>
        <w:tc>
          <w:tcPr>
            <w:tcW w:w="1151" w:type="dxa"/>
            <w:tcBorders>
              <w:top w:val="nil"/>
              <w:left w:val="nil"/>
              <w:bottom w:val="single" w:sz="4" w:space="0" w:color="auto"/>
              <w:right w:val="single" w:sz="4" w:space="0" w:color="auto"/>
            </w:tcBorders>
            <w:shd w:val="clear" w:color="auto" w:fill="auto"/>
            <w:noWrap/>
            <w:vAlign w:val="bottom"/>
            <w:hideMark/>
          </w:tcPr>
          <w:p w14:paraId="6DACBFF2"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270</w:t>
            </w:r>
          </w:p>
        </w:tc>
        <w:tc>
          <w:tcPr>
            <w:tcW w:w="2234" w:type="dxa"/>
            <w:tcBorders>
              <w:top w:val="nil"/>
              <w:left w:val="nil"/>
              <w:bottom w:val="single" w:sz="4" w:space="0" w:color="auto"/>
              <w:right w:val="single" w:sz="4" w:space="0" w:color="auto"/>
            </w:tcBorders>
            <w:shd w:val="clear" w:color="auto" w:fill="auto"/>
            <w:noWrap/>
            <w:vAlign w:val="center"/>
            <w:hideMark/>
          </w:tcPr>
          <w:p w14:paraId="174C9762"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5 meses 3 semanas</w:t>
            </w:r>
          </w:p>
        </w:tc>
      </w:tr>
      <w:tr w:rsidR="00D07A9E" w:rsidRPr="00D07A9E" w14:paraId="112EA8CC"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0806EC43"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Inexistencia De Matrimonio</w:t>
            </w:r>
          </w:p>
        </w:tc>
        <w:tc>
          <w:tcPr>
            <w:tcW w:w="1151" w:type="dxa"/>
            <w:tcBorders>
              <w:top w:val="nil"/>
              <w:left w:val="nil"/>
              <w:bottom w:val="single" w:sz="4" w:space="0" w:color="auto"/>
              <w:right w:val="single" w:sz="4" w:space="0" w:color="auto"/>
            </w:tcBorders>
            <w:shd w:val="clear" w:color="auto" w:fill="auto"/>
            <w:noWrap/>
            <w:vAlign w:val="bottom"/>
            <w:hideMark/>
          </w:tcPr>
          <w:p w14:paraId="0CA28E80"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534174E7"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4 meses 2 semanas</w:t>
            </w:r>
          </w:p>
        </w:tc>
      </w:tr>
      <w:tr w:rsidR="00D07A9E" w:rsidRPr="00D07A9E" w14:paraId="729EE848"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460E5CA5"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 Cobro Honorarios Abogado</w:t>
            </w:r>
          </w:p>
        </w:tc>
        <w:tc>
          <w:tcPr>
            <w:tcW w:w="1151" w:type="dxa"/>
            <w:tcBorders>
              <w:top w:val="nil"/>
              <w:left w:val="nil"/>
              <w:bottom w:val="single" w:sz="4" w:space="0" w:color="auto"/>
              <w:right w:val="single" w:sz="4" w:space="0" w:color="auto"/>
            </w:tcBorders>
            <w:shd w:val="clear" w:color="auto" w:fill="auto"/>
            <w:noWrap/>
            <w:vAlign w:val="bottom"/>
            <w:hideMark/>
          </w:tcPr>
          <w:p w14:paraId="30050B2C"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14</w:t>
            </w:r>
          </w:p>
        </w:tc>
        <w:tc>
          <w:tcPr>
            <w:tcW w:w="2234" w:type="dxa"/>
            <w:tcBorders>
              <w:top w:val="nil"/>
              <w:left w:val="nil"/>
              <w:bottom w:val="single" w:sz="4" w:space="0" w:color="auto"/>
              <w:right w:val="single" w:sz="4" w:space="0" w:color="auto"/>
            </w:tcBorders>
            <w:shd w:val="clear" w:color="auto" w:fill="auto"/>
            <w:noWrap/>
            <w:vAlign w:val="center"/>
            <w:hideMark/>
          </w:tcPr>
          <w:p w14:paraId="4C8A59AC"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4 meses 2 semanas</w:t>
            </w:r>
          </w:p>
        </w:tc>
      </w:tr>
      <w:tr w:rsidR="00D07A9E" w:rsidRPr="00D07A9E" w14:paraId="435C9A41"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55421953"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 Nulidad Notificación</w:t>
            </w:r>
          </w:p>
        </w:tc>
        <w:tc>
          <w:tcPr>
            <w:tcW w:w="1151" w:type="dxa"/>
            <w:tcBorders>
              <w:top w:val="nil"/>
              <w:left w:val="nil"/>
              <w:bottom w:val="single" w:sz="4" w:space="0" w:color="auto"/>
              <w:right w:val="single" w:sz="4" w:space="0" w:color="auto"/>
            </w:tcBorders>
            <w:shd w:val="clear" w:color="auto" w:fill="auto"/>
            <w:noWrap/>
            <w:vAlign w:val="bottom"/>
            <w:hideMark/>
          </w:tcPr>
          <w:p w14:paraId="63D27911"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w:t>
            </w:r>
          </w:p>
        </w:tc>
        <w:tc>
          <w:tcPr>
            <w:tcW w:w="2234" w:type="dxa"/>
            <w:tcBorders>
              <w:top w:val="nil"/>
              <w:left w:val="nil"/>
              <w:bottom w:val="single" w:sz="4" w:space="0" w:color="auto"/>
              <w:right w:val="single" w:sz="4" w:space="0" w:color="auto"/>
            </w:tcBorders>
            <w:shd w:val="clear" w:color="auto" w:fill="auto"/>
            <w:noWrap/>
            <w:vAlign w:val="center"/>
            <w:hideMark/>
          </w:tcPr>
          <w:p w14:paraId="1C7B5AF1"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4 meses 1 semana</w:t>
            </w:r>
          </w:p>
        </w:tc>
      </w:tr>
      <w:tr w:rsidR="00D07A9E" w:rsidRPr="00D07A9E" w14:paraId="6AB7E4F3"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52968D1F"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 Nulidad Actuación Y Resolución</w:t>
            </w:r>
          </w:p>
        </w:tc>
        <w:tc>
          <w:tcPr>
            <w:tcW w:w="1151" w:type="dxa"/>
            <w:tcBorders>
              <w:top w:val="nil"/>
              <w:left w:val="nil"/>
              <w:bottom w:val="single" w:sz="4" w:space="0" w:color="auto"/>
              <w:right w:val="single" w:sz="4" w:space="0" w:color="auto"/>
            </w:tcBorders>
            <w:shd w:val="clear" w:color="auto" w:fill="auto"/>
            <w:noWrap/>
            <w:vAlign w:val="bottom"/>
            <w:hideMark/>
          </w:tcPr>
          <w:p w14:paraId="74B0D27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8</w:t>
            </w:r>
          </w:p>
        </w:tc>
        <w:tc>
          <w:tcPr>
            <w:tcW w:w="2234" w:type="dxa"/>
            <w:tcBorders>
              <w:top w:val="nil"/>
              <w:left w:val="nil"/>
              <w:bottom w:val="single" w:sz="4" w:space="0" w:color="auto"/>
              <w:right w:val="single" w:sz="4" w:space="0" w:color="auto"/>
            </w:tcBorders>
            <w:shd w:val="clear" w:color="auto" w:fill="auto"/>
            <w:noWrap/>
            <w:vAlign w:val="center"/>
            <w:hideMark/>
          </w:tcPr>
          <w:p w14:paraId="3E876198"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4 meses 0 semanas</w:t>
            </w:r>
          </w:p>
        </w:tc>
      </w:tr>
      <w:tr w:rsidR="00D07A9E" w:rsidRPr="00D07A9E" w14:paraId="4DF607E4" w14:textId="77777777" w:rsidTr="00D07A9E">
        <w:trPr>
          <w:trHeight w:val="620"/>
        </w:trPr>
        <w:tc>
          <w:tcPr>
            <w:tcW w:w="5412" w:type="dxa"/>
            <w:tcBorders>
              <w:top w:val="nil"/>
              <w:left w:val="single" w:sz="4" w:space="0" w:color="auto"/>
              <w:bottom w:val="single" w:sz="4" w:space="0" w:color="auto"/>
              <w:right w:val="single" w:sz="4" w:space="0" w:color="auto"/>
            </w:tcBorders>
            <w:shd w:val="clear" w:color="auto" w:fill="auto"/>
            <w:vAlign w:val="bottom"/>
            <w:hideMark/>
          </w:tcPr>
          <w:p w14:paraId="2BD72B3A"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Liquidación Anticipada De Bienes Gananciales</w:t>
            </w:r>
          </w:p>
        </w:tc>
        <w:tc>
          <w:tcPr>
            <w:tcW w:w="1151" w:type="dxa"/>
            <w:tcBorders>
              <w:top w:val="nil"/>
              <w:left w:val="nil"/>
              <w:bottom w:val="single" w:sz="4" w:space="0" w:color="auto"/>
              <w:right w:val="single" w:sz="4" w:space="0" w:color="auto"/>
            </w:tcBorders>
            <w:shd w:val="clear" w:color="auto" w:fill="auto"/>
            <w:noWrap/>
            <w:vAlign w:val="bottom"/>
            <w:hideMark/>
          </w:tcPr>
          <w:p w14:paraId="78A20797"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21</w:t>
            </w:r>
          </w:p>
        </w:tc>
        <w:tc>
          <w:tcPr>
            <w:tcW w:w="2234" w:type="dxa"/>
            <w:tcBorders>
              <w:top w:val="nil"/>
              <w:left w:val="nil"/>
              <w:bottom w:val="single" w:sz="4" w:space="0" w:color="auto"/>
              <w:right w:val="single" w:sz="4" w:space="0" w:color="auto"/>
            </w:tcBorders>
            <w:shd w:val="clear" w:color="auto" w:fill="auto"/>
            <w:noWrap/>
            <w:vAlign w:val="center"/>
            <w:hideMark/>
          </w:tcPr>
          <w:p w14:paraId="7B0A1C8B"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4 meses 0 semanas</w:t>
            </w:r>
          </w:p>
        </w:tc>
      </w:tr>
      <w:tr w:rsidR="00D07A9E" w:rsidRPr="00D07A9E" w14:paraId="77F5B933"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7299985B"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Terminación De Responsabilidad Parental</w:t>
            </w:r>
          </w:p>
        </w:tc>
        <w:tc>
          <w:tcPr>
            <w:tcW w:w="1151" w:type="dxa"/>
            <w:tcBorders>
              <w:top w:val="nil"/>
              <w:left w:val="nil"/>
              <w:bottom w:val="single" w:sz="4" w:space="0" w:color="auto"/>
              <w:right w:val="single" w:sz="4" w:space="0" w:color="auto"/>
            </w:tcBorders>
            <w:shd w:val="clear" w:color="auto" w:fill="auto"/>
            <w:noWrap/>
            <w:vAlign w:val="bottom"/>
            <w:hideMark/>
          </w:tcPr>
          <w:p w14:paraId="0976D5CB"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2EF4949B"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4 meses 0 semanas</w:t>
            </w:r>
          </w:p>
        </w:tc>
      </w:tr>
      <w:tr w:rsidR="00D07A9E" w:rsidRPr="00D07A9E" w14:paraId="5E8C0637"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28CED0E4"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Desafectación Al Régimen De Habitación Familiar</w:t>
            </w:r>
          </w:p>
        </w:tc>
        <w:tc>
          <w:tcPr>
            <w:tcW w:w="1151" w:type="dxa"/>
            <w:tcBorders>
              <w:top w:val="nil"/>
              <w:left w:val="nil"/>
              <w:bottom w:val="single" w:sz="4" w:space="0" w:color="auto"/>
              <w:right w:val="single" w:sz="4" w:space="0" w:color="auto"/>
            </w:tcBorders>
            <w:shd w:val="clear" w:color="auto" w:fill="auto"/>
            <w:noWrap/>
            <w:vAlign w:val="bottom"/>
            <w:hideMark/>
          </w:tcPr>
          <w:p w14:paraId="21307BF1"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5</w:t>
            </w:r>
          </w:p>
        </w:tc>
        <w:tc>
          <w:tcPr>
            <w:tcW w:w="2234" w:type="dxa"/>
            <w:tcBorders>
              <w:top w:val="nil"/>
              <w:left w:val="nil"/>
              <w:bottom w:val="single" w:sz="4" w:space="0" w:color="auto"/>
              <w:right w:val="single" w:sz="4" w:space="0" w:color="auto"/>
            </w:tcBorders>
            <w:shd w:val="clear" w:color="auto" w:fill="auto"/>
            <w:noWrap/>
            <w:vAlign w:val="center"/>
            <w:hideMark/>
          </w:tcPr>
          <w:p w14:paraId="5C0FA078"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3 semanas</w:t>
            </w:r>
          </w:p>
        </w:tc>
      </w:tr>
      <w:tr w:rsidR="00D07A9E" w:rsidRPr="00D07A9E" w14:paraId="3A73C9F9"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3CD75807"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Reconocimiento Unión De Hecho</w:t>
            </w:r>
          </w:p>
        </w:tc>
        <w:tc>
          <w:tcPr>
            <w:tcW w:w="1151" w:type="dxa"/>
            <w:tcBorders>
              <w:top w:val="nil"/>
              <w:left w:val="nil"/>
              <w:bottom w:val="single" w:sz="4" w:space="0" w:color="auto"/>
              <w:right w:val="single" w:sz="4" w:space="0" w:color="auto"/>
            </w:tcBorders>
            <w:shd w:val="clear" w:color="auto" w:fill="auto"/>
            <w:noWrap/>
            <w:vAlign w:val="bottom"/>
            <w:hideMark/>
          </w:tcPr>
          <w:p w14:paraId="2C58DB8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88</w:t>
            </w:r>
          </w:p>
        </w:tc>
        <w:tc>
          <w:tcPr>
            <w:tcW w:w="2234" w:type="dxa"/>
            <w:tcBorders>
              <w:top w:val="nil"/>
              <w:left w:val="nil"/>
              <w:bottom w:val="single" w:sz="4" w:space="0" w:color="auto"/>
              <w:right w:val="single" w:sz="4" w:space="0" w:color="auto"/>
            </w:tcBorders>
            <w:shd w:val="clear" w:color="auto" w:fill="auto"/>
            <w:noWrap/>
            <w:vAlign w:val="center"/>
            <w:hideMark/>
          </w:tcPr>
          <w:p w14:paraId="67EAEC30"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2 semanas</w:t>
            </w:r>
          </w:p>
        </w:tc>
      </w:tr>
      <w:tr w:rsidR="00D07A9E" w:rsidRPr="00D07A9E" w14:paraId="1105D9F3"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07183BD0"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 Modificación De Fallo</w:t>
            </w:r>
          </w:p>
        </w:tc>
        <w:tc>
          <w:tcPr>
            <w:tcW w:w="1151" w:type="dxa"/>
            <w:tcBorders>
              <w:top w:val="nil"/>
              <w:left w:val="nil"/>
              <w:bottom w:val="single" w:sz="4" w:space="0" w:color="auto"/>
              <w:right w:val="single" w:sz="4" w:space="0" w:color="auto"/>
            </w:tcBorders>
            <w:shd w:val="clear" w:color="auto" w:fill="auto"/>
            <w:noWrap/>
            <w:vAlign w:val="bottom"/>
            <w:hideMark/>
          </w:tcPr>
          <w:p w14:paraId="47BB52AF"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18</w:t>
            </w:r>
          </w:p>
        </w:tc>
        <w:tc>
          <w:tcPr>
            <w:tcW w:w="2234" w:type="dxa"/>
            <w:tcBorders>
              <w:top w:val="nil"/>
              <w:left w:val="nil"/>
              <w:bottom w:val="single" w:sz="4" w:space="0" w:color="auto"/>
              <w:right w:val="single" w:sz="4" w:space="0" w:color="auto"/>
            </w:tcBorders>
            <w:shd w:val="clear" w:color="auto" w:fill="auto"/>
            <w:noWrap/>
            <w:vAlign w:val="center"/>
            <w:hideMark/>
          </w:tcPr>
          <w:p w14:paraId="785FDF4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2 semanas</w:t>
            </w:r>
          </w:p>
        </w:tc>
      </w:tr>
      <w:tr w:rsidR="00D07A9E" w:rsidRPr="00D07A9E" w14:paraId="320AA101"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2886FE72"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Ejecución De Sentencia No Clasificada</w:t>
            </w:r>
          </w:p>
        </w:tc>
        <w:tc>
          <w:tcPr>
            <w:tcW w:w="1151" w:type="dxa"/>
            <w:tcBorders>
              <w:top w:val="nil"/>
              <w:left w:val="nil"/>
              <w:bottom w:val="single" w:sz="4" w:space="0" w:color="auto"/>
              <w:right w:val="single" w:sz="4" w:space="0" w:color="auto"/>
            </w:tcBorders>
            <w:shd w:val="clear" w:color="auto" w:fill="auto"/>
            <w:noWrap/>
            <w:vAlign w:val="bottom"/>
            <w:hideMark/>
          </w:tcPr>
          <w:p w14:paraId="5DDC139C"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39</w:t>
            </w:r>
          </w:p>
        </w:tc>
        <w:tc>
          <w:tcPr>
            <w:tcW w:w="2234" w:type="dxa"/>
            <w:tcBorders>
              <w:top w:val="nil"/>
              <w:left w:val="nil"/>
              <w:bottom w:val="single" w:sz="4" w:space="0" w:color="auto"/>
              <w:right w:val="single" w:sz="4" w:space="0" w:color="auto"/>
            </w:tcBorders>
            <w:shd w:val="clear" w:color="auto" w:fill="auto"/>
            <w:noWrap/>
            <w:vAlign w:val="center"/>
            <w:hideMark/>
          </w:tcPr>
          <w:p w14:paraId="5EE92A5A"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2 semanas</w:t>
            </w:r>
          </w:p>
        </w:tc>
      </w:tr>
      <w:tr w:rsidR="00D07A9E" w:rsidRPr="00D07A9E" w14:paraId="58F9063E"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5CCF62D3"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 Hechos Nuevos</w:t>
            </w:r>
          </w:p>
        </w:tc>
        <w:tc>
          <w:tcPr>
            <w:tcW w:w="1151" w:type="dxa"/>
            <w:tcBorders>
              <w:top w:val="nil"/>
              <w:left w:val="nil"/>
              <w:bottom w:val="single" w:sz="4" w:space="0" w:color="auto"/>
              <w:right w:val="single" w:sz="4" w:space="0" w:color="auto"/>
            </w:tcBorders>
            <w:shd w:val="clear" w:color="auto" w:fill="auto"/>
            <w:noWrap/>
            <w:vAlign w:val="bottom"/>
            <w:hideMark/>
          </w:tcPr>
          <w:p w14:paraId="1B0F3316"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6</w:t>
            </w:r>
          </w:p>
        </w:tc>
        <w:tc>
          <w:tcPr>
            <w:tcW w:w="2234" w:type="dxa"/>
            <w:tcBorders>
              <w:top w:val="nil"/>
              <w:left w:val="nil"/>
              <w:bottom w:val="single" w:sz="4" w:space="0" w:color="auto"/>
              <w:right w:val="single" w:sz="4" w:space="0" w:color="auto"/>
            </w:tcBorders>
            <w:shd w:val="clear" w:color="auto" w:fill="auto"/>
            <w:noWrap/>
            <w:vAlign w:val="center"/>
            <w:hideMark/>
          </w:tcPr>
          <w:p w14:paraId="3127A531"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2 semanas</w:t>
            </w:r>
          </w:p>
        </w:tc>
      </w:tr>
      <w:tr w:rsidR="00D07A9E" w:rsidRPr="00D07A9E" w14:paraId="370AB9BD"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64715043"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Divorcio</w:t>
            </w:r>
          </w:p>
        </w:tc>
        <w:tc>
          <w:tcPr>
            <w:tcW w:w="1151" w:type="dxa"/>
            <w:tcBorders>
              <w:top w:val="nil"/>
              <w:left w:val="nil"/>
              <w:bottom w:val="single" w:sz="4" w:space="0" w:color="auto"/>
              <w:right w:val="single" w:sz="4" w:space="0" w:color="auto"/>
            </w:tcBorders>
            <w:shd w:val="clear" w:color="auto" w:fill="auto"/>
            <w:noWrap/>
            <w:vAlign w:val="bottom"/>
            <w:hideMark/>
          </w:tcPr>
          <w:p w14:paraId="6A210F1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140</w:t>
            </w:r>
          </w:p>
        </w:tc>
        <w:tc>
          <w:tcPr>
            <w:tcW w:w="2234" w:type="dxa"/>
            <w:tcBorders>
              <w:top w:val="nil"/>
              <w:left w:val="nil"/>
              <w:bottom w:val="single" w:sz="4" w:space="0" w:color="auto"/>
              <w:right w:val="single" w:sz="4" w:space="0" w:color="auto"/>
            </w:tcBorders>
            <w:shd w:val="clear" w:color="auto" w:fill="auto"/>
            <w:noWrap/>
            <w:vAlign w:val="center"/>
            <w:hideMark/>
          </w:tcPr>
          <w:p w14:paraId="114C4BF5"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2 semanas</w:t>
            </w:r>
          </w:p>
        </w:tc>
      </w:tr>
      <w:tr w:rsidR="00D07A9E" w:rsidRPr="00D07A9E" w14:paraId="6D6FB82F"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3184694B"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Nulidad De Matrimonio</w:t>
            </w:r>
          </w:p>
        </w:tc>
        <w:tc>
          <w:tcPr>
            <w:tcW w:w="1151" w:type="dxa"/>
            <w:tcBorders>
              <w:top w:val="nil"/>
              <w:left w:val="nil"/>
              <w:bottom w:val="single" w:sz="4" w:space="0" w:color="auto"/>
              <w:right w:val="single" w:sz="4" w:space="0" w:color="auto"/>
            </w:tcBorders>
            <w:shd w:val="clear" w:color="auto" w:fill="auto"/>
            <w:noWrap/>
            <w:vAlign w:val="bottom"/>
            <w:hideMark/>
          </w:tcPr>
          <w:p w14:paraId="3FC82FB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15</w:t>
            </w:r>
          </w:p>
        </w:tc>
        <w:tc>
          <w:tcPr>
            <w:tcW w:w="2234" w:type="dxa"/>
            <w:tcBorders>
              <w:top w:val="nil"/>
              <w:left w:val="nil"/>
              <w:bottom w:val="single" w:sz="4" w:space="0" w:color="auto"/>
              <w:right w:val="single" w:sz="4" w:space="0" w:color="auto"/>
            </w:tcBorders>
            <w:shd w:val="clear" w:color="auto" w:fill="auto"/>
            <w:noWrap/>
            <w:vAlign w:val="center"/>
            <w:hideMark/>
          </w:tcPr>
          <w:p w14:paraId="7DDB9F00"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2 semanas</w:t>
            </w:r>
          </w:p>
        </w:tc>
      </w:tr>
      <w:tr w:rsidR="00D07A9E" w:rsidRPr="00D07A9E" w14:paraId="708A36AB"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71F9E692" w14:textId="3309A450"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Interrelación Familiar (Régimen De Visitas)</w:t>
            </w:r>
          </w:p>
        </w:tc>
        <w:tc>
          <w:tcPr>
            <w:tcW w:w="1151" w:type="dxa"/>
            <w:tcBorders>
              <w:top w:val="nil"/>
              <w:left w:val="nil"/>
              <w:bottom w:val="single" w:sz="4" w:space="0" w:color="auto"/>
              <w:right w:val="single" w:sz="4" w:space="0" w:color="auto"/>
            </w:tcBorders>
            <w:shd w:val="clear" w:color="auto" w:fill="auto"/>
            <w:noWrap/>
            <w:vAlign w:val="bottom"/>
            <w:hideMark/>
          </w:tcPr>
          <w:p w14:paraId="1B0F66DA"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98</w:t>
            </w:r>
          </w:p>
        </w:tc>
        <w:tc>
          <w:tcPr>
            <w:tcW w:w="2234" w:type="dxa"/>
            <w:tcBorders>
              <w:top w:val="nil"/>
              <w:left w:val="nil"/>
              <w:bottom w:val="single" w:sz="4" w:space="0" w:color="auto"/>
              <w:right w:val="single" w:sz="4" w:space="0" w:color="auto"/>
            </w:tcBorders>
            <w:shd w:val="clear" w:color="auto" w:fill="auto"/>
            <w:noWrap/>
            <w:vAlign w:val="center"/>
            <w:hideMark/>
          </w:tcPr>
          <w:p w14:paraId="38E97DC1" w14:textId="2B4F2341"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1 semana</w:t>
            </w:r>
          </w:p>
        </w:tc>
      </w:tr>
      <w:tr w:rsidR="00D07A9E" w:rsidRPr="00D07A9E" w14:paraId="6B85EC43" w14:textId="77777777" w:rsidTr="00D07A9E">
        <w:trPr>
          <w:trHeight w:val="530"/>
        </w:trPr>
        <w:tc>
          <w:tcPr>
            <w:tcW w:w="5412" w:type="dxa"/>
            <w:tcBorders>
              <w:top w:val="nil"/>
              <w:left w:val="single" w:sz="4" w:space="0" w:color="auto"/>
              <w:bottom w:val="single" w:sz="4" w:space="0" w:color="auto"/>
              <w:right w:val="single" w:sz="4" w:space="0" w:color="auto"/>
            </w:tcBorders>
            <w:shd w:val="clear" w:color="auto" w:fill="auto"/>
            <w:vAlign w:val="bottom"/>
            <w:hideMark/>
          </w:tcPr>
          <w:p w14:paraId="01602AFF"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Divorcio O Separación Judicial Con Pretensiones Ordinarias Accesorias</w:t>
            </w:r>
          </w:p>
        </w:tc>
        <w:tc>
          <w:tcPr>
            <w:tcW w:w="1151" w:type="dxa"/>
            <w:tcBorders>
              <w:top w:val="nil"/>
              <w:left w:val="nil"/>
              <w:bottom w:val="single" w:sz="4" w:space="0" w:color="auto"/>
              <w:right w:val="single" w:sz="4" w:space="0" w:color="auto"/>
            </w:tcBorders>
            <w:shd w:val="clear" w:color="auto" w:fill="auto"/>
            <w:noWrap/>
            <w:vAlign w:val="bottom"/>
            <w:hideMark/>
          </w:tcPr>
          <w:p w14:paraId="615E294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24</w:t>
            </w:r>
          </w:p>
        </w:tc>
        <w:tc>
          <w:tcPr>
            <w:tcW w:w="2234" w:type="dxa"/>
            <w:tcBorders>
              <w:top w:val="nil"/>
              <w:left w:val="nil"/>
              <w:bottom w:val="single" w:sz="4" w:space="0" w:color="auto"/>
              <w:right w:val="single" w:sz="4" w:space="0" w:color="auto"/>
            </w:tcBorders>
            <w:shd w:val="clear" w:color="auto" w:fill="auto"/>
            <w:noWrap/>
            <w:vAlign w:val="center"/>
            <w:hideMark/>
          </w:tcPr>
          <w:p w14:paraId="7461EB1F" w14:textId="53557C40"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1 semana</w:t>
            </w:r>
          </w:p>
        </w:tc>
      </w:tr>
      <w:tr w:rsidR="00D07A9E" w:rsidRPr="00D07A9E" w14:paraId="5840828E"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0BC5A4AE"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 Fijación Alimentaria</w:t>
            </w:r>
          </w:p>
        </w:tc>
        <w:tc>
          <w:tcPr>
            <w:tcW w:w="1151" w:type="dxa"/>
            <w:tcBorders>
              <w:top w:val="nil"/>
              <w:left w:val="nil"/>
              <w:bottom w:val="single" w:sz="4" w:space="0" w:color="auto"/>
              <w:right w:val="single" w:sz="4" w:space="0" w:color="auto"/>
            </w:tcBorders>
            <w:shd w:val="clear" w:color="auto" w:fill="auto"/>
            <w:noWrap/>
            <w:vAlign w:val="bottom"/>
            <w:hideMark/>
          </w:tcPr>
          <w:p w14:paraId="384B4EB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32</w:t>
            </w:r>
          </w:p>
        </w:tc>
        <w:tc>
          <w:tcPr>
            <w:tcW w:w="2234" w:type="dxa"/>
            <w:tcBorders>
              <w:top w:val="nil"/>
              <w:left w:val="nil"/>
              <w:bottom w:val="single" w:sz="4" w:space="0" w:color="auto"/>
              <w:right w:val="single" w:sz="4" w:space="0" w:color="auto"/>
            </w:tcBorders>
            <w:shd w:val="clear" w:color="auto" w:fill="auto"/>
            <w:noWrap/>
            <w:vAlign w:val="center"/>
            <w:hideMark/>
          </w:tcPr>
          <w:p w14:paraId="3C16F84D" w14:textId="54FB34C9"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1 semana</w:t>
            </w:r>
          </w:p>
        </w:tc>
      </w:tr>
      <w:tr w:rsidR="00D07A9E" w:rsidRPr="00D07A9E" w14:paraId="5555CADE"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3DDD6098"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 Modif. Guarda Crianza Y Educación</w:t>
            </w:r>
          </w:p>
        </w:tc>
        <w:tc>
          <w:tcPr>
            <w:tcW w:w="1151" w:type="dxa"/>
            <w:tcBorders>
              <w:top w:val="nil"/>
              <w:left w:val="nil"/>
              <w:bottom w:val="single" w:sz="4" w:space="0" w:color="auto"/>
              <w:right w:val="single" w:sz="4" w:space="0" w:color="auto"/>
            </w:tcBorders>
            <w:shd w:val="clear" w:color="auto" w:fill="auto"/>
            <w:noWrap/>
            <w:vAlign w:val="bottom"/>
            <w:hideMark/>
          </w:tcPr>
          <w:p w14:paraId="70CF8D58"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15</w:t>
            </w:r>
          </w:p>
        </w:tc>
        <w:tc>
          <w:tcPr>
            <w:tcW w:w="2234" w:type="dxa"/>
            <w:tcBorders>
              <w:top w:val="nil"/>
              <w:left w:val="nil"/>
              <w:bottom w:val="single" w:sz="4" w:space="0" w:color="auto"/>
              <w:right w:val="single" w:sz="4" w:space="0" w:color="auto"/>
            </w:tcBorders>
            <w:shd w:val="clear" w:color="auto" w:fill="auto"/>
            <w:noWrap/>
            <w:vAlign w:val="center"/>
            <w:hideMark/>
          </w:tcPr>
          <w:p w14:paraId="656E58E9" w14:textId="57B7D8E2"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1 semana</w:t>
            </w:r>
          </w:p>
        </w:tc>
      </w:tr>
      <w:tr w:rsidR="00D07A9E" w:rsidRPr="00D07A9E" w14:paraId="304A9AC8"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575499E3"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Divorcio Por Mutuo Consentimiento</w:t>
            </w:r>
          </w:p>
        </w:tc>
        <w:tc>
          <w:tcPr>
            <w:tcW w:w="1151" w:type="dxa"/>
            <w:tcBorders>
              <w:top w:val="nil"/>
              <w:left w:val="nil"/>
              <w:bottom w:val="single" w:sz="4" w:space="0" w:color="auto"/>
              <w:right w:val="single" w:sz="4" w:space="0" w:color="auto"/>
            </w:tcBorders>
            <w:shd w:val="clear" w:color="auto" w:fill="auto"/>
            <w:noWrap/>
            <w:vAlign w:val="bottom"/>
            <w:hideMark/>
          </w:tcPr>
          <w:p w14:paraId="63A0813D"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18</w:t>
            </w:r>
          </w:p>
        </w:tc>
        <w:tc>
          <w:tcPr>
            <w:tcW w:w="2234" w:type="dxa"/>
            <w:tcBorders>
              <w:top w:val="nil"/>
              <w:left w:val="nil"/>
              <w:bottom w:val="single" w:sz="4" w:space="0" w:color="auto"/>
              <w:right w:val="single" w:sz="4" w:space="0" w:color="auto"/>
            </w:tcBorders>
            <w:shd w:val="clear" w:color="auto" w:fill="auto"/>
            <w:noWrap/>
            <w:vAlign w:val="center"/>
            <w:hideMark/>
          </w:tcPr>
          <w:p w14:paraId="1F8AF0F5" w14:textId="2CF2F8EA"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1 semana</w:t>
            </w:r>
          </w:p>
        </w:tc>
      </w:tr>
      <w:tr w:rsidR="00D07A9E" w:rsidRPr="00D07A9E" w14:paraId="40C74798"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3920B1D7"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Utilidad Y Necesidad</w:t>
            </w:r>
          </w:p>
        </w:tc>
        <w:tc>
          <w:tcPr>
            <w:tcW w:w="1151" w:type="dxa"/>
            <w:tcBorders>
              <w:top w:val="nil"/>
              <w:left w:val="nil"/>
              <w:bottom w:val="single" w:sz="4" w:space="0" w:color="auto"/>
              <w:right w:val="single" w:sz="4" w:space="0" w:color="auto"/>
            </w:tcBorders>
            <w:shd w:val="clear" w:color="auto" w:fill="auto"/>
            <w:noWrap/>
            <w:vAlign w:val="bottom"/>
            <w:hideMark/>
          </w:tcPr>
          <w:p w14:paraId="36534E0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11</w:t>
            </w:r>
          </w:p>
        </w:tc>
        <w:tc>
          <w:tcPr>
            <w:tcW w:w="2234" w:type="dxa"/>
            <w:tcBorders>
              <w:top w:val="nil"/>
              <w:left w:val="nil"/>
              <w:bottom w:val="single" w:sz="4" w:space="0" w:color="auto"/>
              <w:right w:val="single" w:sz="4" w:space="0" w:color="auto"/>
            </w:tcBorders>
            <w:shd w:val="clear" w:color="auto" w:fill="auto"/>
            <w:noWrap/>
            <w:vAlign w:val="center"/>
            <w:hideMark/>
          </w:tcPr>
          <w:p w14:paraId="34E498D1" w14:textId="47E401E8"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1 semana</w:t>
            </w:r>
          </w:p>
        </w:tc>
      </w:tr>
      <w:tr w:rsidR="00D07A9E" w:rsidRPr="00D07A9E" w14:paraId="3A844AF9"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38125881"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Ordinarios No Clasificados</w:t>
            </w:r>
          </w:p>
        </w:tc>
        <w:tc>
          <w:tcPr>
            <w:tcW w:w="1151" w:type="dxa"/>
            <w:tcBorders>
              <w:top w:val="nil"/>
              <w:left w:val="nil"/>
              <w:bottom w:val="single" w:sz="4" w:space="0" w:color="auto"/>
              <w:right w:val="single" w:sz="4" w:space="0" w:color="auto"/>
            </w:tcBorders>
            <w:shd w:val="clear" w:color="auto" w:fill="auto"/>
            <w:noWrap/>
            <w:vAlign w:val="bottom"/>
            <w:hideMark/>
          </w:tcPr>
          <w:p w14:paraId="32DA0EE0"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29</w:t>
            </w:r>
          </w:p>
        </w:tc>
        <w:tc>
          <w:tcPr>
            <w:tcW w:w="2234" w:type="dxa"/>
            <w:tcBorders>
              <w:top w:val="nil"/>
              <w:left w:val="nil"/>
              <w:bottom w:val="single" w:sz="4" w:space="0" w:color="auto"/>
              <w:right w:val="single" w:sz="4" w:space="0" w:color="auto"/>
            </w:tcBorders>
            <w:shd w:val="clear" w:color="auto" w:fill="auto"/>
            <w:noWrap/>
            <w:vAlign w:val="center"/>
            <w:hideMark/>
          </w:tcPr>
          <w:p w14:paraId="7279822F"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0 semanas</w:t>
            </w:r>
          </w:p>
        </w:tc>
      </w:tr>
      <w:tr w:rsidR="00D07A9E" w:rsidRPr="00D07A9E" w14:paraId="0D9CBD4C"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003CFCB7"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Daños Y Perjuicios</w:t>
            </w:r>
          </w:p>
        </w:tc>
        <w:tc>
          <w:tcPr>
            <w:tcW w:w="1151" w:type="dxa"/>
            <w:tcBorders>
              <w:top w:val="nil"/>
              <w:left w:val="nil"/>
              <w:bottom w:val="single" w:sz="4" w:space="0" w:color="auto"/>
              <w:right w:val="single" w:sz="4" w:space="0" w:color="auto"/>
            </w:tcBorders>
            <w:shd w:val="clear" w:color="auto" w:fill="auto"/>
            <w:noWrap/>
            <w:vAlign w:val="bottom"/>
            <w:hideMark/>
          </w:tcPr>
          <w:p w14:paraId="3EB7AC2E"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2755474B"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0 semanas</w:t>
            </w:r>
          </w:p>
        </w:tc>
      </w:tr>
      <w:tr w:rsidR="00D07A9E" w:rsidRPr="00D07A9E" w14:paraId="03A2AA90" w14:textId="77777777" w:rsidTr="00D07A9E">
        <w:trPr>
          <w:trHeight w:val="62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5116D72A"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Conflicto De Responsabilidad Parental (Art 151 Cf)</w:t>
            </w:r>
          </w:p>
        </w:tc>
        <w:tc>
          <w:tcPr>
            <w:tcW w:w="1151" w:type="dxa"/>
            <w:tcBorders>
              <w:top w:val="nil"/>
              <w:left w:val="nil"/>
              <w:bottom w:val="single" w:sz="4" w:space="0" w:color="auto"/>
              <w:right w:val="single" w:sz="4" w:space="0" w:color="auto"/>
            </w:tcBorders>
            <w:shd w:val="clear" w:color="auto" w:fill="auto"/>
            <w:noWrap/>
            <w:vAlign w:val="bottom"/>
            <w:hideMark/>
          </w:tcPr>
          <w:p w14:paraId="744935D4"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w:t>
            </w:r>
          </w:p>
        </w:tc>
        <w:tc>
          <w:tcPr>
            <w:tcW w:w="2234" w:type="dxa"/>
            <w:tcBorders>
              <w:top w:val="nil"/>
              <w:left w:val="nil"/>
              <w:bottom w:val="single" w:sz="4" w:space="0" w:color="auto"/>
              <w:right w:val="single" w:sz="4" w:space="0" w:color="auto"/>
            </w:tcBorders>
            <w:shd w:val="clear" w:color="auto" w:fill="auto"/>
            <w:noWrap/>
            <w:vAlign w:val="center"/>
            <w:hideMark/>
          </w:tcPr>
          <w:p w14:paraId="37A3027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0 semanas</w:t>
            </w:r>
          </w:p>
        </w:tc>
      </w:tr>
      <w:tr w:rsidR="00D07A9E" w:rsidRPr="00D07A9E" w14:paraId="6C919CE5"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1275F82F"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Administración Bienes De Persona Menor De Edad</w:t>
            </w:r>
          </w:p>
        </w:tc>
        <w:tc>
          <w:tcPr>
            <w:tcW w:w="1151" w:type="dxa"/>
            <w:tcBorders>
              <w:top w:val="nil"/>
              <w:left w:val="nil"/>
              <w:bottom w:val="single" w:sz="4" w:space="0" w:color="auto"/>
              <w:right w:val="single" w:sz="4" w:space="0" w:color="auto"/>
            </w:tcBorders>
            <w:shd w:val="clear" w:color="auto" w:fill="auto"/>
            <w:noWrap/>
            <w:vAlign w:val="bottom"/>
            <w:hideMark/>
          </w:tcPr>
          <w:p w14:paraId="52BEDA72"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7ECF2A2B"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0 semanas</w:t>
            </w:r>
          </w:p>
        </w:tc>
      </w:tr>
      <w:tr w:rsidR="00D07A9E" w:rsidRPr="00D07A9E" w14:paraId="13D34E25" w14:textId="77777777" w:rsidTr="00D07A9E">
        <w:trPr>
          <w:trHeight w:val="620"/>
        </w:trPr>
        <w:tc>
          <w:tcPr>
            <w:tcW w:w="5412" w:type="dxa"/>
            <w:tcBorders>
              <w:top w:val="nil"/>
              <w:left w:val="single" w:sz="4" w:space="0" w:color="auto"/>
              <w:bottom w:val="single" w:sz="4" w:space="0" w:color="auto"/>
              <w:right w:val="single" w:sz="4" w:space="0" w:color="auto"/>
            </w:tcBorders>
            <w:shd w:val="clear" w:color="auto" w:fill="auto"/>
            <w:vAlign w:val="bottom"/>
            <w:hideMark/>
          </w:tcPr>
          <w:p w14:paraId="293CDEF9"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Guarda Crianza Y Educación (Proceso Definición De Custodia)</w:t>
            </w:r>
          </w:p>
        </w:tc>
        <w:tc>
          <w:tcPr>
            <w:tcW w:w="1151" w:type="dxa"/>
            <w:tcBorders>
              <w:top w:val="nil"/>
              <w:left w:val="nil"/>
              <w:bottom w:val="single" w:sz="4" w:space="0" w:color="auto"/>
              <w:right w:val="single" w:sz="4" w:space="0" w:color="auto"/>
            </w:tcBorders>
            <w:shd w:val="clear" w:color="auto" w:fill="auto"/>
            <w:noWrap/>
            <w:vAlign w:val="bottom"/>
            <w:hideMark/>
          </w:tcPr>
          <w:p w14:paraId="1F42D1F2"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57</w:t>
            </w:r>
          </w:p>
        </w:tc>
        <w:tc>
          <w:tcPr>
            <w:tcW w:w="2234" w:type="dxa"/>
            <w:tcBorders>
              <w:top w:val="nil"/>
              <w:left w:val="nil"/>
              <w:bottom w:val="single" w:sz="4" w:space="0" w:color="auto"/>
              <w:right w:val="single" w:sz="4" w:space="0" w:color="auto"/>
            </w:tcBorders>
            <w:shd w:val="clear" w:color="auto" w:fill="auto"/>
            <w:noWrap/>
            <w:vAlign w:val="center"/>
            <w:hideMark/>
          </w:tcPr>
          <w:p w14:paraId="617D026F"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0 semanas</w:t>
            </w:r>
          </w:p>
        </w:tc>
      </w:tr>
      <w:tr w:rsidR="00D07A9E" w:rsidRPr="00D07A9E" w14:paraId="5DDBA310" w14:textId="77777777" w:rsidTr="00D07A9E">
        <w:trPr>
          <w:trHeight w:val="62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2C69918C"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Declaratoria De Hijo Extramatrimonial</w:t>
            </w:r>
          </w:p>
        </w:tc>
        <w:tc>
          <w:tcPr>
            <w:tcW w:w="1151" w:type="dxa"/>
            <w:tcBorders>
              <w:top w:val="nil"/>
              <w:left w:val="nil"/>
              <w:bottom w:val="single" w:sz="4" w:space="0" w:color="auto"/>
              <w:right w:val="single" w:sz="4" w:space="0" w:color="auto"/>
            </w:tcBorders>
            <w:shd w:val="clear" w:color="auto" w:fill="auto"/>
            <w:noWrap/>
            <w:vAlign w:val="bottom"/>
            <w:hideMark/>
          </w:tcPr>
          <w:p w14:paraId="690172DC"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4</w:t>
            </w:r>
          </w:p>
        </w:tc>
        <w:tc>
          <w:tcPr>
            <w:tcW w:w="2234" w:type="dxa"/>
            <w:tcBorders>
              <w:top w:val="nil"/>
              <w:left w:val="nil"/>
              <w:bottom w:val="single" w:sz="4" w:space="0" w:color="auto"/>
              <w:right w:val="single" w:sz="4" w:space="0" w:color="auto"/>
            </w:tcBorders>
            <w:shd w:val="clear" w:color="auto" w:fill="auto"/>
            <w:noWrap/>
            <w:vAlign w:val="center"/>
            <w:hideMark/>
          </w:tcPr>
          <w:p w14:paraId="77A05B4D"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 meses 0 semanas</w:t>
            </w:r>
          </w:p>
        </w:tc>
      </w:tr>
      <w:tr w:rsidR="00D07A9E" w:rsidRPr="00D07A9E" w14:paraId="7D98D458"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4E0B9406"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 Remoción Curador</w:t>
            </w:r>
          </w:p>
        </w:tc>
        <w:tc>
          <w:tcPr>
            <w:tcW w:w="1151" w:type="dxa"/>
            <w:tcBorders>
              <w:top w:val="nil"/>
              <w:left w:val="nil"/>
              <w:bottom w:val="single" w:sz="4" w:space="0" w:color="auto"/>
              <w:right w:val="single" w:sz="4" w:space="0" w:color="auto"/>
            </w:tcBorders>
            <w:shd w:val="clear" w:color="auto" w:fill="auto"/>
            <w:noWrap/>
            <w:vAlign w:val="bottom"/>
            <w:hideMark/>
          </w:tcPr>
          <w:p w14:paraId="2D3A83A5"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38D9262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3B4885CC" w14:textId="77777777" w:rsidTr="00D07A9E">
        <w:trPr>
          <w:trHeight w:val="620"/>
        </w:trPr>
        <w:tc>
          <w:tcPr>
            <w:tcW w:w="5412" w:type="dxa"/>
            <w:tcBorders>
              <w:top w:val="nil"/>
              <w:left w:val="single" w:sz="4" w:space="0" w:color="auto"/>
              <w:bottom w:val="single" w:sz="4" w:space="0" w:color="auto"/>
              <w:right w:val="single" w:sz="4" w:space="0" w:color="auto"/>
            </w:tcBorders>
            <w:shd w:val="clear" w:color="000000" w:fill="FFFFFF"/>
            <w:vAlign w:val="bottom"/>
            <w:hideMark/>
          </w:tcPr>
          <w:p w14:paraId="6B1726AF"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Depósito Judicial Con Oposición</w:t>
            </w:r>
          </w:p>
        </w:tc>
        <w:tc>
          <w:tcPr>
            <w:tcW w:w="1151" w:type="dxa"/>
            <w:tcBorders>
              <w:top w:val="nil"/>
              <w:left w:val="nil"/>
              <w:bottom w:val="single" w:sz="4" w:space="0" w:color="auto"/>
              <w:right w:val="single" w:sz="4" w:space="0" w:color="auto"/>
            </w:tcBorders>
            <w:shd w:val="clear" w:color="auto" w:fill="auto"/>
            <w:noWrap/>
            <w:vAlign w:val="bottom"/>
            <w:hideMark/>
          </w:tcPr>
          <w:p w14:paraId="7233E502"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4BE56B0C"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71074D49"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6841C62A"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Modificación De Régimen De Visitas</w:t>
            </w:r>
          </w:p>
        </w:tc>
        <w:tc>
          <w:tcPr>
            <w:tcW w:w="1151" w:type="dxa"/>
            <w:tcBorders>
              <w:top w:val="nil"/>
              <w:left w:val="nil"/>
              <w:bottom w:val="single" w:sz="4" w:space="0" w:color="auto"/>
              <w:right w:val="single" w:sz="4" w:space="0" w:color="auto"/>
            </w:tcBorders>
            <w:shd w:val="clear" w:color="auto" w:fill="auto"/>
            <w:noWrap/>
            <w:vAlign w:val="bottom"/>
            <w:hideMark/>
          </w:tcPr>
          <w:p w14:paraId="3E5C180B"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5</w:t>
            </w:r>
          </w:p>
        </w:tc>
        <w:tc>
          <w:tcPr>
            <w:tcW w:w="2234" w:type="dxa"/>
            <w:tcBorders>
              <w:top w:val="nil"/>
              <w:left w:val="nil"/>
              <w:bottom w:val="single" w:sz="4" w:space="0" w:color="auto"/>
              <w:right w:val="single" w:sz="4" w:space="0" w:color="auto"/>
            </w:tcBorders>
            <w:shd w:val="clear" w:color="auto" w:fill="auto"/>
            <w:noWrap/>
            <w:vAlign w:val="center"/>
            <w:hideMark/>
          </w:tcPr>
          <w:p w14:paraId="6E132F37"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173E79FA" w14:textId="77777777" w:rsidTr="00D07A9E">
        <w:trPr>
          <w:trHeight w:val="62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402CD08C"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Suspensión De Responsabilidad Parental</w:t>
            </w:r>
          </w:p>
        </w:tc>
        <w:tc>
          <w:tcPr>
            <w:tcW w:w="1151" w:type="dxa"/>
            <w:tcBorders>
              <w:top w:val="nil"/>
              <w:left w:val="nil"/>
              <w:bottom w:val="single" w:sz="4" w:space="0" w:color="auto"/>
              <w:right w:val="single" w:sz="4" w:space="0" w:color="auto"/>
            </w:tcBorders>
            <w:shd w:val="clear" w:color="auto" w:fill="auto"/>
            <w:noWrap/>
            <w:vAlign w:val="bottom"/>
            <w:hideMark/>
          </w:tcPr>
          <w:p w14:paraId="12495B6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27</w:t>
            </w:r>
          </w:p>
        </w:tc>
        <w:tc>
          <w:tcPr>
            <w:tcW w:w="2234" w:type="dxa"/>
            <w:tcBorders>
              <w:top w:val="nil"/>
              <w:left w:val="nil"/>
              <w:bottom w:val="single" w:sz="4" w:space="0" w:color="auto"/>
              <w:right w:val="single" w:sz="4" w:space="0" w:color="auto"/>
            </w:tcBorders>
            <w:shd w:val="clear" w:color="auto" w:fill="auto"/>
            <w:noWrap/>
            <w:vAlign w:val="center"/>
            <w:hideMark/>
          </w:tcPr>
          <w:p w14:paraId="234488BD"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6DC13A92"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52DA31F4"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Ejecución Del Derecho De Ganancialidad</w:t>
            </w:r>
          </w:p>
        </w:tc>
        <w:tc>
          <w:tcPr>
            <w:tcW w:w="1151" w:type="dxa"/>
            <w:tcBorders>
              <w:top w:val="nil"/>
              <w:left w:val="nil"/>
              <w:bottom w:val="single" w:sz="4" w:space="0" w:color="auto"/>
              <w:right w:val="single" w:sz="4" w:space="0" w:color="auto"/>
            </w:tcBorders>
            <w:shd w:val="clear" w:color="auto" w:fill="auto"/>
            <w:noWrap/>
            <w:vAlign w:val="bottom"/>
            <w:hideMark/>
          </w:tcPr>
          <w:p w14:paraId="17BB3815"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6</w:t>
            </w:r>
          </w:p>
        </w:tc>
        <w:tc>
          <w:tcPr>
            <w:tcW w:w="2234" w:type="dxa"/>
            <w:tcBorders>
              <w:top w:val="nil"/>
              <w:left w:val="nil"/>
              <w:bottom w:val="single" w:sz="4" w:space="0" w:color="auto"/>
              <w:right w:val="single" w:sz="4" w:space="0" w:color="auto"/>
            </w:tcBorders>
            <w:shd w:val="clear" w:color="auto" w:fill="auto"/>
            <w:noWrap/>
            <w:vAlign w:val="center"/>
            <w:hideMark/>
          </w:tcPr>
          <w:p w14:paraId="04633A5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49BC647E"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28F0EAA0"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Impugnación De Reconocimiento De Paternidad</w:t>
            </w:r>
          </w:p>
        </w:tc>
        <w:tc>
          <w:tcPr>
            <w:tcW w:w="1151" w:type="dxa"/>
            <w:tcBorders>
              <w:top w:val="nil"/>
              <w:left w:val="nil"/>
              <w:bottom w:val="single" w:sz="4" w:space="0" w:color="auto"/>
              <w:right w:val="single" w:sz="4" w:space="0" w:color="auto"/>
            </w:tcBorders>
            <w:shd w:val="clear" w:color="auto" w:fill="auto"/>
            <w:noWrap/>
            <w:vAlign w:val="bottom"/>
            <w:hideMark/>
          </w:tcPr>
          <w:p w14:paraId="3D65D211"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37</w:t>
            </w:r>
          </w:p>
        </w:tc>
        <w:tc>
          <w:tcPr>
            <w:tcW w:w="2234" w:type="dxa"/>
            <w:tcBorders>
              <w:top w:val="nil"/>
              <w:left w:val="nil"/>
              <w:bottom w:val="single" w:sz="4" w:space="0" w:color="auto"/>
              <w:right w:val="single" w:sz="4" w:space="0" w:color="auto"/>
            </w:tcBorders>
            <w:shd w:val="clear" w:color="auto" w:fill="auto"/>
            <w:noWrap/>
            <w:vAlign w:val="center"/>
            <w:hideMark/>
          </w:tcPr>
          <w:p w14:paraId="0638BD22"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65B99555"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5B6816E1"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Declaratoria De Paternidad / Maternidad</w:t>
            </w:r>
          </w:p>
        </w:tc>
        <w:tc>
          <w:tcPr>
            <w:tcW w:w="1151" w:type="dxa"/>
            <w:tcBorders>
              <w:top w:val="nil"/>
              <w:left w:val="nil"/>
              <w:bottom w:val="single" w:sz="4" w:space="0" w:color="auto"/>
              <w:right w:val="single" w:sz="4" w:space="0" w:color="auto"/>
            </w:tcBorders>
            <w:shd w:val="clear" w:color="auto" w:fill="auto"/>
            <w:noWrap/>
            <w:vAlign w:val="bottom"/>
            <w:hideMark/>
          </w:tcPr>
          <w:p w14:paraId="43429F2A"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24</w:t>
            </w:r>
          </w:p>
        </w:tc>
        <w:tc>
          <w:tcPr>
            <w:tcW w:w="2234" w:type="dxa"/>
            <w:tcBorders>
              <w:top w:val="nil"/>
              <w:left w:val="nil"/>
              <w:bottom w:val="single" w:sz="4" w:space="0" w:color="auto"/>
              <w:right w:val="single" w:sz="4" w:space="0" w:color="auto"/>
            </w:tcBorders>
            <w:shd w:val="clear" w:color="auto" w:fill="auto"/>
            <w:noWrap/>
            <w:vAlign w:val="center"/>
            <w:hideMark/>
          </w:tcPr>
          <w:p w14:paraId="6DE0D78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5E07BE07"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1BA2D3BE"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Salvaguardia</w:t>
            </w:r>
          </w:p>
        </w:tc>
        <w:tc>
          <w:tcPr>
            <w:tcW w:w="1151" w:type="dxa"/>
            <w:tcBorders>
              <w:top w:val="nil"/>
              <w:left w:val="nil"/>
              <w:bottom w:val="single" w:sz="4" w:space="0" w:color="auto"/>
              <w:right w:val="single" w:sz="4" w:space="0" w:color="auto"/>
            </w:tcBorders>
            <w:shd w:val="clear" w:color="auto" w:fill="auto"/>
            <w:noWrap/>
            <w:vAlign w:val="bottom"/>
            <w:hideMark/>
          </w:tcPr>
          <w:p w14:paraId="50A1EF26"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29</w:t>
            </w:r>
          </w:p>
        </w:tc>
        <w:tc>
          <w:tcPr>
            <w:tcW w:w="2234" w:type="dxa"/>
            <w:tcBorders>
              <w:top w:val="nil"/>
              <w:left w:val="nil"/>
              <w:bottom w:val="single" w:sz="4" w:space="0" w:color="auto"/>
              <w:right w:val="single" w:sz="4" w:space="0" w:color="auto"/>
            </w:tcBorders>
            <w:shd w:val="clear" w:color="auto" w:fill="auto"/>
            <w:noWrap/>
            <w:vAlign w:val="center"/>
            <w:hideMark/>
          </w:tcPr>
          <w:p w14:paraId="6F60577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587A4925" w14:textId="77777777" w:rsidTr="00D07A9E">
        <w:trPr>
          <w:trHeight w:val="31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6A11F812"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Impugnación De Paternidad</w:t>
            </w:r>
          </w:p>
        </w:tc>
        <w:tc>
          <w:tcPr>
            <w:tcW w:w="1151" w:type="dxa"/>
            <w:tcBorders>
              <w:top w:val="nil"/>
              <w:left w:val="nil"/>
              <w:bottom w:val="single" w:sz="4" w:space="0" w:color="auto"/>
              <w:right w:val="single" w:sz="4" w:space="0" w:color="auto"/>
            </w:tcBorders>
            <w:shd w:val="clear" w:color="auto" w:fill="auto"/>
            <w:noWrap/>
            <w:vAlign w:val="bottom"/>
            <w:hideMark/>
          </w:tcPr>
          <w:p w14:paraId="4E66A91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20</w:t>
            </w:r>
          </w:p>
        </w:tc>
        <w:tc>
          <w:tcPr>
            <w:tcW w:w="2234" w:type="dxa"/>
            <w:tcBorders>
              <w:top w:val="nil"/>
              <w:left w:val="nil"/>
              <w:bottom w:val="single" w:sz="4" w:space="0" w:color="auto"/>
              <w:right w:val="single" w:sz="4" w:space="0" w:color="auto"/>
            </w:tcBorders>
            <w:shd w:val="clear" w:color="auto" w:fill="auto"/>
            <w:noWrap/>
            <w:vAlign w:val="center"/>
            <w:hideMark/>
          </w:tcPr>
          <w:p w14:paraId="537206C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3 semanas</w:t>
            </w:r>
          </w:p>
        </w:tc>
      </w:tr>
      <w:tr w:rsidR="00D07A9E" w:rsidRPr="00D07A9E" w14:paraId="35E82F73" w14:textId="77777777" w:rsidTr="00D07A9E">
        <w:trPr>
          <w:trHeight w:val="530"/>
        </w:trPr>
        <w:tc>
          <w:tcPr>
            <w:tcW w:w="5412" w:type="dxa"/>
            <w:tcBorders>
              <w:top w:val="nil"/>
              <w:left w:val="single" w:sz="4" w:space="0" w:color="auto"/>
              <w:bottom w:val="single" w:sz="4" w:space="0" w:color="auto"/>
              <w:right w:val="single" w:sz="4" w:space="0" w:color="auto"/>
            </w:tcBorders>
            <w:shd w:val="clear" w:color="auto" w:fill="auto"/>
            <w:vAlign w:val="bottom"/>
            <w:hideMark/>
          </w:tcPr>
          <w:p w14:paraId="6654F644"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Declaratoria Judicial De Abandono De Persona Menor De Edad</w:t>
            </w:r>
          </w:p>
        </w:tc>
        <w:tc>
          <w:tcPr>
            <w:tcW w:w="1151" w:type="dxa"/>
            <w:tcBorders>
              <w:top w:val="nil"/>
              <w:left w:val="nil"/>
              <w:bottom w:val="single" w:sz="4" w:space="0" w:color="auto"/>
              <w:right w:val="single" w:sz="4" w:space="0" w:color="auto"/>
            </w:tcBorders>
            <w:shd w:val="clear" w:color="auto" w:fill="auto"/>
            <w:noWrap/>
            <w:vAlign w:val="bottom"/>
            <w:hideMark/>
          </w:tcPr>
          <w:p w14:paraId="64788922"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39</w:t>
            </w:r>
          </w:p>
        </w:tc>
        <w:tc>
          <w:tcPr>
            <w:tcW w:w="2234" w:type="dxa"/>
            <w:tcBorders>
              <w:top w:val="nil"/>
              <w:left w:val="nil"/>
              <w:bottom w:val="single" w:sz="4" w:space="0" w:color="auto"/>
              <w:right w:val="single" w:sz="4" w:space="0" w:color="auto"/>
            </w:tcBorders>
            <w:shd w:val="clear" w:color="auto" w:fill="auto"/>
            <w:noWrap/>
            <w:vAlign w:val="center"/>
            <w:hideMark/>
          </w:tcPr>
          <w:p w14:paraId="7F31D5E8"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1 semanas</w:t>
            </w:r>
          </w:p>
        </w:tc>
      </w:tr>
      <w:tr w:rsidR="00D07A9E" w:rsidRPr="00D07A9E" w14:paraId="08FFB103"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27712685"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Suspensión De Régimen De Visitas</w:t>
            </w:r>
          </w:p>
        </w:tc>
        <w:tc>
          <w:tcPr>
            <w:tcW w:w="1151" w:type="dxa"/>
            <w:tcBorders>
              <w:top w:val="nil"/>
              <w:left w:val="nil"/>
              <w:bottom w:val="single" w:sz="4" w:space="0" w:color="auto"/>
              <w:right w:val="single" w:sz="4" w:space="0" w:color="auto"/>
            </w:tcBorders>
            <w:shd w:val="clear" w:color="auto" w:fill="auto"/>
            <w:noWrap/>
            <w:vAlign w:val="bottom"/>
            <w:hideMark/>
          </w:tcPr>
          <w:p w14:paraId="3ADF8AB1"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3</w:t>
            </w:r>
          </w:p>
        </w:tc>
        <w:tc>
          <w:tcPr>
            <w:tcW w:w="2234" w:type="dxa"/>
            <w:tcBorders>
              <w:top w:val="nil"/>
              <w:left w:val="nil"/>
              <w:bottom w:val="single" w:sz="4" w:space="0" w:color="auto"/>
              <w:right w:val="single" w:sz="4" w:space="0" w:color="auto"/>
            </w:tcBorders>
            <w:shd w:val="clear" w:color="auto" w:fill="auto"/>
            <w:noWrap/>
            <w:vAlign w:val="center"/>
            <w:hideMark/>
          </w:tcPr>
          <w:p w14:paraId="2CD881FE"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1 semanas</w:t>
            </w:r>
          </w:p>
        </w:tc>
      </w:tr>
      <w:tr w:rsidR="00D07A9E" w:rsidRPr="00D07A9E" w14:paraId="690A5A85"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54367B5B"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Separación Judicial</w:t>
            </w:r>
          </w:p>
        </w:tc>
        <w:tc>
          <w:tcPr>
            <w:tcW w:w="1151" w:type="dxa"/>
            <w:tcBorders>
              <w:top w:val="nil"/>
              <w:left w:val="nil"/>
              <w:bottom w:val="single" w:sz="4" w:space="0" w:color="auto"/>
              <w:right w:val="single" w:sz="4" w:space="0" w:color="auto"/>
            </w:tcBorders>
            <w:shd w:val="clear" w:color="auto" w:fill="auto"/>
            <w:noWrap/>
            <w:vAlign w:val="bottom"/>
            <w:hideMark/>
          </w:tcPr>
          <w:p w14:paraId="492745E6"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5</w:t>
            </w:r>
          </w:p>
        </w:tc>
        <w:tc>
          <w:tcPr>
            <w:tcW w:w="2234" w:type="dxa"/>
            <w:tcBorders>
              <w:top w:val="nil"/>
              <w:left w:val="nil"/>
              <w:bottom w:val="single" w:sz="4" w:space="0" w:color="auto"/>
              <w:right w:val="single" w:sz="4" w:space="0" w:color="auto"/>
            </w:tcBorders>
            <w:shd w:val="clear" w:color="auto" w:fill="auto"/>
            <w:noWrap/>
            <w:vAlign w:val="center"/>
            <w:hideMark/>
          </w:tcPr>
          <w:p w14:paraId="02B15B5B"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1 semanas</w:t>
            </w:r>
          </w:p>
        </w:tc>
      </w:tr>
      <w:tr w:rsidR="00D07A9E" w:rsidRPr="00D07A9E" w14:paraId="4E60A3BC"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4D3F7D74"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Recuperación De Responsabilidad Parental</w:t>
            </w:r>
          </w:p>
        </w:tc>
        <w:tc>
          <w:tcPr>
            <w:tcW w:w="1151" w:type="dxa"/>
            <w:tcBorders>
              <w:top w:val="nil"/>
              <w:left w:val="nil"/>
              <w:bottom w:val="single" w:sz="4" w:space="0" w:color="auto"/>
              <w:right w:val="single" w:sz="4" w:space="0" w:color="auto"/>
            </w:tcBorders>
            <w:shd w:val="clear" w:color="auto" w:fill="auto"/>
            <w:noWrap/>
            <w:vAlign w:val="bottom"/>
            <w:hideMark/>
          </w:tcPr>
          <w:p w14:paraId="17BCB385"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3D3FA9C4"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 meses 0 semanas</w:t>
            </w:r>
          </w:p>
        </w:tc>
      </w:tr>
      <w:tr w:rsidR="00D07A9E" w:rsidRPr="00D07A9E" w14:paraId="436E9298"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6C7653D6"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Adopciones Nacionales</w:t>
            </w:r>
          </w:p>
        </w:tc>
        <w:tc>
          <w:tcPr>
            <w:tcW w:w="1151" w:type="dxa"/>
            <w:tcBorders>
              <w:top w:val="nil"/>
              <w:left w:val="nil"/>
              <w:bottom w:val="single" w:sz="4" w:space="0" w:color="auto"/>
              <w:right w:val="single" w:sz="4" w:space="0" w:color="auto"/>
            </w:tcBorders>
            <w:shd w:val="clear" w:color="auto" w:fill="auto"/>
            <w:noWrap/>
            <w:vAlign w:val="bottom"/>
            <w:hideMark/>
          </w:tcPr>
          <w:p w14:paraId="127B3234"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8</w:t>
            </w:r>
          </w:p>
        </w:tc>
        <w:tc>
          <w:tcPr>
            <w:tcW w:w="2234" w:type="dxa"/>
            <w:tcBorders>
              <w:top w:val="nil"/>
              <w:left w:val="nil"/>
              <w:bottom w:val="single" w:sz="4" w:space="0" w:color="auto"/>
              <w:right w:val="single" w:sz="4" w:space="0" w:color="auto"/>
            </w:tcBorders>
            <w:shd w:val="clear" w:color="auto" w:fill="auto"/>
            <w:noWrap/>
            <w:vAlign w:val="center"/>
            <w:hideMark/>
          </w:tcPr>
          <w:p w14:paraId="1B41B94D"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 mes 3 semanas</w:t>
            </w:r>
          </w:p>
        </w:tc>
      </w:tr>
      <w:tr w:rsidR="00D07A9E" w:rsidRPr="00D07A9E" w14:paraId="08F4ECE3"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03FA9FF9"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Proceso Especial Protección</w:t>
            </w:r>
          </w:p>
        </w:tc>
        <w:tc>
          <w:tcPr>
            <w:tcW w:w="1151" w:type="dxa"/>
            <w:tcBorders>
              <w:top w:val="nil"/>
              <w:left w:val="nil"/>
              <w:bottom w:val="single" w:sz="4" w:space="0" w:color="auto"/>
              <w:right w:val="single" w:sz="4" w:space="0" w:color="auto"/>
            </w:tcBorders>
            <w:shd w:val="clear" w:color="auto" w:fill="auto"/>
            <w:noWrap/>
            <w:vAlign w:val="bottom"/>
            <w:hideMark/>
          </w:tcPr>
          <w:p w14:paraId="40D7C34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9</w:t>
            </w:r>
          </w:p>
        </w:tc>
        <w:tc>
          <w:tcPr>
            <w:tcW w:w="2234" w:type="dxa"/>
            <w:tcBorders>
              <w:top w:val="nil"/>
              <w:left w:val="nil"/>
              <w:bottom w:val="single" w:sz="4" w:space="0" w:color="auto"/>
              <w:right w:val="single" w:sz="4" w:space="0" w:color="auto"/>
            </w:tcBorders>
            <w:shd w:val="clear" w:color="auto" w:fill="auto"/>
            <w:noWrap/>
            <w:vAlign w:val="center"/>
            <w:hideMark/>
          </w:tcPr>
          <w:p w14:paraId="306AB6D6"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 mes 0 semanas</w:t>
            </w:r>
          </w:p>
        </w:tc>
      </w:tr>
      <w:tr w:rsidR="00D07A9E" w:rsidRPr="00D07A9E" w14:paraId="11B9DE05"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37307C55"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Autorización Salida Del País</w:t>
            </w:r>
          </w:p>
        </w:tc>
        <w:tc>
          <w:tcPr>
            <w:tcW w:w="1151" w:type="dxa"/>
            <w:tcBorders>
              <w:top w:val="nil"/>
              <w:left w:val="nil"/>
              <w:bottom w:val="single" w:sz="4" w:space="0" w:color="auto"/>
              <w:right w:val="single" w:sz="4" w:space="0" w:color="auto"/>
            </w:tcBorders>
            <w:shd w:val="clear" w:color="auto" w:fill="auto"/>
            <w:noWrap/>
            <w:vAlign w:val="bottom"/>
            <w:hideMark/>
          </w:tcPr>
          <w:p w14:paraId="5A1EA7BD"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16</w:t>
            </w:r>
          </w:p>
        </w:tc>
        <w:tc>
          <w:tcPr>
            <w:tcW w:w="2234" w:type="dxa"/>
            <w:tcBorders>
              <w:top w:val="nil"/>
              <w:left w:val="nil"/>
              <w:bottom w:val="single" w:sz="4" w:space="0" w:color="auto"/>
              <w:right w:val="single" w:sz="4" w:space="0" w:color="auto"/>
            </w:tcBorders>
            <w:shd w:val="clear" w:color="auto" w:fill="auto"/>
            <w:noWrap/>
            <w:vAlign w:val="center"/>
            <w:hideMark/>
          </w:tcPr>
          <w:p w14:paraId="6515D5D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 mes 0 semanas</w:t>
            </w:r>
          </w:p>
        </w:tc>
      </w:tr>
      <w:tr w:rsidR="00D07A9E" w:rsidRPr="00D07A9E" w14:paraId="3D0CB690" w14:textId="77777777" w:rsidTr="00D07A9E">
        <w:trPr>
          <w:trHeight w:val="530"/>
        </w:trPr>
        <w:tc>
          <w:tcPr>
            <w:tcW w:w="5412" w:type="dxa"/>
            <w:tcBorders>
              <w:top w:val="nil"/>
              <w:left w:val="single" w:sz="4" w:space="0" w:color="auto"/>
              <w:bottom w:val="single" w:sz="4" w:space="0" w:color="auto"/>
              <w:right w:val="single" w:sz="4" w:space="0" w:color="auto"/>
            </w:tcBorders>
            <w:shd w:val="clear" w:color="auto" w:fill="auto"/>
            <w:vAlign w:val="bottom"/>
            <w:hideMark/>
          </w:tcPr>
          <w:p w14:paraId="228726C8"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Solicitud De Allanamiento (Art.36 Ley Orgánica Pani)</w:t>
            </w:r>
          </w:p>
        </w:tc>
        <w:tc>
          <w:tcPr>
            <w:tcW w:w="1151" w:type="dxa"/>
            <w:tcBorders>
              <w:top w:val="nil"/>
              <w:left w:val="nil"/>
              <w:bottom w:val="single" w:sz="4" w:space="0" w:color="auto"/>
              <w:right w:val="single" w:sz="4" w:space="0" w:color="auto"/>
            </w:tcBorders>
            <w:shd w:val="clear" w:color="auto" w:fill="auto"/>
            <w:noWrap/>
            <w:vAlign w:val="bottom"/>
            <w:hideMark/>
          </w:tcPr>
          <w:p w14:paraId="35E78CA4"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0F0B3C15"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 mes 0 semanas</w:t>
            </w:r>
          </w:p>
        </w:tc>
      </w:tr>
      <w:tr w:rsidR="00D07A9E" w:rsidRPr="00D07A9E" w14:paraId="4F58FBB7"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2BC49059"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Depósito Judicial</w:t>
            </w:r>
          </w:p>
        </w:tc>
        <w:tc>
          <w:tcPr>
            <w:tcW w:w="1151" w:type="dxa"/>
            <w:tcBorders>
              <w:top w:val="nil"/>
              <w:left w:val="nil"/>
              <w:bottom w:val="single" w:sz="4" w:space="0" w:color="auto"/>
              <w:right w:val="single" w:sz="4" w:space="0" w:color="auto"/>
            </w:tcBorders>
            <w:shd w:val="clear" w:color="auto" w:fill="auto"/>
            <w:noWrap/>
            <w:vAlign w:val="bottom"/>
            <w:hideMark/>
          </w:tcPr>
          <w:p w14:paraId="2EE27E99"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15</w:t>
            </w:r>
          </w:p>
        </w:tc>
        <w:tc>
          <w:tcPr>
            <w:tcW w:w="2234" w:type="dxa"/>
            <w:tcBorders>
              <w:top w:val="nil"/>
              <w:left w:val="nil"/>
              <w:bottom w:val="single" w:sz="4" w:space="0" w:color="auto"/>
              <w:right w:val="single" w:sz="4" w:space="0" w:color="auto"/>
            </w:tcBorders>
            <w:shd w:val="clear" w:color="auto" w:fill="auto"/>
            <w:noWrap/>
            <w:vAlign w:val="center"/>
            <w:hideMark/>
          </w:tcPr>
          <w:p w14:paraId="421F8C5F"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 mes 0 semanas</w:t>
            </w:r>
          </w:p>
        </w:tc>
      </w:tr>
      <w:tr w:rsidR="00D07A9E" w:rsidRPr="00D07A9E" w14:paraId="563D894C"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23BD8834"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Procesos De Filiación No Clasificados</w:t>
            </w:r>
          </w:p>
        </w:tc>
        <w:tc>
          <w:tcPr>
            <w:tcW w:w="1151" w:type="dxa"/>
            <w:tcBorders>
              <w:top w:val="nil"/>
              <w:left w:val="nil"/>
              <w:bottom w:val="single" w:sz="4" w:space="0" w:color="auto"/>
              <w:right w:val="single" w:sz="4" w:space="0" w:color="auto"/>
            </w:tcBorders>
            <w:shd w:val="clear" w:color="auto" w:fill="auto"/>
            <w:noWrap/>
            <w:vAlign w:val="bottom"/>
            <w:hideMark/>
          </w:tcPr>
          <w:p w14:paraId="391EFBDF"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w:t>
            </w:r>
          </w:p>
        </w:tc>
        <w:tc>
          <w:tcPr>
            <w:tcW w:w="2234" w:type="dxa"/>
            <w:tcBorders>
              <w:top w:val="nil"/>
              <w:left w:val="nil"/>
              <w:bottom w:val="single" w:sz="4" w:space="0" w:color="auto"/>
              <w:right w:val="single" w:sz="4" w:space="0" w:color="auto"/>
            </w:tcBorders>
            <w:shd w:val="clear" w:color="auto" w:fill="auto"/>
            <w:noWrap/>
            <w:vAlign w:val="center"/>
            <w:hideMark/>
          </w:tcPr>
          <w:p w14:paraId="74B170B3"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 mes 0 semanas</w:t>
            </w:r>
          </w:p>
        </w:tc>
      </w:tr>
      <w:tr w:rsidR="00D07A9E" w:rsidRPr="00D07A9E" w14:paraId="6E1D53C0"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11C915A2"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Inclusión De Bien Ganancial</w:t>
            </w:r>
          </w:p>
        </w:tc>
        <w:tc>
          <w:tcPr>
            <w:tcW w:w="1151" w:type="dxa"/>
            <w:tcBorders>
              <w:top w:val="nil"/>
              <w:left w:val="nil"/>
              <w:bottom w:val="single" w:sz="4" w:space="0" w:color="auto"/>
              <w:right w:val="single" w:sz="4" w:space="0" w:color="auto"/>
            </w:tcBorders>
            <w:shd w:val="clear" w:color="auto" w:fill="auto"/>
            <w:noWrap/>
            <w:vAlign w:val="bottom"/>
            <w:hideMark/>
          </w:tcPr>
          <w:p w14:paraId="6A4FA657"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2</w:t>
            </w:r>
          </w:p>
        </w:tc>
        <w:tc>
          <w:tcPr>
            <w:tcW w:w="2234" w:type="dxa"/>
            <w:tcBorders>
              <w:top w:val="nil"/>
              <w:left w:val="nil"/>
              <w:bottom w:val="single" w:sz="4" w:space="0" w:color="auto"/>
              <w:right w:val="single" w:sz="4" w:space="0" w:color="auto"/>
            </w:tcBorders>
            <w:shd w:val="clear" w:color="auto" w:fill="auto"/>
            <w:noWrap/>
            <w:vAlign w:val="center"/>
            <w:hideMark/>
          </w:tcPr>
          <w:p w14:paraId="0CAD442E"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1 mes 0 semanas</w:t>
            </w:r>
          </w:p>
        </w:tc>
      </w:tr>
      <w:tr w:rsidR="00D07A9E" w:rsidRPr="00D07A9E" w14:paraId="79A513E9"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7622F20B" w14:textId="77777777" w:rsidR="00D07A9E" w:rsidRPr="00D07A9E" w:rsidRDefault="00D07A9E" w:rsidP="00D07A9E">
            <w:pPr>
              <w:spacing w:after="0" w:line="240" w:lineRule="auto"/>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Restitución Internacional</w:t>
            </w:r>
          </w:p>
        </w:tc>
        <w:tc>
          <w:tcPr>
            <w:tcW w:w="1151" w:type="dxa"/>
            <w:tcBorders>
              <w:top w:val="nil"/>
              <w:left w:val="nil"/>
              <w:bottom w:val="single" w:sz="4" w:space="0" w:color="auto"/>
              <w:right w:val="single" w:sz="4" w:space="0" w:color="auto"/>
            </w:tcBorders>
            <w:shd w:val="clear" w:color="auto" w:fill="auto"/>
            <w:noWrap/>
            <w:vAlign w:val="bottom"/>
            <w:hideMark/>
          </w:tcPr>
          <w:p w14:paraId="35AC9598"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9</w:t>
            </w:r>
          </w:p>
        </w:tc>
        <w:tc>
          <w:tcPr>
            <w:tcW w:w="2234" w:type="dxa"/>
            <w:tcBorders>
              <w:top w:val="nil"/>
              <w:left w:val="nil"/>
              <w:bottom w:val="single" w:sz="4" w:space="0" w:color="auto"/>
              <w:right w:val="single" w:sz="4" w:space="0" w:color="auto"/>
            </w:tcBorders>
            <w:shd w:val="clear" w:color="auto" w:fill="auto"/>
            <w:noWrap/>
            <w:vAlign w:val="center"/>
            <w:hideMark/>
          </w:tcPr>
          <w:p w14:paraId="38F3BCF7" w14:textId="77777777" w:rsidR="00D07A9E" w:rsidRPr="00D07A9E" w:rsidRDefault="00D07A9E" w:rsidP="00D07A9E">
            <w:pPr>
              <w:spacing w:after="0" w:line="240" w:lineRule="auto"/>
              <w:jc w:val="center"/>
              <w:rPr>
                <w:rFonts w:ascii="Book Antiqua" w:eastAsia="Times New Roman" w:hAnsi="Book Antiqua" w:cs="Calibri"/>
                <w:sz w:val="20"/>
                <w:szCs w:val="20"/>
                <w:lang w:eastAsia="es-CR"/>
              </w:rPr>
            </w:pPr>
            <w:r w:rsidRPr="00D07A9E">
              <w:rPr>
                <w:rFonts w:ascii="Book Antiqua" w:eastAsia="Times New Roman" w:hAnsi="Book Antiqua" w:cs="Calibri"/>
                <w:sz w:val="20"/>
                <w:szCs w:val="20"/>
                <w:lang w:eastAsia="es-CR"/>
              </w:rPr>
              <w:t>0 meses 3 semanas</w:t>
            </w:r>
          </w:p>
        </w:tc>
      </w:tr>
      <w:tr w:rsidR="00D07A9E" w:rsidRPr="00D07A9E" w14:paraId="01D84526" w14:textId="77777777" w:rsidTr="00D07A9E">
        <w:trPr>
          <w:trHeight w:val="290"/>
        </w:trPr>
        <w:tc>
          <w:tcPr>
            <w:tcW w:w="5412" w:type="dxa"/>
            <w:tcBorders>
              <w:top w:val="nil"/>
              <w:left w:val="single" w:sz="4" w:space="0" w:color="auto"/>
              <w:bottom w:val="single" w:sz="4" w:space="0" w:color="auto"/>
              <w:right w:val="single" w:sz="4" w:space="0" w:color="auto"/>
            </w:tcBorders>
            <w:shd w:val="clear" w:color="auto" w:fill="auto"/>
            <w:noWrap/>
            <w:vAlign w:val="bottom"/>
            <w:hideMark/>
          </w:tcPr>
          <w:p w14:paraId="4CF9DD16" w14:textId="77777777" w:rsidR="00D07A9E" w:rsidRPr="00D07A9E" w:rsidRDefault="00D07A9E" w:rsidP="00D07A9E">
            <w:pPr>
              <w:spacing w:after="0" w:line="240" w:lineRule="auto"/>
              <w:rPr>
                <w:rFonts w:ascii="Book Antiqua" w:eastAsia="Times New Roman" w:hAnsi="Book Antiqua" w:cs="Calibri"/>
                <w:b/>
                <w:bCs/>
                <w:color w:val="000000"/>
                <w:sz w:val="20"/>
                <w:szCs w:val="20"/>
                <w:lang w:eastAsia="es-CR"/>
              </w:rPr>
            </w:pPr>
            <w:r w:rsidRPr="00D07A9E">
              <w:rPr>
                <w:rFonts w:ascii="Book Antiqua" w:eastAsia="Times New Roman" w:hAnsi="Book Antiqua" w:cs="Calibri"/>
                <w:b/>
                <w:bCs/>
                <w:color w:val="000000"/>
                <w:sz w:val="20"/>
                <w:szCs w:val="20"/>
                <w:lang w:eastAsia="es-CR"/>
              </w:rPr>
              <w:t>Total</w:t>
            </w:r>
          </w:p>
        </w:tc>
        <w:tc>
          <w:tcPr>
            <w:tcW w:w="1151" w:type="dxa"/>
            <w:tcBorders>
              <w:top w:val="nil"/>
              <w:left w:val="nil"/>
              <w:bottom w:val="single" w:sz="4" w:space="0" w:color="auto"/>
              <w:right w:val="single" w:sz="4" w:space="0" w:color="auto"/>
            </w:tcBorders>
            <w:shd w:val="clear" w:color="auto" w:fill="auto"/>
            <w:noWrap/>
            <w:vAlign w:val="bottom"/>
            <w:hideMark/>
          </w:tcPr>
          <w:p w14:paraId="28A3702F" w14:textId="77777777" w:rsidR="00D07A9E" w:rsidRPr="00D07A9E" w:rsidRDefault="00D07A9E" w:rsidP="00D07A9E">
            <w:pPr>
              <w:spacing w:after="0" w:line="240" w:lineRule="auto"/>
              <w:jc w:val="center"/>
              <w:rPr>
                <w:rFonts w:ascii="Book Antiqua" w:eastAsia="Times New Roman" w:hAnsi="Book Antiqua" w:cs="Calibri"/>
                <w:b/>
                <w:bCs/>
                <w:color w:val="000000"/>
                <w:sz w:val="20"/>
                <w:szCs w:val="20"/>
                <w:lang w:eastAsia="es-CR"/>
              </w:rPr>
            </w:pPr>
            <w:r w:rsidRPr="00D07A9E">
              <w:rPr>
                <w:rFonts w:ascii="Book Antiqua" w:eastAsia="Times New Roman" w:hAnsi="Book Antiqua" w:cs="Calibri"/>
                <w:b/>
                <w:bCs/>
                <w:color w:val="000000"/>
                <w:sz w:val="20"/>
                <w:szCs w:val="20"/>
                <w:lang w:eastAsia="es-CR"/>
              </w:rPr>
              <w:t>1 182</w:t>
            </w:r>
          </w:p>
        </w:tc>
        <w:tc>
          <w:tcPr>
            <w:tcW w:w="2234" w:type="dxa"/>
            <w:tcBorders>
              <w:top w:val="nil"/>
              <w:left w:val="nil"/>
              <w:bottom w:val="single" w:sz="4" w:space="0" w:color="auto"/>
              <w:right w:val="single" w:sz="4" w:space="0" w:color="auto"/>
            </w:tcBorders>
            <w:shd w:val="clear" w:color="auto" w:fill="auto"/>
            <w:noWrap/>
            <w:vAlign w:val="center"/>
            <w:hideMark/>
          </w:tcPr>
          <w:p w14:paraId="211370BA" w14:textId="77777777" w:rsidR="00D07A9E" w:rsidRPr="00D07A9E" w:rsidRDefault="00D07A9E" w:rsidP="00D07A9E">
            <w:pPr>
              <w:spacing w:after="0" w:line="240" w:lineRule="auto"/>
              <w:jc w:val="center"/>
              <w:rPr>
                <w:rFonts w:ascii="Book Antiqua" w:eastAsia="Times New Roman" w:hAnsi="Book Antiqua" w:cs="Calibri"/>
                <w:b/>
                <w:bCs/>
                <w:color w:val="000000"/>
                <w:sz w:val="20"/>
                <w:szCs w:val="20"/>
                <w:lang w:eastAsia="es-CR"/>
              </w:rPr>
            </w:pPr>
            <w:r w:rsidRPr="00D07A9E">
              <w:rPr>
                <w:rFonts w:ascii="Book Antiqua" w:eastAsia="Times New Roman" w:hAnsi="Book Antiqua" w:cs="Calibri"/>
                <w:b/>
                <w:bCs/>
                <w:color w:val="000000"/>
                <w:sz w:val="20"/>
                <w:szCs w:val="20"/>
                <w:lang w:eastAsia="es-CR"/>
              </w:rPr>
              <w:t>3 meses 0 semanas</w:t>
            </w:r>
          </w:p>
        </w:tc>
      </w:tr>
    </w:tbl>
    <w:p w14:paraId="43A8DAD6" w14:textId="77777777" w:rsidR="00D07A9E" w:rsidRDefault="00D07A9E" w:rsidP="00D07A9E">
      <w:pPr>
        <w:spacing w:after="0" w:line="240" w:lineRule="auto"/>
        <w:jc w:val="both"/>
        <w:rPr>
          <w:rFonts w:ascii="Book Antiqua" w:hAnsi="Book Antiqua"/>
          <w:i/>
          <w:iCs/>
          <w:sz w:val="20"/>
          <w:szCs w:val="20"/>
        </w:rPr>
      </w:pPr>
      <w:r w:rsidRPr="00B8406C">
        <w:rPr>
          <w:rFonts w:ascii="Book Antiqua" w:hAnsi="Book Antiqua"/>
          <w:b/>
          <w:bCs/>
          <w:i/>
          <w:iCs/>
          <w:sz w:val="20"/>
          <w:szCs w:val="20"/>
        </w:rPr>
        <w:t>Fuente:</w:t>
      </w:r>
      <w:r w:rsidRPr="00632CF0">
        <w:rPr>
          <w:rFonts w:ascii="Book Antiqua" w:hAnsi="Book Antiqua"/>
          <w:i/>
          <w:iCs/>
          <w:sz w:val="20"/>
          <w:szCs w:val="20"/>
        </w:rPr>
        <w:t xml:space="preserve"> </w:t>
      </w:r>
      <w:r>
        <w:rPr>
          <w:rFonts w:ascii="Book Antiqua" w:hAnsi="Book Antiqua"/>
          <w:i/>
          <w:iCs/>
          <w:sz w:val="20"/>
          <w:szCs w:val="20"/>
        </w:rPr>
        <w:t xml:space="preserve">Subproceso de </w:t>
      </w:r>
      <w:r w:rsidRPr="00632CF0">
        <w:rPr>
          <w:rFonts w:ascii="Book Antiqua" w:hAnsi="Book Antiqua"/>
          <w:i/>
          <w:iCs/>
          <w:sz w:val="20"/>
          <w:szCs w:val="20"/>
        </w:rPr>
        <w:t>Modernización Institucional con datos del Subproceso de Estadística</w:t>
      </w:r>
      <w:r>
        <w:rPr>
          <w:rFonts w:ascii="Book Antiqua" w:hAnsi="Book Antiqua"/>
          <w:i/>
          <w:iCs/>
          <w:sz w:val="20"/>
          <w:szCs w:val="20"/>
        </w:rPr>
        <w:t xml:space="preserve">, </w:t>
      </w:r>
    </w:p>
    <w:p w14:paraId="7BFE346C" w14:textId="282F8FB5" w:rsidR="00D07A9E" w:rsidRDefault="00D07A9E" w:rsidP="00D07A9E">
      <w:pPr>
        <w:spacing w:after="0" w:line="240" w:lineRule="auto"/>
        <w:jc w:val="both"/>
        <w:rPr>
          <w:rFonts w:ascii="Book Antiqua" w:hAnsi="Book Antiqua"/>
          <w:i/>
          <w:iCs/>
          <w:sz w:val="20"/>
          <w:szCs w:val="20"/>
        </w:rPr>
      </w:pPr>
      <w:r>
        <w:rPr>
          <w:rFonts w:ascii="Book Antiqua" w:hAnsi="Book Antiqua"/>
          <w:i/>
          <w:iCs/>
          <w:sz w:val="20"/>
          <w:szCs w:val="20"/>
        </w:rPr>
        <w:t>consulta del Balance General Interactivo del 7/3/2023</w:t>
      </w:r>
      <w:r w:rsidRPr="00632CF0">
        <w:rPr>
          <w:rFonts w:ascii="Book Antiqua" w:hAnsi="Book Antiqua"/>
          <w:i/>
          <w:iCs/>
          <w:sz w:val="20"/>
          <w:szCs w:val="20"/>
        </w:rPr>
        <w:t>.</w:t>
      </w:r>
    </w:p>
    <w:p w14:paraId="04D9F68A" w14:textId="38D3D0B1" w:rsidR="00D07A9E" w:rsidRDefault="00D07A9E" w:rsidP="0001202E">
      <w:pPr>
        <w:spacing w:line="276" w:lineRule="auto"/>
        <w:jc w:val="both"/>
        <w:rPr>
          <w:rFonts w:ascii="Book Antiqua" w:hAnsi="Book Antiqua"/>
          <w:sz w:val="24"/>
          <w:szCs w:val="24"/>
        </w:rPr>
      </w:pPr>
    </w:p>
    <w:p w14:paraId="2CCAF2B8" w14:textId="4A8BF49B"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Modelo de sostenibilidad y seguimiento-Tribunal de Familia</w:t>
      </w:r>
    </w:p>
    <w:p w14:paraId="1BC015C3" w14:textId="77777777" w:rsidR="008456A9" w:rsidRDefault="008456A9" w:rsidP="00A636FA">
      <w:pPr>
        <w:spacing w:after="0" w:line="276" w:lineRule="auto"/>
        <w:jc w:val="both"/>
        <w:rPr>
          <w:rFonts w:ascii="Book Antiqua" w:eastAsia="Calibri" w:hAnsi="Book Antiqua" w:cs="Arial"/>
          <w:sz w:val="24"/>
          <w:szCs w:val="24"/>
        </w:rPr>
      </w:pPr>
    </w:p>
    <w:p w14:paraId="5AF731E3" w14:textId="585914C9" w:rsid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Con la finalidad de brindar seguimiento al desempeño de</w:t>
      </w:r>
      <w:r w:rsidR="00A36E87">
        <w:rPr>
          <w:rFonts w:ascii="Book Antiqua" w:eastAsia="Calibri" w:hAnsi="Book Antiqua" w:cs="Arial"/>
          <w:sz w:val="24"/>
          <w:szCs w:val="24"/>
        </w:rPr>
        <w:t>l</w:t>
      </w:r>
      <w:r w:rsidRPr="00A636FA">
        <w:rPr>
          <w:rFonts w:ascii="Book Antiqua" w:eastAsia="Calibri" w:hAnsi="Book Antiqua" w:cs="Arial"/>
          <w:sz w:val="24"/>
          <w:szCs w:val="24"/>
        </w:rPr>
        <w:t xml:space="preserve"> Tribunal de Familia, como parte del Modelo de Sostenibilidad y Seguimiento implantado en la Jurisdicción y del acatamiento de las recomendaciones de la Contraloría General de la República para esta Jurisdicción, en 2020 se implantó el modelo en el Tribunal al que también se le diseñaron los respectivos indicadores de gestión</w:t>
      </w:r>
      <w:r w:rsidR="00F73A76">
        <w:rPr>
          <w:rFonts w:ascii="Book Antiqua" w:eastAsia="Calibri" w:hAnsi="Book Antiqua" w:cs="Arial"/>
          <w:sz w:val="24"/>
          <w:szCs w:val="24"/>
        </w:rPr>
        <w:t>.</w:t>
      </w:r>
    </w:p>
    <w:p w14:paraId="6D43DF40" w14:textId="5C5474AA" w:rsidR="00A636FA" w:rsidRDefault="00F73A76" w:rsidP="00A636F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atención a la </w:t>
      </w:r>
      <w:r w:rsidR="009A7F4D" w:rsidRPr="009A7F4D">
        <w:rPr>
          <w:rFonts w:ascii="Book Antiqua" w:eastAsia="Calibri" w:hAnsi="Book Antiqua" w:cs="Arial"/>
          <w:b/>
          <w:bCs/>
          <w:sz w:val="24"/>
          <w:szCs w:val="24"/>
        </w:rPr>
        <w:t>Referencia interna 1746-21</w:t>
      </w:r>
      <w:r w:rsidR="009A7F4D">
        <w:rPr>
          <w:rFonts w:ascii="Book Antiqua" w:eastAsia="Calibri" w:hAnsi="Book Antiqua" w:cs="Arial"/>
          <w:sz w:val="24"/>
          <w:szCs w:val="24"/>
        </w:rPr>
        <w:t>, s</w:t>
      </w:r>
      <w:r>
        <w:rPr>
          <w:rFonts w:ascii="Book Antiqua" w:eastAsia="Calibri" w:hAnsi="Book Antiqua" w:cs="Arial"/>
          <w:sz w:val="24"/>
          <w:szCs w:val="24"/>
        </w:rPr>
        <w:t xml:space="preserve">e confeccionó el oficio de trámite rápido </w:t>
      </w:r>
      <w:r w:rsidRPr="00F73A76">
        <w:rPr>
          <w:rFonts w:ascii="Book Antiqua" w:eastAsia="Calibri" w:hAnsi="Book Antiqua" w:cs="Arial"/>
          <w:sz w:val="24"/>
          <w:szCs w:val="24"/>
        </w:rPr>
        <w:t>580-PLA-MI(NPL)-TR-2023</w:t>
      </w:r>
      <w:r>
        <w:rPr>
          <w:rFonts w:ascii="Book Antiqua" w:eastAsia="Calibri" w:hAnsi="Book Antiqua" w:cs="Arial"/>
          <w:sz w:val="24"/>
          <w:szCs w:val="24"/>
        </w:rPr>
        <w:t xml:space="preserve">, </w:t>
      </w:r>
      <w:r w:rsidRPr="00F73A76">
        <w:rPr>
          <w:rFonts w:ascii="Book Antiqua" w:eastAsia="Calibri" w:hAnsi="Book Antiqua" w:cs="Arial"/>
          <w:sz w:val="24"/>
          <w:szCs w:val="24"/>
        </w:rPr>
        <w:t xml:space="preserve">relacionado con el </w:t>
      </w:r>
      <w:r w:rsidRPr="00F73A76">
        <w:rPr>
          <w:rFonts w:ascii="Book Antiqua" w:eastAsia="Calibri" w:hAnsi="Book Antiqua" w:cs="Arial"/>
          <w:i/>
          <w:iCs/>
          <w:sz w:val="24"/>
          <w:szCs w:val="24"/>
        </w:rPr>
        <w:t>“Seguimiento realizado al Tribunal de Familia en aplicación del Modelo de Sostenibilidad y Seguimiento institucional desde diciembre 2020 y hasta la actualidad”</w:t>
      </w:r>
      <w:r w:rsidR="009A7F4D">
        <w:rPr>
          <w:rFonts w:ascii="Book Antiqua" w:eastAsia="Calibri" w:hAnsi="Book Antiqua" w:cs="Arial"/>
          <w:i/>
          <w:iCs/>
          <w:sz w:val="24"/>
          <w:szCs w:val="24"/>
        </w:rPr>
        <w:t xml:space="preserve">; </w:t>
      </w:r>
      <w:r w:rsidR="009A7F4D" w:rsidRPr="009A7F4D">
        <w:rPr>
          <w:rFonts w:ascii="Book Antiqua" w:eastAsia="Calibri" w:hAnsi="Book Antiqua" w:cs="Arial"/>
          <w:sz w:val="24"/>
          <w:szCs w:val="24"/>
        </w:rPr>
        <w:t>además, se</w:t>
      </w:r>
      <w:r w:rsidR="009A7F4D">
        <w:rPr>
          <w:rFonts w:ascii="Book Antiqua" w:eastAsia="Calibri" w:hAnsi="Book Antiqua" w:cs="Arial"/>
          <w:i/>
          <w:iCs/>
          <w:sz w:val="24"/>
          <w:szCs w:val="24"/>
        </w:rPr>
        <w:t xml:space="preserve"> </w:t>
      </w:r>
      <w:r w:rsidR="00BE3DC6">
        <w:rPr>
          <w:rFonts w:ascii="Book Antiqua" w:eastAsia="Calibri" w:hAnsi="Book Antiqua" w:cs="Arial"/>
          <w:sz w:val="24"/>
          <w:szCs w:val="24"/>
        </w:rPr>
        <w:t>ajust</w:t>
      </w:r>
      <w:r>
        <w:rPr>
          <w:rFonts w:ascii="Book Antiqua" w:eastAsia="Calibri" w:hAnsi="Book Antiqua" w:cs="Arial"/>
          <w:sz w:val="24"/>
          <w:szCs w:val="24"/>
        </w:rPr>
        <w:t>ó</w:t>
      </w:r>
      <w:r w:rsidR="00BE3DC6">
        <w:rPr>
          <w:rFonts w:ascii="Book Antiqua" w:eastAsia="Calibri" w:hAnsi="Book Antiqua" w:cs="Arial"/>
          <w:sz w:val="24"/>
          <w:szCs w:val="24"/>
        </w:rPr>
        <w:t xml:space="preserve"> la matriz con la parametrización de los indicadores con el fin de contar con una herramienta que permita al </w:t>
      </w:r>
      <w:r>
        <w:rPr>
          <w:rFonts w:ascii="Book Antiqua" w:eastAsia="Calibri" w:hAnsi="Book Antiqua" w:cs="Arial"/>
          <w:sz w:val="24"/>
          <w:szCs w:val="24"/>
        </w:rPr>
        <w:t>tribunal</w:t>
      </w:r>
      <w:r w:rsidR="00BE3DC6">
        <w:rPr>
          <w:rFonts w:ascii="Book Antiqua" w:eastAsia="Calibri" w:hAnsi="Book Antiqua" w:cs="Arial"/>
          <w:sz w:val="24"/>
          <w:szCs w:val="24"/>
        </w:rPr>
        <w:t xml:space="preserve"> contar con información para la toma de decisiones</w:t>
      </w:r>
      <w:r w:rsidR="00196C8D">
        <w:rPr>
          <w:rFonts w:ascii="Book Antiqua" w:eastAsia="Calibri" w:hAnsi="Book Antiqua" w:cs="Arial"/>
          <w:sz w:val="24"/>
          <w:szCs w:val="24"/>
        </w:rPr>
        <w:t xml:space="preserve"> y la nueva versión de la matriz la utiliza el Tribunal a partir de enero de 2023, y el seguimiento se mantiene hasta concluir la entrega del Protocolo para el Módulo de Pase a Fallo de este despacho.</w:t>
      </w:r>
      <w:r w:rsidR="00A2137B">
        <w:rPr>
          <w:rFonts w:ascii="Book Antiqua" w:eastAsia="Calibri" w:hAnsi="Book Antiqua" w:cs="Arial"/>
          <w:sz w:val="24"/>
          <w:szCs w:val="24"/>
        </w:rPr>
        <w:t xml:space="preserve"> </w:t>
      </w:r>
    </w:p>
    <w:p w14:paraId="2F0C7AD2" w14:textId="09A0BA43" w:rsidR="00A52789" w:rsidRDefault="00A52789" w:rsidP="00A636F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la segunda instancia se identificó la necesidad De implementa la mejora de voto automático que ya se coordinó con DTIC para que aplique a partir del 1 de abril 2023. Y la mejora de reparto automático (la cual previo a su utilización requiere de una mejora al reparto por procedimiento que ya fue gestionada ante la DTIC mediante oficio 156-PLA-MI(NPL)-2023). </w:t>
      </w:r>
    </w:p>
    <w:p w14:paraId="7E1C05AC" w14:textId="77777777" w:rsidR="00A52789" w:rsidRDefault="00A52789" w:rsidP="00A636FA">
      <w:pPr>
        <w:spacing w:after="0" w:line="276" w:lineRule="auto"/>
        <w:jc w:val="both"/>
        <w:rPr>
          <w:rFonts w:ascii="Book Antiqua" w:eastAsia="Calibri" w:hAnsi="Book Antiqua" w:cs="Arial"/>
          <w:sz w:val="24"/>
          <w:szCs w:val="24"/>
        </w:rPr>
      </w:pPr>
    </w:p>
    <w:p w14:paraId="7A748B30" w14:textId="76165C53" w:rsidR="00035487" w:rsidRPr="009F59E8" w:rsidRDefault="00035487" w:rsidP="009F59E8">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Impacto en el Tribunal por los cambios de competencia, reforma al artículo 99</w:t>
      </w:r>
      <w:r w:rsidRPr="009F59E8">
        <w:rPr>
          <w:rFonts w:ascii="Book Antiqua" w:eastAsia="Calibri" w:hAnsi="Book Antiqua" w:cs="Arial"/>
          <w:b/>
          <w:bCs/>
          <w:sz w:val="24"/>
          <w:szCs w:val="24"/>
        </w:rPr>
        <w:t xml:space="preserve"> LOPJ </w:t>
      </w:r>
    </w:p>
    <w:p w14:paraId="6E9EA449" w14:textId="77777777" w:rsidR="009F59E8" w:rsidRDefault="009F59E8" w:rsidP="00C94966">
      <w:pPr>
        <w:spacing w:after="0" w:line="276" w:lineRule="auto"/>
        <w:jc w:val="both"/>
        <w:rPr>
          <w:rFonts w:ascii="Book Antiqua" w:eastAsia="Calibri" w:hAnsi="Book Antiqua" w:cs="Arial"/>
          <w:sz w:val="24"/>
          <w:szCs w:val="24"/>
        </w:rPr>
      </w:pPr>
    </w:p>
    <w:p w14:paraId="08BC2F90" w14:textId="437A8F55"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 xml:space="preserve">Para conocer el impacto que generaría </w:t>
      </w:r>
      <w:r w:rsidR="003122A3">
        <w:rPr>
          <w:rFonts w:ascii="Book Antiqua" w:eastAsia="Calibri" w:hAnsi="Book Antiqua" w:cs="Arial"/>
          <w:sz w:val="24"/>
          <w:szCs w:val="24"/>
        </w:rPr>
        <w:t xml:space="preserve">la entrada en vigencia del CPF en el Tribunal de Familia, </w:t>
      </w:r>
      <w:r w:rsidRPr="00C94966">
        <w:rPr>
          <w:rFonts w:ascii="Book Antiqua" w:eastAsia="Calibri" w:hAnsi="Book Antiqua" w:cs="Arial"/>
          <w:sz w:val="24"/>
          <w:szCs w:val="24"/>
        </w:rPr>
        <w:t>se revisaron los datos estadísticos de los años 201</w:t>
      </w:r>
      <w:r w:rsidR="00407F65" w:rsidRPr="00407F65">
        <w:rPr>
          <w:rFonts w:ascii="Book Antiqua" w:eastAsia="Calibri" w:hAnsi="Book Antiqua" w:cs="Arial"/>
          <w:sz w:val="24"/>
          <w:szCs w:val="24"/>
        </w:rPr>
        <w:t>7</w:t>
      </w:r>
      <w:r w:rsidRPr="00C94966">
        <w:rPr>
          <w:rFonts w:ascii="Book Antiqua" w:eastAsia="Calibri" w:hAnsi="Book Antiqua" w:cs="Arial"/>
          <w:sz w:val="24"/>
          <w:szCs w:val="24"/>
        </w:rPr>
        <w:t>-20</w:t>
      </w:r>
      <w:r w:rsidR="00407F65" w:rsidRPr="00407F65">
        <w:rPr>
          <w:rFonts w:ascii="Book Antiqua" w:eastAsia="Calibri" w:hAnsi="Book Antiqua" w:cs="Arial"/>
          <w:sz w:val="24"/>
          <w:szCs w:val="24"/>
        </w:rPr>
        <w:t>2</w:t>
      </w:r>
      <w:r w:rsidR="009A7F4D">
        <w:rPr>
          <w:rFonts w:ascii="Book Antiqua" w:eastAsia="Calibri" w:hAnsi="Book Antiqua" w:cs="Arial"/>
          <w:sz w:val="24"/>
          <w:szCs w:val="24"/>
        </w:rPr>
        <w:t>2</w:t>
      </w:r>
      <w:r w:rsidRPr="00C94966">
        <w:rPr>
          <w:rFonts w:ascii="Book Antiqua" w:eastAsia="Calibri" w:hAnsi="Book Antiqua" w:cs="Arial"/>
          <w:sz w:val="24"/>
          <w:szCs w:val="24"/>
        </w:rPr>
        <w:t xml:space="preserve">, por lo que se determina que la incidencia de </w:t>
      </w:r>
      <w:r w:rsidRPr="00FE2490">
        <w:rPr>
          <w:rFonts w:ascii="Book Antiqua" w:eastAsia="Calibri" w:hAnsi="Book Antiqua" w:cs="Arial"/>
          <w:sz w:val="24"/>
          <w:szCs w:val="24"/>
        </w:rPr>
        <w:t xml:space="preserve">procesos de </w:t>
      </w:r>
      <w:r w:rsidRPr="0098458C">
        <w:rPr>
          <w:rFonts w:ascii="Book Antiqua" w:eastAsia="Calibri" w:hAnsi="Book Antiqua" w:cs="Arial"/>
          <w:sz w:val="24"/>
          <w:szCs w:val="24"/>
        </w:rPr>
        <w:t xml:space="preserve">restitución internacional es mínima, ya que durante dicho período el Tribunal de Familia recibió </w:t>
      </w:r>
      <w:r w:rsidR="00F139E1" w:rsidRPr="00F139E1">
        <w:rPr>
          <w:rFonts w:ascii="Book Antiqua" w:eastAsia="Calibri" w:hAnsi="Book Antiqua" w:cs="Arial"/>
          <w:sz w:val="24"/>
          <w:szCs w:val="24"/>
        </w:rPr>
        <w:t>45</w:t>
      </w:r>
      <w:r w:rsidRPr="00F139E1">
        <w:rPr>
          <w:rFonts w:ascii="Book Antiqua" w:eastAsia="Calibri" w:hAnsi="Book Antiqua" w:cs="Arial"/>
          <w:sz w:val="24"/>
          <w:szCs w:val="24"/>
        </w:rPr>
        <w:t xml:space="preserve"> casos, </w:t>
      </w:r>
      <w:r w:rsidR="00EA779D">
        <w:rPr>
          <w:rFonts w:ascii="Book Antiqua" w:eastAsia="Calibri" w:hAnsi="Book Antiqua" w:cs="Arial"/>
          <w:sz w:val="24"/>
          <w:szCs w:val="24"/>
        </w:rPr>
        <w:t>4</w:t>
      </w:r>
      <w:r w:rsidRPr="00F139E1">
        <w:rPr>
          <w:rFonts w:ascii="Book Antiqua" w:eastAsia="Calibri" w:hAnsi="Book Antiqua" w:cs="Arial"/>
          <w:sz w:val="24"/>
          <w:szCs w:val="24"/>
        </w:rPr>
        <w:t xml:space="preserve"> ingresados en 2017</w:t>
      </w:r>
      <w:r w:rsidR="00407F65" w:rsidRPr="00F139E1">
        <w:rPr>
          <w:rFonts w:ascii="Book Antiqua" w:eastAsia="Calibri" w:hAnsi="Book Antiqua" w:cs="Arial"/>
          <w:sz w:val="24"/>
          <w:szCs w:val="24"/>
        </w:rPr>
        <w:t>,</w:t>
      </w:r>
      <w:r w:rsidRPr="00F139E1">
        <w:rPr>
          <w:rFonts w:ascii="Book Antiqua" w:eastAsia="Calibri" w:hAnsi="Book Antiqua" w:cs="Arial"/>
          <w:sz w:val="24"/>
          <w:szCs w:val="24"/>
        </w:rPr>
        <w:t xml:space="preserve"> </w:t>
      </w:r>
      <w:r w:rsidR="00EA779D">
        <w:rPr>
          <w:rFonts w:ascii="Book Antiqua" w:eastAsia="Calibri" w:hAnsi="Book Antiqua" w:cs="Arial"/>
          <w:sz w:val="24"/>
          <w:szCs w:val="24"/>
        </w:rPr>
        <w:t>4</w:t>
      </w:r>
      <w:r w:rsidRPr="00F139E1">
        <w:rPr>
          <w:rFonts w:ascii="Book Antiqua" w:eastAsia="Calibri" w:hAnsi="Book Antiqua" w:cs="Arial"/>
          <w:sz w:val="24"/>
          <w:szCs w:val="24"/>
        </w:rPr>
        <w:t xml:space="preserve"> en el 2018</w:t>
      </w:r>
      <w:r w:rsidR="00407F65" w:rsidRPr="00F139E1">
        <w:rPr>
          <w:rFonts w:ascii="Book Antiqua" w:eastAsia="Calibri" w:hAnsi="Book Antiqua" w:cs="Arial"/>
          <w:sz w:val="24"/>
          <w:szCs w:val="24"/>
        </w:rPr>
        <w:t xml:space="preserve">, </w:t>
      </w:r>
      <w:r w:rsidR="00EA779D">
        <w:rPr>
          <w:rFonts w:ascii="Book Antiqua" w:eastAsia="Calibri" w:hAnsi="Book Antiqua" w:cs="Arial"/>
          <w:sz w:val="24"/>
          <w:szCs w:val="24"/>
        </w:rPr>
        <w:t>5</w:t>
      </w:r>
      <w:r w:rsidR="00407F65" w:rsidRPr="00F139E1">
        <w:rPr>
          <w:rFonts w:ascii="Book Antiqua" w:eastAsia="Calibri" w:hAnsi="Book Antiqua" w:cs="Arial"/>
          <w:sz w:val="24"/>
          <w:szCs w:val="24"/>
        </w:rPr>
        <w:t xml:space="preserve"> </w:t>
      </w:r>
      <w:r w:rsidR="00FE2490" w:rsidRPr="00F139E1">
        <w:rPr>
          <w:rFonts w:ascii="Book Antiqua" w:eastAsia="Calibri" w:hAnsi="Book Antiqua" w:cs="Arial"/>
          <w:sz w:val="24"/>
          <w:szCs w:val="24"/>
        </w:rPr>
        <w:t xml:space="preserve">en </w:t>
      </w:r>
      <w:r w:rsidR="00407F65" w:rsidRPr="00F139E1">
        <w:rPr>
          <w:rFonts w:ascii="Book Antiqua" w:eastAsia="Calibri" w:hAnsi="Book Antiqua" w:cs="Arial"/>
          <w:sz w:val="24"/>
          <w:szCs w:val="24"/>
        </w:rPr>
        <w:t>2020</w:t>
      </w:r>
      <w:r w:rsidR="00FE2490" w:rsidRPr="00F139E1">
        <w:rPr>
          <w:rFonts w:ascii="Book Antiqua" w:eastAsia="Calibri" w:hAnsi="Book Antiqua" w:cs="Arial"/>
          <w:sz w:val="24"/>
          <w:szCs w:val="24"/>
        </w:rPr>
        <w:t>,</w:t>
      </w:r>
      <w:r w:rsidR="00407F65" w:rsidRPr="00F139E1">
        <w:rPr>
          <w:rFonts w:ascii="Book Antiqua" w:eastAsia="Calibri" w:hAnsi="Book Antiqua" w:cs="Arial"/>
          <w:sz w:val="24"/>
          <w:szCs w:val="24"/>
        </w:rPr>
        <w:t xml:space="preserve"> 23 en 2021</w:t>
      </w:r>
      <w:r w:rsidR="00F9687B" w:rsidRPr="00F139E1">
        <w:rPr>
          <w:rFonts w:ascii="Book Antiqua" w:eastAsia="Calibri" w:hAnsi="Book Antiqua" w:cs="Arial"/>
          <w:sz w:val="24"/>
          <w:szCs w:val="24"/>
        </w:rPr>
        <w:t>, 9 en 2022</w:t>
      </w:r>
      <w:r w:rsidR="00FE2490" w:rsidRPr="00F139E1">
        <w:rPr>
          <w:rFonts w:ascii="Book Antiqua" w:eastAsia="Calibri" w:hAnsi="Book Antiqua" w:cs="Arial"/>
          <w:sz w:val="24"/>
          <w:szCs w:val="24"/>
        </w:rPr>
        <w:t xml:space="preserve"> y para el 2019 no se recibió ninguno</w:t>
      </w:r>
      <w:r w:rsidRPr="00F139E1">
        <w:rPr>
          <w:rFonts w:ascii="Book Antiqua" w:eastAsia="Calibri" w:hAnsi="Book Antiqua" w:cs="Arial"/>
          <w:sz w:val="24"/>
          <w:szCs w:val="24"/>
        </w:rPr>
        <w:t>.</w:t>
      </w:r>
      <w:r w:rsidRPr="00FE2490">
        <w:rPr>
          <w:rFonts w:ascii="Book Antiqua" w:eastAsia="Calibri" w:hAnsi="Book Antiqua" w:cs="Arial"/>
          <w:sz w:val="24"/>
          <w:szCs w:val="24"/>
        </w:rPr>
        <w:t xml:space="preserve"> </w:t>
      </w:r>
    </w:p>
    <w:p w14:paraId="36795193" w14:textId="77777777" w:rsidR="00C94966" w:rsidRPr="00C94966" w:rsidRDefault="00C94966" w:rsidP="00C94966">
      <w:pPr>
        <w:spacing w:after="0" w:line="276" w:lineRule="auto"/>
        <w:jc w:val="both"/>
        <w:rPr>
          <w:rFonts w:ascii="Book Antiqua" w:eastAsia="Calibri" w:hAnsi="Book Antiqua" w:cs="Arial"/>
          <w:sz w:val="24"/>
          <w:szCs w:val="24"/>
        </w:rPr>
      </w:pPr>
    </w:p>
    <w:p w14:paraId="29C78992" w14:textId="077FA757" w:rsidR="006B6768" w:rsidRDefault="00C94966" w:rsidP="00355630">
      <w:pPr>
        <w:spacing w:after="0" w:line="276" w:lineRule="auto"/>
        <w:jc w:val="both"/>
        <w:rPr>
          <w:rFonts w:ascii="Book Antiqua" w:eastAsia="Calibri" w:hAnsi="Book Antiqua" w:cs="Arial"/>
          <w:sz w:val="24"/>
          <w:szCs w:val="24"/>
        </w:rPr>
      </w:pPr>
      <w:r w:rsidRPr="0035206B">
        <w:rPr>
          <w:rFonts w:ascii="Book Antiqua" w:eastAsia="Calibri" w:hAnsi="Book Antiqua" w:cs="Arial"/>
          <w:sz w:val="24"/>
          <w:szCs w:val="24"/>
        </w:rPr>
        <w:t xml:space="preserve">En cuanto a la desjudicialización de procesos, durante el período analizado el Tribunal de Familia acumuló un promedio mensual estimado de </w:t>
      </w:r>
      <w:r w:rsidR="0035206B" w:rsidRPr="0035206B">
        <w:rPr>
          <w:rFonts w:ascii="Book Antiqua" w:eastAsia="Calibri" w:hAnsi="Book Antiqua" w:cs="Arial"/>
          <w:sz w:val="24"/>
          <w:szCs w:val="24"/>
        </w:rPr>
        <w:t>dos</w:t>
      </w:r>
      <w:r w:rsidRPr="0035206B">
        <w:rPr>
          <w:rFonts w:ascii="Book Antiqua" w:eastAsia="Calibri" w:hAnsi="Book Antiqua" w:cs="Arial"/>
          <w:sz w:val="24"/>
          <w:szCs w:val="24"/>
        </w:rPr>
        <w:t xml:space="preserve"> apelaci</w:t>
      </w:r>
      <w:r w:rsidR="0035206B" w:rsidRPr="0035206B">
        <w:rPr>
          <w:rFonts w:ascii="Book Antiqua" w:eastAsia="Calibri" w:hAnsi="Book Antiqua" w:cs="Arial"/>
          <w:sz w:val="24"/>
          <w:szCs w:val="24"/>
        </w:rPr>
        <w:t>o</w:t>
      </w:r>
      <w:r w:rsidRPr="0035206B">
        <w:rPr>
          <w:rFonts w:ascii="Book Antiqua" w:eastAsia="Calibri" w:hAnsi="Book Antiqua" w:cs="Arial"/>
          <w:sz w:val="24"/>
          <w:szCs w:val="24"/>
        </w:rPr>
        <w:t>n</w:t>
      </w:r>
      <w:r w:rsidR="0035206B" w:rsidRPr="0035206B">
        <w:rPr>
          <w:rFonts w:ascii="Book Antiqua" w:eastAsia="Calibri" w:hAnsi="Book Antiqua" w:cs="Arial"/>
          <w:sz w:val="24"/>
          <w:szCs w:val="24"/>
        </w:rPr>
        <w:t>es</w:t>
      </w:r>
      <w:r w:rsidRPr="0035206B">
        <w:rPr>
          <w:rFonts w:ascii="Book Antiqua" w:eastAsia="Calibri" w:hAnsi="Book Antiqua" w:cs="Arial"/>
          <w:sz w:val="24"/>
          <w:szCs w:val="24"/>
        </w:rPr>
        <w:t xml:space="preserve"> de proceso</w:t>
      </w:r>
      <w:r w:rsidR="00FE2490" w:rsidRPr="0035206B">
        <w:rPr>
          <w:rFonts w:ascii="Book Antiqua" w:eastAsia="Calibri" w:hAnsi="Book Antiqua" w:cs="Arial"/>
          <w:sz w:val="24"/>
          <w:szCs w:val="24"/>
        </w:rPr>
        <w:t>s</w:t>
      </w:r>
      <w:r w:rsidRPr="0035206B">
        <w:rPr>
          <w:rFonts w:ascii="Book Antiqua" w:eastAsia="Calibri" w:hAnsi="Book Antiqua" w:cs="Arial"/>
          <w:sz w:val="24"/>
          <w:szCs w:val="24"/>
        </w:rPr>
        <w:t xml:space="preserve"> de este tipo, las cuales al año representaron un 0,</w:t>
      </w:r>
      <w:r w:rsidR="0035206B" w:rsidRPr="0035206B">
        <w:rPr>
          <w:rFonts w:ascii="Book Antiqua" w:eastAsia="Calibri" w:hAnsi="Book Antiqua" w:cs="Arial"/>
          <w:sz w:val="24"/>
          <w:szCs w:val="24"/>
        </w:rPr>
        <w:t>9</w:t>
      </w:r>
      <w:r w:rsidRPr="0035206B">
        <w:rPr>
          <w:rFonts w:ascii="Book Antiqua" w:eastAsia="Calibri" w:hAnsi="Book Antiqua" w:cs="Arial"/>
          <w:sz w:val="24"/>
          <w:szCs w:val="24"/>
        </w:rPr>
        <w:t>% de la entrada general. Este dato surge de la siguiente información:</w:t>
      </w:r>
    </w:p>
    <w:p w14:paraId="7FF38B11" w14:textId="77777777" w:rsidR="006B6768" w:rsidRDefault="006B6768" w:rsidP="00355630">
      <w:pPr>
        <w:spacing w:after="0" w:line="276" w:lineRule="auto"/>
        <w:jc w:val="both"/>
        <w:rPr>
          <w:rFonts w:ascii="Book Antiqua" w:eastAsia="Calibri" w:hAnsi="Book Antiqua" w:cs="Arial"/>
          <w:sz w:val="24"/>
          <w:szCs w:val="24"/>
        </w:rPr>
      </w:pPr>
    </w:p>
    <w:p w14:paraId="176AB30D" w14:textId="0F8A94A7" w:rsidR="00C94966" w:rsidRPr="0035206B" w:rsidRDefault="00C94966" w:rsidP="00C94966">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68" w:name="_Hlk97402028"/>
      <w:r w:rsidRPr="0035206B">
        <w:rPr>
          <w:rFonts w:ascii="Book Antiqua" w:eastAsia="Calibri" w:hAnsi="Book Antiqua" w:cs="Arial"/>
          <w:b/>
          <w:bCs/>
          <w:color w:val="1F497D"/>
          <w:szCs w:val="24"/>
          <w:lang w:val="es-ES" w:eastAsia="es-ES"/>
        </w:rPr>
        <w:t xml:space="preserve">Cuadro </w:t>
      </w:r>
      <w:r w:rsidRPr="0035206B">
        <w:rPr>
          <w:rFonts w:ascii="Book Antiqua" w:eastAsia="Calibri" w:hAnsi="Book Antiqua" w:cs="Arial"/>
          <w:b/>
          <w:bCs/>
          <w:color w:val="1F497D"/>
          <w:szCs w:val="24"/>
          <w:lang w:val="es-ES" w:eastAsia="es-ES"/>
        </w:rPr>
        <w:fldChar w:fldCharType="begin"/>
      </w:r>
      <w:r w:rsidRPr="0035206B">
        <w:rPr>
          <w:rFonts w:ascii="Book Antiqua" w:eastAsia="Calibri" w:hAnsi="Book Antiqua" w:cs="Arial"/>
          <w:b/>
          <w:bCs/>
          <w:color w:val="1F497D"/>
          <w:szCs w:val="24"/>
          <w:lang w:val="es-ES" w:eastAsia="es-ES"/>
        </w:rPr>
        <w:instrText xml:space="preserve"> SEQ Cuadro \* ARABIC </w:instrText>
      </w:r>
      <w:r w:rsidRPr="0035206B">
        <w:rPr>
          <w:rFonts w:ascii="Book Antiqua" w:eastAsia="Calibri" w:hAnsi="Book Antiqua" w:cs="Arial"/>
          <w:b/>
          <w:bCs/>
          <w:color w:val="1F497D"/>
          <w:szCs w:val="24"/>
          <w:lang w:val="es-ES" w:eastAsia="es-ES"/>
        </w:rPr>
        <w:fldChar w:fldCharType="separate"/>
      </w:r>
      <w:r w:rsidR="00D5153F">
        <w:rPr>
          <w:rFonts w:ascii="Book Antiqua" w:eastAsia="Calibri" w:hAnsi="Book Antiqua" w:cs="Arial"/>
          <w:b/>
          <w:bCs/>
          <w:noProof/>
          <w:color w:val="1F497D"/>
          <w:szCs w:val="24"/>
          <w:lang w:val="es-ES" w:eastAsia="es-ES"/>
        </w:rPr>
        <w:t>54</w:t>
      </w:r>
      <w:r w:rsidRPr="0035206B">
        <w:rPr>
          <w:rFonts w:ascii="Book Antiqua" w:eastAsia="Calibri" w:hAnsi="Book Antiqua" w:cs="Arial"/>
          <w:b/>
          <w:bCs/>
          <w:color w:val="1F497D"/>
          <w:szCs w:val="24"/>
          <w:lang w:val="es-ES" w:eastAsia="es-ES"/>
        </w:rPr>
        <w:fldChar w:fldCharType="end"/>
      </w:r>
      <w:r w:rsidRPr="0035206B">
        <w:rPr>
          <w:rFonts w:ascii="Book Antiqua" w:eastAsia="Calibri" w:hAnsi="Book Antiqua" w:cs="Arial"/>
          <w:b/>
          <w:bCs/>
          <w:color w:val="1F497D"/>
          <w:szCs w:val="24"/>
          <w:lang w:val="es-ES" w:eastAsia="es-ES"/>
        </w:rPr>
        <w:t xml:space="preserve"> </w:t>
      </w:r>
    </w:p>
    <w:p w14:paraId="7363C04D" w14:textId="25951413" w:rsidR="00C94966" w:rsidRDefault="00C94966" w:rsidP="00C9496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06B">
        <w:rPr>
          <w:rFonts w:ascii="Book Antiqua" w:eastAsia="Calibri" w:hAnsi="Book Antiqua" w:cs="Arial"/>
          <w:b/>
          <w:bCs/>
          <w:color w:val="1F497D"/>
          <w:szCs w:val="24"/>
          <w:lang w:val="es-ES" w:eastAsia="es-ES"/>
        </w:rPr>
        <w:t>Movimiento de asuntos que se desjudicializan en el Tribunal de Familia 201</w:t>
      </w:r>
      <w:r w:rsidR="00C06535" w:rsidRPr="0035206B">
        <w:rPr>
          <w:rFonts w:ascii="Book Antiqua" w:eastAsia="Calibri" w:hAnsi="Book Antiqua" w:cs="Arial"/>
          <w:b/>
          <w:bCs/>
          <w:color w:val="1F497D"/>
          <w:szCs w:val="24"/>
          <w:lang w:val="es-ES" w:eastAsia="es-ES"/>
        </w:rPr>
        <w:t>7</w:t>
      </w:r>
      <w:r w:rsidRPr="0035206B">
        <w:rPr>
          <w:rFonts w:ascii="Book Antiqua" w:eastAsia="Calibri" w:hAnsi="Book Antiqua" w:cs="Arial"/>
          <w:b/>
          <w:bCs/>
          <w:color w:val="1F497D"/>
          <w:szCs w:val="24"/>
          <w:lang w:val="es-ES" w:eastAsia="es-ES"/>
        </w:rPr>
        <w:t>-20</w:t>
      </w:r>
      <w:r w:rsidR="00C06535" w:rsidRPr="0035206B">
        <w:rPr>
          <w:rFonts w:ascii="Book Antiqua" w:eastAsia="Calibri" w:hAnsi="Book Antiqua" w:cs="Arial"/>
          <w:b/>
          <w:bCs/>
          <w:color w:val="1F497D"/>
          <w:szCs w:val="24"/>
          <w:lang w:val="es-ES" w:eastAsia="es-ES"/>
        </w:rPr>
        <w:t>2</w:t>
      </w:r>
      <w:r w:rsidR="000F788B" w:rsidRPr="0035206B">
        <w:rPr>
          <w:rFonts w:ascii="Book Antiqua" w:eastAsia="Calibri" w:hAnsi="Book Antiqua" w:cs="Arial"/>
          <w:b/>
          <w:bCs/>
          <w:color w:val="1F497D"/>
          <w:szCs w:val="24"/>
          <w:lang w:val="es-ES" w:eastAsia="es-ES"/>
        </w:rPr>
        <w:t>2</w:t>
      </w:r>
    </w:p>
    <w:tbl>
      <w:tblPr>
        <w:tblW w:w="8828" w:type="dxa"/>
        <w:tblCellMar>
          <w:left w:w="70" w:type="dxa"/>
          <w:right w:w="70" w:type="dxa"/>
        </w:tblCellMar>
        <w:tblLook w:val="04A0" w:firstRow="1" w:lastRow="0" w:firstColumn="1" w:lastColumn="0" w:noHBand="0" w:noVBand="1"/>
      </w:tblPr>
      <w:tblGrid>
        <w:gridCol w:w="3878"/>
        <w:gridCol w:w="825"/>
        <w:gridCol w:w="825"/>
        <w:gridCol w:w="825"/>
        <w:gridCol w:w="825"/>
        <w:gridCol w:w="825"/>
        <w:gridCol w:w="825"/>
      </w:tblGrid>
      <w:tr w:rsidR="0035206B" w:rsidRPr="0035206B" w14:paraId="1BF99F9E" w14:textId="77777777" w:rsidTr="0035206B">
        <w:trPr>
          <w:trHeight w:val="290"/>
        </w:trPr>
        <w:tc>
          <w:tcPr>
            <w:tcW w:w="3878"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7152FA9C" w14:textId="77777777" w:rsidR="0035206B" w:rsidRPr="0035206B" w:rsidRDefault="0035206B" w:rsidP="0035206B">
            <w:pPr>
              <w:spacing w:after="0" w:line="240" w:lineRule="auto"/>
              <w:jc w:val="center"/>
              <w:rPr>
                <w:rFonts w:ascii="Book Antiqua" w:eastAsia="Times New Roman" w:hAnsi="Book Antiqua" w:cs="Calibri"/>
                <w:b/>
                <w:bCs/>
                <w:color w:val="FFFFFF"/>
                <w:sz w:val="20"/>
                <w:szCs w:val="20"/>
                <w:lang w:eastAsia="es-CR"/>
              </w:rPr>
            </w:pPr>
            <w:r w:rsidRPr="0035206B">
              <w:rPr>
                <w:rFonts w:ascii="Book Antiqua" w:eastAsia="Times New Roman" w:hAnsi="Book Antiqua" w:cs="Calibri"/>
                <w:b/>
                <w:bCs/>
                <w:color w:val="FFFFFF"/>
                <w:sz w:val="20"/>
                <w:szCs w:val="20"/>
                <w:lang w:eastAsia="es-CR"/>
              </w:rPr>
              <w:t>Variable</w:t>
            </w:r>
          </w:p>
        </w:tc>
        <w:tc>
          <w:tcPr>
            <w:tcW w:w="4950" w:type="dxa"/>
            <w:gridSpan w:val="6"/>
            <w:tcBorders>
              <w:top w:val="nil"/>
              <w:left w:val="nil"/>
              <w:bottom w:val="nil"/>
              <w:right w:val="nil"/>
            </w:tcBorders>
            <w:shd w:val="clear" w:color="000000" w:fill="002060"/>
            <w:noWrap/>
            <w:vAlign w:val="center"/>
            <w:hideMark/>
          </w:tcPr>
          <w:p w14:paraId="17651594" w14:textId="77777777" w:rsidR="0035206B" w:rsidRPr="0035206B" w:rsidRDefault="0035206B" w:rsidP="0035206B">
            <w:pPr>
              <w:spacing w:after="0" w:line="240" w:lineRule="auto"/>
              <w:jc w:val="center"/>
              <w:rPr>
                <w:rFonts w:ascii="Book Antiqua" w:eastAsia="Times New Roman" w:hAnsi="Book Antiqua" w:cs="Calibri"/>
                <w:b/>
                <w:bCs/>
                <w:color w:val="FFFFFF"/>
                <w:sz w:val="20"/>
                <w:szCs w:val="20"/>
                <w:lang w:eastAsia="es-CR"/>
              </w:rPr>
            </w:pPr>
            <w:r w:rsidRPr="0035206B">
              <w:rPr>
                <w:rFonts w:ascii="Book Antiqua" w:eastAsia="Times New Roman" w:hAnsi="Book Antiqua" w:cs="Calibri"/>
                <w:b/>
                <w:bCs/>
                <w:color w:val="FFFFFF"/>
                <w:sz w:val="20"/>
                <w:szCs w:val="20"/>
                <w:lang w:eastAsia="es-CR"/>
              </w:rPr>
              <w:t>Año</w:t>
            </w:r>
          </w:p>
        </w:tc>
      </w:tr>
      <w:tr w:rsidR="0035206B" w:rsidRPr="0035206B" w14:paraId="23A7DE2B" w14:textId="77777777" w:rsidTr="0035206B">
        <w:trPr>
          <w:trHeight w:val="300"/>
        </w:trPr>
        <w:tc>
          <w:tcPr>
            <w:tcW w:w="3878" w:type="dxa"/>
            <w:vMerge/>
            <w:tcBorders>
              <w:top w:val="single" w:sz="8" w:space="0" w:color="auto"/>
              <w:left w:val="single" w:sz="8" w:space="0" w:color="auto"/>
              <w:bottom w:val="single" w:sz="8" w:space="0" w:color="000000"/>
              <w:right w:val="single" w:sz="8" w:space="0" w:color="auto"/>
            </w:tcBorders>
            <w:vAlign w:val="center"/>
            <w:hideMark/>
          </w:tcPr>
          <w:p w14:paraId="526D2380" w14:textId="77777777" w:rsidR="0035206B" w:rsidRPr="0035206B" w:rsidRDefault="0035206B" w:rsidP="0035206B">
            <w:pPr>
              <w:spacing w:after="0" w:line="240" w:lineRule="auto"/>
              <w:rPr>
                <w:rFonts w:ascii="Book Antiqua" w:eastAsia="Times New Roman" w:hAnsi="Book Antiqua" w:cs="Calibri"/>
                <w:b/>
                <w:bCs/>
                <w:color w:val="FFFFFF"/>
                <w:sz w:val="20"/>
                <w:szCs w:val="20"/>
                <w:lang w:eastAsia="es-CR"/>
              </w:rPr>
            </w:pPr>
          </w:p>
        </w:tc>
        <w:tc>
          <w:tcPr>
            <w:tcW w:w="825" w:type="dxa"/>
            <w:tcBorders>
              <w:top w:val="nil"/>
              <w:left w:val="nil"/>
              <w:bottom w:val="single" w:sz="8" w:space="0" w:color="auto"/>
              <w:right w:val="single" w:sz="8" w:space="0" w:color="auto"/>
            </w:tcBorders>
            <w:shd w:val="clear" w:color="000000" w:fill="002060"/>
            <w:noWrap/>
            <w:vAlign w:val="center"/>
            <w:hideMark/>
          </w:tcPr>
          <w:p w14:paraId="3FF7BAB2" w14:textId="77777777" w:rsidR="0035206B" w:rsidRPr="0035206B" w:rsidRDefault="0035206B" w:rsidP="0035206B">
            <w:pPr>
              <w:spacing w:after="0" w:line="240" w:lineRule="auto"/>
              <w:jc w:val="center"/>
              <w:rPr>
                <w:rFonts w:ascii="Book Antiqua" w:eastAsia="Times New Roman" w:hAnsi="Book Antiqua" w:cs="Calibri"/>
                <w:b/>
                <w:bCs/>
                <w:color w:val="FFFFFF"/>
                <w:sz w:val="20"/>
                <w:szCs w:val="20"/>
                <w:lang w:eastAsia="es-CR"/>
              </w:rPr>
            </w:pPr>
            <w:r w:rsidRPr="0035206B">
              <w:rPr>
                <w:rFonts w:ascii="Book Antiqua" w:eastAsia="Times New Roman" w:hAnsi="Book Antiqua" w:cs="Calibri"/>
                <w:b/>
                <w:bCs/>
                <w:color w:val="FFFFFF"/>
                <w:sz w:val="20"/>
                <w:szCs w:val="20"/>
                <w:lang w:eastAsia="es-CR"/>
              </w:rPr>
              <w:t>2017</w:t>
            </w:r>
          </w:p>
        </w:tc>
        <w:tc>
          <w:tcPr>
            <w:tcW w:w="825" w:type="dxa"/>
            <w:tcBorders>
              <w:top w:val="nil"/>
              <w:left w:val="nil"/>
              <w:bottom w:val="single" w:sz="8" w:space="0" w:color="auto"/>
              <w:right w:val="single" w:sz="8" w:space="0" w:color="auto"/>
            </w:tcBorders>
            <w:shd w:val="clear" w:color="000000" w:fill="002060"/>
            <w:noWrap/>
            <w:vAlign w:val="center"/>
            <w:hideMark/>
          </w:tcPr>
          <w:p w14:paraId="1DC2064C" w14:textId="77777777" w:rsidR="0035206B" w:rsidRPr="0035206B" w:rsidRDefault="0035206B" w:rsidP="0035206B">
            <w:pPr>
              <w:spacing w:after="0" w:line="240" w:lineRule="auto"/>
              <w:jc w:val="center"/>
              <w:rPr>
                <w:rFonts w:ascii="Book Antiqua" w:eastAsia="Times New Roman" w:hAnsi="Book Antiqua" w:cs="Calibri"/>
                <w:b/>
                <w:bCs/>
                <w:color w:val="FFFFFF"/>
                <w:sz w:val="20"/>
                <w:szCs w:val="20"/>
                <w:lang w:eastAsia="es-CR"/>
              </w:rPr>
            </w:pPr>
            <w:r w:rsidRPr="0035206B">
              <w:rPr>
                <w:rFonts w:ascii="Book Antiqua" w:eastAsia="Times New Roman" w:hAnsi="Book Antiqua" w:cs="Calibri"/>
                <w:b/>
                <w:bCs/>
                <w:color w:val="FFFFFF"/>
                <w:sz w:val="20"/>
                <w:szCs w:val="20"/>
                <w:lang w:eastAsia="es-CR"/>
              </w:rPr>
              <w:t>2018</w:t>
            </w:r>
          </w:p>
        </w:tc>
        <w:tc>
          <w:tcPr>
            <w:tcW w:w="825" w:type="dxa"/>
            <w:tcBorders>
              <w:top w:val="nil"/>
              <w:left w:val="nil"/>
              <w:bottom w:val="single" w:sz="8" w:space="0" w:color="auto"/>
              <w:right w:val="single" w:sz="8" w:space="0" w:color="auto"/>
            </w:tcBorders>
            <w:shd w:val="clear" w:color="000000" w:fill="002060"/>
            <w:noWrap/>
            <w:vAlign w:val="center"/>
            <w:hideMark/>
          </w:tcPr>
          <w:p w14:paraId="37785DF6" w14:textId="77777777" w:rsidR="0035206B" w:rsidRPr="0035206B" w:rsidRDefault="0035206B" w:rsidP="0035206B">
            <w:pPr>
              <w:spacing w:after="0" w:line="240" w:lineRule="auto"/>
              <w:jc w:val="center"/>
              <w:rPr>
                <w:rFonts w:ascii="Book Antiqua" w:eastAsia="Times New Roman" w:hAnsi="Book Antiqua" w:cs="Calibri"/>
                <w:b/>
                <w:bCs/>
                <w:color w:val="FFFFFF"/>
                <w:sz w:val="20"/>
                <w:szCs w:val="20"/>
                <w:lang w:eastAsia="es-CR"/>
              </w:rPr>
            </w:pPr>
            <w:r w:rsidRPr="0035206B">
              <w:rPr>
                <w:rFonts w:ascii="Book Antiqua" w:eastAsia="Times New Roman" w:hAnsi="Book Antiqua" w:cs="Calibri"/>
                <w:b/>
                <w:bCs/>
                <w:color w:val="FFFFFF"/>
                <w:sz w:val="20"/>
                <w:szCs w:val="20"/>
                <w:lang w:eastAsia="es-CR"/>
              </w:rPr>
              <w:t>2019</w:t>
            </w:r>
          </w:p>
        </w:tc>
        <w:tc>
          <w:tcPr>
            <w:tcW w:w="825" w:type="dxa"/>
            <w:tcBorders>
              <w:top w:val="nil"/>
              <w:left w:val="nil"/>
              <w:bottom w:val="single" w:sz="8" w:space="0" w:color="auto"/>
              <w:right w:val="single" w:sz="8" w:space="0" w:color="auto"/>
            </w:tcBorders>
            <w:shd w:val="clear" w:color="000000" w:fill="002060"/>
            <w:noWrap/>
            <w:vAlign w:val="center"/>
            <w:hideMark/>
          </w:tcPr>
          <w:p w14:paraId="1FB983BB" w14:textId="77777777" w:rsidR="0035206B" w:rsidRPr="0035206B" w:rsidRDefault="0035206B" w:rsidP="0035206B">
            <w:pPr>
              <w:spacing w:after="0" w:line="240" w:lineRule="auto"/>
              <w:jc w:val="center"/>
              <w:rPr>
                <w:rFonts w:ascii="Book Antiqua" w:eastAsia="Times New Roman" w:hAnsi="Book Antiqua" w:cs="Calibri"/>
                <w:b/>
                <w:bCs/>
                <w:color w:val="FFFFFF"/>
                <w:sz w:val="20"/>
                <w:szCs w:val="20"/>
                <w:lang w:eastAsia="es-CR"/>
              </w:rPr>
            </w:pPr>
            <w:r w:rsidRPr="0035206B">
              <w:rPr>
                <w:rFonts w:ascii="Book Antiqua" w:eastAsia="Times New Roman" w:hAnsi="Book Antiqua" w:cs="Calibri"/>
                <w:b/>
                <w:bCs/>
                <w:color w:val="FFFFFF"/>
                <w:sz w:val="20"/>
                <w:szCs w:val="20"/>
                <w:lang w:eastAsia="es-CR"/>
              </w:rPr>
              <w:t>2020</w:t>
            </w:r>
          </w:p>
        </w:tc>
        <w:tc>
          <w:tcPr>
            <w:tcW w:w="825" w:type="dxa"/>
            <w:tcBorders>
              <w:top w:val="nil"/>
              <w:left w:val="nil"/>
              <w:bottom w:val="single" w:sz="8" w:space="0" w:color="auto"/>
              <w:right w:val="single" w:sz="8" w:space="0" w:color="auto"/>
            </w:tcBorders>
            <w:shd w:val="clear" w:color="000000" w:fill="002060"/>
            <w:noWrap/>
            <w:vAlign w:val="center"/>
            <w:hideMark/>
          </w:tcPr>
          <w:p w14:paraId="2AFF5CD9" w14:textId="77777777" w:rsidR="0035206B" w:rsidRPr="0035206B" w:rsidRDefault="0035206B" w:rsidP="0035206B">
            <w:pPr>
              <w:spacing w:after="0" w:line="240" w:lineRule="auto"/>
              <w:jc w:val="center"/>
              <w:rPr>
                <w:rFonts w:ascii="Book Antiqua" w:eastAsia="Times New Roman" w:hAnsi="Book Antiqua" w:cs="Calibri"/>
                <w:b/>
                <w:bCs/>
                <w:color w:val="FFFFFF"/>
                <w:sz w:val="20"/>
                <w:szCs w:val="20"/>
                <w:lang w:eastAsia="es-CR"/>
              </w:rPr>
            </w:pPr>
            <w:r w:rsidRPr="0035206B">
              <w:rPr>
                <w:rFonts w:ascii="Book Antiqua" w:eastAsia="Times New Roman" w:hAnsi="Book Antiqua" w:cs="Calibri"/>
                <w:b/>
                <w:bCs/>
                <w:color w:val="FFFFFF"/>
                <w:sz w:val="20"/>
                <w:szCs w:val="20"/>
                <w:lang w:eastAsia="es-CR"/>
              </w:rPr>
              <w:t>2021</w:t>
            </w:r>
          </w:p>
        </w:tc>
        <w:tc>
          <w:tcPr>
            <w:tcW w:w="825" w:type="dxa"/>
            <w:tcBorders>
              <w:top w:val="nil"/>
              <w:left w:val="nil"/>
              <w:bottom w:val="single" w:sz="8" w:space="0" w:color="auto"/>
              <w:right w:val="single" w:sz="8" w:space="0" w:color="auto"/>
            </w:tcBorders>
            <w:shd w:val="clear" w:color="000000" w:fill="002060"/>
            <w:noWrap/>
            <w:vAlign w:val="center"/>
            <w:hideMark/>
          </w:tcPr>
          <w:p w14:paraId="2199C85A" w14:textId="77777777" w:rsidR="0035206B" w:rsidRPr="0035206B" w:rsidRDefault="0035206B" w:rsidP="0035206B">
            <w:pPr>
              <w:spacing w:after="0" w:line="240" w:lineRule="auto"/>
              <w:jc w:val="center"/>
              <w:rPr>
                <w:rFonts w:ascii="Book Antiqua" w:eastAsia="Times New Roman" w:hAnsi="Book Antiqua" w:cs="Calibri"/>
                <w:b/>
                <w:bCs/>
                <w:color w:val="FFFFFF"/>
                <w:sz w:val="20"/>
                <w:szCs w:val="20"/>
                <w:lang w:eastAsia="es-CR"/>
              </w:rPr>
            </w:pPr>
            <w:r w:rsidRPr="0035206B">
              <w:rPr>
                <w:rFonts w:ascii="Book Antiqua" w:eastAsia="Times New Roman" w:hAnsi="Book Antiqua" w:cs="Calibri"/>
                <w:b/>
                <w:bCs/>
                <w:color w:val="FFFFFF"/>
                <w:sz w:val="20"/>
                <w:szCs w:val="20"/>
                <w:lang w:eastAsia="es-CR"/>
              </w:rPr>
              <w:t>2022</w:t>
            </w:r>
          </w:p>
        </w:tc>
      </w:tr>
      <w:tr w:rsidR="0035206B" w:rsidRPr="0035206B" w14:paraId="59B8EAD4" w14:textId="77777777" w:rsidTr="0035206B">
        <w:trPr>
          <w:trHeight w:val="960"/>
        </w:trPr>
        <w:tc>
          <w:tcPr>
            <w:tcW w:w="3878" w:type="dxa"/>
            <w:tcBorders>
              <w:top w:val="nil"/>
              <w:left w:val="single" w:sz="8" w:space="0" w:color="auto"/>
              <w:bottom w:val="single" w:sz="8" w:space="0" w:color="auto"/>
              <w:right w:val="single" w:sz="8" w:space="0" w:color="auto"/>
            </w:tcBorders>
            <w:shd w:val="clear" w:color="000000" w:fill="FFFFFF"/>
            <w:vAlign w:val="center"/>
            <w:hideMark/>
          </w:tcPr>
          <w:p w14:paraId="7A02D74F" w14:textId="77777777" w:rsidR="0035206B" w:rsidRPr="0035206B" w:rsidRDefault="0035206B" w:rsidP="0035206B">
            <w:pPr>
              <w:spacing w:after="0" w:line="240" w:lineRule="auto"/>
              <w:jc w:val="both"/>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Total de asuntos entrados al Tribunal de Familia (incluye Violencia Doméstica)</w:t>
            </w:r>
          </w:p>
        </w:tc>
        <w:tc>
          <w:tcPr>
            <w:tcW w:w="825" w:type="dxa"/>
            <w:tcBorders>
              <w:top w:val="nil"/>
              <w:left w:val="nil"/>
              <w:bottom w:val="single" w:sz="8" w:space="0" w:color="auto"/>
              <w:right w:val="single" w:sz="8" w:space="0" w:color="auto"/>
            </w:tcBorders>
            <w:shd w:val="clear" w:color="000000" w:fill="FFFFFF"/>
            <w:noWrap/>
            <w:vAlign w:val="center"/>
            <w:hideMark/>
          </w:tcPr>
          <w:p w14:paraId="5A0ADAAC"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1837</w:t>
            </w:r>
          </w:p>
        </w:tc>
        <w:tc>
          <w:tcPr>
            <w:tcW w:w="825" w:type="dxa"/>
            <w:tcBorders>
              <w:top w:val="nil"/>
              <w:left w:val="nil"/>
              <w:bottom w:val="single" w:sz="8" w:space="0" w:color="auto"/>
              <w:right w:val="single" w:sz="8" w:space="0" w:color="auto"/>
            </w:tcBorders>
            <w:shd w:val="clear" w:color="000000" w:fill="FFFFFF"/>
            <w:noWrap/>
            <w:vAlign w:val="center"/>
            <w:hideMark/>
          </w:tcPr>
          <w:p w14:paraId="6D73E4C1"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1772</w:t>
            </w:r>
          </w:p>
        </w:tc>
        <w:tc>
          <w:tcPr>
            <w:tcW w:w="825" w:type="dxa"/>
            <w:tcBorders>
              <w:top w:val="nil"/>
              <w:left w:val="nil"/>
              <w:bottom w:val="single" w:sz="8" w:space="0" w:color="auto"/>
              <w:right w:val="single" w:sz="8" w:space="0" w:color="auto"/>
            </w:tcBorders>
            <w:shd w:val="clear" w:color="auto" w:fill="auto"/>
            <w:noWrap/>
            <w:vAlign w:val="center"/>
            <w:hideMark/>
          </w:tcPr>
          <w:p w14:paraId="121BAC03"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1892</w:t>
            </w:r>
          </w:p>
        </w:tc>
        <w:tc>
          <w:tcPr>
            <w:tcW w:w="825" w:type="dxa"/>
            <w:tcBorders>
              <w:top w:val="nil"/>
              <w:left w:val="nil"/>
              <w:bottom w:val="single" w:sz="8" w:space="0" w:color="auto"/>
              <w:right w:val="single" w:sz="8" w:space="0" w:color="auto"/>
            </w:tcBorders>
            <w:shd w:val="clear" w:color="000000" w:fill="FFFFFF"/>
            <w:noWrap/>
            <w:vAlign w:val="center"/>
            <w:hideMark/>
          </w:tcPr>
          <w:p w14:paraId="4AA2B825"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1655</w:t>
            </w:r>
          </w:p>
        </w:tc>
        <w:tc>
          <w:tcPr>
            <w:tcW w:w="825" w:type="dxa"/>
            <w:tcBorders>
              <w:top w:val="nil"/>
              <w:left w:val="nil"/>
              <w:bottom w:val="single" w:sz="8" w:space="0" w:color="auto"/>
              <w:right w:val="single" w:sz="8" w:space="0" w:color="auto"/>
            </w:tcBorders>
            <w:shd w:val="clear" w:color="auto" w:fill="auto"/>
            <w:noWrap/>
            <w:vAlign w:val="center"/>
            <w:hideMark/>
          </w:tcPr>
          <w:p w14:paraId="5F7F411A"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1963</w:t>
            </w:r>
          </w:p>
        </w:tc>
        <w:tc>
          <w:tcPr>
            <w:tcW w:w="825" w:type="dxa"/>
            <w:tcBorders>
              <w:top w:val="nil"/>
              <w:left w:val="nil"/>
              <w:bottom w:val="single" w:sz="8" w:space="0" w:color="auto"/>
              <w:right w:val="single" w:sz="8" w:space="0" w:color="auto"/>
            </w:tcBorders>
            <w:shd w:val="clear" w:color="auto" w:fill="auto"/>
            <w:noWrap/>
            <w:vAlign w:val="center"/>
            <w:hideMark/>
          </w:tcPr>
          <w:p w14:paraId="2FF15E3C"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1976</w:t>
            </w:r>
          </w:p>
        </w:tc>
      </w:tr>
      <w:tr w:rsidR="0035206B" w:rsidRPr="0035206B" w14:paraId="78F980AE" w14:textId="77777777" w:rsidTr="0035206B">
        <w:trPr>
          <w:trHeight w:val="620"/>
        </w:trPr>
        <w:tc>
          <w:tcPr>
            <w:tcW w:w="3878" w:type="dxa"/>
            <w:tcBorders>
              <w:top w:val="nil"/>
              <w:left w:val="single" w:sz="8" w:space="0" w:color="auto"/>
              <w:bottom w:val="single" w:sz="8" w:space="0" w:color="auto"/>
              <w:right w:val="single" w:sz="8" w:space="0" w:color="auto"/>
            </w:tcBorders>
            <w:shd w:val="clear" w:color="000000" w:fill="FFFFFF"/>
            <w:vAlign w:val="center"/>
            <w:hideMark/>
          </w:tcPr>
          <w:p w14:paraId="2615A859" w14:textId="77777777" w:rsidR="0035206B" w:rsidRPr="0035206B" w:rsidRDefault="0035206B" w:rsidP="0035206B">
            <w:pPr>
              <w:spacing w:after="0" w:line="240" w:lineRule="auto"/>
              <w:jc w:val="both"/>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Total de apelaciones de procesos que se desjudicializan</w:t>
            </w:r>
          </w:p>
        </w:tc>
        <w:tc>
          <w:tcPr>
            <w:tcW w:w="825" w:type="dxa"/>
            <w:tcBorders>
              <w:top w:val="nil"/>
              <w:left w:val="nil"/>
              <w:bottom w:val="single" w:sz="8" w:space="0" w:color="auto"/>
              <w:right w:val="single" w:sz="8" w:space="0" w:color="auto"/>
            </w:tcBorders>
            <w:shd w:val="clear" w:color="000000" w:fill="FFFFFF"/>
            <w:noWrap/>
            <w:vAlign w:val="center"/>
            <w:hideMark/>
          </w:tcPr>
          <w:p w14:paraId="27E8364D"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8</w:t>
            </w:r>
          </w:p>
        </w:tc>
        <w:tc>
          <w:tcPr>
            <w:tcW w:w="825" w:type="dxa"/>
            <w:tcBorders>
              <w:top w:val="nil"/>
              <w:left w:val="nil"/>
              <w:bottom w:val="single" w:sz="8" w:space="0" w:color="auto"/>
              <w:right w:val="single" w:sz="8" w:space="0" w:color="auto"/>
            </w:tcBorders>
            <w:shd w:val="clear" w:color="000000" w:fill="FFFFFF"/>
            <w:noWrap/>
            <w:vAlign w:val="center"/>
            <w:hideMark/>
          </w:tcPr>
          <w:p w14:paraId="1277E4E4"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8</w:t>
            </w:r>
          </w:p>
        </w:tc>
        <w:tc>
          <w:tcPr>
            <w:tcW w:w="825" w:type="dxa"/>
            <w:tcBorders>
              <w:top w:val="nil"/>
              <w:left w:val="nil"/>
              <w:bottom w:val="single" w:sz="8" w:space="0" w:color="auto"/>
              <w:right w:val="single" w:sz="8" w:space="0" w:color="auto"/>
            </w:tcBorders>
            <w:shd w:val="clear" w:color="auto" w:fill="auto"/>
            <w:noWrap/>
            <w:vAlign w:val="center"/>
            <w:hideMark/>
          </w:tcPr>
          <w:p w14:paraId="1C94CC28"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9</w:t>
            </w:r>
          </w:p>
        </w:tc>
        <w:tc>
          <w:tcPr>
            <w:tcW w:w="825" w:type="dxa"/>
            <w:tcBorders>
              <w:top w:val="nil"/>
              <w:left w:val="nil"/>
              <w:bottom w:val="single" w:sz="8" w:space="0" w:color="auto"/>
              <w:right w:val="single" w:sz="8" w:space="0" w:color="auto"/>
            </w:tcBorders>
            <w:shd w:val="clear" w:color="000000" w:fill="FFFFFF"/>
            <w:noWrap/>
            <w:vAlign w:val="center"/>
            <w:hideMark/>
          </w:tcPr>
          <w:p w14:paraId="1368DF65"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5</w:t>
            </w:r>
          </w:p>
        </w:tc>
        <w:tc>
          <w:tcPr>
            <w:tcW w:w="825" w:type="dxa"/>
            <w:tcBorders>
              <w:top w:val="nil"/>
              <w:left w:val="nil"/>
              <w:bottom w:val="single" w:sz="8" w:space="0" w:color="auto"/>
              <w:right w:val="single" w:sz="8" w:space="0" w:color="auto"/>
            </w:tcBorders>
            <w:shd w:val="clear" w:color="auto" w:fill="auto"/>
            <w:noWrap/>
            <w:vAlign w:val="center"/>
            <w:hideMark/>
          </w:tcPr>
          <w:p w14:paraId="394ED665"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12</w:t>
            </w:r>
          </w:p>
        </w:tc>
        <w:tc>
          <w:tcPr>
            <w:tcW w:w="825" w:type="dxa"/>
            <w:tcBorders>
              <w:top w:val="nil"/>
              <w:left w:val="nil"/>
              <w:bottom w:val="single" w:sz="8" w:space="0" w:color="auto"/>
              <w:right w:val="single" w:sz="8" w:space="0" w:color="auto"/>
            </w:tcBorders>
            <w:shd w:val="clear" w:color="auto" w:fill="auto"/>
            <w:noWrap/>
            <w:vAlign w:val="center"/>
            <w:hideMark/>
          </w:tcPr>
          <w:p w14:paraId="2083BD15"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62</w:t>
            </w:r>
          </w:p>
        </w:tc>
      </w:tr>
      <w:tr w:rsidR="0035206B" w:rsidRPr="0035206B" w14:paraId="4290C023" w14:textId="77777777" w:rsidTr="0035206B">
        <w:trPr>
          <w:trHeight w:val="930"/>
        </w:trPr>
        <w:tc>
          <w:tcPr>
            <w:tcW w:w="3878" w:type="dxa"/>
            <w:tcBorders>
              <w:top w:val="nil"/>
              <w:left w:val="single" w:sz="8" w:space="0" w:color="auto"/>
              <w:bottom w:val="single" w:sz="8" w:space="0" w:color="auto"/>
              <w:right w:val="single" w:sz="8" w:space="0" w:color="auto"/>
            </w:tcBorders>
            <w:shd w:val="clear" w:color="000000" w:fill="FFFFFF"/>
            <w:vAlign w:val="center"/>
            <w:hideMark/>
          </w:tcPr>
          <w:p w14:paraId="16CA79F1" w14:textId="77777777" w:rsidR="0035206B" w:rsidRPr="0035206B" w:rsidRDefault="0035206B" w:rsidP="0035206B">
            <w:pPr>
              <w:spacing w:after="0" w:line="240" w:lineRule="auto"/>
              <w:jc w:val="both"/>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Promedio de entrada mensual de apelaciones de procesos que se desjudicializan</w:t>
            </w:r>
          </w:p>
        </w:tc>
        <w:tc>
          <w:tcPr>
            <w:tcW w:w="825" w:type="dxa"/>
            <w:tcBorders>
              <w:top w:val="nil"/>
              <w:left w:val="nil"/>
              <w:bottom w:val="single" w:sz="8" w:space="0" w:color="auto"/>
              <w:right w:val="single" w:sz="8" w:space="0" w:color="auto"/>
            </w:tcBorders>
            <w:shd w:val="clear" w:color="000000" w:fill="FFFFFF"/>
            <w:noWrap/>
            <w:vAlign w:val="center"/>
            <w:hideMark/>
          </w:tcPr>
          <w:p w14:paraId="70B4C739"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w:t>
            </w:r>
          </w:p>
        </w:tc>
        <w:tc>
          <w:tcPr>
            <w:tcW w:w="825" w:type="dxa"/>
            <w:tcBorders>
              <w:top w:val="nil"/>
              <w:left w:val="nil"/>
              <w:bottom w:val="single" w:sz="8" w:space="0" w:color="auto"/>
              <w:right w:val="single" w:sz="8" w:space="0" w:color="auto"/>
            </w:tcBorders>
            <w:shd w:val="clear" w:color="000000" w:fill="FFFFFF"/>
            <w:noWrap/>
            <w:vAlign w:val="center"/>
            <w:hideMark/>
          </w:tcPr>
          <w:p w14:paraId="624BCA25"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w:t>
            </w:r>
          </w:p>
        </w:tc>
        <w:tc>
          <w:tcPr>
            <w:tcW w:w="825" w:type="dxa"/>
            <w:tcBorders>
              <w:top w:val="nil"/>
              <w:left w:val="nil"/>
              <w:bottom w:val="single" w:sz="8" w:space="0" w:color="auto"/>
              <w:right w:val="single" w:sz="8" w:space="0" w:color="auto"/>
            </w:tcBorders>
            <w:shd w:val="clear" w:color="000000" w:fill="FFFFFF"/>
            <w:noWrap/>
            <w:vAlign w:val="center"/>
            <w:hideMark/>
          </w:tcPr>
          <w:p w14:paraId="1096D1C6"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w:t>
            </w:r>
          </w:p>
        </w:tc>
        <w:tc>
          <w:tcPr>
            <w:tcW w:w="825" w:type="dxa"/>
            <w:tcBorders>
              <w:top w:val="nil"/>
              <w:left w:val="nil"/>
              <w:bottom w:val="single" w:sz="8" w:space="0" w:color="auto"/>
              <w:right w:val="single" w:sz="8" w:space="0" w:color="auto"/>
            </w:tcBorders>
            <w:shd w:val="clear" w:color="000000" w:fill="FFFFFF"/>
            <w:noWrap/>
            <w:vAlign w:val="center"/>
            <w:hideMark/>
          </w:tcPr>
          <w:p w14:paraId="04FA54BA"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0,41</w:t>
            </w:r>
          </w:p>
        </w:tc>
        <w:tc>
          <w:tcPr>
            <w:tcW w:w="825" w:type="dxa"/>
            <w:tcBorders>
              <w:top w:val="nil"/>
              <w:left w:val="nil"/>
              <w:bottom w:val="single" w:sz="8" w:space="0" w:color="auto"/>
              <w:right w:val="single" w:sz="8" w:space="0" w:color="auto"/>
            </w:tcBorders>
            <w:shd w:val="clear" w:color="000000" w:fill="FFFFFF"/>
            <w:noWrap/>
            <w:vAlign w:val="center"/>
            <w:hideMark/>
          </w:tcPr>
          <w:p w14:paraId="1291151A"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1</w:t>
            </w:r>
          </w:p>
        </w:tc>
        <w:tc>
          <w:tcPr>
            <w:tcW w:w="825" w:type="dxa"/>
            <w:tcBorders>
              <w:top w:val="nil"/>
              <w:left w:val="nil"/>
              <w:bottom w:val="single" w:sz="8" w:space="0" w:color="auto"/>
              <w:right w:val="single" w:sz="8" w:space="0" w:color="auto"/>
            </w:tcBorders>
            <w:shd w:val="clear" w:color="000000" w:fill="FFFFFF"/>
            <w:noWrap/>
            <w:vAlign w:val="center"/>
            <w:hideMark/>
          </w:tcPr>
          <w:p w14:paraId="62E33C64"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6</w:t>
            </w:r>
          </w:p>
        </w:tc>
      </w:tr>
      <w:tr w:rsidR="0035206B" w:rsidRPr="0035206B" w14:paraId="76604F8B" w14:textId="77777777" w:rsidTr="0035206B">
        <w:trPr>
          <w:trHeight w:val="980"/>
        </w:trPr>
        <w:tc>
          <w:tcPr>
            <w:tcW w:w="3878" w:type="dxa"/>
            <w:tcBorders>
              <w:top w:val="nil"/>
              <w:left w:val="single" w:sz="8" w:space="0" w:color="auto"/>
              <w:bottom w:val="single" w:sz="8" w:space="0" w:color="auto"/>
              <w:right w:val="single" w:sz="8" w:space="0" w:color="auto"/>
            </w:tcBorders>
            <w:shd w:val="clear" w:color="000000" w:fill="FFFFFF"/>
            <w:vAlign w:val="center"/>
            <w:hideMark/>
          </w:tcPr>
          <w:p w14:paraId="4627E990" w14:textId="77777777" w:rsidR="0035206B" w:rsidRPr="0035206B" w:rsidRDefault="0035206B" w:rsidP="0035206B">
            <w:pPr>
              <w:spacing w:after="0" w:line="240" w:lineRule="auto"/>
              <w:jc w:val="both"/>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Promedio mensual estimado de apelaciones de procesos que se desjudicializan</w:t>
            </w:r>
          </w:p>
        </w:tc>
        <w:tc>
          <w:tcPr>
            <w:tcW w:w="4950" w:type="dxa"/>
            <w:gridSpan w:val="6"/>
            <w:tcBorders>
              <w:top w:val="single" w:sz="8" w:space="0" w:color="auto"/>
              <w:left w:val="nil"/>
              <w:bottom w:val="single" w:sz="8" w:space="0" w:color="auto"/>
              <w:right w:val="single" w:sz="8" w:space="0" w:color="000000"/>
            </w:tcBorders>
            <w:shd w:val="clear" w:color="000000" w:fill="FFFFFF"/>
            <w:noWrap/>
            <w:vAlign w:val="center"/>
            <w:hideMark/>
          </w:tcPr>
          <w:p w14:paraId="043813E8" w14:textId="77777777" w:rsidR="0035206B" w:rsidRPr="0035206B" w:rsidRDefault="0035206B" w:rsidP="0035206B">
            <w:pPr>
              <w:spacing w:after="0" w:line="240" w:lineRule="auto"/>
              <w:jc w:val="center"/>
              <w:rPr>
                <w:rFonts w:ascii="Book Antiqua" w:eastAsia="Times New Roman" w:hAnsi="Book Antiqua" w:cs="Calibri"/>
                <w:b/>
                <w:bCs/>
                <w:color w:val="000000"/>
                <w:sz w:val="20"/>
                <w:szCs w:val="20"/>
                <w:lang w:eastAsia="es-CR"/>
              </w:rPr>
            </w:pPr>
            <w:r w:rsidRPr="0035206B">
              <w:rPr>
                <w:rFonts w:ascii="Book Antiqua" w:eastAsia="Times New Roman" w:hAnsi="Book Antiqua" w:cs="Calibri"/>
                <w:b/>
                <w:bCs/>
                <w:color w:val="000000"/>
                <w:sz w:val="20"/>
                <w:szCs w:val="20"/>
                <w:lang w:eastAsia="es-CR"/>
              </w:rPr>
              <w:t>2</w:t>
            </w:r>
          </w:p>
        </w:tc>
      </w:tr>
      <w:tr w:rsidR="0035206B" w:rsidRPr="0035206B" w14:paraId="56BB223C" w14:textId="77777777" w:rsidTr="0035206B">
        <w:trPr>
          <w:trHeight w:val="620"/>
        </w:trPr>
        <w:tc>
          <w:tcPr>
            <w:tcW w:w="3878" w:type="dxa"/>
            <w:tcBorders>
              <w:top w:val="nil"/>
              <w:left w:val="single" w:sz="8" w:space="0" w:color="auto"/>
              <w:bottom w:val="single" w:sz="8" w:space="0" w:color="auto"/>
              <w:right w:val="single" w:sz="8" w:space="0" w:color="auto"/>
            </w:tcBorders>
            <w:shd w:val="clear" w:color="000000" w:fill="FFFFFF"/>
            <w:vAlign w:val="center"/>
            <w:hideMark/>
          </w:tcPr>
          <w:p w14:paraId="67D88466" w14:textId="77777777" w:rsidR="0035206B" w:rsidRPr="0035206B" w:rsidRDefault="0035206B" w:rsidP="0035206B">
            <w:pPr>
              <w:spacing w:after="0" w:line="240" w:lineRule="auto"/>
              <w:jc w:val="both"/>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Porcentaje anual de apelaciones de procesos que se desjudicializan</w:t>
            </w:r>
          </w:p>
        </w:tc>
        <w:tc>
          <w:tcPr>
            <w:tcW w:w="825" w:type="dxa"/>
            <w:tcBorders>
              <w:top w:val="nil"/>
              <w:left w:val="nil"/>
              <w:bottom w:val="single" w:sz="8" w:space="0" w:color="auto"/>
              <w:right w:val="single" w:sz="8" w:space="0" w:color="auto"/>
            </w:tcBorders>
            <w:shd w:val="clear" w:color="000000" w:fill="FFFFFF"/>
            <w:noWrap/>
            <w:vAlign w:val="center"/>
            <w:hideMark/>
          </w:tcPr>
          <w:p w14:paraId="785C3576"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0,4%</w:t>
            </w:r>
          </w:p>
        </w:tc>
        <w:tc>
          <w:tcPr>
            <w:tcW w:w="825" w:type="dxa"/>
            <w:tcBorders>
              <w:top w:val="nil"/>
              <w:left w:val="nil"/>
              <w:bottom w:val="single" w:sz="8" w:space="0" w:color="auto"/>
              <w:right w:val="single" w:sz="8" w:space="0" w:color="auto"/>
            </w:tcBorders>
            <w:shd w:val="clear" w:color="000000" w:fill="FFFFFF"/>
            <w:noWrap/>
            <w:vAlign w:val="center"/>
            <w:hideMark/>
          </w:tcPr>
          <w:p w14:paraId="047BEC1A"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0,4%</w:t>
            </w:r>
          </w:p>
        </w:tc>
        <w:tc>
          <w:tcPr>
            <w:tcW w:w="825" w:type="dxa"/>
            <w:tcBorders>
              <w:top w:val="nil"/>
              <w:left w:val="nil"/>
              <w:bottom w:val="single" w:sz="8" w:space="0" w:color="auto"/>
              <w:right w:val="single" w:sz="8" w:space="0" w:color="auto"/>
            </w:tcBorders>
            <w:shd w:val="clear" w:color="000000" w:fill="FFFFFF"/>
            <w:noWrap/>
            <w:vAlign w:val="center"/>
            <w:hideMark/>
          </w:tcPr>
          <w:p w14:paraId="211D5B38"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0,5%</w:t>
            </w:r>
          </w:p>
        </w:tc>
        <w:tc>
          <w:tcPr>
            <w:tcW w:w="825" w:type="dxa"/>
            <w:tcBorders>
              <w:top w:val="nil"/>
              <w:left w:val="nil"/>
              <w:bottom w:val="single" w:sz="8" w:space="0" w:color="auto"/>
              <w:right w:val="single" w:sz="8" w:space="0" w:color="auto"/>
            </w:tcBorders>
            <w:shd w:val="clear" w:color="000000" w:fill="FFFFFF"/>
            <w:noWrap/>
            <w:vAlign w:val="center"/>
            <w:hideMark/>
          </w:tcPr>
          <w:p w14:paraId="7E41288A"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0,3%</w:t>
            </w:r>
          </w:p>
        </w:tc>
        <w:tc>
          <w:tcPr>
            <w:tcW w:w="825" w:type="dxa"/>
            <w:tcBorders>
              <w:top w:val="nil"/>
              <w:left w:val="nil"/>
              <w:bottom w:val="single" w:sz="8" w:space="0" w:color="auto"/>
              <w:right w:val="single" w:sz="8" w:space="0" w:color="auto"/>
            </w:tcBorders>
            <w:shd w:val="clear" w:color="000000" w:fill="FFFFFF"/>
            <w:noWrap/>
            <w:vAlign w:val="center"/>
            <w:hideMark/>
          </w:tcPr>
          <w:p w14:paraId="24BD34FD"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0,6%</w:t>
            </w:r>
          </w:p>
        </w:tc>
        <w:tc>
          <w:tcPr>
            <w:tcW w:w="825" w:type="dxa"/>
            <w:tcBorders>
              <w:top w:val="nil"/>
              <w:left w:val="nil"/>
              <w:bottom w:val="single" w:sz="8" w:space="0" w:color="auto"/>
              <w:right w:val="single" w:sz="8" w:space="0" w:color="auto"/>
            </w:tcBorders>
            <w:shd w:val="clear" w:color="000000" w:fill="FFFFFF"/>
            <w:noWrap/>
            <w:vAlign w:val="center"/>
            <w:hideMark/>
          </w:tcPr>
          <w:p w14:paraId="09A69552" w14:textId="77777777" w:rsidR="0035206B" w:rsidRPr="0035206B" w:rsidRDefault="0035206B" w:rsidP="0035206B">
            <w:pPr>
              <w:spacing w:after="0" w:line="240" w:lineRule="auto"/>
              <w:jc w:val="center"/>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3,1%</w:t>
            </w:r>
          </w:p>
        </w:tc>
      </w:tr>
      <w:tr w:rsidR="0035206B" w:rsidRPr="0035206B" w14:paraId="08528DAE" w14:textId="77777777" w:rsidTr="0035206B">
        <w:trPr>
          <w:trHeight w:val="920"/>
        </w:trPr>
        <w:tc>
          <w:tcPr>
            <w:tcW w:w="3878" w:type="dxa"/>
            <w:tcBorders>
              <w:top w:val="nil"/>
              <w:left w:val="single" w:sz="8" w:space="0" w:color="auto"/>
              <w:bottom w:val="single" w:sz="8" w:space="0" w:color="auto"/>
              <w:right w:val="single" w:sz="8" w:space="0" w:color="auto"/>
            </w:tcBorders>
            <w:shd w:val="clear" w:color="000000" w:fill="FFFFFF"/>
            <w:vAlign w:val="center"/>
            <w:hideMark/>
          </w:tcPr>
          <w:p w14:paraId="641D4185" w14:textId="77777777" w:rsidR="0035206B" w:rsidRPr="0035206B" w:rsidRDefault="0035206B" w:rsidP="0035206B">
            <w:pPr>
              <w:spacing w:after="0" w:line="240" w:lineRule="auto"/>
              <w:jc w:val="both"/>
              <w:rPr>
                <w:rFonts w:ascii="Book Antiqua" w:eastAsia="Times New Roman" w:hAnsi="Book Antiqua" w:cs="Calibri"/>
                <w:color w:val="000000"/>
                <w:sz w:val="20"/>
                <w:szCs w:val="20"/>
                <w:lang w:eastAsia="es-CR"/>
              </w:rPr>
            </w:pPr>
            <w:r w:rsidRPr="0035206B">
              <w:rPr>
                <w:rFonts w:ascii="Book Antiqua" w:eastAsia="Times New Roman" w:hAnsi="Book Antiqua" w:cs="Calibri"/>
                <w:color w:val="000000"/>
                <w:sz w:val="20"/>
                <w:szCs w:val="20"/>
                <w:lang w:eastAsia="es-CR"/>
              </w:rPr>
              <w:t>Promedio de porcentaje anual de apelaciones de procesos que se desjudicializan</w:t>
            </w:r>
          </w:p>
        </w:tc>
        <w:tc>
          <w:tcPr>
            <w:tcW w:w="4950" w:type="dxa"/>
            <w:gridSpan w:val="6"/>
            <w:tcBorders>
              <w:top w:val="single" w:sz="8" w:space="0" w:color="auto"/>
              <w:left w:val="nil"/>
              <w:bottom w:val="single" w:sz="8" w:space="0" w:color="auto"/>
              <w:right w:val="single" w:sz="8" w:space="0" w:color="000000"/>
            </w:tcBorders>
            <w:shd w:val="clear" w:color="000000" w:fill="FFFFFF"/>
            <w:noWrap/>
            <w:vAlign w:val="center"/>
            <w:hideMark/>
          </w:tcPr>
          <w:p w14:paraId="51677078" w14:textId="77777777" w:rsidR="0035206B" w:rsidRPr="0035206B" w:rsidRDefault="0035206B" w:rsidP="0035206B">
            <w:pPr>
              <w:spacing w:after="0" w:line="240" w:lineRule="auto"/>
              <w:jc w:val="center"/>
              <w:rPr>
                <w:rFonts w:ascii="Book Antiqua" w:eastAsia="Times New Roman" w:hAnsi="Book Antiqua" w:cs="Calibri"/>
                <w:b/>
                <w:bCs/>
                <w:color w:val="000000"/>
                <w:sz w:val="20"/>
                <w:szCs w:val="20"/>
                <w:lang w:eastAsia="es-CR"/>
              </w:rPr>
            </w:pPr>
            <w:r w:rsidRPr="0035206B">
              <w:rPr>
                <w:rFonts w:ascii="Book Antiqua" w:eastAsia="Times New Roman" w:hAnsi="Book Antiqua" w:cs="Calibri"/>
                <w:b/>
                <w:bCs/>
                <w:color w:val="000000"/>
                <w:sz w:val="20"/>
                <w:szCs w:val="20"/>
                <w:lang w:eastAsia="es-CR"/>
              </w:rPr>
              <w:t>0,9%</w:t>
            </w:r>
          </w:p>
        </w:tc>
      </w:tr>
    </w:tbl>
    <w:bookmarkEnd w:id="68"/>
    <w:p w14:paraId="4563834E" w14:textId="2B4B863A" w:rsidR="00795EE6" w:rsidRPr="00C06535" w:rsidRDefault="00C06535" w:rsidP="00355630">
      <w:pPr>
        <w:spacing w:after="0" w:line="276" w:lineRule="auto"/>
        <w:jc w:val="both"/>
        <w:rPr>
          <w:rFonts w:ascii="Book Antiqua" w:eastAsia="Calibri" w:hAnsi="Book Antiqua" w:cs="Arial"/>
          <w:i/>
          <w:iCs/>
          <w:sz w:val="20"/>
          <w:szCs w:val="20"/>
        </w:rPr>
      </w:pPr>
      <w:r w:rsidRPr="00B8406C">
        <w:rPr>
          <w:rFonts w:ascii="Book Antiqua" w:eastAsia="Calibri" w:hAnsi="Book Antiqua" w:cs="Arial"/>
          <w:b/>
          <w:bCs/>
          <w:i/>
          <w:iCs/>
          <w:sz w:val="20"/>
          <w:szCs w:val="20"/>
        </w:rPr>
        <w:t>Fuente:</w:t>
      </w:r>
      <w:r w:rsidRPr="00C06535">
        <w:rPr>
          <w:rFonts w:ascii="Book Antiqua" w:eastAsia="Calibri" w:hAnsi="Book Antiqua" w:cs="Arial"/>
          <w:i/>
          <w:iCs/>
          <w:sz w:val="20"/>
          <w:szCs w:val="20"/>
        </w:rPr>
        <w:t xml:space="preserve"> Modernización Institucional con base en datos de Cuadros Estadísticos del Subproceso de Estadística</w:t>
      </w:r>
      <w:r>
        <w:rPr>
          <w:rFonts w:ascii="Book Antiqua" w:eastAsia="Calibri" w:hAnsi="Book Antiqua" w:cs="Arial"/>
          <w:i/>
          <w:iCs/>
          <w:sz w:val="20"/>
          <w:szCs w:val="20"/>
        </w:rPr>
        <w:t>.</w:t>
      </w:r>
    </w:p>
    <w:p w14:paraId="1192F74D" w14:textId="0F6FAB95" w:rsidR="003122A3"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 xml:space="preserve">Sobre </w:t>
      </w:r>
      <w:r w:rsidR="003122A3">
        <w:rPr>
          <w:rFonts w:ascii="Book Antiqua" w:eastAsia="Calibri" w:hAnsi="Book Antiqua" w:cs="Arial"/>
          <w:sz w:val="24"/>
          <w:szCs w:val="24"/>
        </w:rPr>
        <w:t xml:space="preserve">los conflictos de competencia territorial, no se tiene el dato de </w:t>
      </w:r>
      <w:r w:rsidR="000474DB">
        <w:rPr>
          <w:rFonts w:ascii="Book Antiqua" w:eastAsia="Calibri" w:hAnsi="Book Antiqua" w:cs="Arial"/>
          <w:sz w:val="24"/>
          <w:szCs w:val="24"/>
        </w:rPr>
        <w:t>cuáles</w:t>
      </w:r>
      <w:r w:rsidR="003122A3">
        <w:rPr>
          <w:rFonts w:ascii="Book Antiqua" w:eastAsia="Calibri" w:hAnsi="Book Antiqua" w:cs="Arial"/>
          <w:sz w:val="24"/>
          <w:szCs w:val="24"/>
        </w:rPr>
        <w:t xml:space="preserve"> son las oficinas en conflicto</w:t>
      </w:r>
      <w:r w:rsidR="003122A3" w:rsidRPr="0035206B">
        <w:rPr>
          <w:rFonts w:ascii="Book Antiqua" w:eastAsia="Calibri" w:hAnsi="Book Antiqua" w:cs="Arial"/>
          <w:sz w:val="24"/>
          <w:szCs w:val="24"/>
        </w:rPr>
        <w:t>, pero en promedio ingresan 60 asuntos al</w:t>
      </w:r>
      <w:r w:rsidR="003122A3">
        <w:rPr>
          <w:rFonts w:ascii="Book Antiqua" w:eastAsia="Calibri" w:hAnsi="Book Antiqua" w:cs="Arial"/>
          <w:sz w:val="24"/>
          <w:szCs w:val="24"/>
        </w:rPr>
        <w:t xml:space="preserve"> año por esta causa al Tribunal, ese sería el número máximo en promedio que perderían por esta causa, dependiendo finalmente de lo que vaya a resolver la Sala Segunda. </w:t>
      </w:r>
    </w:p>
    <w:p w14:paraId="25371D3B" w14:textId="77777777" w:rsidR="003122A3" w:rsidRDefault="003122A3" w:rsidP="00C94966">
      <w:pPr>
        <w:spacing w:after="0" w:line="276" w:lineRule="auto"/>
        <w:jc w:val="both"/>
        <w:rPr>
          <w:rFonts w:ascii="Book Antiqua" w:eastAsia="Calibri" w:hAnsi="Book Antiqua" w:cs="Arial"/>
          <w:sz w:val="24"/>
          <w:szCs w:val="24"/>
        </w:rPr>
      </w:pPr>
    </w:p>
    <w:p w14:paraId="4AF8FADB" w14:textId="5AAABB97" w:rsidR="00C94966" w:rsidRPr="00C94966" w:rsidRDefault="003122A3"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Respecto al posible aumento en la entrada, </w:t>
      </w:r>
      <w:r w:rsidR="00C94966" w:rsidRPr="00C94966">
        <w:rPr>
          <w:rFonts w:ascii="Book Antiqua" w:eastAsia="Calibri" w:hAnsi="Book Antiqua" w:cs="Arial"/>
          <w:sz w:val="24"/>
          <w:szCs w:val="24"/>
        </w:rPr>
        <w:t>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4CBC86FD" w14:textId="77777777" w:rsidR="00C94966" w:rsidRPr="00C94966" w:rsidRDefault="00C94966" w:rsidP="00C94966">
      <w:pPr>
        <w:spacing w:after="0" w:line="276" w:lineRule="auto"/>
        <w:jc w:val="both"/>
        <w:rPr>
          <w:rFonts w:ascii="Book Antiqua" w:eastAsia="Calibri" w:hAnsi="Book Antiqua" w:cs="Arial"/>
          <w:sz w:val="24"/>
          <w:szCs w:val="24"/>
        </w:rPr>
      </w:pPr>
    </w:p>
    <w:p w14:paraId="7793732B" w14:textId="51B698BE"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Además de los cambios antes descritos, el Lic. Jiménez Mata consider</w:t>
      </w:r>
      <w:r w:rsidR="008D3407">
        <w:rPr>
          <w:rFonts w:ascii="Book Antiqua" w:eastAsia="Calibri" w:hAnsi="Book Antiqua" w:cs="Arial"/>
          <w:sz w:val="24"/>
          <w:szCs w:val="24"/>
        </w:rPr>
        <w:t>ó en 2020</w:t>
      </w:r>
      <w:r w:rsidRPr="00C94966">
        <w:rPr>
          <w:rFonts w:ascii="Book Antiqua" w:eastAsia="Calibri" w:hAnsi="Book Antiqua" w:cs="Arial"/>
          <w:sz w:val="24"/>
          <w:szCs w:val="24"/>
        </w:rPr>
        <w:t xml:space="preserve"> que el Tribunal de Familia ve</w:t>
      </w:r>
      <w:r w:rsidR="008D3407">
        <w:rPr>
          <w:rFonts w:ascii="Book Antiqua" w:eastAsia="Calibri" w:hAnsi="Book Antiqua" w:cs="Arial"/>
          <w:sz w:val="24"/>
          <w:szCs w:val="24"/>
        </w:rPr>
        <w:t>rá</w:t>
      </w:r>
      <w:r w:rsidRPr="00C94966">
        <w:rPr>
          <w:rFonts w:ascii="Book Antiqua" w:eastAsia="Calibri" w:hAnsi="Book Antiqua" w:cs="Arial"/>
          <w:sz w:val="24"/>
          <w:szCs w:val="24"/>
        </w:rPr>
        <w:t xml:space="preserve"> disminuid</w:t>
      </w:r>
      <w:r w:rsidR="000474DB">
        <w:rPr>
          <w:rFonts w:ascii="Book Antiqua" w:eastAsia="Calibri" w:hAnsi="Book Antiqua" w:cs="Arial"/>
          <w:sz w:val="24"/>
          <w:szCs w:val="24"/>
        </w:rPr>
        <w:t>o</w:t>
      </w:r>
      <w:r w:rsidRPr="00C94966">
        <w:rPr>
          <w:rFonts w:ascii="Book Antiqua" w:eastAsia="Calibri" w:hAnsi="Book Antiqua" w:cs="Arial"/>
          <w:sz w:val="24"/>
          <w:szCs w:val="24"/>
        </w:rPr>
        <w:t xml:space="preserve"> considerablemente su ingreso en virtud de las limitaciones de las apelaciones interlocutorias tanto por la cantidad de resoluciones apelables como por el efecto diferido que tendrá la admisión de muchas de las apelaciones que se interpondrán (las admitidas en audiencia).</w:t>
      </w:r>
    </w:p>
    <w:p w14:paraId="6EB641F6" w14:textId="77777777" w:rsidR="00C94966" w:rsidRPr="00C94966" w:rsidRDefault="00C94966" w:rsidP="00C94966">
      <w:pPr>
        <w:spacing w:after="0" w:line="276" w:lineRule="auto"/>
        <w:jc w:val="both"/>
        <w:rPr>
          <w:rFonts w:ascii="Book Antiqua" w:eastAsia="Calibri" w:hAnsi="Book Antiqua" w:cs="Arial"/>
          <w:sz w:val="24"/>
          <w:szCs w:val="24"/>
        </w:rPr>
      </w:pPr>
    </w:p>
    <w:p w14:paraId="610D789F" w14:textId="42864ADE" w:rsid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 xml:space="preserve">Por </w:t>
      </w:r>
      <w:r w:rsidRPr="0035206B">
        <w:rPr>
          <w:rFonts w:ascii="Book Antiqua" w:eastAsia="Calibri" w:hAnsi="Book Antiqua" w:cs="Arial"/>
          <w:sz w:val="24"/>
          <w:szCs w:val="24"/>
        </w:rPr>
        <w:t>tanto, se estima que la carga laboral actual del Tribunal de Familia presentará una disminución superior al 0,</w:t>
      </w:r>
      <w:r w:rsidR="0035206B" w:rsidRPr="0035206B">
        <w:rPr>
          <w:rFonts w:ascii="Book Antiqua" w:eastAsia="Calibri" w:hAnsi="Book Antiqua" w:cs="Arial"/>
          <w:sz w:val="24"/>
          <w:szCs w:val="24"/>
        </w:rPr>
        <w:t>9</w:t>
      </w:r>
      <w:r w:rsidRPr="0035206B">
        <w:rPr>
          <w:rFonts w:ascii="Book Antiqua" w:eastAsia="Calibri" w:hAnsi="Book Antiqua" w:cs="Arial"/>
          <w:sz w:val="24"/>
          <w:szCs w:val="24"/>
        </w:rPr>
        <w:t>%</w:t>
      </w:r>
      <w:r w:rsidRPr="00C94966">
        <w:rPr>
          <w:rFonts w:ascii="Book Antiqua" w:eastAsia="Calibri" w:hAnsi="Book Antiqua" w:cs="Arial"/>
          <w:sz w:val="24"/>
          <w:szCs w:val="24"/>
        </w:rPr>
        <w:t xml:space="preserve"> según los datos que refleja la información estadística, motivada principalmente por la desjudicialización de procesos,</w:t>
      </w:r>
      <w:r w:rsidR="006B0E83">
        <w:rPr>
          <w:rFonts w:ascii="Book Antiqua" w:eastAsia="Calibri" w:hAnsi="Book Antiqua" w:cs="Arial"/>
          <w:sz w:val="24"/>
          <w:szCs w:val="24"/>
        </w:rPr>
        <w:t xml:space="preserve"> traslados de competencias del Tribunal a la Sala Segunda y reducción en la cantidad de resoluciones apelables, sin embargo en este</w:t>
      </w:r>
      <w:r w:rsidR="003122A3">
        <w:rPr>
          <w:rFonts w:ascii="Book Antiqua" w:eastAsia="Calibri" w:hAnsi="Book Antiqua" w:cs="Arial"/>
          <w:sz w:val="24"/>
          <w:szCs w:val="24"/>
        </w:rPr>
        <w:t xml:space="preserve"> momento no se</w:t>
      </w:r>
      <w:r w:rsidRPr="00C94966">
        <w:rPr>
          <w:rFonts w:ascii="Book Antiqua" w:eastAsia="Calibri" w:hAnsi="Book Antiqua" w:cs="Arial"/>
          <w:sz w:val="24"/>
          <w:szCs w:val="24"/>
        </w:rPr>
        <w:t xml:space="preserve"> sug</w:t>
      </w:r>
      <w:r w:rsidR="003122A3">
        <w:rPr>
          <w:rFonts w:ascii="Book Antiqua" w:eastAsia="Calibri" w:hAnsi="Book Antiqua" w:cs="Arial"/>
          <w:sz w:val="24"/>
          <w:szCs w:val="24"/>
        </w:rPr>
        <w:t>ieren</w:t>
      </w:r>
      <w:r w:rsidRPr="00C94966">
        <w:rPr>
          <w:rFonts w:ascii="Book Antiqua" w:eastAsia="Calibri" w:hAnsi="Book Antiqua" w:cs="Arial"/>
          <w:sz w:val="24"/>
          <w:szCs w:val="24"/>
        </w:rPr>
        <w:t xml:space="preserve"> variaciones de plazas profesionales en esta oficina</w:t>
      </w:r>
      <w:r w:rsidR="006B0E83">
        <w:rPr>
          <w:rFonts w:ascii="Book Antiqua" w:eastAsia="Calibri" w:hAnsi="Book Antiqua" w:cs="Arial"/>
          <w:sz w:val="24"/>
          <w:szCs w:val="24"/>
        </w:rPr>
        <w:t xml:space="preserve">; </w:t>
      </w:r>
      <w:r w:rsidR="000474DB">
        <w:rPr>
          <w:rFonts w:ascii="Book Antiqua" w:eastAsia="Calibri" w:hAnsi="Book Antiqua" w:cs="Arial"/>
          <w:sz w:val="24"/>
          <w:szCs w:val="24"/>
        </w:rPr>
        <w:t>pero</w:t>
      </w:r>
      <w:r w:rsidR="006B0E83">
        <w:rPr>
          <w:rFonts w:ascii="Book Antiqua" w:eastAsia="Calibri" w:hAnsi="Book Antiqua" w:cs="Arial"/>
          <w:sz w:val="24"/>
          <w:szCs w:val="24"/>
        </w:rPr>
        <w:t xml:space="preserve"> si se requiere mantener el seguimiento</w:t>
      </w:r>
      <w:r w:rsidR="001A118B">
        <w:rPr>
          <w:rFonts w:ascii="Book Antiqua" w:eastAsia="Calibri" w:hAnsi="Book Antiqua" w:cs="Arial"/>
          <w:sz w:val="24"/>
          <w:szCs w:val="24"/>
        </w:rPr>
        <w:t xml:space="preserve"> de la misma</w:t>
      </w:r>
      <w:r w:rsidR="006B0E83">
        <w:rPr>
          <w:rFonts w:ascii="Book Antiqua" w:eastAsia="Calibri" w:hAnsi="Book Antiqua" w:cs="Arial"/>
          <w:sz w:val="24"/>
          <w:szCs w:val="24"/>
        </w:rPr>
        <w:t>.</w:t>
      </w:r>
    </w:p>
    <w:p w14:paraId="57F11669" w14:textId="10168A09" w:rsidR="00292F21" w:rsidRDefault="00292F21" w:rsidP="00C94966">
      <w:pPr>
        <w:spacing w:after="0" w:line="276" w:lineRule="auto"/>
        <w:jc w:val="both"/>
        <w:rPr>
          <w:rFonts w:ascii="Book Antiqua" w:eastAsia="Calibri" w:hAnsi="Book Antiqua" w:cs="Arial"/>
          <w:sz w:val="24"/>
          <w:szCs w:val="24"/>
        </w:rPr>
      </w:pPr>
    </w:p>
    <w:p w14:paraId="4BBA2DEC" w14:textId="49F2E54D" w:rsidR="00196C8D" w:rsidRPr="003D42D0" w:rsidRDefault="00196C8D" w:rsidP="00C94966">
      <w:pPr>
        <w:spacing w:after="0" w:line="276" w:lineRule="auto"/>
        <w:jc w:val="both"/>
        <w:rPr>
          <w:rFonts w:ascii="Book Antiqua" w:eastAsia="Calibri" w:hAnsi="Book Antiqua" w:cs="Arial"/>
          <w:b/>
          <w:bCs/>
          <w:sz w:val="24"/>
          <w:szCs w:val="24"/>
        </w:rPr>
      </w:pPr>
      <w:bookmarkStart w:id="69" w:name="_Hlk128577981"/>
      <w:r w:rsidRPr="003D42D0">
        <w:rPr>
          <w:rFonts w:ascii="Book Antiqua" w:eastAsia="Calibri" w:hAnsi="Book Antiqua" w:cs="Arial"/>
          <w:b/>
          <w:bCs/>
          <w:sz w:val="24"/>
          <w:szCs w:val="24"/>
        </w:rPr>
        <w:t>La proyección realizada en este apartado toma en consideración las competencias que define actualmente la Ley 9747. Se tienen una serie de propuestas de reforma legal identificadas que ya son de conocimiento de la Comisión de la Jurisdicción de Familia, para su análisis, redacción del proyecto, presentación a Corte Plena y eventual traslado a la Asamblea Legislativa, oficios 495-PLA-MI-2022 y 969-PLA-2022</w:t>
      </w:r>
      <w:r w:rsidR="003D42D0" w:rsidRPr="003D42D0">
        <w:rPr>
          <w:rFonts w:ascii="Book Antiqua" w:eastAsia="Calibri" w:hAnsi="Book Antiqua" w:cs="Arial"/>
          <w:b/>
          <w:bCs/>
          <w:sz w:val="24"/>
          <w:szCs w:val="24"/>
        </w:rPr>
        <w:t xml:space="preserve">, </w:t>
      </w:r>
      <w:r w:rsidR="002B563A">
        <w:rPr>
          <w:rFonts w:ascii="Book Antiqua" w:eastAsia="Calibri" w:hAnsi="Book Antiqua" w:cs="Arial"/>
          <w:b/>
          <w:bCs/>
          <w:sz w:val="24"/>
          <w:szCs w:val="24"/>
        </w:rPr>
        <w:t>O</w:t>
      </w:r>
      <w:r w:rsidR="003D42D0" w:rsidRPr="003D42D0">
        <w:rPr>
          <w:rFonts w:ascii="Book Antiqua" w:eastAsia="Calibri" w:hAnsi="Book Antiqua" w:cs="Arial"/>
          <w:b/>
          <w:bCs/>
          <w:sz w:val="24"/>
          <w:szCs w:val="24"/>
        </w:rPr>
        <w:t xml:space="preserve">portunidades </w:t>
      </w:r>
      <w:r w:rsidRPr="003D42D0">
        <w:rPr>
          <w:rFonts w:ascii="Book Antiqua" w:eastAsia="Calibri" w:hAnsi="Book Antiqua" w:cs="Arial"/>
          <w:b/>
          <w:bCs/>
          <w:sz w:val="24"/>
          <w:szCs w:val="24"/>
        </w:rPr>
        <w:t xml:space="preserve">de mejora de </w:t>
      </w:r>
      <w:r w:rsidR="002B563A">
        <w:rPr>
          <w:rFonts w:ascii="Book Antiqua" w:eastAsia="Calibri" w:hAnsi="Book Antiqua" w:cs="Arial"/>
          <w:b/>
          <w:bCs/>
          <w:sz w:val="24"/>
          <w:szCs w:val="24"/>
        </w:rPr>
        <w:t>R</w:t>
      </w:r>
      <w:r w:rsidRPr="003D42D0">
        <w:rPr>
          <w:rFonts w:ascii="Book Antiqua" w:eastAsia="Calibri" w:hAnsi="Book Antiqua" w:cs="Arial"/>
          <w:b/>
          <w:bCs/>
          <w:sz w:val="24"/>
          <w:szCs w:val="24"/>
        </w:rPr>
        <w:t xml:space="preserve">eforma </w:t>
      </w:r>
      <w:r w:rsidR="002B563A">
        <w:rPr>
          <w:rFonts w:ascii="Book Antiqua" w:eastAsia="Calibri" w:hAnsi="Book Antiqua" w:cs="Arial"/>
          <w:b/>
          <w:bCs/>
          <w:sz w:val="24"/>
          <w:szCs w:val="24"/>
        </w:rPr>
        <w:t>L</w:t>
      </w:r>
      <w:r w:rsidRPr="003D42D0">
        <w:rPr>
          <w:rFonts w:ascii="Book Antiqua" w:eastAsia="Calibri" w:hAnsi="Book Antiqua" w:cs="Arial"/>
          <w:b/>
          <w:bCs/>
          <w:sz w:val="24"/>
          <w:szCs w:val="24"/>
        </w:rPr>
        <w:t xml:space="preserve">egal en Violencia Doméstica, </w:t>
      </w:r>
      <w:r w:rsidR="003D42D0" w:rsidRPr="003D42D0">
        <w:rPr>
          <w:rFonts w:ascii="Book Antiqua" w:eastAsia="Calibri" w:hAnsi="Book Antiqua" w:cs="Arial"/>
          <w:b/>
          <w:bCs/>
          <w:sz w:val="24"/>
          <w:szCs w:val="24"/>
        </w:rPr>
        <w:t>y el entregable 3</w:t>
      </w:r>
      <w:r w:rsidR="003D42D0">
        <w:rPr>
          <w:rFonts w:ascii="Book Antiqua" w:eastAsia="Calibri" w:hAnsi="Book Antiqua" w:cs="Arial"/>
          <w:b/>
          <w:bCs/>
          <w:sz w:val="24"/>
          <w:szCs w:val="24"/>
        </w:rPr>
        <w:t>.3</w:t>
      </w:r>
      <w:r w:rsidR="003D42D0" w:rsidRPr="003D42D0">
        <w:rPr>
          <w:rFonts w:ascii="Book Antiqua" w:eastAsia="Calibri" w:hAnsi="Book Antiqua" w:cs="Arial"/>
          <w:b/>
          <w:bCs/>
          <w:sz w:val="24"/>
          <w:szCs w:val="24"/>
        </w:rPr>
        <w:t xml:space="preserve"> </w:t>
      </w:r>
      <w:r w:rsidR="002B563A">
        <w:rPr>
          <w:rFonts w:ascii="Book Antiqua" w:eastAsia="Calibri" w:hAnsi="Book Antiqua" w:cs="Arial"/>
          <w:b/>
          <w:bCs/>
          <w:sz w:val="24"/>
          <w:szCs w:val="24"/>
        </w:rPr>
        <w:t>O</w:t>
      </w:r>
      <w:r w:rsidR="003D42D0" w:rsidRPr="003D42D0">
        <w:rPr>
          <w:rFonts w:ascii="Book Antiqua" w:eastAsia="Calibri" w:hAnsi="Book Antiqua" w:cs="Arial"/>
          <w:b/>
          <w:bCs/>
          <w:sz w:val="24"/>
          <w:szCs w:val="24"/>
        </w:rPr>
        <w:t xml:space="preserve">portunidades de mejora en </w:t>
      </w:r>
      <w:r w:rsidR="003D42D0">
        <w:rPr>
          <w:rFonts w:ascii="Book Antiqua" w:eastAsia="Calibri" w:hAnsi="Book Antiqua" w:cs="Arial"/>
          <w:b/>
          <w:bCs/>
          <w:sz w:val="24"/>
          <w:szCs w:val="24"/>
        </w:rPr>
        <w:t>F</w:t>
      </w:r>
      <w:r w:rsidR="003D42D0" w:rsidRPr="003D42D0">
        <w:rPr>
          <w:rFonts w:ascii="Book Antiqua" w:eastAsia="Calibri" w:hAnsi="Book Antiqua" w:cs="Arial"/>
          <w:b/>
          <w:bCs/>
          <w:sz w:val="24"/>
          <w:szCs w:val="24"/>
        </w:rPr>
        <w:t>amilia (en proceso de comunicación).</w:t>
      </w:r>
    </w:p>
    <w:bookmarkEnd w:id="69"/>
    <w:p w14:paraId="7F44F7F2" w14:textId="48C27D55" w:rsidR="00FA0713" w:rsidRDefault="002F4281" w:rsidP="00292FFD">
      <w:pPr>
        <w:pStyle w:val="Ttulo3"/>
      </w:pPr>
      <w:r>
        <w:t xml:space="preserve">5.13.2 </w:t>
      </w:r>
      <w:r w:rsidR="00FA0713">
        <w:t>Sala Segunda</w:t>
      </w:r>
    </w:p>
    <w:p w14:paraId="5C5297D1" w14:textId="3D7BE828" w:rsidR="00132F0A" w:rsidRDefault="00132F0A" w:rsidP="00132F0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a</w:t>
      </w:r>
      <w:r w:rsidRPr="00132F0A">
        <w:rPr>
          <w:rFonts w:ascii="Book Antiqua" w:eastAsia="Calibri" w:hAnsi="Book Antiqua" w:cs="Arial"/>
          <w:sz w:val="24"/>
          <w:szCs w:val="24"/>
        </w:rPr>
        <w:t xml:space="preserve">tención de la referencia interna </w:t>
      </w:r>
      <w:r w:rsidRPr="00132F0A">
        <w:rPr>
          <w:rFonts w:ascii="Book Antiqua" w:eastAsia="Calibri" w:hAnsi="Book Antiqua" w:cs="Arial"/>
          <w:b/>
          <w:bCs/>
          <w:sz w:val="24"/>
          <w:szCs w:val="24"/>
        </w:rPr>
        <w:t>39-2022</w:t>
      </w:r>
      <w:r w:rsidRPr="00132F0A">
        <w:rPr>
          <w:rFonts w:ascii="Book Antiqua" w:eastAsia="Calibri" w:hAnsi="Book Antiqua" w:cs="Arial"/>
          <w:sz w:val="24"/>
          <w:szCs w:val="24"/>
        </w:rPr>
        <w:t>, relacionada con el oficio 19-2022</w:t>
      </w:r>
      <w:r w:rsidR="00BE1B5F">
        <w:rPr>
          <w:rFonts w:ascii="Book Antiqua" w:eastAsia="Calibri" w:hAnsi="Book Antiqua" w:cs="Arial"/>
          <w:sz w:val="24"/>
          <w:szCs w:val="24"/>
        </w:rPr>
        <w:t xml:space="preserve"> del 7 de enero de 2022</w:t>
      </w:r>
      <w:r w:rsidRPr="00132F0A">
        <w:rPr>
          <w:rFonts w:ascii="Book Antiqua" w:eastAsia="Calibri" w:hAnsi="Book Antiqua" w:cs="Arial"/>
          <w:sz w:val="24"/>
          <w:szCs w:val="24"/>
        </w:rPr>
        <w:t xml:space="preserve"> suscrito por don Orlando Aguirre Gómez,</w:t>
      </w:r>
      <w:r w:rsidR="00BE1B5F" w:rsidRPr="00BE1B5F">
        <w:t xml:space="preserve"> </w:t>
      </w:r>
      <w:r w:rsidR="00BE1B5F" w:rsidRPr="00BE1B5F">
        <w:rPr>
          <w:rFonts w:ascii="Book Antiqua" w:eastAsia="Calibri" w:hAnsi="Book Antiqua" w:cs="Arial"/>
          <w:sz w:val="24"/>
          <w:szCs w:val="24"/>
        </w:rPr>
        <w:t>Presidente de la Sala Segunda</w:t>
      </w:r>
      <w:r w:rsidR="00584BE8">
        <w:rPr>
          <w:rFonts w:ascii="Book Antiqua" w:eastAsia="Calibri" w:hAnsi="Book Antiqua" w:cs="Arial"/>
          <w:sz w:val="24"/>
          <w:szCs w:val="24"/>
        </w:rPr>
        <w:t xml:space="preserve"> </w:t>
      </w:r>
      <w:r w:rsidRPr="00132F0A">
        <w:rPr>
          <w:rFonts w:ascii="Book Antiqua" w:eastAsia="Calibri" w:hAnsi="Book Antiqua" w:cs="Arial"/>
          <w:sz w:val="24"/>
          <w:szCs w:val="24"/>
        </w:rPr>
        <w:t xml:space="preserve">en </w:t>
      </w:r>
      <w:r w:rsidR="00BE1B5F">
        <w:rPr>
          <w:rFonts w:ascii="Book Antiqua" w:eastAsia="Calibri" w:hAnsi="Book Antiqua" w:cs="Arial"/>
          <w:sz w:val="24"/>
          <w:szCs w:val="24"/>
        </w:rPr>
        <w:t xml:space="preserve">el que </w:t>
      </w:r>
      <w:r w:rsidRPr="00132F0A">
        <w:rPr>
          <w:rFonts w:ascii="Book Antiqua" w:eastAsia="Calibri" w:hAnsi="Book Antiqua" w:cs="Arial"/>
          <w:sz w:val="24"/>
          <w:szCs w:val="24"/>
        </w:rPr>
        <w:t>solicita:</w:t>
      </w:r>
    </w:p>
    <w:p w14:paraId="67970E68" w14:textId="77777777" w:rsidR="00132F0A" w:rsidRDefault="00132F0A" w:rsidP="00132F0A">
      <w:pPr>
        <w:spacing w:after="0" w:line="276" w:lineRule="auto"/>
        <w:jc w:val="both"/>
        <w:rPr>
          <w:rFonts w:ascii="Book Antiqua" w:eastAsia="Calibri" w:hAnsi="Book Antiqua" w:cs="Arial"/>
          <w:sz w:val="24"/>
          <w:szCs w:val="24"/>
        </w:rPr>
      </w:pPr>
    </w:p>
    <w:p w14:paraId="291091AF" w14:textId="006D3D8C" w:rsidR="00132F0A" w:rsidRPr="006E61F9" w:rsidRDefault="00132F0A" w:rsidP="006B0E83">
      <w:pPr>
        <w:spacing w:after="0" w:line="276" w:lineRule="auto"/>
        <w:ind w:firstLine="851"/>
        <w:jc w:val="both"/>
        <w:rPr>
          <w:rFonts w:ascii="Book Antiqua" w:eastAsia="Times New Roman" w:hAnsi="Book Antiqua" w:cs="Times New Roman"/>
          <w:bCs/>
          <w:i/>
          <w:iCs/>
          <w:lang w:val="es-ES" w:eastAsia="es-ES"/>
        </w:rPr>
      </w:pPr>
      <w:r w:rsidRPr="006E61F9">
        <w:rPr>
          <w:rFonts w:ascii="Book Antiqua" w:eastAsia="Times New Roman" w:hAnsi="Book Antiqua" w:cs="Times New Roman"/>
          <w:bCs/>
          <w:i/>
          <w:iCs/>
          <w:lang w:val="es-ES" w:eastAsia="es-ES"/>
        </w:rPr>
        <w:t>(…)</w:t>
      </w:r>
    </w:p>
    <w:p w14:paraId="14A3FF48" w14:textId="204B3642" w:rsidR="00BE1B5F" w:rsidRP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Pr>
          <w:rFonts w:ascii="Book Antiqua" w:eastAsia="Times New Roman" w:hAnsi="Book Antiqua" w:cs="Times New Roman"/>
          <w:bCs/>
          <w:i/>
          <w:iCs/>
          <w:lang w:val="es-ES" w:eastAsia="es-ES"/>
        </w:rPr>
        <w:t>“</w:t>
      </w:r>
      <w:r w:rsidRPr="00BE1B5F">
        <w:rPr>
          <w:rFonts w:ascii="Book Antiqua" w:eastAsia="Times New Roman" w:hAnsi="Book Antiqua" w:cs="Times New Roman"/>
          <w:bCs/>
          <w:i/>
          <w:iCs/>
          <w:lang w:val="es-ES" w:eastAsia="es-ES"/>
        </w:rPr>
        <w:t xml:space="preserve">Por otro lado, a partir del primero de octubre del presente año, entrará a regir el Código Procesal de Familia, el cual igualmente introduce mediante la adición del artículo 55 bis a la Ley Orgánica del Poder Judicial, nuevas competencias para la Sala Segunda, como conocer los recursos de apelación contra la decisión final en los procesos de restitución internacional de personas menores de edad y conflictos de competencia territorial entre los juzgados de familia. </w:t>
      </w:r>
    </w:p>
    <w:p w14:paraId="72851B89" w14:textId="77777777" w:rsidR="00BE1B5F" w:rsidRP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sidRPr="00BE1B5F">
        <w:rPr>
          <w:rFonts w:ascii="Book Antiqua" w:eastAsia="Times New Roman" w:hAnsi="Book Antiqua" w:cs="Times New Roman"/>
          <w:bCs/>
          <w:i/>
          <w:iCs/>
          <w:lang w:val="es-ES" w:eastAsia="es-ES"/>
        </w:rPr>
        <w:t xml:space="preserve">Igualmente, dicha normativa procesal establece que la Sala conocerá del recurso de casación formulado contra todas aquellas sentencias de segunda instancia dictadas en procesos resolutivos familiares que produzcan cosa juzgada material, excepto las de terminación de los atributos de responsabilidad parental con fines de adopción y en procesos de ejecuciones de sentencia con cosa juzgada material (artículo 105 Código Procesal de Familia). </w:t>
      </w:r>
    </w:p>
    <w:p w14:paraId="3D1C4CCB" w14:textId="419CA5A7" w:rsid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sidRPr="00BE1B5F">
        <w:rPr>
          <w:rFonts w:ascii="Book Antiqua" w:eastAsia="Times New Roman" w:hAnsi="Book Antiqua" w:cs="Times New Roman"/>
          <w:bCs/>
          <w:i/>
          <w:iCs/>
          <w:lang w:val="es-ES" w:eastAsia="es-ES"/>
        </w:rPr>
        <w:t>Así mismo, introduce nuevas causales de procedencia del recurso de revisión, como lo son: cuando se haya producido una grave y trascendente violación al debido proceso; cuando surgieran nuevos medíos probatorios científicos o tecnológicos que permitan desvirtuar las conclusiones que se obtuvieron en la sentencia impugnada, salvo en materia filiatoria cuando la sentencia establezca un estado de filiación de una persona menor de edad; sin embargo, en este último caso procederá la revisión a instancia de la persona cuya filiación se declaró cuando adquiera la mayoría de edad, y cuando en materia filíatoria se hubiera denegado el emplazamiento de estado, en virtud de que no fue posible verificar la prueba científica acorde con el tiempo del proceso.</w:t>
      </w:r>
    </w:p>
    <w:p w14:paraId="318BE0CB" w14:textId="77777777" w:rsidR="00BE1B5F" w:rsidRDefault="00BE1B5F" w:rsidP="00BE1B5F">
      <w:pPr>
        <w:spacing w:after="0" w:line="276" w:lineRule="auto"/>
        <w:ind w:left="851" w:right="708"/>
        <w:jc w:val="both"/>
        <w:rPr>
          <w:rFonts w:ascii="Book Antiqua" w:eastAsia="Times New Roman" w:hAnsi="Book Antiqua" w:cs="Times New Roman"/>
          <w:bCs/>
          <w:i/>
          <w:iCs/>
          <w:lang w:val="es-ES" w:eastAsia="es-ES"/>
        </w:rPr>
      </w:pPr>
    </w:p>
    <w:p w14:paraId="63E3CEDB" w14:textId="3E31471B" w:rsidR="00FA0713" w:rsidRPr="00132F0A" w:rsidRDefault="00132F0A" w:rsidP="00132F0A">
      <w:pPr>
        <w:spacing w:after="0" w:line="276" w:lineRule="auto"/>
        <w:ind w:left="851" w:right="708"/>
        <w:jc w:val="both"/>
        <w:rPr>
          <w:rFonts w:ascii="Book Antiqua" w:eastAsia="Times New Roman" w:hAnsi="Book Antiqua" w:cs="Times New Roman"/>
          <w:b/>
          <w:bCs/>
          <w:i/>
          <w:iCs/>
          <w:lang w:val="es-ES" w:eastAsia="es-ES"/>
        </w:rPr>
      </w:pPr>
      <w:r w:rsidRPr="007B21E8">
        <w:rPr>
          <w:rFonts w:ascii="Book Antiqua" w:eastAsia="Times New Roman" w:hAnsi="Book Antiqua" w:cs="Times New Roman"/>
          <w:bCs/>
          <w:i/>
          <w:iCs/>
          <w:lang w:val="es-ES" w:eastAsia="es-ES"/>
        </w:rPr>
        <w:t>Por lo anterior, a efectos de atender las tareas de la Sala, y siendo que a diferencia de otras de Salas de la Corte, esta Sala no cuenta con un equipo profesional en derecho que se pueda dedicar exclusivamente al estudio de la admisibilidad de los recursos de casación y revisión, o la redacción de proyectos de competencia, casaciones por inadmisión, se solicita se otorgue durante este año 2022, una plaza extraordinaria de Profesional en Derecho que venga a dar apoyo en la fase de admisibilidad de los procesos y permita una mejor distribución de las cargas de trabajo del personal encargado de estudio y redacción de resoluciones de admisibilidad, y que dicha plaza se contemple y recomiende en la formulación presupuestaria 2023, en el estudio de requerimiento humano del anteproyecto de ese presupuesto</w:t>
      </w:r>
      <w:r w:rsidR="00BE1B5F">
        <w:rPr>
          <w:rFonts w:ascii="Book Antiqua" w:eastAsia="Times New Roman" w:hAnsi="Book Antiqua" w:cs="Times New Roman"/>
          <w:bCs/>
          <w:i/>
          <w:iCs/>
          <w:lang w:val="es-ES" w:eastAsia="es-ES"/>
        </w:rPr>
        <w:t>”</w:t>
      </w:r>
      <w:r w:rsidRPr="007B21E8">
        <w:rPr>
          <w:rFonts w:ascii="Book Antiqua" w:eastAsia="Times New Roman" w:hAnsi="Book Antiqua" w:cs="Times New Roman"/>
          <w:b/>
          <w:bCs/>
          <w:i/>
          <w:iCs/>
          <w:lang w:val="es-ES" w:eastAsia="es-ES"/>
        </w:rPr>
        <w:t>.</w:t>
      </w:r>
    </w:p>
    <w:p w14:paraId="567C9D42" w14:textId="77777777" w:rsidR="00797860" w:rsidRDefault="00797860" w:rsidP="00C94966">
      <w:pPr>
        <w:spacing w:after="0" w:line="276" w:lineRule="auto"/>
        <w:jc w:val="both"/>
        <w:rPr>
          <w:rFonts w:ascii="Book Antiqua" w:eastAsia="Calibri" w:hAnsi="Book Antiqua" w:cs="Arial"/>
          <w:sz w:val="24"/>
          <w:szCs w:val="24"/>
        </w:rPr>
      </w:pPr>
    </w:p>
    <w:p w14:paraId="2736DE07" w14:textId="3434F265" w:rsidR="00D7608C" w:rsidRDefault="00BE1B5F"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Al respecto, </w:t>
      </w:r>
      <w:r w:rsidR="00797860">
        <w:rPr>
          <w:rFonts w:ascii="Book Antiqua" w:eastAsia="Calibri" w:hAnsi="Book Antiqua" w:cs="Arial"/>
          <w:sz w:val="24"/>
          <w:szCs w:val="24"/>
        </w:rPr>
        <w:t>se analiza la entrada de la Sala Segunda para el periodo 2019 al 202</w:t>
      </w:r>
      <w:r w:rsidR="005200C5">
        <w:rPr>
          <w:rFonts w:ascii="Book Antiqua" w:eastAsia="Calibri" w:hAnsi="Book Antiqua" w:cs="Arial"/>
          <w:sz w:val="24"/>
          <w:szCs w:val="24"/>
        </w:rPr>
        <w:t>2</w:t>
      </w:r>
      <w:r w:rsidR="00797860">
        <w:rPr>
          <w:rFonts w:ascii="Book Antiqua" w:eastAsia="Calibri" w:hAnsi="Book Antiqua" w:cs="Arial"/>
          <w:sz w:val="24"/>
          <w:szCs w:val="24"/>
        </w:rPr>
        <w:t>.</w:t>
      </w:r>
    </w:p>
    <w:p w14:paraId="42A398D7" w14:textId="17BB89DE" w:rsidR="00797860" w:rsidRDefault="00797860" w:rsidP="00C94966">
      <w:pPr>
        <w:spacing w:after="0" w:line="276" w:lineRule="auto"/>
        <w:jc w:val="both"/>
        <w:rPr>
          <w:rFonts w:ascii="Book Antiqua" w:eastAsia="Calibri" w:hAnsi="Book Antiqua" w:cs="Arial"/>
          <w:sz w:val="24"/>
          <w:szCs w:val="24"/>
        </w:rPr>
      </w:pPr>
    </w:p>
    <w:p w14:paraId="008EC35B" w14:textId="608B3C65" w:rsidR="00797860" w:rsidRPr="00C94966" w:rsidRDefault="00797860"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94966">
        <w:rPr>
          <w:rFonts w:ascii="Book Antiqua" w:eastAsia="Calibri" w:hAnsi="Book Antiqua" w:cs="Arial"/>
          <w:b/>
          <w:bCs/>
          <w:color w:val="1F497D"/>
          <w:szCs w:val="24"/>
          <w:lang w:val="es-ES" w:eastAsia="es-ES"/>
        </w:rPr>
        <w:t xml:space="preserve">Cuadro </w:t>
      </w:r>
      <w:r w:rsidRPr="00C94966">
        <w:rPr>
          <w:rFonts w:ascii="Book Antiqua" w:eastAsia="Calibri" w:hAnsi="Book Antiqua" w:cs="Arial"/>
          <w:b/>
          <w:bCs/>
          <w:color w:val="1F497D"/>
          <w:szCs w:val="24"/>
          <w:lang w:val="es-ES" w:eastAsia="es-ES"/>
        </w:rPr>
        <w:fldChar w:fldCharType="begin"/>
      </w:r>
      <w:r w:rsidRPr="00C94966">
        <w:rPr>
          <w:rFonts w:ascii="Book Antiqua" w:eastAsia="Calibri" w:hAnsi="Book Antiqua" w:cs="Arial"/>
          <w:b/>
          <w:bCs/>
          <w:color w:val="1F497D"/>
          <w:szCs w:val="24"/>
          <w:lang w:val="es-ES" w:eastAsia="es-ES"/>
        </w:rPr>
        <w:instrText xml:space="preserve"> SEQ Cuadro \* ARABIC </w:instrText>
      </w:r>
      <w:r w:rsidRPr="00C94966">
        <w:rPr>
          <w:rFonts w:ascii="Book Antiqua" w:eastAsia="Calibri" w:hAnsi="Book Antiqua" w:cs="Arial"/>
          <w:b/>
          <w:bCs/>
          <w:color w:val="1F497D"/>
          <w:szCs w:val="24"/>
          <w:lang w:val="es-ES" w:eastAsia="es-ES"/>
        </w:rPr>
        <w:fldChar w:fldCharType="separate"/>
      </w:r>
      <w:r w:rsidR="000474DB">
        <w:rPr>
          <w:rFonts w:ascii="Book Antiqua" w:eastAsia="Calibri" w:hAnsi="Book Antiqua" w:cs="Arial"/>
          <w:b/>
          <w:bCs/>
          <w:noProof/>
          <w:color w:val="1F497D"/>
          <w:szCs w:val="24"/>
          <w:lang w:val="es-ES" w:eastAsia="es-ES"/>
        </w:rPr>
        <w:t>55</w:t>
      </w:r>
      <w:r w:rsidRPr="00C94966">
        <w:rPr>
          <w:rFonts w:ascii="Book Antiqua" w:eastAsia="Calibri" w:hAnsi="Book Antiqua" w:cs="Arial"/>
          <w:b/>
          <w:bCs/>
          <w:color w:val="1F497D"/>
          <w:szCs w:val="24"/>
          <w:lang w:val="es-ES" w:eastAsia="es-ES"/>
        </w:rPr>
        <w:fldChar w:fldCharType="end"/>
      </w:r>
      <w:r w:rsidRPr="00C94966">
        <w:rPr>
          <w:rFonts w:ascii="Book Antiqua" w:eastAsia="Calibri" w:hAnsi="Book Antiqua" w:cs="Arial"/>
          <w:b/>
          <w:bCs/>
          <w:color w:val="1F497D"/>
          <w:szCs w:val="24"/>
          <w:lang w:val="es-ES" w:eastAsia="es-ES"/>
        </w:rPr>
        <w:t xml:space="preserve"> </w:t>
      </w:r>
    </w:p>
    <w:p w14:paraId="7FE9188D" w14:textId="28660C80" w:rsidR="00797860" w:rsidRDefault="00797860"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Cantidad de casos entrados en la Sala Segunda,</w:t>
      </w:r>
      <w:r w:rsidRPr="00C94966">
        <w:rPr>
          <w:rFonts w:ascii="Book Antiqua" w:eastAsia="Calibri" w:hAnsi="Book Antiqua" w:cs="Arial"/>
          <w:b/>
          <w:bCs/>
          <w:color w:val="1F497D"/>
          <w:szCs w:val="24"/>
          <w:lang w:val="es-ES" w:eastAsia="es-ES"/>
        </w:rPr>
        <w:t xml:space="preserve"> 201</w:t>
      </w:r>
      <w:r>
        <w:rPr>
          <w:rFonts w:ascii="Book Antiqua" w:eastAsia="Calibri" w:hAnsi="Book Antiqua" w:cs="Arial"/>
          <w:b/>
          <w:bCs/>
          <w:color w:val="1F497D"/>
          <w:szCs w:val="24"/>
          <w:lang w:val="es-ES" w:eastAsia="es-ES"/>
        </w:rPr>
        <w:t>9</w:t>
      </w:r>
      <w:r w:rsidRPr="00C94966">
        <w:rPr>
          <w:rFonts w:ascii="Book Antiqua" w:eastAsia="Calibri" w:hAnsi="Book Antiqua" w:cs="Arial"/>
          <w:b/>
          <w:bCs/>
          <w:color w:val="1F497D"/>
          <w:szCs w:val="24"/>
          <w:lang w:val="es-ES" w:eastAsia="es-ES"/>
        </w:rPr>
        <w:t>-20</w:t>
      </w:r>
      <w:r w:rsidRPr="00C06535">
        <w:rPr>
          <w:rFonts w:ascii="Book Antiqua" w:eastAsia="Calibri" w:hAnsi="Book Antiqua" w:cs="Arial"/>
          <w:b/>
          <w:bCs/>
          <w:color w:val="1F497D"/>
          <w:szCs w:val="24"/>
          <w:lang w:val="es-ES" w:eastAsia="es-ES"/>
        </w:rPr>
        <w:t>2</w:t>
      </w:r>
      <w:r w:rsidR="005200C5">
        <w:rPr>
          <w:rFonts w:ascii="Book Antiqua" w:eastAsia="Calibri" w:hAnsi="Book Antiqua" w:cs="Arial"/>
          <w:b/>
          <w:bCs/>
          <w:color w:val="1F497D"/>
          <w:szCs w:val="24"/>
          <w:lang w:val="es-ES" w:eastAsia="es-ES"/>
        </w:rPr>
        <w:t>2</w:t>
      </w:r>
    </w:p>
    <w:tbl>
      <w:tblPr>
        <w:tblW w:w="8620" w:type="dxa"/>
        <w:tblCellMar>
          <w:left w:w="70" w:type="dxa"/>
          <w:right w:w="70" w:type="dxa"/>
        </w:tblCellMar>
        <w:tblLook w:val="04A0" w:firstRow="1" w:lastRow="0" w:firstColumn="1" w:lastColumn="0" w:noHBand="0" w:noVBand="1"/>
      </w:tblPr>
      <w:tblGrid>
        <w:gridCol w:w="2220"/>
        <w:gridCol w:w="940"/>
        <w:gridCol w:w="880"/>
        <w:gridCol w:w="940"/>
        <w:gridCol w:w="940"/>
        <w:gridCol w:w="1030"/>
        <w:gridCol w:w="940"/>
        <w:gridCol w:w="820"/>
      </w:tblGrid>
      <w:tr w:rsidR="009122C6" w:rsidRPr="009122C6" w14:paraId="17C6F0C1" w14:textId="77777777" w:rsidTr="009122C6">
        <w:trPr>
          <w:trHeight w:val="290"/>
        </w:trPr>
        <w:tc>
          <w:tcPr>
            <w:tcW w:w="2220" w:type="dxa"/>
            <w:tcBorders>
              <w:top w:val="single" w:sz="4" w:space="0" w:color="auto"/>
              <w:left w:val="single" w:sz="4" w:space="0" w:color="auto"/>
              <w:bottom w:val="single" w:sz="4" w:space="0" w:color="auto"/>
              <w:right w:val="single" w:sz="4" w:space="0" w:color="auto"/>
            </w:tcBorders>
            <w:shd w:val="clear" w:color="000000" w:fill="003366"/>
            <w:noWrap/>
            <w:vAlign w:val="bottom"/>
            <w:hideMark/>
          </w:tcPr>
          <w:p w14:paraId="35F087CD" w14:textId="77777777" w:rsidR="009122C6" w:rsidRPr="009122C6" w:rsidRDefault="009122C6" w:rsidP="009122C6">
            <w:pPr>
              <w:spacing w:after="0" w:line="240" w:lineRule="auto"/>
              <w:jc w:val="center"/>
              <w:rPr>
                <w:rFonts w:ascii="Book Antiqua" w:eastAsia="Times New Roman" w:hAnsi="Book Antiqua" w:cs="Calibri"/>
                <w:b/>
                <w:bCs/>
                <w:color w:val="FFFFFF"/>
                <w:sz w:val="20"/>
                <w:szCs w:val="20"/>
                <w:lang w:eastAsia="es-CR"/>
              </w:rPr>
            </w:pPr>
            <w:r w:rsidRPr="009122C6">
              <w:rPr>
                <w:rFonts w:ascii="Book Antiqua" w:eastAsia="Times New Roman" w:hAnsi="Book Antiqua" w:cs="Calibri"/>
                <w:b/>
                <w:bCs/>
                <w:color w:val="FFFFFF"/>
                <w:sz w:val="20"/>
                <w:szCs w:val="20"/>
                <w:lang w:eastAsia="es-CR"/>
              </w:rPr>
              <w:t>Materia</w:t>
            </w:r>
          </w:p>
        </w:tc>
        <w:tc>
          <w:tcPr>
            <w:tcW w:w="940" w:type="dxa"/>
            <w:tcBorders>
              <w:top w:val="single" w:sz="4" w:space="0" w:color="auto"/>
              <w:left w:val="nil"/>
              <w:bottom w:val="single" w:sz="4" w:space="0" w:color="auto"/>
              <w:right w:val="single" w:sz="4" w:space="0" w:color="auto"/>
            </w:tcBorders>
            <w:shd w:val="clear" w:color="000000" w:fill="002060"/>
            <w:noWrap/>
            <w:vAlign w:val="bottom"/>
            <w:hideMark/>
          </w:tcPr>
          <w:p w14:paraId="6796A03B" w14:textId="77777777" w:rsidR="009122C6" w:rsidRPr="009122C6" w:rsidRDefault="009122C6" w:rsidP="009122C6">
            <w:pPr>
              <w:spacing w:after="0" w:line="240" w:lineRule="auto"/>
              <w:jc w:val="center"/>
              <w:rPr>
                <w:rFonts w:ascii="Book Antiqua" w:eastAsia="Times New Roman" w:hAnsi="Book Antiqua" w:cs="Calibri"/>
                <w:b/>
                <w:bCs/>
                <w:color w:val="FFFFFF"/>
                <w:sz w:val="20"/>
                <w:szCs w:val="20"/>
                <w:lang w:eastAsia="es-CR"/>
              </w:rPr>
            </w:pPr>
            <w:r w:rsidRPr="009122C6">
              <w:rPr>
                <w:rFonts w:ascii="Book Antiqua" w:eastAsia="Times New Roman" w:hAnsi="Book Antiqua" w:cs="Calibri"/>
                <w:b/>
                <w:bCs/>
                <w:color w:val="FFFFFF"/>
                <w:sz w:val="20"/>
                <w:szCs w:val="20"/>
                <w:lang w:eastAsia="es-CR"/>
              </w:rPr>
              <w:t>2019</w:t>
            </w:r>
          </w:p>
        </w:tc>
        <w:tc>
          <w:tcPr>
            <w:tcW w:w="880" w:type="dxa"/>
            <w:tcBorders>
              <w:top w:val="single" w:sz="4" w:space="0" w:color="auto"/>
              <w:left w:val="nil"/>
              <w:bottom w:val="single" w:sz="4" w:space="0" w:color="auto"/>
              <w:right w:val="single" w:sz="4" w:space="0" w:color="auto"/>
            </w:tcBorders>
            <w:shd w:val="clear" w:color="000000" w:fill="002060"/>
            <w:noWrap/>
            <w:vAlign w:val="bottom"/>
            <w:hideMark/>
          </w:tcPr>
          <w:p w14:paraId="188DF2B2" w14:textId="77777777" w:rsidR="009122C6" w:rsidRPr="009122C6" w:rsidRDefault="009122C6" w:rsidP="009122C6">
            <w:pPr>
              <w:spacing w:after="0" w:line="240" w:lineRule="auto"/>
              <w:jc w:val="center"/>
              <w:rPr>
                <w:rFonts w:ascii="Book Antiqua" w:eastAsia="Times New Roman" w:hAnsi="Book Antiqua" w:cs="Calibri"/>
                <w:b/>
                <w:bCs/>
                <w:color w:val="FFFFFF"/>
                <w:sz w:val="20"/>
                <w:szCs w:val="20"/>
                <w:lang w:eastAsia="es-CR"/>
              </w:rPr>
            </w:pPr>
            <w:r w:rsidRPr="009122C6">
              <w:rPr>
                <w:rFonts w:ascii="Book Antiqua" w:eastAsia="Times New Roman" w:hAnsi="Book Antiqua" w:cs="Calibri"/>
                <w:b/>
                <w:bCs/>
                <w:color w:val="FFFFFF"/>
                <w:sz w:val="20"/>
                <w:szCs w:val="20"/>
                <w:lang w:eastAsia="es-CR"/>
              </w:rPr>
              <w:t>2020</w:t>
            </w:r>
          </w:p>
        </w:tc>
        <w:tc>
          <w:tcPr>
            <w:tcW w:w="940" w:type="dxa"/>
            <w:tcBorders>
              <w:top w:val="single" w:sz="4" w:space="0" w:color="auto"/>
              <w:left w:val="nil"/>
              <w:bottom w:val="single" w:sz="4" w:space="0" w:color="auto"/>
              <w:right w:val="single" w:sz="4" w:space="0" w:color="auto"/>
            </w:tcBorders>
            <w:shd w:val="clear" w:color="000000" w:fill="002060"/>
            <w:noWrap/>
            <w:vAlign w:val="bottom"/>
            <w:hideMark/>
          </w:tcPr>
          <w:p w14:paraId="18A4426D" w14:textId="77777777" w:rsidR="009122C6" w:rsidRPr="009122C6" w:rsidRDefault="009122C6" w:rsidP="009122C6">
            <w:pPr>
              <w:spacing w:after="0" w:line="240" w:lineRule="auto"/>
              <w:jc w:val="center"/>
              <w:rPr>
                <w:rFonts w:ascii="Book Antiqua" w:eastAsia="Times New Roman" w:hAnsi="Book Antiqua" w:cs="Calibri"/>
                <w:b/>
                <w:bCs/>
                <w:color w:val="FFFFFF"/>
                <w:sz w:val="20"/>
                <w:szCs w:val="20"/>
                <w:lang w:eastAsia="es-CR"/>
              </w:rPr>
            </w:pPr>
            <w:r w:rsidRPr="009122C6">
              <w:rPr>
                <w:rFonts w:ascii="Book Antiqua" w:eastAsia="Times New Roman" w:hAnsi="Book Antiqua" w:cs="Calibri"/>
                <w:b/>
                <w:bCs/>
                <w:color w:val="FFFFFF"/>
                <w:sz w:val="20"/>
                <w:szCs w:val="20"/>
                <w:lang w:eastAsia="es-CR"/>
              </w:rPr>
              <w:t>2021</w:t>
            </w:r>
          </w:p>
        </w:tc>
        <w:tc>
          <w:tcPr>
            <w:tcW w:w="940" w:type="dxa"/>
            <w:tcBorders>
              <w:top w:val="single" w:sz="4" w:space="0" w:color="auto"/>
              <w:left w:val="nil"/>
              <w:bottom w:val="single" w:sz="4" w:space="0" w:color="auto"/>
              <w:right w:val="single" w:sz="4" w:space="0" w:color="auto"/>
            </w:tcBorders>
            <w:shd w:val="clear" w:color="000000" w:fill="002060"/>
            <w:noWrap/>
            <w:vAlign w:val="bottom"/>
            <w:hideMark/>
          </w:tcPr>
          <w:p w14:paraId="70950611" w14:textId="77777777" w:rsidR="009122C6" w:rsidRPr="009122C6" w:rsidRDefault="009122C6" w:rsidP="009122C6">
            <w:pPr>
              <w:spacing w:after="0" w:line="240" w:lineRule="auto"/>
              <w:jc w:val="center"/>
              <w:rPr>
                <w:rFonts w:ascii="Book Antiqua" w:eastAsia="Times New Roman" w:hAnsi="Book Antiqua" w:cs="Calibri"/>
                <w:b/>
                <w:bCs/>
                <w:color w:val="FFFFFF"/>
                <w:sz w:val="20"/>
                <w:szCs w:val="20"/>
                <w:lang w:eastAsia="es-CR"/>
              </w:rPr>
            </w:pPr>
            <w:r w:rsidRPr="009122C6">
              <w:rPr>
                <w:rFonts w:ascii="Book Antiqua" w:eastAsia="Times New Roman" w:hAnsi="Book Antiqua" w:cs="Calibri"/>
                <w:b/>
                <w:bCs/>
                <w:color w:val="FFFFFF"/>
                <w:sz w:val="20"/>
                <w:szCs w:val="20"/>
                <w:lang w:eastAsia="es-CR"/>
              </w:rPr>
              <w:t>2022</w:t>
            </w:r>
          </w:p>
        </w:tc>
        <w:tc>
          <w:tcPr>
            <w:tcW w:w="940" w:type="dxa"/>
            <w:tcBorders>
              <w:top w:val="single" w:sz="4" w:space="0" w:color="auto"/>
              <w:left w:val="nil"/>
              <w:bottom w:val="single" w:sz="4" w:space="0" w:color="auto"/>
              <w:right w:val="single" w:sz="4" w:space="0" w:color="auto"/>
            </w:tcBorders>
            <w:shd w:val="clear" w:color="000000" w:fill="002060"/>
            <w:noWrap/>
            <w:vAlign w:val="bottom"/>
            <w:hideMark/>
          </w:tcPr>
          <w:p w14:paraId="2016BC67" w14:textId="77777777" w:rsidR="009122C6" w:rsidRPr="009122C6" w:rsidRDefault="009122C6" w:rsidP="009122C6">
            <w:pPr>
              <w:spacing w:after="0" w:line="240" w:lineRule="auto"/>
              <w:jc w:val="center"/>
              <w:rPr>
                <w:rFonts w:ascii="Book Antiqua" w:eastAsia="Times New Roman" w:hAnsi="Book Antiqua" w:cs="Calibri"/>
                <w:b/>
                <w:bCs/>
                <w:color w:val="FFFFFF"/>
                <w:sz w:val="20"/>
                <w:szCs w:val="20"/>
                <w:lang w:eastAsia="es-CR"/>
              </w:rPr>
            </w:pPr>
            <w:r w:rsidRPr="009122C6">
              <w:rPr>
                <w:rFonts w:ascii="Book Antiqua" w:eastAsia="Times New Roman" w:hAnsi="Book Antiqua" w:cs="Calibri"/>
                <w:b/>
                <w:bCs/>
                <w:color w:val="FFFFFF"/>
                <w:sz w:val="20"/>
                <w:szCs w:val="20"/>
                <w:lang w:eastAsia="es-CR"/>
              </w:rPr>
              <w:t>Promedio</w:t>
            </w:r>
          </w:p>
        </w:tc>
        <w:tc>
          <w:tcPr>
            <w:tcW w:w="940" w:type="dxa"/>
            <w:tcBorders>
              <w:top w:val="single" w:sz="4" w:space="0" w:color="auto"/>
              <w:left w:val="nil"/>
              <w:bottom w:val="single" w:sz="4" w:space="0" w:color="auto"/>
              <w:right w:val="single" w:sz="4" w:space="0" w:color="auto"/>
            </w:tcBorders>
            <w:shd w:val="clear" w:color="000000" w:fill="002060"/>
            <w:noWrap/>
            <w:vAlign w:val="bottom"/>
            <w:hideMark/>
          </w:tcPr>
          <w:p w14:paraId="23468992" w14:textId="77777777" w:rsidR="009122C6" w:rsidRPr="009122C6" w:rsidRDefault="009122C6" w:rsidP="009122C6">
            <w:pPr>
              <w:spacing w:after="0" w:line="240" w:lineRule="auto"/>
              <w:jc w:val="center"/>
              <w:rPr>
                <w:rFonts w:ascii="Book Antiqua" w:eastAsia="Times New Roman" w:hAnsi="Book Antiqua" w:cs="Calibri"/>
                <w:b/>
                <w:bCs/>
                <w:color w:val="FFFFFF"/>
                <w:sz w:val="20"/>
                <w:szCs w:val="20"/>
                <w:lang w:eastAsia="es-CR"/>
              </w:rPr>
            </w:pPr>
            <w:r w:rsidRPr="009122C6">
              <w:rPr>
                <w:rFonts w:ascii="Book Antiqua" w:eastAsia="Times New Roman" w:hAnsi="Book Antiqua" w:cs="Calibri"/>
                <w:b/>
                <w:bCs/>
                <w:color w:val="FFFFFF"/>
                <w:sz w:val="20"/>
                <w:szCs w:val="20"/>
                <w:lang w:eastAsia="es-CR"/>
              </w:rPr>
              <w:t>Mensual</w:t>
            </w:r>
          </w:p>
        </w:tc>
        <w:tc>
          <w:tcPr>
            <w:tcW w:w="820" w:type="dxa"/>
            <w:tcBorders>
              <w:top w:val="single" w:sz="4" w:space="0" w:color="auto"/>
              <w:left w:val="nil"/>
              <w:bottom w:val="single" w:sz="4" w:space="0" w:color="auto"/>
              <w:right w:val="single" w:sz="4" w:space="0" w:color="auto"/>
            </w:tcBorders>
            <w:shd w:val="clear" w:color="000000" w:fill="002060"/>
            <w:noWrap/>
            <w:vAlign w:val="bottom"/>
            <w:hideMark/>
          </w:tcPr>
          <w:p w14:paraId="64186AD2" w14:textId="77777777" w:rsidR="009122C6" w:rsidRPr="009122C6" w:rsidRDefault="009122C6" w:rsidP="009122C6">
            <w:pPr>
              <w:spacing w:after="0" w:line="240" w:lineRule="auto"/>
              <w:jc w:val="center"/>
              <w:rPr>
                <w:rFonts w:ascii="Book Antiqua" w:eastAsia="Times New Roman" w:hAnsi="Book Antiqua" w:cs="Calibri"/>
                <w:b/>
                <w:bCs/>
                <w:color w:val="FFFFFF"/>
                <w:sz w:val="20"/>
                <w:szCs w:val="20"/>
                <w:lang w:eastAsia="es-CR"/>
              </w:rPr>
            </w:pPr>
            <w:r w:rsidRPr="009122C6">
              <w:rPr>
                <w:rFonts w:ascii="Book Antiqua" w:eastAsia="Times New Roman" w:hAnsi="Book Antiqua" w:cs="Calibri"/>
                <w:b/>
                <w:bCs/>
                <w:color w:val="FFFFFF"/>
                <w:sz w:val="20"/>
                <w:szCs w:val="20"/>
                <w:lang w:eastAsia="es-CR"/>
              </w:rPr>
              <w:t>Diario</w:t>
            </w:r>
          </w:p>
        </w:tc>
      </w:tr>
      <w:tr w:rsidR="009122C6" w:rsidRPr="009122C6" w14:paraId="6FEE75EA"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460ED642"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Familia</w:t>
            </w:r>
          </w:p>
        </w:tc>
        <w:tc>
          <w:tcPr>
            <w:tcW w:w="940" w:type="dxa"/>
            <w:tcBorders>
              <w:top w:val="nil"/>
              <w:left w:val="nil"/>
              <w:bottom w:val="single" w:sz="4" w:space="0" w:color="auto"/>
              <w:right w:val="single" w:sz="4" w:space="0" w:color="auto"/>
            </w:tcBorders>
            <w:shd w:val="clear" w:color="auto" w:fill="auto"/>
            <w:noWrap/>
            <w:vAlign w:val="bottom"/>
            <w:hideMark/>
          </w:tcPr>
          <w:p w14:paraId="423E7A04"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225</w:t>
            </w:r>
          </w:p>
        </w:tc>
        <w:tc>
          <w:tcPr>
            <w:tcW w:w="880" w:type="dxa"/>
            <w:tcBorders>
              <w:top w:val="nil"/>
              <w:left w:val="nil"/>
              <w:bottom w:val="single" w:sz="4" w:space="0" w:color="auto"/>
              <w:right w:val="single" w:sz="4" w:space="0" w:color="auto"/>
            </w:tcBorders>
            <w:shd w:val="clear" w:color="auto" w:fill="auto"/>
            <w:noWrap/>
            <w:vAlign w:val="bottom"/>
            <w:hideMark/>
          </w:tcPr>
          <w:p w14:paraId="71DBD5B3"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158</w:t>
            </w:r>
          </w:p>
        </w:tc>
        <w:tc>
          <w:tcPr>
            <w:tcW w:w="940" w:type="dxa"/>
            <w:tcBorders>
              <w:top w:val="nil"/>
              <w:left w:val="nil"/>
              <w:bottom w:val="single" w:sz="4" w:space="0" w:color="auto"/>
              <w:right w:val="single" w:sz="4" w:space="0" w:color="auto"/>
            </w:tcBorders>
            <w:shd w:val="clear" w:color="auto" w:fill="auto"/>
            <w:noWrap/>
            <w:vAlign w:val="bottom"/>
            <w:hideMark/>
          </w:tcPr>
          <w:p w14:paraId="19A22399"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355</w:t>
            </w:r>
          </w:p>
        </w:tc>
        <w:tc>
          <w:tcPr>
            <w:tcW w:w="940" w:type="dxa"/>
            <w:tcBorders>
              <w:top w:val="nil"/>
              <w:left w:val="nil"/>
              <w:bottom w:val="single" w:sz="4" w:space="0" w:color="auto"/>
              <w:right w:val="single" w:sz="4" w:space="0" w:color="auto"/>
            </w:tcBorders>
            <w:shd w:val="clear" w:color="auto" w:fill="auto"/>
            <w:noWrap/>
            <w:vAlign w:val="bottom"/>
            <w:hideMark/>
          </w:tcPr>
          <w:p w14:paraId="7C3C69E3"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289</w:t>
            </w:r>
          </w:p>
        </w:tc>
        <w:tc>
          <w:tcPr>
            <w:tcW w:w="940" w:type="dxa"/>
            <w:tcBorders>
              <w:top w:val="nil"/>
              <w:left w:val="nil"/>
              <w:bottom w:val="single" w:sz="4" w:space="0" w:color="auto"/>
              <w:right w:val="single" w:sz="4" w:space="0" w:color="auto"/>
            </w:tcBorders>
            <w:shd w:val="clear" w:color="auto" w:fill="auto"/>
            <w:noWrap/>
            <w:vAlign w:val="bottom"/>
            <w:hideMark/>
          </w:tcPr>
          <w:p w14:paraId="34B72A58"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257</w:t>
            </w:r>
          </w:p>
        </w:tc>
        <w:tc>
          <w:tcPr>
            <w:tcW w:w="940" w:type="dxa"/>
            <w:tcBorders>
              <w:top w:val="nil"/>
              <w:left w:val="nil"/>
              <w:bottom w:val="single" w:sz="4" w:space="0" w:color="auto"/>
              <w:right w:val="single" w:sz="4" w:space="0" w:color="auto"/>
            </w:tcBorders>
            <w:shd w:val="clear" w:color="auto" w:fill="auto"/>
            <w:noWrap/>
            <w:vAlign w:val="bottom"/>
            <w:hideMark/>
          </w:tcPr>
          <w:p w14:paraId="71E035A0"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23</w:t>
            </w:r>
          </w:p>
        </w:tc>
        <w:tc>
          <w:tcPr>
            <w:tcW w:w="820" w:type="dxa"/>
            <w:tcBorders>
              <w:top w:val="nil"/>
              <w:left w:val="nil"/>
              <w:bottom w:val="single" w:sz="4" w:space="0" w:color="auto"/>
              <w:right w:val="single" w:sz="4" w:space="0" w:color="auto"/>
            </w:tcBorders>
            <w:shd w:val="clear" w:color="auto" w:fill="auto"/>
            <w:noWrap/>
            <w:vAlign w:val="bottom"/>
            <w:hideMark/>
          </w:tcPr>
          <w:p w14:paraId="41763C27"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r>
      <w:tr w:rsidR="009122C6" w:rsidRPr="009122C6" w14:paraId="435E2228"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2A2E725E"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Laboral</w:t>
            </w:r>
          </w:p>
        </w:tc>
        <w:tc>
          <w:tcPr>
            <w:tcW w:w="940" w:type="dxa"/>
            <w:tcBorders>
              <w:top w:val="nil"/>
              <w:left w:val="nil"/>
              <w:bottom w:val="single" w:sz="4" w:space="0" w:color="auto"/>
              <w:right w:val="single" w:sz="4" w:space="0" w:color="auto"/>
            </w:tcBorders>
            <w:shd w:val="clear" w:color="auto" w:fill="auto"/>
            <w:noWrap/>
            <w:vAlign w:val="bottom"/>
            <w:hideMark/>
          </w:tcPr>
          <w:p w14:paraId="52E64A67"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3218</w:t>
            </w:r>
          </w:p>
        </w:tc>
        <w:tc>
          <w:tcPr>
            <w:tcW w:w="880" w:type="dxa"/>
            <w:tcBorders>
              <w:top w:val="nil"/>
              <w:left w:val="nil"/>
              <w:bottom w:val="single" w:sz="4" w:space="0" w:color="auto"/>
              <w:right w:val="single" w:sz="4" w:space="0" w:color="auto"/>
            </w:tcBorders>
            <w:shd w:val="clear" w:color="auto" w:fill="auto"/>
            <w:noWrap/>
            <w:vAlign w:val="bottom"/>
            <w:hideMark/>
          </w:tcPr>
          <w:p w14:paraId="67C12B7B"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2746</w:t>
            </w:r>
          </w:p>
        </w:tc>
        <w:tc>
          <w:tcPr>
            <w:tcW w:w="940" w:type="dxa"/>
            <w:tcBorders>
              <w:top w:val="nil"/>
              <w:left w:val="nil"/>
              <w:bottom w:val="single" w:sz="4" w:space="0" w:color="auto"/>
              <w:right w:val="single" w:sz="4" w:space="0" w:color="auto"/>
            </w:tcBorders>
            <w:shd w:val="clear" w:color="auto" w:fill="auto"/>
            <w:noWrap/>
            <w:vAlign w:val="bottom"/>
            <w:hideMark/>
          </w:tcPr>
          <w:p w14:paraId="78ADF442"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2446</w:t>
            </w:r>
          </w:p>
        </w:tc>
        <w:tc>
          <w:tcPr>
            <w:tcW w:w="940" w:type="dxa"/>
            <w:tcBorders>
              <w:top w:val="nil"/>
              <w:left w:val="nil"/>
              <w:bottom w:val="single" w:sz="4" w:space="0" w:color="auto"/>
              <w:right w:val="single" w:sz="4" w:space="0" w:color="auto"/>
            </w:tcBorders>
            <w:shd w:val="clear" w:color="auto" w:fill="auto"/>
            <w:noWrap/>
            <w:vAlign w:val="bottom"/>
            <w:hideMark/>
          </w:tcPr>
          <w:p w14:paraId="44807B5E"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2414</w:t>
            </w:r>
          </w:p>
        </w:tc>
        <w:tc>
          <w:tcPr>
            <w:tcW w:w="940" w:type="dxa"/>
            <w:tcBorders>
              <w:top w:val="nil"/>
              <w:left w:val="nil"/>
              <w:bottom w:val="single" w:sz="4" w:space="0" w:color="auto"/>
              <w:right w:val="single" w:sz="4" w:space="0" w:color="auto"/>
            </w:tcBorders>
            <w:shd w:val="clear" w:color="auto" w:fill="auto"/>
            <w:noWrap/>
            <w:vAlign w:val="bottom"/>
            <w:hideMark/>
          </w:tcPr>
          <w:p w14:paraId="10099480"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2706</w:t>
            </w:r>
          </w:p>
        </w:tc>
        <w:tc>
          <w:tcPr>
            <w:tcW w:w="940" w:type="dxa"/>
            <w:tcBorders>
              <w:top w:val="nil"/>
              <w:left w:val="nil"/>
              <w:bottom w:val="single" w:sz="4" w:space="0" w:color="auto"/>
              <w:right w:val="single" w:sz="4" w:space="0" w:color="auto"/>
            </w:tcBorders>
            <w:shd w:val="clear" w:color="auto" w:fill="auto"/>
            <w:noWrap/>
            <w:vAlign w:val="bottom"/>
            <w:hideMark/>
          </w:tcPr>
          <w:p w14:paraId="5A92B3B0"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241</w:t>
            </w:r>
          </w:p>
        </w:tc>
        <w:tc>
          <w:tcPr>
            <w:tcW w:w="820" w:type="dxa"/>
            <w:tcBorders>
              <w:top w:val="nil"/>
              <w:left w:val="nil"/>
              <w:bottom w:val="single" w:sz="4" w:space="0" w:color="auto"/>
              <w:right w:val="single" w:sz="4" w:space="0" w:color="auto"/>
            </w:tcBorders>
            <w:shd w:val="clear" w:color="auto" w:fill="auto"/>
            <w:noWrap/>
            <w:vAlign w:val="bottom"/>
            <w:hideMark/>
          </w:tcPr>
          <w:p w14:paraId="490441D3"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11</w:t>
            </w:r>
          </w:p>
        </w:tc>
      </w:tr>
      <w:tr w:rsidR="009122C6" w:rsidRPr="009122C6" w14:paraId="03DF99B2"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0D511E98"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Concursal</w:t>
            </w:r>
          </w:p>
        </w:tc>
        <w:tc>
          <w:tcPr>
            <w:tcW w:w="940" w:type="dxa"/>
            <w:tcBorders>
              <w:top w:val="nil"/>
              <w:left w:val="nil"/>
              <w:bottom w:val="single" w:sz="4" w:space="0" w:color="auto"/>
              <w:right w:val="single" w:sz="4" w:space="0" w:color="auto"/>
            </w:tcBorders>
            <w:shd w:val="clear" w:color="auto" w:fill="auto"/>
            <w:noWrap/>
            <w:vAlign w:val="bottom"/>
            <w:hideMark/>
          </w:tcPr>
          <w:p w14:paraId="7C0F5A52"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36</w:t>
            </w:r>
          </w:p>
        </w:tc>
        <w:tc>
          <w:tcPr>
            <w:tcW w:w="880" w:type="dxa"/>
            <w:tcBorders>
              <w:top w:val="nil"/>
              <w:left w:val="nil"/>
              <w:bottom w:val="single" w:sz="4" w:space="0" w:color="auto"/>
              <w:right w:val="single" w:sz="4" w:space="0" w:color="auto"/>
            </w:tcBorders>
            <w:shd w:val="clear" w:color="auto" w:fill="auto"/>
            <w:noWrap/>
            <w:vAlign w:val="bottom"/>
            <w:hideMark/>
          </w:tcPr>
          <w:p w14:paraId="74090953"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14</w:t>
            </w:r>
          </w:p>
        </w:tc>
        <w:tc>
          <w:tcPr>
            <w:tcW w:w="940" w:type="dxa"/>
            <w:tcBorders>
              <w:top w:val="nil"/>
              <w:left w:val="nil"/>
              <w:bottom w:val="single" w:sz="4" w:space="0" w:color="auto"/>
              <w:right w:val="single" w:sz="4" w:space="0" w:color="auto"/>
            </w:tcBorders>
            <w:shd w:val="clear" w:color="auto" w:fill="auto"/>
            <w:noWrap/>
            <w:vAlign w:val="bottom"/>
            <w:hideMark/>
          </w:tcPr>
          <w:p w14:paraId="19B7BA01"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10</w:t>
            </w:r>
          </w:p>
        </w:tc>
        <w:tc>
          <w:tcPr>
            <w:tcW w:w="940" w:type="dxa"/>
            <w:tcBorders>
              <w:top w:val="nil"/>
              <w:left w:val="nil"/>
              <w:bottom w:val="single" w:sz="4" w:space="0" w:color="auto"/>
              <w:right w:val="single" w:sz="4" w:space="0" w:color="auto"/>
            </w:tcBorders>
            <w:shd w:val="clear" w:color="auto" w:fill="auto"/>
            <w:noWrap/>
            <w:vAlign w:val="bottom"/>
            <w:hideMark/>
          </w:tcPr>
          <w:p w14:paraId="38676DCA"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10</w:t>
            </w:r>
          </w:p>
        </w:tc>
        <w:tc>
          <w:tcPr>
            <w:tcW w:w="940" w:type="dxa"/>
            <w:tcBorders>
              <w:top w:val="nil"/>
              <w:left w:val="nil"/>
              <w:bottom w:val="single" w:sz="4" w:space="0" w:color="auto"/>
              <w:right w:val="single" w:sz="4" w:space="0" w:color="auto"/>
            </w:tcBorders>
            <w:shd w:val="clear" w:color="auto" w:fill="auto"/>
            <w:noWrap/>
            <w:vAlign w:val="bottom"/>
            <w:hideMark/>
          </w:tcPr>
          <w:p w14:paraId="72EBA569"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18</w:t>
            </w:r>
          </w:p>
        </w:tc>
        <w:tc>
          <w:tcPr>
            <w:tcW w:w="940" w:type="dxa"/>
            <w:tcBorders>
              <w:top w:val="nil"/>
              <w:left w:val="nil"/>
              <w:bottom w:val="single" w:sz="4" w:space="0" w:color="auto"/>
              <w:right w:val="single" w:sz="4" w:space="0" w:color="auto"/>
            </w:tcBorders>
            <w:shd w:val="clear" w:color="auto" w:fill="auto"/>
            <w:noWrap/>
            <w:vAlign w:val="bottom"/>
            <w:hideMark/>
          </w:tcPr>
          <w:p w14:paraId="5535B4D7"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w:t>
            </w:r>
          </w:p>
        </w:tc>
        <w:tc>
          <w:tcPr>
            <w:tcW w:w="820" w:type="dxa"/>
            <w:tcBorders>
              <w:top w:val="nil"/>
              <w:left w:val="nil"/>
              <w:bottom w:val="single" w:sz="4" w:space="0" w:color="auto"/>
              <w:right w:val="single" w:sz="4" w:space="0" w:color="auto"/>
            </w:tcBorders>
            <w:shd w:val="clear" w:color="auto" w:fill="auto"/>
            <w:noWrap/>
            <w:vAlign w:val="bottom"/>
            <w:hideMark/>
          </w:tcPr>
          <w:p w14:paraId="08677426"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r>
      <w:tr w:rsidR="009122C6" w:rsidRPr="009122C6" w14:paraId="60335926"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3417E482"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Civil</w:t>
            </w:r>
          </w:p>
        </w:tc>
        <w:tc>
          <w:tcPr>
            <w:tcW w:w="940" w:type="dxa"/>
            <w:tcBorders>
              <w:top w:val="nil"/>
              <w:left w:val="nil"/>
              <w:bottom w:val="single" w:sz="4" w:space="0" w:color="auto"/>
              <w:right w:val="single" w:sz="4" w:space="0" w:color="auto"/>
            </w:tcBorders>
            <w:shd w:val="clear" w:color="auto" w:fill="auto"/>
            <w:noWrap/>
            <w:vAlign w:val="bottom"/>
            <w:hideMark/>
          </w:tcPr>
          <w:p w14:paraId="13A61477"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43</w:t>
            </w:r>
          </w:p>
        </w:tc>
        <w:tc>
          <w:tcPr>
            <w:tcW w:w="880" w:type="dxa"/>
            <w:tcBorders>
              <w:top w:val="nil"/>
              <w:left w:val="nil"/>
              <w:bottom w:val="single" w:sz="4" w:space="0" w:color="auto"/>
              <w:right w:val="single" w:sz="4" w:space="0" w:color="auto"/>
            </w:tcBorders>
            <w:shd w:val="clear" w:color="auto" w:fill="auto"/>
            <w:noWrap/>
            <w:vAlign w:val="bottom"/>
            <w:hideMark/>
          </w:tcPr>
          <w:p w14:paraId="656BC669"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38</w:t>
            </w:r>
          </w:p>
        </w:tc>
        <w:tc>
          <w:tcPr>
            <w:tcW w:w="940" w:type="dxa"/>
            <w:tcBorders>
              <w:top w:val="nil"/>
              <w:left w:val="nil"/>
              <w:bottom w:val="single" w:sz="4" w:space="0" w:color="auto"/>
              <w:right w:val="single" w:sz="4" w:space="0" w:color="auto"/>
            </w:tcBorders>
            <w:shd w:val="clear" w:color="auto" w:fill="auto"/>
            <w:noWrap/>
            <w:vAlign w:val="bottom"/>
            <w:hideMark/>
          </w:tcPr>
          <w:p w14:paraId="72A79849"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75</w:t>
            </w:r>
          </w:p>
        </w:tc>
        <w:tc>
          <w:tcPr>
            <w:tcW w:w="940" w:type="dxa"/>
            <w:tcBorders>
              <w:top w:val="nil"/>
              <w:left w:val="nil"/>
              <w:bottom w:val="single" w:sz="4" w:space="0" w:color="auto"/>
              <w:right w:val="single" w:sz="4" w:space="0" w:color="auto"/>
            </w:tcBorders>
            <w:shd w:val="clear" w:color="auto" w:fill="auto"/>
            <w:noWrap/>
            <w:vAlign w:val="bottom"/>
            <w:hideMark/>
          </w:tcPr>
          <w:p w14:paraId="228A292C"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142</w:t>
            </w:r>
          </w:p>
        </w:tc>
        <w:tc>
          <w:tcPr>
            <w:tcW w:w="940" w:type="dxa"/>
            <w:tcBorders>
              <w:top w:val="nil"/>
              <w:left w:val="nil"/>
              <w:bottom w:val="single" w:sz="4" w:space="0" w:color="auto"/>
              <w:right w:val="single" w:sz="4" w:space="0" w:color="auto"/>
            </w:tcBorders>
            <w:shd w:val="clear" w:color="auto" w:fill="auto"/>
            <w:noWrap/>
            <w:vAlign w:val="bottom"/>
            <w:hideMark/>
          </w:tcPr>
          <w:p w14:paraId="295A522E"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75</w:t>
            </w:r>
          </w:p>
        </w:tc>
        <w:tc>
          <w:tcPr>
            <w:tcW w:w="940" w:type="dxa"/>
            <w:tcBorders>
              <w:top w:val="nil"/>
              <w:left w:val="nil"/>
              <w:bottom w:val="single" w:sz="4" w:space="0" w:color="auto"/>
              <w:right w:val="single" w:sz="4" w:space="0" w:color="auto"/>
            </w:tcBorders>
            <w:shd w:val="clear" w:color="auto" w:fill="auto"/>
            <w:noWrap/>
            <w:vAlign w:val="bottom"/>
            <w:hideMark/>
          </w:tcPr>
          <w:p w14:paraId="090F7659"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7</w:t>
            </w:r>
          </w:p>
        </w:tc>
        <w:tc>
          <w:tcPr>
            <w:tcW w:w="820" w:type="dxa"/>
            <w:tcBorders>
              <w:top w:val="nil"/>
              <w:left w:val="nil"/>
              <w:bottom w:val="single" w:sz="4" w:space="0" w:color="auto"/>
              <w:right w:val="single" w:sz="4" w:space="0" w:color="auto"/>
            </w:tcBorders>
            <w:shd w:val="clear" w:color="auto" w:fill="auto"/>
            <w:noWrap/>
            <w:vAlign w:val="bottom"/>
            <w:hideMark/>
          </w:tcPr>
          <w:p w14:paraId="313BDA52"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r>
      <w:tr w:rsidR="009122C6" w:rsidRPr="009122C6" w14:paraId="770C46C8"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2CEFED15"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Pensiones Alimentarias</w:t>
            </w:r>
          </w:p>
        </w:tc>
        <w:tc>
          <w:tcPr>
            <w:tcW w:w="940" w:type="dxa"/>
            <w:tcBorders>
              <w:top w:val="nil"/>
              <w:left w:val="nil"/>
              <w:bottom w:val="single" w:sz="4" w:space="0" w:color="auto"/>
              <w:right w:val="single" w:sz="4" w:space="0" w:color="auto"/>
            </w:tcBorders>
            <w:shd w:val="clear" w:color="auto" w:fill="auto"/>
            <w:noWrap/>
            <w:vAlign w:val="bottom"/>
            <w:hideMark/>
          </w:tcPr>
          <w:p w14:paraId="0B671626"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6</w:t>
            </w:r>
          </w:p>
        </w:tc>
        <w:tc>
          <w:tcPr>
            <w:tcW w:w="880" w:type="dxa"/>
            <w:tcBorders>
              <w:top w:val="nil"/>
              <w:left w:val="nil"/>
              <w:bottom w:val="single" w:sz="4" w:space="0" w:color="auto"/>
              <w:right w:val="single" w:sz="4" w:space="0" w:color="auto"/>
            </w:tcBorders>
            <w:shd w:val="clear" w:color="auto" w:fill="auto"/>
            <w:noWrap/>
            <w:vAlign w:val="bottom"/>
            <w:hideMark/>
          </w:tcPr>
          <w:p w14:paraId="0CC96947"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11</w:t>
            </w:r>
          </w:p>
        </w:tc>
        <w:tc>
          <w:tcPr>
            <w:tcW w:w="940" w:type="dxa"/>
            <w:tcBorders>
              <w:top w:val="nil"/>
              <w:left w:val="nil"/>
              <w:bottom w:val="single" w:sz="4" w:space="0" w:color="auto"/>
              <w:right w:val="single" w:sz="4" w:space="0" w:color="auto"/>
            </w:tcBorders>
            <w:shd w:val="clear" w:color="auto" w:fill="auto"/>
            <w:noWrap/>
            <w:vAlign w:val="bottom"/>
            <w:hideMark/>
          </w:tcPr>
          <w:p w14:paraId="25D8887C"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11</w:t>
            </w:r>
          </w:p>
        </w:tc>
        <w:tc>
          <w:tcPr>
            <w:tcW w:w="940" w:type="dxa"/>
            <w:tcBorders>
              <w:top w:val="nil"/>
              <w:left w:val="nil"/>
              <w:bottom w:val="single" w:sz="4" w:space="0" w:color="auto"/>
              <w:right w:val="single" w:sz="4" w:space="0" w:color="auto"/>
            </w:tcBorders>
            <w:shd w:val="clear" w:color="auto" w:fill="auto"/>
            <w:noWrap/>
            <w:vAlign w:val="bottom"/>
            <w:hideMark/>
          </w:tcPr>
          <w:p w14:paraId="7EF8BFA8"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9</w:t>
            </w:r>
          </w:p>
        </w:tc>
        <w:tc>
          <w:tcPr>
            <w:tcW w:w="940" w:type="dxa"/>
            <w:tcBorders>
              <w:top w:val="nil"/>
              <w:left w:val="nil"/>
              <w:bottom w:val="single" w:sz="4" w:space="0" w:color="auto"/>
              <w:right w:val="single" w:sz="4" w:space="0" w:color="auto"/>
            </w:tcBorders>
            <w:shd w:val="clear" w:color="auto" w:fill="auto"/>
            <w:noWrap/>
            <w:vAlign w:val="bottom"/>
            <w:hideMark/>
          </w:tcPr>
          <w:p w14:paraId="27DD7C3B"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9</w:t>
            </w:r>
          </w:p>
        </w:tc>
        <w:tc>
          <w:tcPr>
            <w:tcW w:w="940" w:type="dxa"/>
            <w:tcBorders>
              <w:top w:val="nil"/>
              <w:left w:val="nil"/>
              <w:bottom w:val="single" w:sz="4" w:space="0" w:color="auto"/>
              <w:right w:val="single" w:sz="4" w:space="0" w:color="auto"/>
            </w:tcBorders>
            <w:shd w:val="clear" w:color="auto" w:fill="auto"/>
            <w:noWrap/>
            <w:vAlign w:val="bottom"/>
            <w:hideMark/>
          </w:tcPr>
          <w:p w14:paraId="76F3A1FF"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c>
          <w:tcPr>
            <w:tcW w:w="820" w:type="dxa"/>
            <w:tcBorders>
              <w:top w:val="nil"/>
              <w:left w:val="nil"/>
              <w:bottom w:val="single" w:sz="4" w:space="0" w:color="auto"/>
              <w:right w:val="single" w:sz="4" w:space="0" w:color="auto"/>
            </w:tcBorders>
            <w:shd w:val="clear" w:color="auto" w:fill="auto"/>
            <w:noWrap/>
            <w:vAlign w:val="bottom"/>
            <w:hideMark/>
          </w:tcPr>
          <w:p w14:paraId="7B9AA72C"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r>
      <w:tr w:rsidR="009122C6" w:rsidRPr="009122C6" w14:paraId="349FB44D"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2D0453FA"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Violencia Doméstica</w:t>
            </w:r>
          </w:p>
        </w:tc>
        <w:tc>
          <w:tcPr>
            <w:tcW w:w="940" w:type="dxa"/>
            <w:tcBorders>
              <w:top w:val="nil"/>
              <w:left w:val="nil"/>
              <w:bottom w:val="single" w:sz="4" w:space="0" w:color="auto"/>
              <w:right w:val="single" w:sz="4" w:space="0" w:color="auto"/>
            </w:tcBorders>
            <w:shd w:val="clear" w:color="auto" w:fill="auto"/>
            <w:noWrap/>
            <w:vAlign w:val="bottom"/>
            <w:hideMark/>
          </w:tcPr>
          <w:p w14:paraId="1A167843"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w:t>
            </w:r>
          </w:p>
        </w:tc>
        <w:tc>
          <w:tcPr>
            <w:tcW w:w="880" w:type="dxa"/>
            <w:tcBorders>
              <w:top w:val="nil"/>
              <w:left w:val="nil"/>
              <w:bottom w:val="single" w:sz="4" w:space="0" w:color="auto"/>
              <w:right w:val="single" w:sz="4" w:space="0" w:color="auto"/>
            </w:tcBorders>
            <w:shd w:val="clear" w:color="auto" w:fill="auto"/>
            <w:noWrap/>
            <w:vAlign w:val="bottom"/>
            <w:hideMark/>
          </w:tcPr>
          <w:p w14:paraId="6B105F08"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auto" w:fill="auto"/>
            <w:noWrap/>
            <w:vAlign w:val="bottom"/>
            <w:hideMark/>
          </w:tcPr>
          <w:p w14:paraId="6E1A94B0"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w:t>
            </w:r>
          </w:p>
        </w:tc>
        <w:tc>
          <w:tcPr>
            <w:tcW w:w="940" w:type="dxa"/>
            <w:tcBorders>
              <w:top w:val="nil"/>
              <w:left w:val="nil"/>
              <w:bottom w:val="single" w:sz="4" w:space="0" w:color="auto"/>
              <w:right w:val="single" w:sz="4" w:space="0" w:color="auto"/>
            </w:tcBorders>
            <w:shd w:val="clear" w:color="auto" w:fill="auto"/>
            <w:noWrap/>
            <w:vAlign w:val="bottom"/>
            <w:hideMark/>
          </w:tcPr>
          <w:p w14:paraId="0CC71B9A"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auto" w:fill="auto"/>
            <w:noWrap/>
            <w:vAlign w:val="bottom"/>
            <w:hideMark/>
          </w:tcPr>
          <w:p w14:paraId="4D7A9991"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w:t>
            </w:r>
          </w:p>
        </w:tc>
        <w:tc>
          <w:tcPr>
            <w:tcW w:w="940" w:type="dxa"/>
            <w:tcBorders>
              <w:top w:val="nil"/>
              <w:left w:val="nil"/>
              <w:bottom w:val="single" w:sz="4" w:space="0" w:color="auto"/>
              <w:right w:val="single" w:sz="4" w:space="0" w:color="auto"/>
            </w:tcBorders>
            <w:shd w:val="clear" w:color="auto" w:fill="auto"/>
            <w:noWrap/>
            <w:vAlign w:val="bottom"/>
            <w:hideMark/>
          </w:tcPr>
          <w:p w14:paraId="73623979"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c>
          <w:tcPr>
            <w:tcW w:w="820" w:type="dxa"/>
            <w:tcBorders>
              <w:top w:val="nil"/>
              <w:left w:val="nil"/>
              <w:bottom w:val="single" w:sz="4" w:space="0" w:color="auto"/>
              <w:right w:val="single" w:sz="4" w:space="0" w:color="auto"/>
            </w:tcBorders>
            <w:shd w:val="clear" w:color="auto" w:fill="auto"/>
            <w:noWrap/>
            <w:vAlign w:val="bottom"/>
            <w:hideMark/>
          </w:tcPr>
          <w:p w14:paraId="1A43C315"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r>
      <w:tr w:rsidR="009122C6" w:rsidRPr="009122C6" w14:paraId="2C39E306"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6DD4C63C"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Niñez y Adolescencia</w:t>
            </w:r>
          </w:p>
        </w:tc>
        <w:tc>
          <w:tcPr>
            <w:tcW w:w="940" w:type="dxa"/>
            <w:tcBorders>
              <w:top w:val="nil"/>
              <w:left w:val="nil"/>
              <w:bottom w:val="single" w:sz="4" w:space="0" w:color="auto"/>
              <w:right w:val="single" w:sz="4" w:space="0" w:color="auto"/>
            </w:tcBorders>
            <w:shd w:val="clear" w:color="auto" w:fill="auto"/>
            <w:noWrap/>
            <w:vAlign w:val="bottom"/>
            <w:hideMark/>
          </w:tcPr>
          <w:p w14:paraId="16C5EAF4"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6</w:t>
            </w:r>
          </w:p>
        </w:tc>
        <w:tc>
          <w:tcPr>
            <w:tcW w:w="880" w:type="dxa"/>
            <w:tcBorders>
              <w:top w:val="nil"/>
              <w:left w:val="nil"/>
              <w:bottom w:val="single" w:sz="4" w:space="0" w:color="auto"/>
              <w:right w:val="single" w:sz="4" w:space="0" w:color="auto"/>
            </w:tcBorders>
            <w:shd w:val="clear" w:color="auto" w:fill="auto"/>
            <w:noWrap/>
            <w:vAlign w:val="bottom"/>
            <w:hideMark/>
          </w:tcPr>
          <w:p w14:paraId="41D34F8F"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3</w:t>
            </w:r>
          </w:p>
        </w:tc>
        <w:tc>
          <w:tcPr>
            <w:tcW w:w="940" w:type="dxa"/>
            <w:tcBorders>
              <w:top w:val="nil"/>
              <w:left w:val="nil"/>
              <w:bottom w:val="single" w:sz="4" w:space="0" w:color="auto"/>
              <w:right w:val="single" w:sz="4" w:space="0" w:color="auto"/>
            </w:tcBorders>
            <w:shd w:val="clear" w:color="auto" w:fill="auto"/>
            <w:noWrap/>
            <w:vAlign w:val="bottom"/>
            <w:hideMark/>
          </w:tcPr>
          <w:p w14:paraId="629FEE46"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auto" w:fill="auto"/>
            <w:noWrap/>
            <w:vAlign w:val="bottom"/>
            <w:hideMark/>
          </w:tcPr>
          <w:p w14:paraId="2C84DEA7"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w:t>
            </w:r>
          </w:p>
        </w:tc>
        <w:tc>
          <w:tcPr>
            <w:tcW w:w="940" w:type="dxa"/>
            <w:tcBorders>
              <w:top w:val="nil"/>
              <w:left w:val="nil"/>
              <w:bottom w:val="single" w:sz="4" w:space="0" w:color="auto"/>
              <w:right w:val="single" w:sz="4" w:space="0" w:color="auto"/>
            </w:tcBorders>
            <w:shd w:val="clear" w:color="auto" w:fill="auto"/>
            <w:noWrap/>
            <w:vAlign w:val="bottom"/>
            <w:hideMark/>
          </w:tcPr>
          <w:p w14:paraId="005E83BD"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3</w:t>
            </w:r>
          </w:p>
        </w:tc>
        <w:tc>
          <w:tcPr>
            <w:tcW w:w="940" w:type="dxa"/>
            <w:tcBorders>
              <w:top w:val="nil"/>
              <w:left w:val="nil"/>
              <w:bottom w:val="single" w:sz="4" w:space="0" w:color="auto"/>
              <w:right w:val="single" w:sz="4" w:space="0" w:color="auto"/>
            </w:tcBorders>
            <w:shd w:val="clear" w:color="auto" w:fill="auto"/>
            <w:noWrap/>
            <w:vAlign w:val="bottom"/>
            <w:hideMark/>
          </w:tcPr>
          <w:p w14:paraId="44F09FAF"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c>
          <w:tcPr>
            <w:tcW w:w="820" w:type="dxa"/>
            <w:tcBorders>
              <w:top w:val="nil"/>
              <w:left w:val="nil"/>
              <w:bottom w:val="single" w:sz="4" w:space="0" w:color="auto"/>
              <w:right w:val="single" w:sz="4" w:space="0" w:color="auto"/>
            </w:tcBorders>
            <w:shd w:val="clear" w:color="auto" w:fill="auto"/>
            <w:noWrap/>
            <w:vAlign w:val="bottom"/>
            <w:hideMark/>
          </w:tcPr>
          <w:p w14:paraId="5E2AD4FD"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r>
      <w:tr w:rsidR="009122C6" w:rsidRPr="009122C6" w14:paraId="36B59A7A"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43C73359"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Agrario</w:t>
            </w:r>
          </w:p>
        </w:tc>
        <w:tc>
          <w:tcPr>
            <w:tcW w:w="940" w:type="dxa"/>
            <w:tcBorders>
              <w:top w:val="nil"/>
              <w:left w:val="nil"/>
              <w:bottom w:val="single" w:sz="4" w:space="0" w:color="auto"/>
              <w:right w:val="single" w:sz="4" w:space="0" w:color="auto"/>
            </w:tcBorders>
            <w:shd w:val="clear" w:color="auto" w:fill="auto"/>
            <w:noWrap/>
            <w:vAlign w:val="bottom"/>
            <w:hideMark/>
          </w:tcPr>
          <w:p w14:paraId="4C09B2D3"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c>
          <w:tcPr>
            <w:tcW w:w="880" w:type="dxa"/>
            <w:tcBorders>
              <w:top w:val="nil"/>
              <w:left w:val="nil"/>
              <w:bottom w:val="single" w:sz="4" w:space="0" w:color="auto"/>
              <w:right w:val="single" w:sz="4" w:space="0" w:color="auto"/>
            </w:tcBorders>
            <w:shd w:val="clear" w:color="auto" w:fill="auto"/>
            <w:noWrap/>
            <w:vAlign w:val="bottom"/>
            <w:hideMark/>
          </w:tcPr>
          <w:p w14:paraId="2B1E2C29"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auto" w:fill="auto"/>
            <w:noWrap/>
            <w:vAlign w:val="bottom"/>
            <w:hideMark/>
          </w:tcPr>
          <w:p w14:paraId="3F90DCC3"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auto" w:fill="auto"/>
            <w:noWrap/>
            <w:vAlign w:val="bottom"/>
            <w:hideMark/>
          </w:tcPr>
          <w:p w14:paraId="337203B3"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auto" w:fill="auto"/>
            <w:noWrap/>
            <w:vAlign w:val="bottom"/>
            <w:hideMark/>
          </w:tcPr>
          <w:p w14:paraId="3804C238"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auto" w:fill="auto"/>
            <w:noWrap/>
            <w:vAlign w:val="bottom"/>
            <w:hideMark/>
          </w:tcPr>
          <w:p w14:paraId="299BB02B"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c>
          <w:tcPr>
            <w:tcW w:w="820" w:type="dxa"/>
            <w:tcBorders>
              <w:top w:val="nil"/>
              <w:left w:val="nil"/>
              <w:bottom w:val="single" w:sz="4" w:space="0" w:color="auto"/>
              <w:right w:val="single" w:sz="4" w:space="0" w:color="auto"/>
            </w:tcBorders>
            <w:shd w:val="clear" w:color="auto" w:fill="auto"/>
            <w:noWrap/>
            <w:vAlign w:val="bottom"/>
            <w:hideMark/>
          </w:tcPr>
          <w:p w14:paraId="54C22295"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r>
      <w:tr w:rsidR="009122C6" w:rsidRPr="009122C6" w14:paraId="1F3BE554"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6FF406D2" w14:textId="77777777" w:rsidR="009122C6" w:rsidRPr="009122C6" w:rsidRDefault="009122C6" w:rsidP="009122C6">
            <w:pPr>
              <w:spacing w:after="0" w:line="240" w:lineRule="auto"/>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Sala Segunda</w:t>
            </w:r>
          </w:p>
        </w:tc>
        <w:tc>
          <w:tcPr>
            <w:tcW w:w="940" w:type="dxa"/>
            <w:tcBorders>
              <w:top w:val="nil"/>
              <w:left w:val="nil"/>
              <w:bottom w:val="single" w:sz="4" w:space="0" w:color="auto"/>
              <w:right w:val="single" w:sz="4" w:space="0" w:color="auto"/>
            </w:tcBorders>
            <w:shd w:val="clear" w:color="auto" w:fill="auto"/>
            <w:noWrap/>
            <w:vAlign w:val="bottom"/>
            <w:hideMark/>
          </w:tcPr>
          <w:p w14:paraId="7FB69195"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40</w:t>
            </w:r>
          </w:p>
        </w:tc>
        <w:tc>
          <w:tcPr>
            <w:tcW w:w="880" w:type="dxa"/>
            <w:tcBorders>
              <w:top w:val="nil"/>
              <w:left w:val="nil"/>
              <w:bottom w:val="single" w:sz="4" w:space="0" w:color="auto"/>
              <w:right w:val="single" w:sz="4" w:space="0" w:color="auto"/>
            </w:tcBorders>
            <w:shd w:val="clear" w:color="auto" w:fill="auto"/>
            <w:noWrap/>
            <w:vAlign w:val="bottom"/>
            <w:hideMark/>
          </w:tcPr>
          <w:p w14:paraId="19FC0588"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w:t>
            </w:r>
          </w:p>
        </w:tc>
        <w:tc>
          <w:tcPr>
            <w:tcW w:w="940" w:type="dxa"/>
            <w:tcBorders>
              <w:top w:val="nil"/>
              <w:left w:val="nil"/>
              <w:bottom w:val="single" w:sz="4" w:space="0" w:color="auto"/>
              <w:right w:val="single" w:sz="4" w:space="0" w:color="auto"/>
            </w:tcBorders>
            <w:shd w:val="clear" w:color="auto" w:fill="auto"/>
            <w:noWrap/>
            <w:vAlign w:val="bottom"/>
            <w:hideMark/>
          </w:tcPr>
          <w:p w14:paraId="746CE461"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6</w:t>
            </w:r>
          </w:p>
        </w:tc>
        <w:tc>
          <w:tcPr>
            <w:tcW w:w="940" w:type="dxa"/>
            <w:tcBorders>
              <w:top w:val="nil"/>
              <w:left w:val="nil"/>
              <w:bottom w:val="single" w:sz="4" w:space="0" w:color="auto"/>
              <w:right w:val="single" w:sz="4" w:space="0" w:color="auto"/>
            </w:tcBorders>
            <w:shd w:val="clear" w:color="auto" w:fill="auto"/>
            <w:noWrap/>
            <w:vAlign w:val="bottom"/>
            <w:hideMark/>
          </w:tcPr>
          <w:p w14:paraId="1082635D"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20</w:t>
            </w:r>
          </w:p>
        </w:tc>
        <w:tc>
          <w:tcPr>
            <w:tcW w:w="940" w:type="dxa"/>
            <w:tcBorders>
              <w:top w:val="nil"/>
              <w:left w:val="nil"/>
              <w:bottom w:val="single" w:sz="4" w:space="0" w:color="auto"/>
              <w:right w:val="single" w:sz="4" w:space="0" w:color="auto"/>
            </w:tcBorders>
            <w:shd w:val="clear" w:color="auto" w:fill="auto"/>
            <w:noWrap/>
            <w:vAlign w:val="bottom"/>
            <w:hideMark/>
          </w:tcPr>
          <w:p w14:paraId="752A9FA7"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17</w:t>
            </w:r>
          </w:p>
        </w:tc>
        <w:tc>
          <w:tcPr>
            <w:tcW w:w="940" w:type="dxa"/>
            <w:tcBorders>
              <w:top w:val="nil"/>
              <w:left w:val="nil"/>
              <w:bottom w:val="single" w:sz="4" w:space="0" w:color="auto"/>
              <w:right w:val="single" w:sz="4" w:space="0" w:color="auto"/>
            </w:tcBorders>
            <w:shd w:val="clear" w:color="auto" w:fill="auto"/>
            <w:noWrap/>
            <w:vAlign w:val="bottom"/>
            <w:hideMark/>
          </w:tcPr>
          <w:p w14:paraId="7F3BC4B2"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2</w:t>
            </w:r>
          </w:p>
        </w:tc>
        <w:tc>
          <w:tcPr>
            <w:tcW w:w="820" w:type="dxa"/>
            <w:tcBorders>
              <w:top w:val="nil"/>
              <w:left w:val="nil"/>
              <w:bottom w:val="single" w:sz="4" w:space="0" w:color="auto"/>
              <w:right w:val="single" w:sz="4" w:space="0" w:color="auto"/>
            </w:tcBorders>
            <w:shd w:val="clear" w:color="auto" w:fill="auto"/>
            <w:noWrap/>
            <w:vAlign w:val="bottom"/>
            <w:hideMark/>
          </w:tcPr>
          <w:p w14:paraId="32F5EAC2"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0</w:t>
            </w:r>
          </w:p>
        </w:tc>
      </w:tr>
      <w:tr w:rsidR="009122C6" w:rsidRPr="009122C6" w14:paraId="14ACEB7F" w14:textId="77777777" w:rsidTr="009122C6">
        <w:trPr>
          <w:trHeight w:val="290"/>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14:paraId="57D97A9E" w14:textId="77777777" w:rsidR="009122C6" w:rsidRPr="009122C6" w:rsidRDefault="009122C6" w:rsidP="009122C6">
            <w:pPr>
              <w:spacing w:after="0" w:line="240" w:lineRule="auto"/>
              <w:jc w:val="right"/>
              <w:rPr>
                <w:rFonts w:ascii="Book Antiqua" w:eastAsia="Times New Roman" w:hAnsi="Book Antiqua" w:cs="Calibri"/>
                <w:b/>
                <w:bCs/>
                <w:color w:val="000000"/>
                <w:sz w:val="20"/>
                <w:szCs w:val="20"/>
                <w:lang w:eastAsia="es-CR"/>
              </w:rPr>
            </w:pPr>
            <w:r w:rsidRPr="009122C6">
              <w:rPr>
                <w:rFonts w:ascii="Book Antiqua" w:eastAsia="Times New Roman" w:hAnsi="Book Antiqua" w:cs="Calibri"/>
                <w:b/>
                <w:bCs/>
                <w:color w:val="000000"/>
                <w:sz w:val="20"/>
                <w:szCs w:val="20"/>
                <w:lang w:eastAsia="es-CR"/>
              </w:rPr>
              <w:t>Total</w:t>
            </w:r>
          </w:p>
        </w:tc>
        <w:tc>
          <w:tcPr>
            <w:tcW w:w="370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4D41D497" w14:textId="77777777" w:rsidR="009122C6" w:rsidRPr="009122C6" w:rsidRDefault="009122C6" w:rsidP="009122C6">
            <w:pPr>
              <w:spacing w:after="0" w:line="240" w:lineRule="auto"/>
              <w:jc w:val="center"/>
              <w:rPr>
                <w:rFonts w:ascii="Book Antiqua" w:eastAsia="Times New Roman" w:hAnsi="Book Antiqua" w:cs="Calibri"/>
                <w:b/>
                <w:bCs/>
                <w:color w:val="000000"/>
                <w:sz w:val="20"/>
                <w:szCs w:val="20"/>
                <w:lang w:eastAsia="es-CR"/>
              </w:rPr>
            </w:pPr>
            <w:r w:rsidRPr="009122C6">
              <w:rPr>
                <w:rFonts w:ascii="Book Antiqua" w:eastAsia="Times New Roman" w:hAnsi="Book Antiqua" w:cs="Calibri"/>
                <w:b/>
                <w:bCs/>
                <w:color w:val="000000"/>
                <w:sz w:val="20"/>
                <w:szCs w:val="20"/>
                <w:lang w:eastAsia="es-CR"/>
              </w:rPr>
              <w:t>12345</w:t>
            </w:r>
          </w:p>
        </w:tc>
        <w:tc>
          <w:tcPr>
            <w:tcW w:w="940" w:type="dxa"/>
            <w:tcBorders>
              <w:top w:val="nil"/>
              <w:left w:val="nil"/>
              <w:bottom w:val="single" w:sz="4" w:space="0" w:color="auto"/>
              <w:right w:val="single" w:sz="4" w:space="0" w:color="auto"/>
            </w:tcBorders>
            <w:shd w:val="clear" w:color="auto" w:fill="auto"/>
            <w:noWrap/>
            <w:vAlign w:val="bottom"/>
            <w:hideMark/>
          </w:tcPr>
          <w:p w14:paraId="718592D9"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 </w:t>
            </w:r>
          </w:p>
        </w:tc>
        <w:tc>
          <w:tcPr>
            <w:tcW w:w="940" w:type="dxa"/>
            <w:tcBorders>
              <w:top w:val="nil"/>
              <w:left w:val="nil"/>
              <w:bottom w:val="single" w:sz="4" w:space="0" w:color="auto"/>
              <w:right w:val="single" w:sz="4" w:space="0" w:color="auto"/>
            </w:tcBorders>
            <w:shd w:val="clear" w:color="auto" w:fill="auto"/>
            <w:noWrap/>
            <w:vAlign w:val="bottom"/>
            <w:hideMark/>
          </w:tcPr>
          <w:p w14:paraId="2C5F818C"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 </w:t>
            </w:r>
          </w:p>
        </w:tc>
        <w:tc>
          <w:tcPr>
            <w:tcW w:w="820" w:type="dxa"/>
            <w:tcBorders>
              <w:top w:val="nil"/>
              <w:left w:val="nil"/>
              <w:bottom w:val="single" w:sz="4" w:space="0" w:color="auto"/>
              <w:right w:val="single" w:sz="4" w:space="0" w:color="auto"/>
            </w:tcBorders>
            <w:shd w:val="clear" w:color="auto" w:fill="auto"/>
            <w:noWrap/>
            <w:vAlign w:val="bottom"/>
            <w:hideMark/>
          </w:tcPr>
          <w:p w14:paraId="66F9B54B" w14:textId="77777777" w:rsidR="009122C6" w:rsidRPr="009122C6" w:rsidRDefault="009122C6" w:rsidP="009122C6">
            <w:pPr>
              <w:spacing w:after="0" w:line="240" w:lineRule="auto"/>
              <w:jc w:val="center"/>
              <w:rPr>
                <w:rFonts w:ascii="Book Antiqua" w:eastAsia="Times New Roman" w:hAnsi="Book Antiqua" w:cs="Calibri"/>
                <w:color w:val="000000"/>
                <w:sz w:val="20"/>
                <w:szCs w:val="20"/>
                <w:lang w:eastAsia="es-CR"/>
              </w:rPr>
            </w:pPr>
            <w:r w:rsidRPr="009122C6">
              <w:rPr>
                <w:rFonts w:ascii="Book Antiqua" w:eastAsia="Times New Roman" w:hAnsi="Book Antiqua" w:cs="Calibri"/>
                <w:color w:val="000000"/>
                <w:sz w:val="20"/>
                <w:szCs w:val="20"/>
                <w:lang w:eastAsia="es-CR"/>
              </w:rPr>
              <w:t> </w:t>
            </w:r>
          </w:p>
        </w:tc>
      </w:tr>
    </w:tbl>
    <w:p w14:paraId="523EE2ED" w14:textId="2F24AABC" w:rsidR="00252364" w:rsidRDefault="00252364" w:rsidP="00252364">
      <w:pPr>
        <w:spacing w:line="276" w:lineRule="auto"/>
        <w:jc w:val="both"/>
        <w:rPr>
          <w:rFonts w:ascii="Book Antiqua" w:eastAsia="Calibri" w:hAnsi="Book Antiqua" w:cs="Arial"/>
          <w:i/>
          <w:iCs/>
          <w:sz w:val="20"/>
          <w:szCs w:val="20"/>
        </w:rPr>
      </w:pPr>
      <w:bookmarkStart w:id="70" w:name="_Hlk97372792"/>
      <w:r w:rsidRPr="00B8406C">
        <w:rPr>
          <w:rFonts w:ascii="Book Antiqua" w:hAnsi="Book Antiqua"/>
          <w:b/>
          <w:bCs/>
          <w:i/>
          <w:iCs/>
          <w:sz w:val="20"/>
          <w:szCs w:val="20"/>
        </w:rPr>
        <w:t>Fuente:</w:t>
      </w:r>
      <w:r w:rsidRPr="007D4541">
        <w:rPr>
          <w:rFonts w:ascii="Book Antiqua" w:hAnsi="Book Antiqua"/>
          <w:i/>
          <w:iCs/>
          <w:sz w:val="20"/>
          <w:szCs w:val="20"/>
        </w:rPr>
        <w:t xml:space="preserve"> </w:t>
      </w:r>
      <w:r w:rsidRPr="007D4541">
        <w:rPr>
          <w:rFonts w:ascii="Book Antiqua" w:eastAsia="Calibri" w:hAnsi="Book Antiqua" w:cs="Arial"/>
          <w:i/>
          <w:iCs/>
          <w:sz w:val="20"/>
          <w:szCs w:val="20"/>
        </w:rPr>
        <w:t>Subproceso de Modernización Institucional</w:t>
      </w:r>
      <w:r w:rsidR="005200C5">
        <w:rPr>
          <w:rFonts w:ascii="Book Antiqua" w:eastAsia="Calibri" w:hAnsi="Book Antiqua" w:cs="Arial"/>
          <w:i/>
          <w:iCs/>
          <w:sz w:val="20"/>
          <w:szCs w:val="20"/>
        </w:rPr>
        <w:t xml:space="preserve"> con datos del Subproceso de Estadística del 2019 al 2022 </w:t>
      </w:r>
      <w:r w:rsidR="00A34697">
        <w:rPr>
          <w:rFonts w:ascii="Book Antiqua" w:eastAsia="Calibri" w:hAnsi="Book Antiqua" w:cs="Arial"/>
          <w:i/>
          <w:iCs/>
          <w:sz w:val="20"/>
          <w:szCs w:val="20"/>
        </w:rPr>
        <w:t xml:space="preserve">y consulta del Balance General Interactivo del </w:t>
      </w:r>
      <w:r w:rsidR="009122C6">
        <w:rPr>
          <w:rFonts w:ascii="Book Antiqua" w:eastAsia="Calibri" w:hAnsi="Book Antiqua" w:cs="Arial"/>
          <w:i/>
          <w:iCs/>
          <w:sz w:val="20"/>
          <w:szCs w:val="20"/>
        </w:rPr>
        <w:t>7</w:t>
      </w:r>
      <w:r w:rsidR="00A34697">
        <w:rPr>
          <w:rFonts w:ascii="Book Antiqua" w:eastAsia="Calibri" w:hAnsi="Book Antiqua" w:cs="Arial"/>
          <w:i/>
          <w:iCs/>
          <w:sz w:val="20"/>
          <w:szCs w:val="20"/>
        </w:rPr>
        <w:t>/</w:t>
      </w:r>
      <w:r w:rsidR="009122C6">
        <w:rPr>
          <w:rFonts w:ascii="Book Antiqua" w:eastAsia="Calibri" w:hAnsi="Book Antiqua" w:cs="Arial"/>
          <w:i/>
          <w:iCs/>
          <w:sz w:val="20"/>
          <w:szCs w:val="20"/>
        </w:rPr>
        <w:t>3</w:t>
      </w:r>
      <w:r w:rsidR="00A34697">
        <w:rPr>
          <w:rFonts w:ascii="Book Antiqua" w:eastAsia="Calibri" w:hAnsi="Book Antiqua" w:cs="Arial"/>
          <w:i/>
          <w:iCs/>
          <w:sz w:val="20"/>
          <w:szCs w:val="20"/>
        </w:rPr>
        <w:t>/2023</w:t>
      </w:r>
      <w:r>
        <w:rPr>
          <w:rFonts w:ascii="Book Antiqua" w:eastAsia="Calibri" w:hAnsi="Book Antiqua" w:cs="Arial"/>
          <w:i/>
          <w:iCs/>
          <w:sz w:val="20"/>
          <w:szCs w:val="20"/>
        </w:rPr>
        <w:t>.</w:t>
      </w:r>
    </w:p>
    <w:bookmarkEnd w:id="70"/>
    <w:p w14:paraId="1B81D849" w14:textId="77777777" w:rsidR="00C36848" w:rsidRPr="00C94966" w:rsidRDefault="00C36848"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7CC39ED8" w14:textId="09E062E4" w:rsidR="00797860" w:rsidRDefault="00F90AF1"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 periodo</w:t>
      </w:r>
      <w:r w:rsidR="00CE7E70">
        <w:rPr>
          <w:rFonts w:ascii="Book Antiqua" w:eastAsia="Calibri" w:hAnsi="Book Antiqua" w:cs="Arial"/>
          <w:sz w:val="24"/>
          <w:szCs w:val="24"/>
        </w:rPr>
        <w:t xml:space="preserve"> del 2019 al 202</w:t>
      </w:r>
      <w:r w:rsidR="00A34697">
        <w:rPr>
          <w:rFonts w:ascii="Book Antiqua" w:eastAsia="Calibri" w:hAnsi="Book Antiqua" w:cs="Arial"/>
          <w:sz w:val="24"/>
          <w:szCs w:val="24"/>
        </w:rPr>
        <w:t>2</w:t>
      </w:r>
      <w:r w:rsidR="00CE7E70">
        <w:rPr>
          <w:rFonts w:ascii="Book Antiqua" w:eastAsia="Calibri" w:hAnsi="Book Antiqua" w:cs="Arial"/>
          <w:sz w:val="24"/>
          <w:szCs w:val="24"/>
        </w:rPr>
        <w:t xml:space="preserve">, en total ingresaron </w:t>
      </w:r>
      <w:r w:rsidR="00A34697">
        <w:rPr>
          <w:rFonts w:ascii="Book Antiqua" w:eastAsia="Calibri" w:hAnsi="Book Antiqua" w:cs="Arial"/>
          <w:sz w:val="24"/>
          <w:szCs w:val="24"/>
        </w:rPr>
        <w:t xml:space="preserve">12 </w:t>
      </w:r>
      <w:r w:rsidR="009122C6">
        <w:rPr>
          <w:rFonts w:ascii="Book Antiqua" w:eastAsia="Calibri" w:hAnsi="Book Antiqua" w:cs="Arial"/>
          <w:sz w:val="24"/>
          <w:szCs w:val="24"/>
        </w:rPr>
        <w:t>3</w:t>
      </w:r>
      <w:r w:rsidR="00A34697">
        <w:rPr>
          <w:rFonts w:ascii="Book Antiqua" w:eastAsia="Calibri" w:hAnsi="Book Antiqua" w:cs="Arial"/>
          <w:sz w:val="24"/>
          <w:szCs w:val="24"/>
        </w:rPr>
        <w:t>4</w:t>
      </w:r>
      <w:r w:rsidR="009122C6">
        <w:rPr>
          <w:rFonts w:ascii="Book Antiqua" w:eastAsia="Calibri" w:hAnsi="Book Antiqua" w:cs="Arial"/>
          <w:sz w:val="24"/>
          <w:szCs w:val="24"/>
        </w:rPr>
        <w:t>5</w:t>
      </w:r>
      <w:r w:rsidR="00CE7E70">
        <w:rPr>
          <w:rFonts w:ascii="Book Antiqua" w:eastAsia="Calibri" w:hAnsi="Book Antiqua" w:cs="Arial"/>
          <w:sz w:val="24"/>
          <w:szCs w:val="24"/>
        </w:rPr>
        <w:t xml:space="preserve"> asuntos, de los cuales </w:t>
      </w:r>
      <w:r w:rsidR="00A34697">
        <w:rPr>
          <w:rFonts w:ascii="Book Antiqua" w:eastAsia="Calibri" w:hAnsi="Book Antiqua" w:cs="Arial"/>
          <w:sz w:val="24"/>
          <w:szCs w:val="24"/>
        </w:rPr>
        <w:t>1027</w:t>
      </w:r>
      <w:r w:rsidR="00CE7E70">
        <w:rPr>
          <w:rFonts w:ascii="Book Antiqua" w:eastAsia="Calibri" w:hAnsi="Book Antiqua" w:cs="Arial"/>
          <w:sz w:val="24"/>
          <w:szCs w:val="24"/>
        </w:rPr>
        <w:t xml:space="preserve"> corresponden a la materia de Familia</w:t>
      </w:r>
      <w:r w:rsidR="00AE4054">
        <w:rPr>
          <w:rFonts w:ascii="Book Antiqua" w:eastAsia="Calibri" w:hAnsi="Book Antiqua" w:cs="Arial"/>
          <w:sz w:val="24"/>
          <w:szCs w:val="24"/>
        </w:rPr>
        <w:t xml:space="preserve"> (8%)</w:t>
      </w:r>
      <w:r w:rsidR="00CE7E70">
        <w:rPr>
          <w:rFonts w:ascii="Book Antiqua" w:eastAsia="Calibri" w:hAnsi="Book Antiqua" w:cs="Arial"/>
          <w:sz w:val="24"/>
          <w:szCs w:val="24"/>
        </w:rPr>
        <w:t xml:space="preserve">, </w:t>
      </w:r>
      <w:r w:rsidR="00A34697">
        <w:rPr>
          <w:rFonts w:ascii="Book Antiqua" w:eastAsia="Calibri" w:hAnsi="Book Antiqua" w:cs="Arial"/>
          <w:sz w:val="24"/>
          <w:szCs w:val="24"/>
        </w:rPr>
        <w:t>10 8</w:t>
      </w:r>
      <w:r w:rsidR="009122C6">
        <w:rPr>
          <w:rFonts w:ascii="Book Antiqua" w:eastAsia="Calibri" w:hAnsi="Book Antiqua" w:cs="Arial"/>
          <w:sz w:val="24"/>
          <w:szCs w:val="24"/>
        </w:rPr>
        <w:t>24</w:t>
      </w:r>
      <w:r w:rsidR="00CD72AC">
        <w:rPr>
          <w:rFonts w:ascii="Book Antiqua" w:eastAsia="Calibri" w:hAnsi="Book Antiqua" w:cs="Arial"/>
          <w:sz w:val="24"/>
          <w:szCs w:val="24"/>
        </w:rPr>
        <w:t xml:space="preserve"> asuntos son de Laboral </w:t>
      </w:r>
      <w:r w:rsidR="00AE4054">
        <w:rPr>
          <w:rFonts w:ascii="Book Antiqua" w:eastAsia="Calibri" w:hAnsi="Book Antiqua" w:cs="Arial"/>
          <w:sz w:val="24"/>
          <w:szCs w:val="24"/>
        </w:rPr>
        <w:t>(8</w:t>
      </w:r>
      <w:r w:rsidR="00A34697">
        <w:rPr>
          <w:rFonts w:ascii="Book Antiqua" w:eastAsia="Calibri" w:hAnsi="Book Antiqua" w:cs="Arial"/>
          <w:sz w:val="24"/>
          <w:szCs w:val="24"/>
        </w:rPr>
        <w:t>8</w:t>
      </w:r>
      <w:r w:rsidR="00AE4054">
        <w:rPr>
          <w:rFonts w:ascii="Book Antiqua" w:eastAsia="Calibri" w:hAnsi="Book Antiqua" w:cs="Arial"/>
          <w:sz w:val="24"/>
          <w:szCs w:val="24"/>
        </w:rPr>
        <w:t xml:space="preserve">%) </w:t>
      </w:r>
      <w:r w:rsidR="00CD72AC">
        <w:rPr>
          <w:rFonts w:ascii="Book Antiqua" w:eastAsia="Calibri" w:hAnsi="Book Antiqua" w:cs="Arial"/>
          <w:sz w:val="24"/>
          <w:szCs w:val="24"/>
        </w:rPr>
        <w:t xml:space="preserve">y en menor cantidad las demás materias que sumadas </w:t>
      </w:r>
      <w:r w:rsidR="00100D3A">
        <w:rPr>
          <w:rFonts w:ascii="Book Antiqua" w:eastAsia="Calibri" w:hAnsi="Book Antiqua" w:cs="Arial"/>
          <w:sz w:val="24"/>
          <w:szCs w:val="24"/>
        </w:rPr>
        <w:t xml:space="preserve">en total </w:t>
      </w:r>
      <w:r w:rsidR="00CD72AC">
        <w:rPr>
          <w:rFonts w:ascii="Book Antiqua" w:eastAsia="Calibri" w:hAnsi="Book Antiqua" w:cs="Arial"/>
          <w:sz w:val="24"/>
          <w:szCs w:val="24"/>
        </w:rPr>
        <w:t xml:space="preserve">son </w:t>
      </w:r>
      <w:r w:rsidR="00A34697">
        <w:rPr>
          <w:rFonts w:ascii="Book Antiqua" w:eastAsia="Calibri" w:hAnsi="Book Antiqua" w:cs="Arial"/>
          <w:sz w:val="24"/>
          <w:szCs w:val="24"/>
        </w:rPr>
        <w:t>4</w:t>
      </w:r>
      <w:r w:rsidR="009122C6">
        <w:rPr>
          <w:rFonts w:ascii="Book Antiqua" w:eastAsia="Calibri" w:hAnsi="Book Antiqua" w:cs="Arial"/>
          <w:sz w:val="24"/>
          <w:szCs w:val="24"/>
        </w:rPr>
        <w:t>94</w:t>
      </w:r>
      <w:r w:rsidR="00A34697">
        <w:rPr>
          <w:rFonts w:ascii="Book Antiqua" w:eastAsia="Calibri" w:hAnsi="Book Antiqua" w:cs="Arial"/>
          <w:sz w:val="24"/>
          <w:szCs w:val="24"/>
        </w:rPr>
        <w:t xml:space="preserve"> </w:t>
      </w:r>
      <w:r w:rsidR="00AE4054">
        <w:rPr>
          <w:rFonts w:ascii="Book Antiqua" w:eastAsia="Calibri" w:hAnsi="Book Antiqua" w:cs="Arial"/>
          <w:sz w:val="24"/>
          <w:szCs w:val="24"/>
        </w:rPr>
        <w:t>apelaciones (</w:t>
      </w:r>
      <w:r w:rsidR="00A34697">
        <w:rPr>
          <w:rFonts w:ascii="Book Antiqua" w:eastAsia="Calibri" w:hAnsi="Book Antiqua" w:cs="Arial"/>
          <w:sz w:val="24"/>
          <w:szCs w:val="24"/>
        </w:rPr>
        <w:t>4</w:t>
      </w:r>
      <w:r w:rsidR="00AE4054">
        <w:rPr>
          <w:rFonts w:ascii="Book Antiqua" w:eastAsia="Calibri" w:hAnsi="Book Antiqua" w:cs="Arial"/>
          <w:sz w:val="24"/>
          <w:szCs w:val="24"/>
        </w:rPr>
        <w:t>%), como puede observarse la materia de Familia representa</w:t>
      </w:r>
      <w:r w:rsidR="00561C46">
        <w:rPr>
          <w:rFonts w:ascii="Book Antiqua" w:eastAsia="Calibri" w:hAnsi="Book Antiqua" w:cs="Arial"/>
          <w:sz w:val="24"/>
          <w:szCs w:val="24"/>
        </w:rPr>
        <w:t xml:space="preserve"> solamente el</w:t>
      </w:r>
      <w:r w:rsidR="00AE4054">
        <w:rPr>
          <w:rFonts w:ascii="Book Antiqua" w:eastAsia="Calibri" w:hAnsi="Book Antiqua" w:cs="Arial"/>
          <w:sz w:val="24"/>
          <w:szCs w:val="24"/>
        </w:rPr>
        <w:t xml:space="preserve"> 8% del total de la entrada.</w:t>
      </w:r>
    </w:p>
    <w:p w14:paraId="099A31E6" w14:textId="77777777" w:rsidR="006B0E83" w:rsidRDefault="006B0E83" w:rsidP="006B0E83">
      <w:pPr>
        <w:spacing w:after="0" w:line="276" w:lineRule="auto"/>
        <w:jc w:val="both"/>
        <w:rPr>
          <w:rFonts w:ascii="Book Antiqua" w:eastAsia="Calibri" w:hAnsi="Book Antiqua" w:cs="Arial"/>
          <w:b/>
          <w:bCs/>
          <w:i/>
          <w:iCs/>
          <w:sz w:val="24"/>
          <w:szCs w:val="24"/>
          <w:u w:val="single"/>
        </w:rPr>
      </w:pPr>
    </w:p>
    <w:p w14:paraId="796109E2" w14:textId="4D178E79" w:rsidR="00035487" w:rsidRPr="009F59E8" w:rsidRDefault="00035487" w:rsidP="009F59E8">
      <w:pPr>
        <w:spacing w:after="0" w:line="276" w:lineRule="auto"/>
        <w:jc w:val="both"/>
        <w:rPr>
          <w:rFonts w:ascii="Book Antiqua" w:eastAsia="Calibri" w:hAnsi="Book Antiqua" w:cs="Arial"/>
          <w:b/>
          <w:bCs/>
          <w:sz w:val="24"/>
          <w:szCs w:val="24"/>
        </w:rPr>
      </w:pPr>
      <w:r w:rsidRPr="009F59E8">
        <w:rPr>
          <w:rFonts w:ascii="Book Antiqua" w:eastAsia="Calibri" w:hAnsi="Book Antiqua" w:cs="Arial"/>
          <w:b/>
          <w:bCs/>
          <w:sz w:val="24"/>
          <w:szCs w:val="24"/>
        </w:rPr>
        <w:t xml:space="preserve">Duración de los procesos atendidos por la Sala Segunda en materia de Familia </w:t>
      </w:r>
    </w:p>
    <w:p w14:paraId="6CBBC859" w14:textId="77777777" w:rsidR="009F59E8" w:rsidRDefault="009F59E8" w:rsidP="006B0E83">
      <w:pPr>
        <w:spacing w:line="276" w:lineRule="auto"/>
        <w:jc w:val="both"/>
        <w:rPr>
          <w:rFonts w:ascii="Book Antiqua" w:hAnsi="Book Antiqua"/>
          <w:sz w:val="24"/>
          <w:szCs w:val="24"/>
        </w:rPr>
      </w:pPr>
    </w:p>
    <w:p w14:paraId="360E994E" w14:textId="4CAB1807" w:rsidR="006B0E83" w:rsidRDefault="006B0E83" w:rsidP="006B0E83">
      <w:pPr>
        <w:spacing w:line="276" w:lineRule="auto"/>
        <w:jc w:val="both"/>
        <w:rPr>
          <w:rFonts w:ascii="Book Antiqua" w:hAnsi="Book Antiqua"/>
          <w:sz w:val="24"/>
          <w:szCs w:val="24"/>
        </w:rPr>
      </w:pPr>
      <w:r>
        <w:rPr>
          <w:rFonts w:ascii="Book Antiqua" w:hAnsi="Book Antiqua"/>
          <w:sz w:val="24"/>
          <w:szCs w:val="24"/>
        </w:rPr>
        <w:t xml:space="preserve">Al analizar la duración actual en que se están resolviendo los procesos en la Sala Segunda, específicamente de la materia de Familia </w:t>
      </w:r>
      <w:r w:rsidR="00206044">
        <w:rPr>
          <w:rFonts w:ascii="Book Antiqua" w:hAnsi="Book Antiqua"/>
          <w:sz w:val="24"/>
          <w:szCs w:val="24"/>
        </w:rPr>
        <w:t xml:space="preserve">para el 2020 y 2021 </w:t>
      </w:r>
      <w:r>
        <w:rPr>
          <w:rFonts w:ascii="Book Antiqua" w:hAnsi="Book Antiqua"/>
          <w:sz w:val="24"/>
          <w:szCs w:val="24"/>
        </w:rPr>
        <w:t xml:space="preserve">se tiene una duración promedio </w:t>
      </w:r>
      <w:r w:rsidRPr="00206044">
        <w:rPr>
          <w:rFonts w:ascii="Book Antiqua" w:hAnsi="Book Antiqua"/>
          <w:sz w:val="24"/>
          <w:szCs w:val="24"/>
        </w:rPr>
        <w:t>de 16 meses y 1 semana</w:t>
      </w:r>
      <w:r w:rsidR="00206044" w:rsidRPr="00206044">
        <w:rPr>
          <w:rFonts w:ascii="Book Antiqua" w:hAnsi="Book Antiqua"/>
          <w:sz w:val="24"/>
          <w:szCs w:val="24"/>
        </w:rPr>
        <w:t xml:space="preserve"> en</w:t>
      </w:r>
      <w:r w:rsidR="00206044">
        <w:rPr>
          <w:rFonts w:ascii="Book Antiqua" w:hAnsi="Book Antiqua"/>
          <w:sz w:val="24"/>
          <w:szCs w:val="24"/>
        </w:rPr>
        <w:t xml:space="preserve"> cada año, mientras que para el 2022 la duración fue de 9 meses y 2 semanas</w:t>
      </w:r>
      <w:r>
        <w:rPr>
          <w:rFonts w:ascii="Book Antiqua" w:hAnsi="Book Antiqua"/>
          <w:sz w:val="24"/>
          <w:szCs w:val="24"/>
        </w:rPr>
        <w:t xml:space="preserve">. </w:t>
      </w:r>
    </w:p>
    <w:p w14:paraId="27C7AA60" w14:textId="474365E8" w:rsidR="00292F21" w:rsidRDefault="00562E95" w:rsidP="006B0E83">
      <w:pPr>
        <w:spacing w:line="276" w:lineRule="auto"/>
        <w:jc w:val="both"/>
        <w:rPr>
          <w:rFonts w:ascii="Book Antiqua" w:hAnsi="Book Antiqua"/>
          <w:sz w:val="24"/>
          <w:szCs w:val="24"/>
        </w:rPr>
      </w:pPr>
      <w:r>
        <w:rPr>
          <w:rFonts w:ascii="Book Antiqua" w:hAnsi="Book Antiqua"/>
          <w:sz w:val="24"/>
          <w:szCs w:val="24"/>
        </w:rPr>
        <w:t xml:space="preserve">Tal y como se muestra </w:t>
      </w:r>
      <w:r w:rsidRPr="00206044">
        <w:rPr>
          <w:rFonts w:ascii="Book Antiqua" w:hAnsi="Book Antiqua"/>
          <w:sz w:val="24"/>
          <w:szCs w:val="24"/>
        </w:rPr>
        <w:t xml:space="preserve">en los siguientes </w:t>
      </w:r>
      <w:r w:rsidR="00206044" w:rsidRPr="00206044">
        <w:rPr>
          <w:rFonts w:ascii="Book Antiqua" w:hAnsi="Book Antiqua"/>
          <w:sz w:val="24"/>
          <w:szCs w:val="24"/>
        </w:rPr>
        <w:t>3</w:t>
      </w:r>
      <w:r w:rsidRPr="00206044">
        <w:rPr>
          <w:rFonts w:ascii="Book Antiqua" w:hAnsi="Book Antiqua"/>
          <w:sz w:val="24"/>
          <w:szCs w:val="24"/>
        </w:rPr>
        <w:t xml:space="preserve"> cuadros, donde se presenta un promedio de duración por clase de asuntos desde que ingresa</w:t>
      </w:r>
      <w:r>
        <w:rPr>
          <w:rFonts w:ascii="Book Antiqua" w:hAnsi="Book Antiqua"/>
          <w:sz w:val="24"/>
          <w:szCs w:val="24"/>
        </w:rPr>
        <w:t xml:space="preserve"> a la Sala el recurso hasta que se finaliza. </w:t>
      </w:r>
      <w:r w:rsidRPr="00795C3F">
        <w:rPr>
          <w:rFonts w:ascii="Book Antiqua" w:hAnsi="Book Antiqua"/>
          <w:sz w:val="24"/>
          <w:szCs w:val="24"/>
        </w:rPr>
        <w:t>Por ejemplo, l</w:t>
      </w:r>
      <w:r w:rsidR="006B0E83" w:rsidRPr="00795C3F">
        <w:rPr>
          <w:rFonts w:ascii="Book Antiqua" w:hAnsi="Book Antiqua"/>
          <w:sz w:val="24"/>
          <w:szCs w:val="24"/>
        </w:rPr>
        <w:t>os recursos de casación en materia de Familia en 202</w:t>
      </w:r>
      <w:r w:rsidRPr="00795C3F">
        <w:rPr>
          <w:rFonts w:ascii="Book Antiqua" w:hAnsi="Book Antiqua"/>
          <w:sz w:val="24"/>
          <w:szCs w:val="24"/>
        </w:rPr>
        <w:t>0</w:t>
      </w:r>
      <w:r w:rsidR="006B0E83" w:rsidRPr="00795C3F">
        <w:rPr>
          <w:rFonts w:ascii="Book Antiqua" w:hAnsi="Book Antiqua"/>
          <w:sz w:val="24"/>
          <w:szCs w:val="24"/>
        </w:rPr>
        <w:t xml:space="preserve"> se resolvieron en promedio en</w:t>
      </w:r>
      <w:r w:rsidRPr="00795C3F">
        <w:rPr>
          <w:rFonts w:ascii="Book Antiqua" w:hAnsi="Book Antiqua"/>
          <w:sz w:val="24"/>
          <w:szCs w:val="24"/>
        </w:rPr>
        <w:t xml:space="preserve"> 11 meses y 1 semana, para el 2021 ese promedio subió a 18 meses </w:t>
      </w:r>
      <w:r w:rsidR="00206044">
        <w:rPr>
          <w:rFonts w:ascii="Book Antiqua" w:hAnsi="Book Antiqua"/>
          <w:sz w:val="24"/>
          <w:szCs w:val="24"/>
        </w:rPr>
        <w:t xml:space="preserve">y para el 2022 bajó a 17 meses y 2 semanas, </w:t>
      </w:r>
      <w:r w:rsidRPr="00795C3F">
        <w:rPr>
          <w:rFonts w:ascii="Book Antiqua" w:hAnsi="Book Antiqua"/>
          <w:sz w:val="24"/>
          <w:szCs w:val="24"/>
        </w:rPr>
        <w:t>(un</w:t>
      </w:r>
      <w:r w:rsidR="00206044">
        <w:rPr>
          <w:rFonts w:ascii="Book Antiqua" w:hAnsi="Book Antiqua"/>
          <w:sz w:val="24"/>
          <w:szCs w:val="24"/>
        </w:rPr>
        <w:t>a disminución de un</w:t>
      </w:r>
      <w:r w:rsidRPr="00795C3F">
        <w:rPr>
          <w:rFonts w:ascii="Book Antiqua" w:hAnsi="Book Antiqua"/>
          <w:sz w:val="24"/>
          <w:szCs w:val="24"/>
        </w:rPr>
        <w:t xml:space="preserve"> mes</w:t>
      </w:r>
      <w:r w:rsidR="00206044">
        <w:rPr>
          <w:rFonts w:ascii="Book Antiqua" w:hAnsi="Book Antiqua"/>
          <w:sz w:val="24"/>
          <w:szCs w:val="24"/>
        </w:rPr>
        <w:t xml:space="preserve"> y dos semanas</w:t>
      </w:r>
      <w:r w:rsidRPr="00795C3F">
        <w:rPr>
          <w:rFonts w:ascii="Book Antiqua" w:hAnsi="Book Antiqua"/>
          <w:sz w:val="24"/>
          <w:szCs w:val="24"/>
        </w:rPr>
        <w:t xml:space="preserve"> para resolver un recurso de casación con 1 año de diferencia).</w:t>
      </w:r>
      <w:r w:rsidR="006B0E83">
        <w:rPr>
          <w:rFonts w:ascii="Book Antiqua" w:hAnsi="Book Antiqua"/>
          <w:sz w:val="24"/>
          <w:szCs w:val="24"/>
        </w:rPr>
        <w:t xml:space="preserve"> </w:t>
      </w:r>
    </w:p>
    <w:p w14:paraId="4290100E" w14:textId="5FF3D5CE"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71" w:name="_Hlk129175314"/>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795C3F">
        <w:rPr>
          <w:rFonts w:ascii="Book Antiqua" w:eastAsia="Calibri" w:hAnsi="Book Antiqua" w:cs="Arial"/>
          <w:b/>
          <w:bCs/>
          <w:noProof/>
          <w:color w:val="1F497D"/>
          <w:szCs w:val="24"/>
          <w:lang w:val="es-ES" w:eastAsia="es-ES"/>
        </w:rPr>
        <w:t>56</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BC4CED7"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383FDB35"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20</w:t>
      </w:r>
    </w:p>
    <w:tbl>
      <w:tblPr>
        <w:tblW w:w="5000" w:type="pct"/>
        <w:tblCellMar>
          <w:left w:w="70" w:type="dxa"/>
          <w:right w:w="70" w:type="dxa"/>
        </w:tblCellMar>
        <w:tblLook w:val="04A0" w:firstRow="1" w:lastRow="0" w:firstColumn="1" w:lastColumn="0" w:noHBand="0" w:noVBand="1"/>
      </w:tblPr>
      <w:tblGrid>
        <w:gridCol w:w="3955"/>
        <w:gridCol w:w="1860"/>
        <w:gridCol w:w="3023"/>
      </w:tblGrid>
      <w:tr w:rsidR="006B0E83" w:rsidRPr="00815FF6" w14:paraId="0344048B" w14:textId="77777777" w:rsidTr="00035934">
        <w:trPr>
          <w:trHeight w:val="300"/>
        </w:trPr>
        <w:tc>
          <w:tcPr>
            <w:tcW w:w="2237" w:type="pct"/>
            <w:tcBorders>
              <w:top w:val="nil"/>
              <w:left w:val="nil"/>
              <w:bottom w:val="nil"/>
              <w:right w:val="nil"/>
            </w:tcBorders>
            <w:shd w:val="clear" w:color="000000" w:fill="002060"/>
            <w:noWrap/>
            <w:vAlign w:val="bottom"/>
            <w:hideMark/>
          </w:tcPr>
          <w:bookmarkEnd w:id="71"/>
          <w:p w14:paraId="04C95693"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Clase y Procedimiento</w:t>
            </w:r>
          </w:p>
        </w:tc>
        <w:tc>
          <w:tcPr>
            <w:tcW w:w="1052" w:type="pct"/>
            <w:tcBorders>
              <w:top w:val="nil"/>
              <w:left w:val="nil"/>
              <w:bottom w:val="nil"/>
              <w:right w:val="nil"/>
            </w:tcBorders>
            <w:shd w:val="clear" w:color="000000" w:fill="002060"/>
            <w:noWrap/>
            <w:vAlign w:val="bottom"/>
            <w:hideMark/>
          </w:tcPr>
          <w:p w14:paraId="3B0B0278"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Cantidad</w:t>
            </w:r>
          </w:p>
        </w:tc>
        <w:tc>
          <w:tcPr>
            <w:tcW w:w="1710" w:type="pct"/>
            <w:tcBorders>
              <w:top w:val="nil"/>
              <w:left w:val="nil"/>
              <w:bottom w:val="nil"/>
              <w:right w:val="nil"/>
            </w:tcBorders>
            <w:shd w:val="clear" w:color="000000" w:fill="002060"/>
            <w:noWrap/>
            <w:vAlign w:val="bottom"/>
            <w:hideMark/>
          </w:tcPr>
          <w:p w14:paraId="306A90DC"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Duración Promedio</w:t>
            </w:r>
          </w:p>
        </w:tc>
      </w:tr>
      <w:tr w:rsidR="006B0E83" w:rsidRPr="00815FF6" w14:paraId="00D3B24A" w14:textId="77777777" w:rsidTr="00035934">
        <w:trPr>
          <w:trHeight w:val="300"/>
        </w:trPr>
        <w:tc>
          <w:tcPr>
            <w:tcW w:w="223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36EF9F2"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Carta Rogatoria</w:t>
            </w:r>
          </w:p>
        </w:tc>
        <w:tc>
          <w:tcPr>
            <w:tcW w:w="1052" w:type="pct"/>
            <w:tcBorders>
              <w:top w:val="single" w:sz="8" w:space="0" w:color="auto"/>
              <w:left w:val="nil"/>
              <w:bottom w:val="single" w:sz="8" w:space="0" w:color="auto"/>
              <w:right w:val="single" w:sz="8" w:space="0" w:color="auto"/>
            </w:tcBorders>
            <w:shd w:val="clear" w:color="auto" w:fill="auto"/>
            <w:vAlign w:val="center"/>
            <w:hideMark/>
          </w:tcPr>
          <w:p w14:paraId="3377B4A0"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single" w:sz="8" w:space="0" w:color="auto"/>
              <w:left w:val="nil"/>
              <w:bottom w:val="single" w:sz="8" w:space="0" w:color="auto"/>
              <w:right w:val="single" w:sz="8" w:space="0" w:color="auto"/>
            </w:tcBorders>
            <w:shd w:val="clear" w:color="auto" w:fill="auto"/>
            <w:noWrap/>
            <w:vAlign w:val="center"/>
            <w:hideMark/>
          </w:tcPr>
          <w:p w14:paraId="12592456"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0 Semanas</w:t>
            </w:r>
          </w:p>
        </w:tc>
      </w:tr>
      <w:tr w:rsidR="006B0E83" w:rsidRPr="00815FF6" w14:paraId="08FF7B6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546B7974"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Carta Rogatoria</w:t>
            </w:r>
          </w:p>
        </w:tc>
        <w:tc>
          <w:tcPr>
            <w:tcW w:w="1052" w:type="pct"/>
            <w:tcBorders>
              <w:top w:val="nil"/>
              <w:left w:val="nil"/>
              <w:bottom w:val="single" w:sz="8" w:space="0" w:color="auto"/>
              <w:right w:val="single" w:sz="8" w:space="0" w:color="auto"/>
            </w:tcBorders>
            <w:shd w:val="clear" w:color="auto" w:fill="auto"/>
            <w:vAlign w:val="center"/>
            <w:hideMark/>
          </w:tcPr>
          <w:p w14:paraId="3A1F364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5A73012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0 Semanas</w:t>
            </w:r>
          </w:p>
        </w:tc>
      </w:tr>
      <w:tr w:rsidR="006B0E83" w:rsidRPr="00815FF6" w14:paraId="0EF1086A"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C2DD02C"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Casación</w:t>
            </w:r>
          </w:p>
        </w:tc>
        <w:tc>
          <w:tcPr>
            <w:tcW w:w="1052" w:type="pct"/>
            <w:tcBorders>
              <w:top w:val="nil"/>
              <w:left w:val="nil"/>
              <w:bottom w:val="single" w:sz="8" w:space="0" w:color="auto"/>
              <w:right w:val="single" w:sz="8" w:space="0" w:color="auto"/>
            </w:tcBorders>
            <w:shd w:val="clear" w:color="auto" w:fill="auto"/>
            <w:vAlign w:val="center"/>
            <w:hideMark/>
          </w:tcPr>
          <w:p w14:paraId="1497F2D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120</w:t>
            </w:r>
          </w:p>
        </w:tc>
        <w:tc>
          <w:tcPr>
            <w:tcW w:w="1710" w:type="pct"/>
            <w:tcBorders>
              <w:top w:val="nil"/>
              <w:left w:val="nil"/>
              <w:bottom w:val="single" w:sz="8" w:space="0" w:color="auto"/>
              <w:right w:val="single" w:sz="8" w:space="0" w:color="auto"/>
            </w:tcBorders>
            <w:shd w:val="clear" w:color="auto" w:fill="auto"/>
            <w:noWrap/>
            <w:vAlign w:val="center"/>
            <w:hideMark/>
          </w:tcPr>
          <w:p w14:paraId="244BE731"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11 Meses 1 Semana</w:t>
            </w:r>
          </w:p>
        </w:tc>
      </w:tr>
      <w:tr w:rsidR="006B0E83" w:rsidRPr="00815FF6" w14:paraId="1E8F86F6"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FDC742B"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Adopción</w:t>
            </w:r>
          </w:p>
        </w:tc>
        <w:tc>
          <w:tcPr>
            <w:tcW w:w="1052" w:type="pct"/>
            <w:tcBorders>
              <w:top w:val="nil"/>
              <w:left w:val="nil"/>
              <w:bottom w:val="single" w:sz="8" w:space="0" w:color="auto"/>
              <w:right w:val="single" w:sz="8" w:space="0" w:color="auto"/>
            </w:tcBorders>
            <w:shd w:val="clear" w:color="auto" w:fill="auto"/>
            <w:vAlign w:val="center"/>
            <w:hideMark/>
          </w:tcPr>
          <w:p w14:paraId="57616F2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FF2540E"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62E1E12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339581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Auxilio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49F56A8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6705C19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 Meses 0 Semanas</w:t>
            </w:r>
          </w:p>
        </w:tc>
      </w:tr>
      <w:tr w:rsidR="006B0E83" w:rsidRPr="00815FF6" w14:paraId="0E8BE692"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E8780B2"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Cooperación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7F60D2E0"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66</w:t>
            </w:r>
          </w:p>
        </w:tc>
        <w:tc>
          <w:tcPr>
            <w:tcW w:w="1710" w:type="pct"/>
            <w:tcBorders>
              <w:top w:val="nil"/>
              <w:left w:val="nil"/>
              <w:bottom w:val="single" w:sz="8" w:space="0" w:color="auto"/>
              <w:right w:val="single" w:sz="8" w:space="0" w:color="auto"/>
            </w:tcBorders>
            <w:shd w:val="clear" w:color="auto" w:fill="auto"/>
            <w:noWrap/>
            <w:vAlign w:val="center"/>
            <w:hideMark/>
          </w:tcPr>
          <w:p w14:paraId="4086CDA4"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1 Semana</w:t>
            </w:r>
          </w:p>
        </w:tc>
      </w:tr>
      <w:tr w:rsidR="006B0E83" w:rsidRPr="00815FF6" w14:paraId="626227CA"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819284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Divorcio</w:t>
            </w:r>
          </w:p>
        </w:tc>
        <w:tc>
          <w:tcPr>
            <w:tcW w:w="1052" w:type="pct"/>
            <w:tcBorders>
              <w:top w:val="nil"/>
              <w:left w:val="nil"/>
              <w:bottom w:val="single" w:sz="8" w:space="0" w:color="auto"/>
              <w:right w:val="single" w:sz="8" w:space="0" w:color="auto"/>
            </w:tcBorders>
            <w:shd w:val="clear" w:color="auto" w:fill="auto"/>
            <w:vAlign w:val="center"/>
            <w:hideMark/>
          </w:tcPr>
          <w:p w14:paraId="682B49A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5FB5F41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11 Meses 3 Semanas</w:t>
            </w:r>
          </w:p>
        </w:tc>
      </w:tr>
      <w:tr w:rsidR="006B0E83" w:rsidRPr="00815FF6" w14:paraId="5F5DC150"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A9D5FE0"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Ejecución de sentencia</w:t>
            </w:r>
          </w:p>
        </w:tc>
        <w:tc>
          <w:tcPr>
            <w:tcW w:w="1052" w:type="pct"/>
            <w:tcBorders>
              <w:top w:val="nil"/>
              <w:left w:val="nil"/>
              <w:bottom w:val="single" w:sz="8" w:space="0" w:color="auto"/>
              <w:right w:val="single" w:sz="8" w:space="0" w:color="auto"/>
            </w:tcBorders>
            <w:shd w:val="clear" w:color="auto" w:fill="auto"/>
            <w:vAlign w:val="center"/>
            <w:hideMark/>
          </w:tcPr>
          <w:p w14:paraId="3273F901"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2624730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22 Meses 0 Semanas</w:t>
            </w:r>
          </w:p>
        </w:tc>
      </w:tr>
      <w:tr w:rsidR="006B0E83" w:rsidRPr="00815FF6" w14:paraId="1CF111DC"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ACDF7E0"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Guarda crianza y educación</w:t>
            </w:r>
          </w:p>
        </w:tc>
        <w:tc>
          <w:tcPr>
            <w:tcW w:w="1052" w:type="pct"/>
            <w:tcBorders>
              <w:top w:val="nil"/>
              <w:left w:val="nil"/>
              <w:bottom w:val="single" w:sz="8" w:space="0" w:color="auto"/>
              <w:right w:val="single" w:sz="8" w:space="0" w:color="auto"/>
            </w:tcBorders>
            <w:shd w:val="clear" w:color="auto" w:fill="auto"/>
            <w:vAlign w:val="center"/>
            <w:hideMark/>
          </w:tcPr>
          <w:p w14:paraId="3AAB0FB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4F87847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1 Semana</w:t>
            </w:r>
          </w:p>
        </w:tc>
      </w:tr>
      <w:tr w:rsidR="006B0E83" w:rsidRPr="00815FF6" w14:paraId="67D8454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746F5D8"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Impugnación de paternidad</w:t>
            </w:r>
          </w:p>
        </w:tc>
        <w:tc>
          <w:tcPr>
            <w:tcW w:w="1052" w:type="pct"/>
            <w:tcBorders>
              <w:top w:val="nil"/>
              <w:left w:val="nil"/>
              <w:bottom w:val="single" w:sz="8" w:space="0" w:color="auto"/>
              <w:right w:val="single" w:sz="8" w:space="0" w:color="auto"/>
            </w:tcBorders>
            <w:shd w:val="clear" w:color="auto" w:fill="auto"/>
            <w:vAlign w:val="center"/>
            <w:hideMark/>
          </w:tcPr>
          <w:p w14:paraId="28523FE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766A51F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3 Semanas</w:t>
            </w:r>
          </w:p>
        </w:tc>
      </w:tr>
      <w:tr w:rsidR="006B0E83" w:rsidRPr="00815FF6" w14:paraId="76E42EC1"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EE6A40F"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Impugnación de reconocimiento</w:t>
            </w:r>
          </w:p>
        </w:tc>
        <w:tc>
          <w:tcPr>
            <w:tcW w:w="1052" w:type="pct"/>
            <w:tcBorders>
              <w:top w:val="nil"/>
              <w:left w:val="nil"/>
              <w:bottom w:val="single" w:sz="8" w:space="0" w:color="auto"/>
              <w:right w:val="single" w:sz="8" w:space="0" w:color="auto"/>
            </w:tcBorders>
            <w:shd w:val="clear" w:color="auto" w:fill="auto"/>
            <w:vAlign w:val="center"/>
            <w:hideMark/>
          </w:tcPr>
          <w:p w14:paraId="2130C98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67B070C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13 Mes 2 Semanas</w:t>
            </w:r>
          </w:p>
        </w:tc>
      </w:tr>
      <w:tr w:rsidR="006B0E83" w:rsidRPr="00815FF6" w14:paraId="25A77898"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AE28A7D"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Inc. cobro honorarios abogado</w:t>
            </w:r>
          </w:p>
        </w:tc>
        <w:tc>
          <w:tcPr>
            <w:tcW w:w="1052" w:type="pct"/>
            <w:tcBorders>
              <w:top w:val="nil"/>
              <w:left w:val="nil"/>
              <w:bottom w:val="single" w:sz="8" w:space="0" w:color="auto"/>
              <w:right w:val="single" w:sz="8" w:space="0" w:color="auto"/>
            </w:tcBorders>
            <w:shd w:val="clear" w:color="auto" w:fill="auto"/>
            <w:vAlign w:val="center"/>
            <w:hideMark/>
          </w:tcPr>
          <w:p w14:paraId="4FE7B84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0796221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13 Meses 0 Semanas</w:t>
            </w:r>
          </w:p>
        </w:tc>
      </w:tr>
      <w:tr w:rsidR="006B0E83" w:rsidRPr="00815FF6" w14:paraId="2DBA6FA9"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4CA32B1"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Investigación de paternidad</w:t>
            </w:r>
          </w:p>
        </w:tc>
        <w:tc>
          <w:tcPr>
            <w:tcW w:w="1052" w:type="pct"/>
            <w:tcBorders>
              <w:top w:val="nil"/>
              <w:left w:val="nil"/>
              <w:bottom w:val="single" w:sz="8" w:space="0" w:color="auto"/>
              <w:right w:val="single" w:sz="8" w:space="0" w:color="auto"/>
            </w:tcBorders>
            <w:shd w:val="clear" w:color="auto" w:fill="auto"/>
            <w:vAlign w:val="center"/>
            <w:hideMark/>
          </w:tcPr>
          <w:p w14:paraId="7C07711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48B43F2"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 Meses 2 Semanas</w:t>
            </w:r>
          </w:p>
        </w:tc>
      </w:tr>
      <w:tr w:rsidR="006B0E83" w:rsidRPr="00815FF6" w14:paraId="486E122C"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45A6A94"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Nulidad de matrimonio</w:t>
            </w:r>
          </w:p>
        </w:tc>
        <w:tc>
          <w:tcPr>
            <w:tcW w:w="1052" w:type="pct"/>
            <w:tcBorders>
              <w:top w:val="nil"/>
              <w:left w:val="nil"/>
              <w:bottom w:val="single" w:sz="8" w:space="0" w:color="auto"/>
              <w:right w:val="single" w:sz="8" w:space="0" w:color="auto"/>
            </w:tcBorders>
            <w:shd w:val="clear" w:color="auto" w:fill="auto"/>
            <w:vAlign w:val="center"/>
            <w:hideMark/>
          </w:tcPr>
          <w:p w14:paraId="7BB794D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4CD5FD95"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2 Semanas</w:t>
            </w:r>
          </w:p>
        </w:tc>
      </w:tr>
      <w:tr w:rsidR="006B0E83" w:rsidRPr="00815FF6" w14:paraId="003CFF8E"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1BC020B"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Ordinario</w:t>
            </w:r>
          </w:p>
        </w:tc>
        <w:tc>
          <w:tcPr>
            <w:tcW w:w="1052" w:type="pct"/>
            <w:tcBorders>
              <w:top w:val="nil"/>
              <w:left w:val="nil"/>
              <w:bottom w:val="single" w:sz="8" w:space="0" w:color="auto"/>
              <w:right w:val="single" w:sz="8" w:space="0" w:color="auto"/>
            </w:tcBorders>
            <w:shd w:val="clear" w:color="auto" w:fill="auto"/>
            <w:vAlign w:val="center"/>
            <w:hideMark/>
          </w:tcPr>
          <w:p w14:paraId="64A7349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7D99617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0 Semanas</w:t>
            </w:r>
          </w:p>
        </w:tc>
      </w:tr>
      <w:tr w:rsidR="006B0E83" w:rsidRPr="00815FF6" w14:paraId="511B3AC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3F249EA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Reconocimiento de unión de hecho</w:t>
            </w:r>
          </w:p>
        </w:tc>
        <w:tc>
          <w:tcPr>
            <w:tcW w:w="1052" w:type="pct"/>
            <w:tcBorders>
              <w:top w:val="nil"/>
              <w:left w:val="nil"/>
              <w:bottom w:val="single" w:sz="8" w:space="0" w:color="auto"/>
              <w:right w:val="single" w:sz="8" w:space="0" w:color="auto"/>
            </w:tcBorders>
            <w:shd w:val="clear" w:color="auto" w:fill="auto"/>
            <w:vAlign w:val="center"/>
            <w:hideMark/>
          </w:tcPr>
          <w:p w14:paraId="7AE79C7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2269D4F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21 Meses 3 Semanas</w:t>
            </w:r>
          </w:p>
        </w:tc>
      </w:tr>
      <w:tr w:rsidR="006B0E83" w:rsidRPr="00815FF6" w14:paraId="18888183"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CAACF98"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Separación judicial</w:t>
            </w:r>
          </w:p>
        </w:tc>
        <w:tc>
          <w:tcPr>
            <w:tcW w:w="1052" w:type="pct"/>
            <w:tcBorders>
              <w:top w:val="nil"/>
              <w:left w:val="nil"/>
              <w:bottom w:val="single" w:sz="8" w:space="0" w:color="auto"/>
              <w:right w:val="single" w:sz="8" w:space="0" w:color="auto"/>
            </w:tcBorders>
            <w:shd w:val="clear" w:color="auto" w:fill="auto"/>
            <w:vAlign w:val="center"/>
            <w:hideMark/>
          </w:tcPr>
          <w:p w14:paraId="5FEAB1E4"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9B7501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16 Meses 2 Semanas</w:t>
            </w:r>
          </w:p>
        </w:tc>
      </w:tr>
      <w:tr w:rsidR="006B0E83" w:rsidRPr="00815FF6" w14:paraId="38E2A74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7DD3B6E"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Competencia</w:t>
            </w:r>
          </w:p>
        </w:tc>
        <w:tc>
          <w:tcPr>
            <w:tcW w:w="1052" w:type="pct"/>
            <w:tcBorders>
              <w:top w:val="nil"/>
              <w:left w:val="nil"/>
              <w:bottom w:val="single" w:sz="8" w:space="0" w:color="auto"/>
              <w:right w:val="single" w:sz="8" w:space="0" w:color="auto"/>
            </w:tcBorders>
            <w:shd w:val="clear" w:color="auto" w:fill="auto"/>
            <w:vAlign w:val="center"/>
            <w:hideMark/>
          </w:tcPr>
          <w:p w14:paraId="0D3DD7A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18881D8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4 Meses 2 Semanas</w:t>
            </w:r>
          </w:p>
        </w:tc>
      </w:tr>
      <w:tr w:rsidR="006B0E83" w:rsidRPr="00815FF6" w14:paraId="69AFF730"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A382EB3"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Ordinario</w:t>
            </w:r>
          </w:p>
        </w:tc>
        <w:tc>
          <w:tcPr>
            <w:tcW w:w="1052" w:type="pct"/>
            <w:tcBorders>
              <w:top w:val="nil"/>
              <w:left w:val="nil"/>
              <w:bottom w:val="single" w:sz="8" w:space="0" w:color="auto"/>
              <w:right w:val="single" w:sz="8" w:space="0" w:color="auto"/>
            </w:tcBorders>
            <w:shd w:val="clear" w:color="auto" w:fill="auto"/>
            <w:vAlign w:val="center"/>
            <w:hideMark/>
          </w:tcPr>
          <w:p w14:paraId="0864760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11118F3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3 Semanas</w:t>
            </w:r>
          </w:p>
        </w:tc>
      </w:tr>
      <w:tr w:rsidR="006B0E83" w:rsidRPr="00815FF6" w14:paraId="680B377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EAACDD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Reconocimiento de unión de hecho</w:t>
            </w:r>
          </w:p>
        </w:tc>
        <w:tc>
          <w:tcPr>
            <w:tcW w:w="1052" w:type="pct"/>
            <w:tcBorders>
              <w:top w:val="nil"/>
              <w:left w:val="nil"/>
              <w:bottom w:val="single" w:sz="8" w:space="0" w:color="auto"/>
              <w:right w:val="single" w:sz="8" w:space="0" w:color="auto"/>
            </w:tcBorders>
            <w:shd w:val="clear" w:color="auto" w:fill="auto"/>
            <w:vAlign w:val="center"/>
            <w:hideMark/>
          </w:tcPr>
          <w:p w14:paraId="19A7B66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520D6C9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30D1937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15BB7EF"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Sucesión</w:t>
            </w:r>
          </w:p>
        </w:tc>
        <w:tc>
          <w:tcPr>
            <w:tcW w:w="1052" w:type="pct"/>
            <w:tcBorders>
              <w:top w:val="nil"/>
              <w:left w:val="nil"/>
              <w:bottom w:val="single" w:sz="8" w:space="0" w:color="auto"/>
              <w:right w:val="single" w:sz="8" w:space="0" w:color="auto"/>
            </w:tcBorders>
            <w:shd w:val="clear" w:color="auto" w:fill="auto"/>
            <w:vAlign w:val="center"/>
            <w:hideMark/>
          </w:tcPr>
          <w:p w14:paraId="06AC0E4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11ACE4C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39478587" w14:textId="77777777" w:rsidTr="00035934">
        <w:trPr>
          <w:trHeight w:val="53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731308A8"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Cooperación Judicial Internacional (exequátur)</w:t>
            </w:r>
          </w:p>
        </w:tc>
        <w:tc>
          <w:tcPr>
            <w:tcW w:w="1052" w:type="pct"/>
            <w:tcBorders>
              <w:top w:val="nil"/>
              <w:left w:val="nil"/>
              <w:bottom w:val="single" w:sz="8" w:space="0" w:color="auto"/>
              <w:right w:val="single" w:sz="8" w:space="0" w:color="auto"/>
            </w:tcBorders>
            <w:shd w:val="clear" w:color="auto" w:fill="auto"/>
            <w:vAlign w:val="center"/>
            <w:hideMark/>
          </w:tcPr>
          <w:p w14:paraId="3C3FF95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7D4E20A6"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0 Semanas</w:t>
            </w:r>
          </w:p>
        </w:tc>
      </w:tr>
      <w:tr w:rsidR="006B0E83" w:rsidRPr="00815FF6" w14:paraId="6C5984F5"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7DA6463"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Cooperación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6049E35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0DA41F82"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0 Semanas</w:t>
            </w:r>
          </w:p>
        </w:tc>
      </w:tr>
      <w:tr w:rsidR="006B0E83" w:rsidRPr="00815FF6" w14:paraId="18582E8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14E96D3"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Revisión</w:t>
            </w:r>
          </w:p>
        </w:tc>
        <w:tc>
          <w:tcPr>
            <w:tcW w:w="1052" w:type="pct"/>
            <w:tcBorders>
              <w:top w:val="nil"/>
              <w:left w:val="nil"/>
              <w:bottom w:val="single" w:sz="8" w:space="0" w:color="auto"/>
              <w:right w:val="single" w:sz="8" w:space="0" w:color="auto"/>
            </w:tcBorders>
            <w:shd w:val="clear" w:color="auto" w:fill="auto"/>
            <w:vAlign w:val="center"/>
            <w:hideMark/>
          </w:tcPr>
          <w:p w14:paraId="7EFD052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w:t>
            </w:r>
          </w:p>
        </w:tc>
        <w:tc>
          <w:tcPr>
            <w:tcW w:w="1710" w:type="pct"/>
            <w:tcBorders>
              <w:top w:val="nil"/>
              <w:left w:val="nil"/>
              <w:bottom w:val="single" w:sz="8" w:space="0" w:color="auto"/>
              <w:right w:val="single" w:sz="8" w:space="0" w:color="auto"/>
            </w:tcBorders>
            <w:shd w:val="clear" w:color="auto" w:fill="auto"/>
            <w:noWrap/>
            <w:vAlign w:val="center"/>
            <w:hideMark/>
          </w:tcPr>
          <w:p w14:paraId="4BBC781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2 Semanas</w:t>
            </w:r>
          </w:p>
        </w:tc>
      </w:tr>
      <w:tr w:rsidR="006B0E83" w:rsidRPr="00815FF6" w14:paraId="5B68478F"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9FDA38C"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Revisión</w:t>
            </w:r>
          </w:p>
        </w:tc>
        <w:tc>
          <w:tcPr>
            <w:tcW w:w="1052" w:type="pct"/>
            <w:tcBorders>
              <w:top w:val="nil"/>
              <w:left w:val="nil"/>
              <w:bottom w:val="single" w:sz="8" w:space="0" w:color="auto"/>
              <w:right w:val="single" w:sz="8" w:space="0" w:color="auto"/>
            </w:tcBorders>
            <w:shd w:val="clear" w:color="auto" w:fill="auto"/>
            <w:vAlign w:val="center"/>
            <w:hideMark/>
          </w:tcPr>
          <w:p w14:paraId="6277F5AB"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w:t>
            </w:r>
          </w:p>
        </w:tc>
        <w:tc>
          <w:tcPr>
            <w:tcW w:w="1710" w:type="pct"/>
            <w:tcBorders>
              <w:top w:val="nil"/>
              <w:left w:val="nil"/>
              <w:bottom w:val="single" w:sz="8" w:space="0" w:color="auto"/>
              <w:right w:val="single" w:sz="8" w:space="0" w:color="auto"/>
            </w:tcBorders>
            <w:shd w:val="clear" w:color="auto" w:fill="auto"/>
            <w:noWrap/>
            <w:vAlign w:val="center"/>
            <w:hideMark/>
          </w:tcPr>
          <w:p w14:paraId="2F1889B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2 Semanas</w:t>
            </w:r>
          </w:p>
        </w:tc>
      </w:tr>
      <w:tr w:rsidR="006B0E83" w:rsidRPr="00815FF6" w14:paraId="3137EF51"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A8E327C"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Total</w:t>
            </w:r>
          </w:p>
        </w:tc>
        <w:tc>
          <w:tcPr>
            <w:tcW w:w="1052" w:type="pct"/>
            <w:tcBorders>
              <w:top w:val="nil"/>
              <w:left w:val="nil"/>
              <w:bottom w:val="single" w:sz="8" w:space="0" w:color="auto"/>
              <w:right w:val="single" w:sz="8" w:space="0" w:color="auto"/>
            </w:tcBorders>
            <w:shd w:val="clear" w:color="auto" w:fill="auto"/>
            <w:vAlign w:val="center"/>
            <w:hideMark/>
          </w:tcPr>
          <w:p w14:paraId="4C338A59" w14:textId="77777777" w:rsidR="006B0E83" w:rsidRPr="00815FF6" w:rsidRDefault="006B0E83" w:rsidP="00035934">
            <w:pPr>
              <w:spacing w:after="0" w:line="240" w:lineRule="auto"/>
              <w:jc w:val="center"/>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129</w:t>
            </w:r>
          </w:p>
        </w:tc>
        <w:tc>
          <w:tcPr>
            <w:tcW w:w="1710" w:type="pct"/>
            <w:tcBorders>
              <w:top w:val="nil"/>
              <w:left w:val="nil"/>
              <w:bottom w:val="single" w:sz="8" w:space="0" w:color="auto"/>
              <w:right w:val="single" w:sz="8" w:space="0" w:color="auto"/>
            </w:tcBorders>
            <w:shd w:val="clear" w:color="auto" w:fill="auto"/>
            <w:noWrap/>
            <w:vAlign w:val="center"/>
            <w:hideMark/>
          </w:tcPr>
          <w:p w14:paraId="704F6739" w14:textId="77777777" w:rsidR="006B0E83" w:rsidRPr="00815FF6" w:rsidRDefault="006B0E83" w:rsidP="00035934">
            <w:pPr>
              <w:spacing w:after="0" w:line="240" w:lineRule="auto"/>
              <w:jc w:val="center"/>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 xml:space="preserve">16 </w:t>
            </w:r>
            <w:r>
              <w:rPr>
                <w:rFonts w:ascii="Book Antiqua" w:eastAsia="Times New Roman" w:hAnsi="Book Antiqua" w:cs="Calibri"/>
                <w:b/>
                <w:bCs/>
                <w:color w:val="000000"/>
                <w:sz w:val="20"/>
                <w:szCs w:val="20"/>
                <w:lang w:eastAsia="es-CR"/>
              </w:rPr>
              <w:t>M</w:t>
            </w:r>
            <w:r w:rsidRPr="00815FF6">
              <w:rPr>
                <w:rFonts w:ascii="Book Antiqua" w:eastAsia="Times New Roman" w:hAnsi="Book Antiqua" w:cs="Calibri"/>
                <w:b/>
                <w:bCs/>
                <w:color w:val="000000"/>
                <w:sz w:val="20"/>
                <w:szCs w:val="20"/>
                <w:lang w:eastAsia="es-CR"/>
              </w:rPr>
              <w:t xml:space="preserve">eses 1 </w:t>
            </w:r>
            <w:r>
              <w:rPr>
                <w:rFonts w:ascii="Book Antiqua" w:eastAsia="Times New Roman" w:hAnsi="Book Antiqua" w:cs="Calibri"/>
                <w:b/>
                <w:bCs/>
                <w:color w:val="000000"/>
                <w:sz w:val="20"/>
                <w:szCs w:val="20"/>
                <w:lang w:eastAsia="es-CR"/>
              </w:rPr>
              <w:t>S</w:t>
            </w:r>
            <w:r w:rsidRPr="00815FF6">
              <w:rPr>
                <w:rFonts w:ascii="Book Antiqua" w:eastAsia="Times New Roman" w:hAnsi="Book Antiqua" w:cs="Calibri"/>
                <w:b/>
                <w:bCs/>
                <w:color w:val="000000"/>
                <w:sz w:val="20"/>
                <w:szCs w:val="20"/>
                <w:lang w:eastAsia="es-CR"/>
              </w:rPr>
              <w:t>emana</w:t>
            </w:r>
          </w:p>
        </w:tc>
      </w:tr>
    </w:tbl>
    <w:p w14:paraId="49E4C8C6" w14:textId="560D19AB" w:rsidR="006B0E83" w:rsidRDefault="006B0E83" w:rsidP="006B0E83">
      <w:pPr>
        <w:spacing w:line="276" w:lineRule="auto"/>
        <w:jc w:val="both"/>
        <w:rPr>
          <w:rFonts w:ascii="Book Antiqua" w:hAnsi="Book Antiqua"/>
          <w:i/>
          <w:iCs/>
          <w:sz w:val="20"/>
          <w:szCs w:val="20"/>
        </w:rPr>
      </w:pPr>
      <w:bookmarkStart w:id="72" w:name="_Hlk98227496"/>
      <w:r w:rsidRPr="001D0C10">
        <w:rPr>
          <w:rFonts w:ascii="Book Antiqua" w:hAnsi="Book Antiqua"/>
          <w:i/>
          <w:iCs/>
          <w:sz w:val="20"/>
          <w:szCs w:val="20"/>
        </w:rPr>
        <w:t xml:space="preserve">Fuente: </w:t>
      </w:r>
      <w:r w:rsidR="00795C3F">
        <w:rPr>
          <w:rFonts w:ascii="Book Antiqua" w:hAnsi="Book Antiqua"/>
          <w:i/>
          <w:iCs/>
          <w:sz w:val="20"/>
          <w:szCs w:val="20"/>
        </w:rPr>
        <w:t xml:space="preserve">Subproceso de </w:t>
      </w:r>
      <w:r w:rsidRPr="001D0C10">
        <w:rPr>
          <w:rFonts w:ascii="Book Antiqua" w:hAnsi="Book Antiqua"/>
          <w:i/>
          <w:iCs/>
          <w:sz w:val="20"/>
          <w:szCs w:val="20"/>
        </w:rPr>
        <w:t>Modernización Institucional con datos del Subproceso de Estadística.</w:t>
      </w:r>
    </w:p>
    <w:bookmarkEnd w:id="72"/>
    <w:p w14:paraId="189718A8" w14:textId="29690EFC"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795C3F">
        <w:rPr>
          <w:rFonts w:ascii="Book Antiqua" w:eastAsia="Calibri" w:hAnsi="Book Antiqua" w:cs="Arial"/>
          <w:b/>
          <w:bCs/>
          <w:noProof/>
          <w:color w:val="1F497D"/>
          <w:szCs w:val="24"/>
          <w:lang w:val="es-ES" w:eastAsia="es-ES"/>
        </w:rPr>
        <w:t>57</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77999150"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9689150"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3830"/>
        <w:gridCol w:w="1992"/>
        <w:gridCol w:w="3016"/>
      </w:tblGrid>
      <w:tr w:rsidR="006B0E83" w:rsidRPr="00EE6EF0" w14:paraId="6D2926BE" w14:textId="77777777" w:rsidTr="00035934">
        <w:trPr>
          <w:trHeight w:val="300"/>
        </w:trPr>
        <w:tc>
          <w:tcPr>
            <w:tcW w:w="2167" w:type="pct"/>
            <w:tcBorders>
              <w:top w:val="nil"/>
              <w:left w:val="nil"/>
              <w:bottom w:val="nil"/>
              <w:right w:val="nil"/>
            </w:tcBorders>
            <w:shd w:val="clear" w:color="000000" w:fill="002060"/>
            <w:noWrap/>
            <w:vAlign w:val="bottom"/>
            <w:hideMark/>
          </w:tcPr>
          <w:p w14:paraId="1B9B8F98"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Clase y Procedimiento</w:t>
            </w:r>
          </w:p>
        </w:tc>
        <w:tc>
          <w:tcPr>
            <w:tcW w:w="1127" w:type="pct"/>
            <w:tcBorders>
              <w:top w:val="nil"/>
              <w:left w:val="nil"/>
              <w:bottom w:val="nil"/>
              <w:right w:val="nil"/>
            </w:tcBorders>
            <w:shd w:val="clear" w:color="000000" w:fill="002060"/>
            <w:noWrap/>
            <w:vAlign w:val="bottom"/>
            <w:hideMark/>
          </w:tcPr>
          <w:p w14:paraId="39E0726A"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Cantidad</w:t>
            </w:r>
          </w:p>
        </w:tc>
        <w:tc>
          <w:tcPr>
            <w:tcW w:w="1706" w:type="pct"/>
            <w:tcBorders>
              <w:top w:val="nil"/>
              <w:left w:val="nil"/>
              <w:bottom w:val="nil"/>
              <w:right w:val="nil"/>
            </w:tcBorders>
            <w:shd w:val="clear" w:color="000000" w:fill="002060"/>
            <w:noWrap/>
            <w:vAlign w:val="bottom"/>
            <w:hideMark/>
          </w:tcPr>
          <w:p w14:paraId="72922F30"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Duración Promedio</w:t>
            </w:r>
          </w:p>
        </w:tc>
      </w:tr>
      <w:tr w:rsidR="006B0E83" w:rsidRPr="00EE6EF0" w14:paraId="39BA1240" w14:textId="77777777" w:rsidTr="00035934">
        <w:trPr>
          <w:trHeight w:val="300"/>
        </w:trPr>
        <w:tc>
          <w:tcPr>
            <w:tcW w:w="216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EC02CD9"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Carta Rogatoria</w:t>
            </w:r>
          </w:p>
        </w:tc>
        <w:tc>
          <w:tcPr>
            <w:tcW w:w="1127" w:type="pct"/>
            <w:tcBorders>
              <w:top w:val="single" w:sz="8" w:space="0" w:color="auto"/>
              <w:left w:val="nil"/>
              <w:bottom w:val="single" w:sz="8" w:space="0" w:color="auto"/>
              <w:right w:val="single" w:sz="8" w:space="0" w:color="auto"/>
            </w:tcBorders>
            <w:shd w:val="clear" w:color="auto" w:fill="auto"/>
            <w:vAlign w:val="center"/>
            <w:hideMark/>
          </w:tcPr>
          <w:p w14:paraId="0D857B5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single" w:sz="8" w:space="0" w:color="auto"/>
              <w:left w:val="nil"/>
              <w:bottom w:val="single" w:sz="8" w:space="0" w:color="auto"/>
              <w:right w:val="single" w:sz="8" w:space="0" w:color="auto"/>
            </w:tcBorders>
            <w:shd w:val="clear" w:color="auto" w:fill="auto"/>
            <w:noWrap/>
            <w:vAlign w:val="center"/>
            <w:hideMark/>
          </w:tcPr>
          <w:p w14:paraId="54D991C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0 Semanas</w:t>
            </w:r>
          </w:p>
        </w:tc>
      </w:tr>
      <w:tr w:rsidR="006B0E83" w:rsidRPr="00EE6EF0" w14:paraId="2237E663"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25AF95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Carta Rogatoria</w:t>
            </w:r>
          </w:p>
        </w:tc>
        <w:tc>
          <w:tcPr>
            <w:tcW w:w="1127" w:type="pct"/>
            <w:tcBorders>
              <w:top w:val="nil"/>
              <w:left w:val="nil"/>
              <w:bottom w:val="single" w:sz="8" w:space="0" w:color="auto"/>
              <w:right w:val="single" w:sz="8" w:space="0" w:color="auto"/>
            </w:tcBorders>
            <w:shd w:val="clear" w:color="auto" w:fill="auto"/>
            <w:vAlign w:val="center"/>
            <w:hideMark/>
          </w:tcPr>
          <w:p w14:paraId="671D560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6B79297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0 Semanas</w:t>
            </w:r>
          </w:p>
        </w:tc>
      </w:tr>
      <w:tr w:rsidR="006B0E83" w:rsidRPr="00EE6EF0" w14:paraId="0E46A644"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58E3410"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Casación</w:t>
            </w:r>
          </w:p>
        </w:tc>
        <w:tc>
          <w:tcPr>
            <w:tcW w:w="1127" w:type="pct"/>
            <w:tcBorders>
              <w:top w:val="nil"/>
              <w:left w:val="nil"/>
              <w:bottom w:val="single" w:sz="8" w:space="0" w:color="auto"/>
              <w:right w:val="single" w:sz="8" w:space="0" w:color="auto"/>
            </w:tcBorders>
            <w:shd w:val="clear" w:color="auto" w:fill="auto"/>
            <w:vAlign w:val="center"/>
            <w:hideMark/>
          </w:tcPr>
          <w:p w14:paraId="4B702A5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154</w:t>
            </w:r>
          </w:p>
        </w:tc>
        <w:tc>
          <w:tcPr>
            <w:tcW w:w="1706" w:type="pct"/>
            <w:tcBorders>
              <w:top w:val="nil"/>
              <w:left w:val="nil"/>
              <w:bottom w:val="single" w:sz="8" w:space="0" w:color="auto"/>
              <w:right w:val="single" w:sz="8" w:space="0" w:color="auto"/>
            </w:tcBorders>
            <w:shd w:val="clear" w:color="auto" w:fill="auto"/>
            <w:noWrap/>
            <w:vAlign w:val="center"/>
            <w:hideMark/>
          </w:tcPr>
          <w:p w14:paraId="291463D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18 Meses 0 Semanas</w:t>
            </w:r>
          </w:p>
        </w:tc>
      </w:tr>
      <w:tr w:rsidR="006B0E83" w:rsidRPr="00EE6EF0" w14:paraId="0AB8014E"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76547E8"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Auxilio Judicial Internacional</w:t>
            </w:r>
          </w:p>
        </w:tc>
        <w:tc>
          <w:tcPr>
            <w:tcW w:w="1127" w:type="pct"/>
            <w:tcBorders>
              <w:top w:val="nil"/>
              <w:left w:val="nil"/>
              <w:bottom w:val="single" w:sz="8" w:space="0" w:color="auto"/>
              <w:right w:val="single" w:sz="8" w:space="0" w:color="auto"/>
            </w:tcBorders>
            <w:shd w:val="clear" w:color="auto" w:fill="auto"/>
            <w:vAlign w:val="center"/>
            <w:hideMark/>
          </w:tcPr>
          <w:p w14:paraId="13847AE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16</w:t>
            </w:r>
          </w:p>
        </w:tc>
        <w:tc>
          <w:tcPr>
            <w:tcW w:w="1706" w:type="pct"/>
            <w:tcBorders>
              <w:top w:val="nil"/>
              <w:left w:val="nil"/>
              <w:bottom w:val="single" w:sz="8" w:space="0" w:color="auto"/>
              <w:right w:val="single" w:sz="8" w:space="0" w:color="auto"/>
            </w:tcBorders>
            <w:shd w:val="clear" w:color="auto" w:fill="auto"/>
            <w:noWrap/>
            <w:vAlign w:val="center"/>
            <w:hideMark/>
          </w:tcPr>
          <w:p w14:paraId="5C6ADD4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1 Semana</w:t>
            </w:r>
          </w:p>
        </w:tc>
      </w:tr>
      <w:tr w:rsidR="006B0E83" w:rsidRPr="00EE6EF0" w14:paraId="6C7B60E0"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016C143"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Cooperación Judicial Internacional</w:t>
            </w:r>
          </w:p>
        </w:tc>
        <w:tc>
          <w:tcPr>
            <w:tcW w:w="1127" w:type="pct"/>
            <w:tcBorders>
              <w:top w:val="nil"/>
              <w:left w:val="nil"/>
              <w:bottom w:val="single" w:sz="8" w:space="0" w:color="auto"/>
              <w:right w:val="single" w:sz="8" w:space="0" w:color="auto"/>
            </w:tcBorders>
            <w:shd w:val="clear" w:color="auto" w:fill="auto"/>
            <w:vAlign w:val="center"/>
            <w:hideMark/>
          </w:tcPr>
          <w:p w14:paraId="1400FC7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97</w:t>
            </w:r>
          </w:p>
        </w:tc>
        <w:tc>
          <w:tcPr>
            <w:tcW w:w="1706" w:type="pct"/>
            <w:tcBorders>
              <w:top w:val="nil"/>
              <w:left w:val="nil"/>
              <w:bottom w:val="single" w:sz="8" w:space="0" w:color="auto"/>
              <w:right w:val="single" w:sz="8" w:space="0" w:color="auto"/>
            </w:tcBorders>
            <w:shd w:val="clear" w:color="auto" w:fill="auto"/>
            <w:noWrap/>
            <w:vAlign w:val="center"/>
            <w:hideMark/>
          </w:tcPr>
          <w:p w14:paraId="04E1FB8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20 Meses 3 Semanas</w:t>
            </w:r>
          </w:p>
        </w:tc>
      </w:tr>
      <w:tr w:rsidR="006B0E83" w:rsidRPr="00EE6EF0" w14:paraId="59F2A5E5"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44074B9"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Declaratoria judicial abandono</w:t>
            </w:r>
          </w:p>
        </w:tc>
        <w:tc>
          <w:tcPr>
            <w:tcW w:w="1127" w:type="pct"/>
            <w:tcBorders>
              <w:top w:val="nil"/>
              <w:left w:val="nil"/>
              <w:bottom w:val="single" w:sz="8" w:space="0" w:color="auto"/>
              <w:right w:val="single" w:sz="8" w:space="0" w:color="auto"/>
            </w:tcBorders>
            <w:shd w:val="clear" w:color="auto" w:fill="auto"/>
            <w:vAlign w:val="center"/>
            <w:hideMark/>
          </w:tcPr>
          <w:p w14:paraId="47CAC71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49443D5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3 Semanas</w:t>
            </w:r>
          </w:p>
        </w:tc>
      </w:tr>
      <w:tr w:rsidR="006B0E83" w:rsidRPr="00EE6EF0" w14:paraId="6FED4978"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CD33A3A"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Divorcio</w:t>
            </w:r>
          </w:p>
        </w:tc>
        <w:tc>
          <w:tcPr>
            <w:tcW w:w="1127" w:type="pct"/>
            <w:tcBorders>
              <w:top w:val="nil"/>
              <w:left w:val="nil"/>
              <w:bottom w:val="single" w:sz="8" w:space="0" w:color="auto"/>
              <w:right w:val="single" w:sz="8" w:space="0" w:color="auto"/>
            </w:tcBorders>
            <w:shd w:val="clear" w:color="auto" w:fill="auto"/>
            <w:vAlign w:val="center"/>
            <w:hideMark/>
          </w:tcPr>
          <w:p w14:paraId="5E6D9C7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10</w:t>
            </w:r>
          </w:p>
        </w:tc>
        <w:tc>
          <w:tcPr>
            <w:tcW w:w="1706" w:type="pct"/>
            <w:tcBorders>
              <w:top w:val="nil"/>
              <w:left w:val="nil"/>
              <w:bottom w:val="single" w:sz="8" w:space="0" w:color="auto"/>
              <w:right w:val="single" w:sz="8" w:space="0" w:color="auto"/>
            </w:tcBorders>
            <w:shd w:val="clear" w:color="auto" w:fill="auto"/>
            <w:noWrap/>
            <w:vAlign w:val="center"/>
            <w:hideMark/>
          </w:tcPr>
          <w:p w14:paraId="2E18291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16 Meses 3 Semanas</w:t>
            </w:r>
          </w:p>
        </w:tc>
      </w:tr>
      <w:tr w:rsidR="006B0E83" w:rsidRPr="00EE6EF0" w14:paraId="1F24DDBA"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D2872E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Ejecución de sentencia</w:t>
            </w:r>
          </w:p>
        </w:tc>
        <w:tc>
          <w:tcPr>
            <w:tcW w:w="1127" w:type="pct"/>
            <w:tcBorders>
              <w:top w:val="nil"/>
              <w:left w:val="nil"/>
              <w:bottom w:val="single" w:sz="8" w:space="0" w:color="auto"/>
              <w:right w:val="single" w:sz="8" w:space="0" w:color="auto"/>
            </w:tcBorders>
            <w:shd w:val="clear" w:color="auto" w:fill="auto"/>
            <w:vAlign w:val="center"/>
            <w:hideMark/>
          </w:tcPr>
          <w:p w14:paraId="13CE1BDC"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w:t>
            </w:r>
          </w:p>
        </w:tc>
        <w:tc>
          <w:tcPr>
            <w:tcW w:w="1706" w:type="pct"/>
            <w:tcBorders>
              <w:top w:val="nil"/>
              <w:left w:val="nil"/>
              <w:bottom w:val="single" w:sz="8" w:space="0" w:color="auto"/>
              <w:right w:val="single" w:sz="8" w:space="0" w:color="auto"/>
            </w:tcBorders>
            <w:shd w:val="clear" w:color="auto" w:fill="auto"/>
            <w:noWrap/>
            <w:vAlign w:val="center"/>
            <w:hideMark/>
          </w:tcPr>
          <w:p w14:paraId="650F831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 Meses 3 Semanas</w:t>
            </w:r>
          </w:p>
        </w:tc>
      </w:tr>
      <w:tr w:rsidR="006B0E83" w:rsidRPr="00EE6EF0" w14:paraId="303D7E95"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45AF04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Guarda crianza y educación</w:t>
            </w:r>
          </w:p>
        </w:tc>
        <w:tc>
          <w:tcPr>
            <w:tcW w:w="1127" w:type="pct"/>
            <w:tcBorders>
              <w:top w:val="nil"/>
              <w:left w:val="nil"/>
              <w:bottom w:val="single" w:sz="8" w:space="0" w:color="auto"/>
              <w:right w:val="single" w:sz="8" w:space="0" w:color="auto"/>
            </w:tcBorders>
            <w:shd w:val="clear" w:color="auto" w:fill="auto"/>
            <w:vAlign w:val="center"/>
            <w:hideMark/>
          </w:tcPr>
          <w:p w14:paraId="0FC0A71E"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w:t>
            </w:r>
          </w:p>
        </w:tc>
        <w:tc>
          <w:tcPr>
            <w:tcW w:w="1706" w:type="pct"/>
            <w:tcBorders>
              <w:top w:val="nil"/>
              <w:left w:val="nil"/>
              <w:bottom w:val="single" w:sz="8" w:space="0" w:color="auto"/>
              <w:right w:val="single" w:sz="8" w:space="0" w:color="auto"/>
            </w:tcBorders>
            <w:shd w:val="clear" w:color="auto" w:fill="auto"/>
            <w:noWrap/>
            <w:vAlign w:val="center"/>
            <w:hideMark/>
          </w:tcPr>
          <w:p w14:paraId="6CD7DCC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3 Semanas</w:t>
            </w:r>
          </w:p>
        </w:tc>
      </w:tr>
      <w:tr w:rsidR="006B0E83" w:rsidRPr="00EE6EF0" w14:paraId="426CF01C"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22DEE4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Impugnación de paternidad</w:t>
            </w:r>
          </w:p>
        </w:tc>
        <w:tc>
          <w:tcPr>
            <w:tcW w:w="1127" w:type="pct"/>
            <w:tcBorders>
              <w:top w:val="nil"/>
              <w:left w:val="nil"/>
              <w:bottom w:val="single" w:sz="8" w:space="0" w:color="auto"/>
              <w:right w:val="single" w:sz="8" w:space="0" w:color="auto"/>
            </w:tcBorders>
            <w:shd w:val="clear" w:color="auto" w:fill="auto"/>
            <w:vAlign w:val="center"/>
            <w:hideMark/>
          </w:tcPr>
          <w:p w14:paraId="771ACC9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w:t>
            </w:r>
          </w:p>
        </w:tc>
        <w:tc>
          <w:tcPr>
            <w:tcW w:w="1706" w:type="pct"/>
            <w:tcBorders>
              <w:top w:val="nil"/>
              <w:left w:val="nil"/>
              <w:bottom w:val="single" w:sz="8" w:space="0" w:color="auto"/>
              <w:right w:val="single" w:sz="8" w:space="0" w:color="auto"/>
            </w:tcBorders>
            <w:shd w:val="clear" w:color="auto" w:fill="auto"/>
            <w:noWrap/>
            <w:vAlign w:val="center"/>
            <w:hideMark/>
          </w:tcPr>
          <w:p w14:paraId="5A27C2E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31 Meses 0 Semanas</w:t>
            </w:r>
          </w:p>
        </w:tc>
      </w:tr>
      <w:tr w:rsidR="006B0E83" w:rsidRPr="00EE6EF0" w14:paraId="67F839F6"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84433F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Impugnación de reconocimiento</w:t>
            </w:r>
          </w:p>
        </w:tc>
        <w:tc>
          <w:tcPr>
            <w:tcW w:w="1127" w:type="pct"/>
            <w:tcBorders>
              <w:top w:val="nil"/>
              <w:left w:val="nil"/>
              <w:bottom w:val="single" w:sz="8" w:space="0" w:color="auto"/>
              <w:right w:val="single" w:sz="8" w:space="0" w:color="auto"/>
            </w:tcBorders>
            <w:shd w:val="clear" w:color="auto" w:fill="auto"/>
            <w:vAlign w:val="center"/>
            <w:hideMark/>
          </w:tcPr>
          <w:p w14:paraId="1B8B7E9A"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51849FED"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2 Semanas</w:t>
            </w:r>
          </w:p>
        </w:tc>
      </w:tr>
      <w:tr w:rsidR="006B0E83" w:rsidRPr="00EE6EF0" w14:paraId="1300BFE2"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8D47DAA"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Nulidad de matrimonio</w:t>
            </w:r>
          </w:p>
        </w:tc>
        <w:tc>
          <w:tcPr>
            <w:tcW w:w="1127" w:type="pct"/>
            <w:tcBorders>
              <w:top w:val="nil"/>
              <w:left w:val="nil"/>
              <w:bottom w:val="single" w:sz="8" w:space="0" w:color="auto"/>
              <w:right w:val="single" w:sz="8" w:space="0" w:color="auto"/>
            </w:tcBorders>
            <w:shd w:val="clear" w:color="auto" w:fill="auto"/>
            <w:vAlign w:val="center"/>
            <w:hideMark/>
          </w:tcPr>
          <w:p w14:paraId="4AE5C0C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6B22040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35 Meses 0 Semanas</w:t>
            </w:r>
          </w:p>
        </w:tc>
      </w:tr>
      <w:tr w:rsidR="006B0E83" w:rsidRPr="00EE6EF0" w14:paraId="7CD21C09"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1ECDFE0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Ordinario</w:t>
            </w:r>
          </w:p>
        </w:tc>
        <w:tc>
          <w:tcPr>
            <w:tcW w:w="1127" w:type="pct"/>
            <w:tcBorders>
              <w:top w:val="nil"/>
              <w:left w:val="nil"/>
              <w:bottom w:val="single" w:sz="8" w:space="0" w:color="auto"/>
              <w:right w:val="single" w:sz="8" w:space="0" w:color="auto"/>
            </w:tcBorders>
            <w:shd w:val="clear" w:color="auto" w:fill="auto"/>
            <w:vAlign w:val="center"/>
            <w:hideMark/>
          </w:tcPr>
          <w:p w14:paraId="5F96D324"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w:t>
            </w:r>
          </w:p>
        </w:tc>
        <w:tc>
          <w:tcPr>
            <w:tcW w:w="1706" w:type="pct"/>
            <w:tcBorders>
              <w:top w:val="nil"/>
              <w:left w:val="nil"/>
              <w:bottom w:val="single" w:sz="8" w:space="0" w:color="auto"/>
              <w:right w:val="single" w:sz="8" w:space="0" w:color="auto"/>
            </w:tcBorders>
            <w:shd w:val="clear" w:color="auto" w:fill="auto"/>
            <w:noWrap/>
            <w:vAlign w:val="center"/>
            <w:hideMark/>
          </w:tcPr>
          <w:p w14:paraId="382EF74D"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28 Meses 1 Semana</w:t>
            </w:r>
          </w:p>
        </w:tc>
      </w:tr>
      <w:tr w:rsidR="006B0E83" w:rsidRPr="00EE6EF0" w14:paraId="4D4C6FBF"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38A880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Reconocimiento de unión de hecho</w:t>
            </w:r>
          </w:p>
        </w:tc>
        <w:tc>
          <w:tcPr>
            <w:tcW w:w="1127" w:type="pct"/>
            <w:tcBorders>
              <w:top w:val="nil"/>
              <w:left w:val="nil"/>
              <w:bottom w:val="single" w:sz="8" w:space="0" w:color="auto"/>
              <w:right w:val="single" w:sz="8" w:space="0" w:color="auto"/>
            </w:tcBorders>
            <w:shd w:val="clear" w:color="auto" w:fill="auto"/>
            <w:vAlign w:val="center"/>
            <w:hideMark/>
          </w:tcPr>
          <w:p w14:paraId="1491004F"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6</w:t>
            </w:r>
          </w:p>
        </w:tc>
        <w:tc>
          <w:tcPr>
            <w:tcW w:w="1706" w:type="pct"/>
            <w:tcBorders>
              <w:top w:val="nil"/>
              <w:left w:val="nil"/>
              <w:bottom w:val="single" w:sz="8" w:space="0" w:color="auto"/>
              <w:right w:val="single" w:sz="8" w:space="0" w:color="auto"/>
            </w:tcBorders>
            <w:shd w:val="clear" w:color="auto" w:fill="auto"/>
            <w:noWrap/>
            <w:vAlign w:val="center"/>
            <w:hideMark/>
          </w:tcPr>
          <w:p w14:paraId="19C59E0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20 Meses 2 Semanas</w:t>
            </w:r>
          </w:p>
        </w:tc>
      </w:tr>
      <w:tr w:rsidR="006B0E83" w:rsidRPr="00EE6EF0" w14:paraId="14272EE0"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0867E03C"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Régimen de visitas</w:t>
            </w:r>
          </w:p>
        </w:tc>
        <w:tc>
          <w:tcPr>
            <w:tcW w:w="1127" w:type="pct"/>
            <w:tcBorders>
              <w:top w:val="nil"/>
              <w:left w:val="nil"/>
              <w:bottom w:val="single" w:sz="8" w:space="0" w:color="auto"/>
              <w:right w:val="single" w:sz="8" w:space="0" w:color="auto"/>
            </w:tcBorders>
            <w:shd w:val="clear" w:color="auto" w:fill="auto"/>
            <w:vAlign w:val="center"/>
            <w:hideMark/>
          </w:tcPr>
          <w:p w14:paraId="14121C3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w:t>
            </w:r>
          </w:p>
        </w:tc>
        <w:tc>
          <w:tcPr>
            <w:tcW w:w="1706" w:type="pct"/>
            <w:tcBorders>
              <w:top w:val="nil"/>
              <w:left w:val="nil"/>
              <w:bottom w:val="single" w:sz="8" w:space="0" w:color="auto"/>
              <w:right w:val="single" w:sz="8" w:space="0" w:color="auto"/>
            </w:tcBorders>
            <w:shd w:val="clear" w:color="auto" w:fill="auto"/>
            <w:noWrap/>
            <w:vAlign w:val="center"/>
            <w:hideMark/>
          </w:tcPr>
          <w:p w14:paraId="15D1293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 Meses 0 Semanas</w:t>
            </w:r>
          </w:p>
        </w:tc>
      </w:tr>
      <w:tr w:rsidR="006B0E83" w:rsidRPr="00EE6EF0" w14:paraId="42D32EA2"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E3DFF92"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Responsabilidad civil</w:t>
            </w:r>
          </w:p>
        </w:tc>
        <w:tc>
          <w:tcPr>
            <w:tcW w:w="1127" w:type="pct"/>
            <w:tcBorders>
              <w:top w:val="nil"/>
              <w:left w:val="nil"/>
              <w:bottom w:val="single" w:sz="8" w:space="0" w:color="auto"/>
              <w:right w:val="single" w:sz="8" w:space="0" w:color="auto"/>
            </w:tcBorders>
            <w:shd w:val="clear" w:color="auto" w:fill="auto"/>
            <w:vAlign w:val="center"/>
            <w:hideMark/>
          </w:tcPr>
          <w:p w14:paraId="6B8266B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04AB832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7 Meses 0 Semanas</w:t>
            </w:r>
          </w:p>
        </w:tc>
      </w:tr>
      <w:tr w:rsidR="006B0E83" w:rsidRPr="00EE6EF0" w14:paraId="654A9571"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AB0D0EC"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Competencia</w:t>
            </w:r>
          </w:p>
        </w:tc>
        <w:tc>
          <w:tcPr>
            <w:tcW w:w="1127" w:type="pct"/>
            <w:tcBorders>
              <w:top w:val="nil"/>
              <w:left w:val="nil"/>
              <w:bottom w:val="single" w:sz="8" w:space="0" w:color="auto"/>
              <w:right w:val="single" w:sz="8" w:space="0" w:color="auto"/>
            </w:tcBorders>
            <w:shd w:val="clear" w:color="auto" w:fill="auto"/>
            <w:vAlign w:val="center"/>
            <w:hideMark/>
          </w:tcPr>
          <w:p w14:paraId="2C4BBFEF"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w:t>
            </w:r>
          </w:p>
        </w:tc>
        <w:tc>
          <w:tcPr>
            <w:tcW w:w="1706" w:type="pct"/>
            <w:tcBorders>
              <w:top w:val="nil"/>
              <w:left w:val="nil"/>
              <w:bottom w:val="single" w:sz="8" w:space="0" w:color="auto"/>
              <w:right w:val="single" w:sz="8" w:space="0" w:color="auto"/>
            </w:tcBorders>
            <w:shd w:val="clear" w:color="auto" w:fill="auto"/>
            <w:noWrap/>
            <w:vAlign w:val="center"/>
            <w:hideMark/>
          </w:tcPr>
          <w:p w14:paraId="710EF143"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4 Meses 3 Semanas</w:t>
            </w:r>
          </w:p>
        </w:tc>
      </w:tr>
      <w:tr w:rsidR="006B0E83" w:rsidRPr="00EE6EF0" w14:paraId="5DCD75CA"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95404DC"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Abreviado</w:t>
            </w:r>
          </w:p>
        </w:tc>
        <w:tc>
          <w:tcPr>
            <w:tcW w:w="1127" w:type="pct"/>
            <w:tcBorders>
              <w:top w:val="nil"/>
              <w:left w:val="nil"/>
              <w:bottom w:val="single" w:sz="8" w:space="0" w:color="auto"/>
              <w:right w:val="single" w:sz="8" w:space="0" w:color="auto"/>
            </w:tcBorders>
            <w:shd w:val="clear" w:color="auto" w:fill="auto"/>
            <w:vAlign w:val="center"/>
            <w:hideMark/>
          </w:tcPr>
          <w:p w14:paraId="274B72F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w:t>
            </w:r>
          </w:p>
        </w:tc>
        <w:tc>
          <w:tcPr>
            <w:tcW w:w="1706" w:type="pct"/>
            <w:tcBorders>
              <w:top w:val="nil"/>
              <w:left w:val="nil"/>
              <w:bottom w:val="single" w:sz="8" w:space="0" w:color="auto"/>
              <w:right w:val="single" w:sz="8" w:space="0" w:color="auto"/>
            </w:tcBorders>
            <w:shd w:val="clear" w:color="auto" w:fill="auto"/>
            <w:noWrap/>
            <w:vAlign w:val="center"/>
            <w:hideMark/>
          </w:tcPr>
          <w:p w14:paraId="14856DAE"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47D76B3E"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E2CAE7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Divorcio</w:t>
            </w:r>
          </w:p>
        </w:tc>
        <w:tc>
          <w:tcPr>
            <w:tcW w:w="1127" w:type="pct"/>
            <w:tcBorders>
              <w:top w:val="nil"/>
              <w:left w:val="nil"/>
              <w:bottom w:val="single" w:sz="8" w:space="0" w:color="auto"/>
              <w:right w:val="single" w:sz="8" w:space="0" w:color="auto"/>
            </w:tcBorders>
            <w:shd w:val="clear" w:color="auto" w:fill="auto"/>
            <w:vAlign w:val="center"/>
            <w:hideMark/>
          </w:tcPr>
          <w:p w14:paraId="032DA3D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08F205D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 Meses 3 Semanas</w:t>
            </w:r>
          </w:p>
        </w:tc>
      </w:tr>
      <w:tr w:rsidR="006B0E83" w:rsidRPr="00EE6EF0" w14:paraId="56ED7CFC"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E39FB5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Ordinario</w:t>
            </w:r>
          </w:p>
        </w:tc>
        <w:tc>
          <w:tcPr>
            <w:tcW w:w="1127" w:type="pct"/>
            <w:tcBorders>
              <w:top w:val="nil"/>
              <w:left w:val="nil"/>
              <w:bottom w:val="single" w:sz="8" w:space="0" w:color="auto"/>
              <w:right w:val="single" w:sz="8" w:space="0" w:color="auto"/>
            </w:tcBorders>
            <w:shd w:val="clear" w:color="auto" w:fill="auto"/>
            <w:vAlign w:val="center"/>
            <w:hideMark/>
          </w:tcPr>
          <w:p w14:paraId="016BEA4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2407B66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 Meses 0 Semanas</w:t>
            </w:r>
          </w:p>
        </w:tc>
      </w:tr>
      <w:tr w:rsidR="006B0E83" w:rsidRPr="00EE6EF0" w14:paraId="5B49C482"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FE0C6A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Reconocimiento de unión de hecho</w:t>
            </w:r>
          </w:p>
        </w:tc>
        <w:tc>
          <w:tcPr>
            <w:tcW w:w="1127" w:type="pct"/>
            <w:tcBorders>
              <w:top w:val="nil"/>
              <w:left w:val="nil"/>
              <w:bottom w:val="single" w:sz="8" w:space="0" w:color="auto"/>
              <w:right w:val="single" w:sz="8" w:space="0" w:color="auto"/>
            </w:tcBorders>
            <w:shd w:val="clear" w:color="auto" w:fill="auto"/>
            <w:vAlign w:val="center"/>
            <w:hideMark/>
          </w:tcPr>
          <w:p w14:paraId="1D318A1A"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w:t>
            </w:r>
          </w:p>
        </w:tc>
        <w:tc>
          <w:tcPr>
            <w:tcW w:w="1706" w:type="pct"/>
            <w:tcBorders>
              <w:top w:val="nil"/>
              <w:left w:val="nil"/>
              <w:bottom w:val="single" w:sz="8" w:space="0" w:color="auto"/>
              <w:right w:val="single" w:sz="8" w:space="0" w:color="auto"/>
            </w:tcBorders>
            <w:shd w:val="clear" w:color="auto" w:fill="auto"/>
            <w:noWrap/>
            <w:vAlign w:val="center"/>
            <w:hideMark/>
          </w:tcPr>
          <w:p w14:paraId="108BB92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 Meses 3 Semanas</w:t>
            </w:r>
          </w:p>
        </w:tc>
      </w:tr>
      <w:tr w:rsidR="006B0E83" w:rsidRPr="00EE6EF0" w14:paraId="7ACF0BBB" w14:textId="77777777" w:rsidTr="00035934">
        <w:trPr>
          <w:trHeight w:val="33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8049ECC"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Revisión</w:t>
            </w:r>
          </w:p>
        </w:tc>
        <w:tc>
          <w:tcPr>
            <w:tcW w:w="1127" w:type="pct"/>
            <w:tcBorders>
              <w:top w:val="nil"/>
              <w:left w:val="nil"/>
              <w:bottom w:val="single" w:sz="8" w:space="0" w:color="auto"/>
              <w:right w:val="single" w:sz="8" w:space="0" w:color="auto"/>
            </w:tcBorders>
            <w:shd w:val="clear" w:color="auto" w:fill="auto"/>
            <w:vAlign w:val="center"/>
            <w:hideMark/>
          </w:tcPr>
          <w:p w14:paraId="244CBD5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12</w:t>
            </w:r>
          </w:p>
        </w:tc>
        <w:tc>
          <w:tcPr>
            <w:tcW w:w="1706" w:type="pct"/>
            <w:tcBorders>
              <w:top w:val="nil"/>
              <w:left w:val="nil"/>
              <w:bottom w:val="single" w:sz="8" w:space="0" w:color="auto"/>
              <w:right w:val="single" w:sz="8" w:space="0" w:color="auto"/>
            </w:tcBorders>
            <w:shd w:val="clear" w:color="auto" w:fill="auto"/>
            <w:noWrap/>
            <w:vAlign w:val="center"/>
            <w:hideMark/>
          </w:tcPr>
          <w:p w14:paraId="2F08AC84"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1026D844"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402059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Revisión</w:t>
            </w:r>
          </w:p>
        </w:tc>
        <w:tc>
          <w:tcPr>
            <w:tcW w:w="1127" w:type="pct"/>
            <w:tcBorders>
              <w:top w:val="nil"/>
              <w:left w:val="nil"/>
              <w:bottom w:val="single" w:sz="8" w:space="0" w:color="auto"/>
              <w:right w:val="single" w:sz="8" w:space="0" w:color="auto"/>
            </w:tcBorders>
            <w:shd w:val="clear" w:color="auto" w:fill="auto"/>
            <w:vAlign w:val="center"/>
            <w:hideMark/>
          </w:tcPr>
          <w:p w14:paraId="0C9D20B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12</w:t>
            </w:r>
          </w:p>
        </w:tc>
        <w:tc>
          <w:tcPr>
            <w:tcW w:w="1706" w:type="pct"/>
            <w:tcBorders>
              <w:top w:val="nil"/>
              <w:left w:val="nil"/>
              <w:bottom w:val="single" w:sz="8" w:space="0" w:color="auto"/>
              <w:right w:val="single" w:sz="8" w:space="0" w:color="auto"/>
            </w:tcBorders>
            <w:shd w:val="clear" w:color="auto" w:fill="auto"/>
            <w:noWrap/>
            <w:vAlign w:val="center"/>
            <w:hideMark/>
          </w:tcPr>
          <w:p w14:paraId="02FBC7A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6E7A734F"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D435B95"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Total</w:t>
            </w:r>
          </w:p>
        </w:tc>
        <w:tc>
          <w:tcPr>
            <w:tcW w:w="1127" w:type="pct"/>
            <w:tcBorders>
              <w:top w:val="nil"/>
              <w:left w:val="nil"/>
              <w:bottom w:val="single" w:sz="8" w:space="0" w:color="auto"/>
              <w:right w:val="single" w:sz="8" w:space="0" w:color="auto"/>
            </w:tcBorders>
            <w:shd w:val="clear" w:color="auto" w:fill="auto"/>
            <w:vAlign w:val="center"/>
            <w:hideMark/>
          </w:tcPr>
          <w:p w14:paraId="5C1D3A6B" w14:textId="77777777" w:rsidR="006B0E83" w:rsidRPr="00EE6EF0" w:rsidRDefault="006B0E83" w:rsidP="00035934">
            <w:pPr>
              <w:spacing w:after="0" w:line="240" w:lineRule="auto"/>
              <w:jc w:val="center"/>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176</w:t>
            </w:r>
          </w:p>
        </w:tc>
        <w:tc>
          <w:tcPr>
            <w:tcW w:w="1706" w:type="pct"/>
            <w:tcBorders>
              <w:top w:val="nil"/>
              <w:left w:val="nil"/>
              <w:bottom w:val="single" w:sz="8" w:space="0" w:color="auto"/>
              <w:right w:val="single" w:sz="8" w:space="0" w:color="auto"/>
            </w:tcBorders>
            <w:shd w:val="clear" w:color="auto" w:fill="auto"/>
            <w:vAlign w:val="center"/>
            <w:hideMark/>
          </w:tcPr>
          <w:p w14:paraId="68570C29" w14:textId="77777777" w:rsidR="006B0E83" w:rsidRPr="00EE6EF0" w:rsidRDefault="006B0E83" w:rsidP="00035934">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16 Meses 1 Semana</w:t>
            </w:r>
          </w:p>
        </w:tc>
      </w:tr>
    </w:tbl>
    <w:p w14:paraId="26065203" w14:textId="7FA9630C" w:rsidR="006B0E83" w:rsidRPr="00221B46" w:rsidRDefault="006B0E83" w:rsidP="00221B46">
      <w:pPr>
        <w:spacing w:line="276" w:lineRule="auto"/>
        <w:jc w:val="both"/>
        <w:rPr>
          <w:rFonts w:ascii="Book Antiqua" w:hAnsi="Book Antiqua"/>
          <w:i/>
          <w:iCs/>
          <w:sz w:val="20"/>
          <w:szCs w:val="20"/>
        </w:rPr>
      </w:pPr>
      <w:r w:rsidRPr="00B8406C">
        <w:rPr>
          <w:rFonts w:ascii="Book Antiqua" w:hAnsi="Book Antiqua"/>
          <w:b/>
          <w:bCs/>
          <w:i/>
          <w:iCs/>
          <w:sz w:val="20"/>
          <w:szCs w:val="20"/>
        </w:rPr>
        <w:t>Fuente:</w:t>
      </w:r>
      <w:r w:rsidRPr="00632CF0">
        <w:rPr>
          <w:rFonts w:ascii="Book Antiqua" w:hAnsi="Book Antiqua"/>
          <w:i/>
          <w:iCs/>
          <w:sz w:val="20"/>
          <w:szCs w:val="20"/>
        </w:rPr>
        <w:t xml:space="preserve"> </w:t>
      </w:r>
      <w:r w:rsidR="00795C3F">
        <w:rPr>
          <w:rFonts w:ascii="Book Antiqua" w:hAnsi="Book Antiqua"/>
          <w:i/>
          <w:iCs/>
          <w:sz w:val="20"/>
          <w:szCs w:val="20"/>
        </w:rPr>
        <w:t xml:space="preserve">Subproceso de </w:t>
      </w:r>
      <w:r w:rsidRPr="00632CF0">
        <w:rPr>
          <w:rFonts w:ascii="Book Antiqua" w:hAnsi="Book Antiqua"/>
          <w:i/>
          <w:iCs/>
          <w:sz w:val="20"/>
          <w:szCs w:val="20"/>
        </w:rPr>
        <w:t>Modernización Institucional con datos del Subproceso de Estadística.</w:t>
      </w:r>
    </w:p>
    <w:p w14:paraId="43522182" w14:textId="40DC60FA" w:rsidR="00A913A2" w:rsidRDefault="00A913A2" w:rsidP="006B0E83">
      <w:pPr>
        <w:spacing w:after="0" w:line="276" w:lineRule="auto"/>
        <w:jc w:val="both"/>
        <w:rPr>
          <w:rFonts w:ascii="Book Antiqua" w:eastAsia="Calibri" w:hAnsi="Book Antiqua" w:cs="Arial"/>
          <w:b/>
          <w:bCs/>
          <w:i/>
          <w:iCs/>
          <w:sz w:val="24"/>
          <w:szCs w:val="24"/>
          <w:u w:val="single"/>
        </w:rPr>
      </w:pPr>
    </w:p>
    <w:p w14:paraId="11D52944" w14:textId="26DAFF35" w:rsidR="00A913A2" w:rsidRPr="001212F0" w:rsidRDefault="00A913A2" w:rsidP="00A913A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Pr>
          <w:rFonts w:ascii="Book Antiqua" w:eastAsia="Calibri" w:hAnsi="Book Antiqua" w:cs="Arial"/>
          <w:b/>
          <w:bCs/>
          <w:noProof/>
          <w:color w:val="1F497D"/>
          <w:szCs w:val="24"/>
          <w:lang w:val="es-ES" w:eastAsia="es-ES"/>
        </w:rPr>
        <w:t>58</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399CD17F" w14:textId="77777777" w:rsidR="00A913A2" w:rsidRPr="001212F0" w:rsidRDefault="00A913A2" w:rsidP="00A913A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01DCD07" w14:textId="06A9BDEB" w:rsidR="00A913A2" w:rsidRDefault="00A913A2" w:rsidP="00A913A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22</w:t>
      </w:r>
    </w:p>
    <w:tbl>
      <w:tblPr>
        <w:tblW w:w="6520" w:type="dxa"/>
        <w:jc w:val="center"/>
        <w:tblCellMar>
          <w:left w:w="70" w:type="dxa"/>
          <w:right w:w="70" w:type="dxa"/>
        </w:tblCellMar>
        <w:tblLook w:val="04A0" w:firstRow="1" w:lastRow="0" w:firstColumn="1" w:lastColumn="0" w:noHBand="0" w:noVBand="1"/>
      </w:tblPr>
      <w:tblGrid>
        <w:gridCol w:w="2596"/>
        <w:gridCol w:w="1256"/>
        <w:gridCol w:w="2668"/>
      </w:tblGrid>
      <w:tr w:rsidR="00206044" w:rsidRPr="00206044" w14:paraId="607A2171" w14:textId="77777777" w:rsidTr="00206044">
        <w:trPr>
          <w:trHeight w:val="530"/>
          <w:jc w:val="center"/>
        </w:trPr>
        <w:tc>
          <w:tcPr>
            <w:tcW w:w="2596" w:type="dxa"/>
            <w:tcBorders>
              <w:top w:val="nil"/>
              <w:left w:val="nil"/>
              <w:bottom w:val="nil"/>
              <w:right w:val="nil"/>
            </w:tcBorders>
            <w:shd w:val="clear" w:color="000000" w:fill="002060"/>
            <w:noWrap/>
            <w:vAlign w:val="center"/>
            <w:hideMark/>
          </w:tcPr>
          <w:p w14:paraId="4AAC7075" w14:textId="77777777" w:rsidR="00206044" w:rsidRPr="00206044" w:rsidRDefault="00206044" w:rsidP="00206044">
            <w:pPr>
              <w:spacing w:after="0" w:line="240" w:lineRule="auto"/>
              <w:jc w:val="center"/>
              <w:rPr>
                <w:rFonts w:ascii="Book Antiqua" w:eastAsia="Times New Roman" w:hAnsi="Book Antiqua" w:cs="Calibri"/>
                <w:b/>
                <w:bCs/>
                <w:color w:val="FFFFFF"/>
                <w:sz w:val="20"/>
                <w:szCs w:val="20"/>
                <w:lang w:eastAsia="es-CR"/>
              </w:rPr>
            </w:pPr>
            <w:r w:rsidRPr="00206044">
              <w:rPr>
                <w:rFonts w:ascii="Book Antiqua" w:eastAsia="Times New Roman" w:hAnsi="Book Antiqua" w:cs="Calibri"/>
                <w:b/>
                <w:bCs/>
                <w:color w:val="FFFFFF"/>
                <w:sz w:val="20"/>
                <w:szCs w:val="20"/>
                <w:lang w:eastAsia="es-CR"/>
              </w:rPr>
              <w:t>Clase y Procedimiento</w:t>
            </w:r>
          </w:p>
        </w:tc>
        <w:tc>
          <w:tcPr>
            <w:tcW w:w="1256" w:type="dxa"/>
            <w:tcBorders>
              <w:top w:val="nil"/>
              <w:left w:val="nil"/>
              <w:bottom w:val="nil"/>
              <w:right w:val="nil"/>
            </w:tcBorders>
            <w:shd w:val="clear" w:color="000000" w:fill="002060"/>
            <w:noWrap/>
            <w:vAlign w:val="center"/>
            <w:hideMark/>
          </w:tcPr>
          <w:p w14:paraId="546321C7" w14:textId="77777777" w:rsidR="00206044" w:rsidRPr="00206044" w:rsidRDefault="00206044" w:rsidP="00206044">
            <w:pPr>
              <w:spacing w:after="0" w:line="240" w:lineRule="auto"/>
              <w:jc w:val="center"/>
              <w:rPr>
                <w:rFonts w:ascii="Book Antiqua" w:eastAsia="Times New Roman" w:hAnsi="Book Antiqua" w:cs="Calibri"/>
                <w:b/>
                <w:bCs/>
                <w:color w:val="FFFFFF"/>
                <w:sz w:val="20"/>
                <w:szCs w:val="20"/>
                <w:lang w:eastAsia="es-CR"/>
              </w:rPr>
            </w:pPr>
            <w:r w:rsidRPr="00206044">
              <w:rPr>
                <w:rFonts w:ascii="Book Antiqua" w:eastAsia="Times New Roman" w:hAnsi="Book Antiqua" w:cs="Calibri"/>
                <w:b/>
                <w:bCs/>
                <w:color w:val="FFFFFF"/>
                <w:sz w:val="20"/>
                <w:szCs w:val="20"/>
                <w:lang w:eastAsia="es-CR"/>
              </w:rPr>
              <w:t>Cantidad</w:t>
            </w:r>
          </w:p>
        </w:tc>
        <w:tc>
          <w:tcPr>
            <w:tcW w:w="2668" w:type="dxa"/>
            <w:tcBorders>
              <w:top w:val="nil"/>
              <w:left w:val="nil"/>
              <w:bottom w:val="nil"/>
              <w:right w:val="nil"/>
            </w:tcBorders>
            <w:shd w:val="clear" w:color="000000" w:fill="002060"/>
            <w:vAlign w:val="center"/>
            <w:hideMark/>
          </w:tcPr>
          <w:p w14:paraId="7A13B0FF" w14:textId="77777777" w:rsidR="00206044" w:rsidRPr="00206044" w:rsidRDefault="00206044" w:rsidP="00206044">
            <w:pPr>
              <w:spacing w:after="0" w:line="240" w:lineRule="auto"/>
              <w:jc w:val="center"/>
              <w:rPr>
                <w:rFonts w:ascii="Book Antiqua" w:eastAsia="Times New Roman" w:hAnsi="Book Antiqua" w:cs="Calibri"/>
                <w:b/>
                <w:bCs/>
                <w:color w:val="FFFFFF"/>
                <w:sz w:val="20"/>
                <w:szCs w:val="20"/>
                <w:lang w:eastAsia="es-CR"/>
              </w:rPr>
            </w:pPr>
            <w:r w:rsidRPr="00206044">
              <w:rPr>
                <w:rFonts w:ascii="Book Antiqua" w:eastAsia="Times New Roman" w:hAnsi="Book Antiqua" w:cs="Calibri"/>
                <w:b/>
                <w:bCs/>
                <w:color w:val="FFFFFF"/>
                <w:sz w:val="20"/>
                <w:szCs w:val="20"/>
                <w:lang w:eastAsia="es-CR"/>
              </w:rPr>
              <w:t>Duración Promedio</w:t>
            </w:r>
          </w:p>
        </w:tc>
      </w:tr>
      <w:tr w:rsidR="00206044" w:rsidRPr="00206044" w14:paraId="1E1E42F0" w14:textId="77777777" w:rsidTr="00206044">
        <w:trPr>
          <w:trHeight w:val="300"/>
          <w:jc w:val="center"/>
        </w:trPr>
        <w:tc>
          <w:tcPr>
            <w:tcW w:w="25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861E12A" w14:textId="77777777" w:rsidR="00206044" w:rsidRPr="00206044" w:rsidRDefault="00206044" w:rsidP="00206044">
            <w:pPr>
              <w:spacing w:after="0" w:line="240" w:lineRule="auto"/>
              <w:jc w:val="both"/>
              <w:rPr>
                <w:rFonts w:ascii="Book Antiqua" w:eastAsia="Times New Roman" w:hAnsi="Book Antiqua" w:cs="Calibri"/>
                <w:b/>
                <w:bCs/>
                <w:color w:val="000000"/>
                <w:sz w:val="20"/>
                <w:szCs w:val="20"/>
                <w:lang w:eastAsia="es-CR"/>
              </w:rPr>
            </w:pPr>
            <w:r w:rsidRPr="00206044">
              <w:rPr>
                <w:rFonts w:ascii="Book Antiqua" w:eastAsia="Times New Roman" w:hAnsi="Book Antiqua" w:cs="Calibri"/>
                <w:b/>
                <w:bCs/>
                <w:color w:val="000000"/>
                <w:sz w:val="20"/>
                <w:szCs w:val="20"/>
                <w:lang w:eastAsia="es-CR"/>
              </w:rPr>
              <w:t>Casación</w:t>
            </w:r>
          </w:p>
        </w:tc>
        <w:tc>
          <w:tcPr>
            <w:tcW w:w="1256" w:type="dxa"/>
            <w:tcBorders>
              <w:top w:val="single" w:sz="8" w:space="0" w:color="auto"/>
              <w:left w:val="nil"/>
              <w:bottom w:val="single" w:sz="8" w:space="0" w:color="auto"/>
              <w:right w:val="single" w:sz="8" w:space="0" w:color="auto"/>
            </w:tcBorders>
            <w:shd w:val="clear" w:color="auto" w:fill="auto"/>
            <w:vAlign w:val="center"/>
            <w:hideMark/>
          </w:tcPr>
          <w:p w14:paraId="6E07DE6C" w14:textId="77777777" w:rsidR="00206044" w:rsidRPr="00206044" w:rsidRDefault="00206044" w:rsidP="00206044">
            <w:pPr>
              <w:spacing w:after="0" w:line="240" w:lineRule="auto"/>
              <w:jc w:val="center"/>
              <w:rPr>
                <w:rFonts w:ascii="Book Antiqua" w:eastAsia="Times New Roman" w:hAnsi="Book Antiqua" w:cs="Calibri"/>
                <w:color w:val="000000"/>
                <w:sz w:val="20"/>
                <w:szCs w:val="20"/>
                <w:lang w:eastAsia="es-CR"/>
              </w:rPr>
            </w:pPr>
            <w:r w:rsidRPr="00206044">
              <w:rPr>
                <w:rFonts w:ascii="Book Antiqua" w:eastAsia="Times New Roman" w:hAnsi="Book Antiqua" w:cs="Calibri"/>
                <w:color w:val="000000"/>
                <w:sz w:val="20"/>
                <w:szCs w:val="20"/>
                <w:lang w:eastAsia="es-CR"/>
              </w:rPr>
              <w:t>188</w:t>
            </w:r>
          </w:p>
        </w:tc>
        <w:tc>
          <w:tcPr>
            <w:tcW w:w="2668" w:type="dxa"/>
            <w:tcBorders>
              <w:top w:val="single" w:sz="8" w:space="0" w:color="auto"/>
              <w:left w:val="nil"/>
              <w:bottom w:val="single" w:sz="8" w:space="0" w:color="auto"/>
              <w:right w:val="single" w:sz="8" w:space="0" w:color="auto"/>
            </w:tcBorders>
            <w:shd w:val="clear" w:color="auto" w:fill="auto"/>
            <w:noWrap/>
            <w:vAlign w:val="center"/>
            <w:hideMark/>
          </w:tcPr>
          <w:p w14:paraId="3EECD117" w14:textId="77777777" w:rsidR="00206044" w:rsidRPr="00206044" w:rsidRDefault="00206044" w:rsidP="00206044">
            <w:pPr>
              <w:spacing w:after="0" w:line="240" w:lineRule="auto"/>
              <w:jc w:val="center"/>
              <w:rPr>
                <w:rFonts w:ascii="Book Antiqua" w:eastAsia="Times New Roman" w:hAnsi="Book Antiqua" w:cs="Calibri"/>
                <w:color w:val="000000"/>
                <w:sz w:val="20"/>
                <w:szCs w:val="20"/>
                <w:lang w:eastAsia="es-CR"/>
              </w:rPr>
            </w:pPr>
            <w:r w:rsidRPr="00206044">
              <w:rPr>
                <w:rFonts w:ascii="Book Antiqua" w:eastAsia="Times New Roman" w:hAnsi="Book Antiqua" w:cs="Calibri"/>
                <w:color w:val="000000"/>
                <w:sz w:val="20"/>
                <w:szCs w:val="20"/>
                <w:lang w:eastAsia="es-CR"/>
              </w:rPr>
              <w:t>17 meses 2 semanas</w:t>
            </w:r>
          </w:p>
        </w:tc>
      </w:tr>
      <w:tr w:rsidR="00206044" w:rsidRPr="00206044" w14:paraId="2CF17CA4" w14:textId="77777777" w:rsidTr="00206044">
        <w:trPr>
          <w:trHeight w:val="300"/>
          <w:jc w:val="center"/>
        </w:trPr>
        <w:tc>
          <w:tcPr>
            <w:tcW w:w="2596" w:type="dxa"/>
            <w:tcBorders>
              <w:top w:val="nil"/>
              <w:left w:val="single" w:sz="8" w:space="0" w:color="auto"/>
              <w:bottom w:val="single" w:sz="8" w:space="0" w:color="auto"/>
              <w:right w:val="single" w:sz="8" w:space="0" w:color="auto"/>
            </w:tcBorders>
            <w:shd w:val="clear" w:color="auto" w:fill="auto"/>
            <w:vAlign w:val="center"/>
            <w:hideMark/>
          </w:tcPr>
          <w:p w14:paraId="09FAB407" w14:textId="77777777" w:rsidR="00206044" w:rsidRPr="00206044" w:rsidRDefault="00206044" w:rsidP="00206044">
            <w:pPr>
              <w:spacing w:after="0" w:line="240" w:lineRule="auto"/>
              <w:jc w:val="both"/>
              <w:rPr>
                <w:rFonts w:ascii="Book Antiqua" w:eastAsia="Times New Roman" w:hAnsi="Book Antiqua" w:cs="Calibri"/>
                <w:b/>
                <w:bCs/>
                <w:color w:val="000000"/>
                <w:sz w:val="20"/>
                <w:szCs w:val="20"/>
                <w:lang w:eastAsia="es-CR"/>
              </w:rPr>
            </w:pPr>
            <w:r w:rsidRPr="00206044">
              <w:rPr>
                <w:rFonts w:ascii="Book Antiqua" w:eastAsia="Times New Roman" w:hAnsi="Book Antiqua" w:cs="Calibri"/>
                <w:b/>
                <w:bCs/>
                <w:color w:val="000000"/>
                <w:sz w:val="20"/>
                <w:szCs w:val="20"/>
                <w:lang w:eastAsia="es-CR"/>
              </w:rPr>
              <w:t>Competencia</w:t>
            </w:r>
          </w:p>
        </w:tc>
        <w:tc>
          <w:tcPr>
            <w:tcW w:w="1256" w:type="dxa"/>
            <w:tcBorders>
              <w:top w:val="nil"/>
              <w:left w:val="nil"/>
              <w:bottom w:val="single" w:sz="8" w:space="0" w:color="auto"/>
              <w:right w:val="single" w:sz="8" w:space="0" w:color="auto"/>
            </w:tcBorders>
            <w:shd w:val="clear" w:color="auto" w:fill="auto"/>
            <w:vAlign w:val="center"/>
            <w:hideMark/>
          </w:tcPr>
          <w:p w14:paraId="71D924EA" w14:textId="77777777" w:rsidR="00206044" w:rsidRPr="00206044" w:rsidRDefault="00206044" w:rsidP="00206044">
            <w:pPr>
              <w:spacing w:after="0" w:line="240" w:lineRule="auto"/>
              <w:jc w:val="center"/>
              <w:rPr>
                <w:rFonts w:ascii="Book Antiqua" w:eastAsia="Times New Roman" w:hAnsi="Book Antiqua" w:cs="Calibri"/>
                <w:color w:val="000000"/>
                <w:sz w:val="20"/>
                <w:szCs w:val="20"/>
                <w:lang w:eastAsia="es-CR"/>
              </w:rPr>
            </w:pPr>
            <w:r w:rsidRPr="00206044">
              <w:rPr>
                <w:rFonts w:ascii="Book Antiqua" w:eastAsia="Times New Roman" w:hAnsi="Book Antiqua" w:cs="Calibri"/>
                <w:color w:val="000000"/>
                <w:sz w:val="20"/>
                <w:szCs w:val="20"/>
                <w:lang w:eastAsia="es-CR"/>
              </w:rPr>
              <w:t>13</w:t>
            </w:r>
          </w:p>
        </w:tc>
        <w:tc>
          <w:tcPr>
            <w:tcW w:w="2668" w:type="dxa"/>
            <w:tcBorders>
              <w:top w:val="nil"/>
              <w:left w:val="nil"/>
              <w:bottom w:val="single" w:sz="8" w:space="0" w:color="auto"/>
              <w:right w:val="single" w:sz="8" w:space="0" w:color="auto"/>
            </w:tcBorders>
            <w:shd w:val="clear" w:color="auto" w:fill="auto"/>
            <w:noWrap/>
            <w:vAlign w:val="center"/>
            <w:hideMark/>
          </w:tcPr>
          <w:p w14:paraId="326A23F0" w14:textId="77777777" w:rsidR="00206044" w:rsidRPr="00206044" w:rsidRDefault="00206044" w:rsidP="00206044">
            <w:pPr>
              <w:spacing w:after="0" w:line="240" w:lineRule="auto"/>
              <w:jc w:val="center"/>
              <w:rPr>
                <w:rFonts w:ascii="Book Antiqua" w:eastAsia="Times New Roman" w:hAnsi="Book Antiqua" w:cs="Calibri"/>
                <w:color w:val="000000"/>
                <w:sz w:val="20"/>
                <w:szCs w:val="20"/>
                <w:lang w:eastAsia="es-CR"/>
              </w:rPr>
            </w:pPr>
            <w:r w:rsidRPr="00206044">
              <w:rPr>
                <w:rFonts w:ascii="Book Antiqua" w:eastAsia="Times New Roman" w:hAnsi="Book Antiqua" w:cs="Calibri"/>
                <w:color w:val="000000"/>
                <w:sz w:val="20"/>
                <w:szCs w:val="20"/>
                <w:lang w:eastAsia="es-CR"/>
              </w:rPr>
              <w:t>5 meses 1 semana</w:t>
            </w:r>
          </w:p>
        </w:tc>
      </w:tr>
      <w:tr w:rsidR="00206044" w:rsidRPr="00206044" w14:paraId="3C1F4D53" w14:textId="77777777" w:rsidTr="00206044">
        <w:trPr>
          <w:trHeight w:val="300"/>
          <w:jc w:val="center"/>
        </w:trPr>
        <w:tc>
          <w:tcPr>
            <w:tcW w:w="2596" w:type="dxa"/>
            <w:tcBorders>
              <w:top w:val="nil"/>
              <w:left w:val="single" w:sz="8" w:space="0" w:color="auto"/>
              <w:bottom w:val="single" w:sz="8" w:space="0" w:color="auto"/>
              <w:right w:val="single" w:sz="8" w:space="0" w:color="auto"/>
            </w:tcBorders>
            <w:shd w:val="clear" w:color="auto" w:fill="auto"/>
            <w:vAlign w:val="center"/>
            <w:hideMark/>
          </w:tcPr>
          <w:p w14:paraId="474759DF" w14:textId="77777777" w:rsidR="00206044" w:rsidRPr="00206044" w:rsidRDefault="00206044" w:rsidP="00206044">
            <w:pPr>
              <w:spacing w:after="0" w:line="240" w:lineRule="auto"/>
              <w:jc w:val="both"/>
              <w:rPr>
                <w:rFonts w:ascii="Book Antiqua" w:eastAsia="Times New Roman" w:hAnsi="Book Antiqua" w:cs="Calibri"/>
                <w:b/>
                <w:bCs/>
                <w:color w:val="000000"/>
                <w:sz w:val="20"/>
                <w:szCs w:val="20"/>
                <w:lang w:eastAsia="es-CR"/>
              </w:rPr>
            </w:pPr>
            <w:r w:rsidRPr="00206044">
              <w:rPr>
                <w:rFonts w:ascii="Book Antiqua" w:eastAsia="Times New Roman" w:hAnsi="Book Antiqua" w:cs="Calibri"/>
                <w:b/>
                <w:bCs/>
                <w:color w:val="000000"/>
                <w:sz w:val="20"/>
                <w:szCs w:val="20"/>
                <w:lang w:eastAsia="es-CR"/>
              </w:rPr>
              <w:t>Revisión</w:t>
            </w:r>
          </w:p>
        </w:tc>
        <w:tc>
          <w:tcPr>
            <w:tcW w:w="1256" w:type="dxa"/>
            <w:tcBorders>
              <w:top w:val="nil"/>
              <w:left w:val="nil"/>
              <w:bottom w:val="single" w:sz="8" w:space="0" w:color="auto"/>
              <w:right w:val="single" w:sz="8" w:space="0" w:color="auto"/>
            </w:tcBorders>
            <w:shd w:val="clear" w:color="auto" w:fill="auto"/>
            <w:vAlign w:val="center"/>
            <w:hideMark/>
          </w:tcPr>
          <w:p w14:paraId="174FA5FE" w14:textId="77777777" w:rsidR="00206044" w:rsidRPr="00206044" w:rsidRDefault="00206044" w:rsidP="00206044">
            <w:pPr>
              <w:spacing w:after="0" w:line="240" w:lineRule="auto"/>
              <w:jc w:val="center"/>
              <w:rPr>
                <w:rFonts w:ascii="Book Antiqua" w:eastAsia="Times New Roman" w:hAnsi="Book Antiqua" w:cs="Calibri"/>
                <w:color w:val="000000"/>
                <w:sz w:val="20"/>
                <w:szCs w:val="20"/>
                <w:lang w:eastAsia="es-CR"/>
              </w:rPr>
            </w:pPr>
            <w:r w:rsidRPr="00206044">
              <w:rPr>
                <w:rFonts w:ascii="Book Antiqua" w:eastAsia="Times New Roman" w:hAnsi="Book Antiqua" w:cs="Calibri"/>
                <w:color w:val="000000"/>
                <w:sz w:val="20"/>
                <w:szCs w:val="20"/>
                <w:lang w:eastAsia="es-CR"/>
              </w:rPr>
              <w:t>7</w:t>
            </w:r>
          </w:p>
        </w:tc>
        <w:tc>
          <w:tcPr>
            <w:tcW w:w="2668" w:type="dxa"/>
            <w:tcBorders>
              <w:top w:val="nil"/>
              <w:left w:val="nil"/>
              <w:bottom w:val="single" w:sz="8" w:space="0" w:color="auto"/>
              <w:right w:val="single" w:sz="8" w:space="0" w:color="auto"/>
            </w:tcBorders>
            <w:shd w:val="clear" w:color="auto" w:fill="auto"/>
            <w:noWrap/>
            <w:vAlign w:val="center"/>
            <w:hideMark/>
          </w:tcPr>
          <w:p w14:paraId="659FBCEA" w14:textId="77777777" w:rsidR="00206044" w:rsidRPr="00206044" w:rsidRDefault="00206044" w:rsidP="00206044">
            <w:pPr>
              <w:spacing w:after="0" w:line="240" w:lineRule="auto"/>
              <w:jc w:val="center"/>
              <w:rPr>
                <w:rFonts w:ascii="Book Antiqua" w:eastAsia="Times New Roman" w:hAnsi="Book Antiqua" w:cs="Calibri"/>
                <w:color w:val="000000"/>
                <w:sz w:val="20"/>
                <w:szCs w:val="20"/>
                <w:lang w:eastAsia="es-CR"/>
              </w:rPr>
            </w:pPr>
            <w:r w:rsidRPr="00206044">
              <w:rPr>
                <w:rFonts w:ascii="Book Antiqua" w:eastAsia="Times New Roman" w:hAnsi="Book Antiqua" w:cs="Calibri"/>
                <w:color w:val="000000"/>
                <w:sz w:val="20"/>
                <w:szCs w:val="20"/>
                <w:lang w:eastAsia="es-CR"/>
              </w:rPr>
              <w:t>6 meses 1 semana</w:t>
            </w:r>
          </w:p>
        </w:tc>
      </w:tr>
      <w:tr w:rsidR="00206044" w:rsidRPr="00206044" w14:paraId="28FDC78F" w14:textId="77777777" w:rsidTr="00206044">
        <w:trPr>
          <w:trHeight w:val="300"/>
          <w:jc w:val="center"/>
        </w:trPr>
        <w:tc>
          <w:tcPr>
            <w:tcW w:w="2596" w:type="dxa"/>
            <w:tcBorders>
              <w:top w:val="nil"/>
              <w:left w:val="single" w:sz="8" w:space="0" w:color="auto"/>
              <w:bottom w:val="single" w:sz="8" w:space="0" w:color="auto"/>
              <w:right w:val="single" w:sz="8" w:space="0" w:color="auto"/>
            </w:tcBorders>
            <w:shd w:val="clear" w:color="auto" w:fill="auto"/>
            <w:vAlign w:val="center"/>
            <w:hideMark/>
          </w:tcPr>
          <w:p w14:paraId="17E64DB5" w14:textId="77777777" w:rsidR="00206044" w:rsidRPr="00206044" w:rsidRDefault="00206044" w:rsidP="00206044">
            <w:pPr>
              <w:spacing w:after="0" w:line="240" w:lineRule="auto"/>
              <w:jc w:val="both"/>
              <w:rPr>
                <w:rFonts w:ascii="Book Antiqua" w:eastAsia="Times New Roman" w:hAnsi="Book Antiqua" w:cs="Calibri"/>
                <w:b/>
                <w:bCs/>
                <w:color w:val="000000"/>
                <w:sz w:val="20"/>
                <w:szCs w:val="20"/>
                <w:lang w:eastAsia="es-CR"/>
              </w:rPr>
            </w:pPr>
            <w:r w:rsidRPr="00206044">
              <w:rPr>
                <w:rFonts w:ascii="Book Antiqua" w:eastAsia="Times New Roman" w:hAnsi="Book Antiqua" w:cs="Calibri"/>
                <w:b/>
                <w:bCs/>
                <w:color w:val="000000"/>
                <w:sz w:val="20"/>
                <w:szCs w:val="20"/>
                <w:lang w:eastAsia="es-CR"/>
              </w:rPr>
              <w:t>Total</w:t>
            </w:r>
          </w:p>
        </w:tc>
        <w:tc>
          <w:tcPr>
            <w:tcW w:w="1256" w:type="dxa"/>
            <w:tcBorders>
              <w:top w:val="nil"/>
              <w:left w:val="nil"/>
              <w:bottom w:val="single" w:sz="8" w:space="0" w:color="auto"/>
              <w:right w:val="single" w:sz="8" w:space="0" w:color="auto"/>
            </w:tcBorders>
            <w:shd w:val="clear" w:color="auto" w:fill="auto"/>
            <w:vAlign w:val="center"/>
            <w:hideMark/>
          </w:tcPr>
          <w:p w14:paraId="793FE973" w14:textId="77777777" w:rsidR="00206044" w:rsidRPr="00206044" w:rsidRDefault="00206044" w:rsidP="00206044">
            <w:pPr>
              <w:spacing w:after="0" w:line="240" w:lineRule="auto"/>
              <w:jc w:val="center"/>
              <w:rPr>
                <w:rFonts w:ascii="Book Antiqua" w:eastAsia="Times New Roman" w:hAnsi="Book Antiqua" w:cs="Calibri"/>
                <w:b/>
                <w:bCs/>
                <w:color w:val="000000"/>
                <w:sz w:val="20"/>
                <w:szCs w:val="20"/>
                <w:lang w:eastAsia="es-CR"/>
              </w:rPr>
            </w:pPr>
            <w:r w:rsidRPr="00206044">
              <w:rPr>
                <w:rFonts w:ascii="Book Antiqua" w:eastAsia="Times New Roman" w:hAnsi="Book Antiqua" w:cs="Calibri"/>
                <w:b/>
                <w:bCs/>
                <w:color w:val="000000"/>
                <w:sz w:val="20"/>
                <w:szCs w:val="20"/>
                <w:lang w:eastAsia="es-CR"/>
              </w:rPr>
              <w:t>208</w:t>
            </w:r>
          </w:p>
        </w:tc>
        <w:tc>
          <w:tcPr>
            <w:tcW w:w="2668" w:type="dxa"/>
            <w:tcBorders>
              <w:top w:val="nil"/>
              <w:left w:val="nil"/>
              <w:bottom w:val="single" w:sz="8" w:space="0" w:color="auto"/>
              <w:right w:val="single" w:sz="8" w:space="0" w:color="auto"/>
            </w:tcBorders>
            <w:shd w:val="clear" w:color="auto" w:fill="auto"/>
            <w:vAlign w:val="center"/>
            <w:hideMark/>
          </w:tcPr>
          <w:p w14:paraId="23EBD2AC" w14:textId="77777777" w:rsidR="00206044" w:rsidRPr="00206044" w:rsidRDefault="00206044" w:rsidP="00206044">
            <w:pPr>
              <w:spacing w:after="0" w:line="240" w:lineRule="auto"/>
              <w:jc w:val="center"/>
              <w:rPr>
                <w:rFonts w:ascii="Book Antiqua" w:eastAsia="Times New Roman" w:hAnsi="Book Antiqua" w:cs="Calibri"/>
                <w:b/>
                <w:bCs/>
                <w:color w:val="000000"/>
                <w:sz w:val="20"/>
                <w:szCs w:val="20"/>
                <w:lang w:eastAsia="es-CR"/>
              </w:rPr>
            </w:pPr>
            <w:r w:rsidRPr="00206044">
              <w:rPr>
                <w:rFonts w:ascii="Book Antiqua" w:eastAsia="Times New Roman" w:hAnsi="Book Antiqua" w:cs="Calibri"/>
                <w:b/>
                <w:bCs/>
                <w:color w:val="000000"/>
                <w:sz w:val="20"/>
                <w:szCs w:val="20"/>
                <w:lang w:eastAsia="es-CR"/>
              </w:rPr>
              <w:t>9 meses 2 semanas</w:t>
            </w:r>
          </w:p>
        </w:tc>
      </w:tr>
    </w:tbl>
    <w:p w14:paraId="009823A4" w14:textId="77777777" w:rsidR="00206044" w:rsidRDefault="00206044" w:rsidP="00206044">
      <w:pPr>
        <w:spacing w:after="0" w:line="240" w:lineRule="auto"/>
        <w:jc w:val="both"/>
        <w:rPr>
          <w:rFonts w:ascii="Book Antiqua" w:hAnsi="Book Antiqua"/>
          <w:i/>
          <w:iCs/>
          <w:sz w:val="20"/>
          <w:szCs w:val="20"/>
        </w:rPr>
      </w:pPr>
      <w:r>
        <w:rPr>
          <w:rFonts w:ascii="Book Antiqua" w:hAnsi="Book Antiqua"/>
          <w:b/>
          <w:bCs/>
          <w:i/>
          <w:iCs/>
          <w:sz w:val="20"/>
          <w:szCs w:val="20"/>
        </w:rPr>
        <w:t xml:space="preserve">                      </w:t>
      </w:r>
      <w:r w:rsidR="00A913A2" w:rsidRPr="00B8406C">
        <w:rPr>
          <w:rFonts w:ascii="Book Antiqua" w:hAnsi="Book Antiqua"/>
          <w:b/>
          <w:bCs/>
          <w:i/>
          <w:iCs/>
          <w:sz w:val="20"/>
          <w:szCs w:val="20"/>
        </w:rPr>
        <w:t>Fuente:</w:t>
      </w:r>
      <w:r w:rsidR="00A913A2" w:rsidRPr="00632CF0">
        <w:rPr>
          <w:rFonts w:ascii="Book Antiqua" w:hAnsi="Book Antiqua"/>
          <w:i/>
          <w:iCs/>
          <w:sz w:val="20"/>
          <w:szCs w:val="20"/>
        </w:rPr>
        <w:t xml:space="preserve"> </w:t>
      </w:r>
      <w:r w:rsidR="00A913A2">
        <w:rPr>
          <w:rFonts w:ascii="Book Antiqua" w:hAnsi="Book Antiqua"/>
          <w:i/>
          <w:iCs/>
          <w:sz w:val="20"/>
          <w:szCs w:val="20"/>
        </w:rPr>
        <w:t xml:space="preserve">Subproceso de </w:t>
      </w:r>
      <w:r w:rsidR="00A913A2" w:rsidRPr="00632CF0">
        <w:rPr>
          <w:rFonts w:ascii="Book Antiqua" w:hAnsi="Book Antiqua"/>
          <w:i/>
          <w:iCs/>
          <w:sz w:val="20"/>
          <w:szCs w:val="20"/>
        </w:rPr>
        <w:t xml:space="preserve">Modernización Institucional con datos del Subproceso de </w:t>
      </w:r>
    </w:p>
    <w:p w14:paraId="001A4700" w14:textId="6AF31CF7" w:rsidR="00A913A2" w:rsidRDefault="00206044" w:rsidP="00206044">
      <w:pPr>
        <w:spacing w:after="0" w:line="240" w:lineRule="auto"/>
        <w:jc w:val="both"/>
        <w:rPr>
          <w:rFonts w:ascii="Book Antiqua" w:hAnsi="Book Antiqua"/>
          <w:i/>
          <w:iCs/>
          <w:sz w:val="20"/>
          <w:szCs w:val="20"/>
        </w:rPr>
      </w:pPr>
      <w:r>
        <w:rPr>
          <w:rFonts w:ascii="Book Antiqua" w:hAnsi="Book Antiqua"/>
          <w:i/>
          <w:iCs/>
          <w:sz w:val="20"/>
          <w:szCs w:val="20"/>
        </w:rPr>
        <w:t xml:space="preserve">                     </w:t>
      </w:r>
      <w:r w:rsidR="00A913A2" w:rsidRPr="00632CF0">
        <w:rPr>
          <w:rFonts w:ascii="Book Antiqua" w:hAnsi="Book Antiqua"/>
          <w:i/>
          <w:iCs/>
          <w:sz w:val="20"/>
          <w:szCs w:val="20"/>
        </w:rPr>
        <w:t>Estadística</w:t>
      </w:r>
      <w:r w:rsidR="00A913A2">
        <w:rPr>
          <w:rFonts w:ascii="Book Antiqua" w:hAnsi="Book Antiqua"/>
          <w:i/>
          <w:iCs/>
          <w:sz w:val="20"/>
          <w:szCs w:val="20"/>
        </w:rPr>
        <w:t xml:space="preserve"> y consulta del Balance General Interactiva del 7/3/2023</w:t>
      </w:r>
      <w:r w:rsidR="00A913A2" w:rsidRPr="00632CF0">
        <w:rPr>
          <w:rFonts w:ascii="Book Antiqua" w:hAnsi="Book Antiqua"/>
          <w:i/>
          <w:iCs/>
          <w:sz w:val="20"/>
          <w:szCs w:val="20"/>
        </w:rPr>
        <w:t>.</w:t>
      </w:r>
    </w:p>
    <w:p w14:paraId="61812E1C" w14:textId="77777777" w:rsidR="00A913A2" w:rsidRDefault="00A913A2" w:rsidP="006B0E83">
      <w:pPr>
        <w:spacing w:after="0" w:line="276" w:lineRule="auto"/>
        <w:jc w:val="both"/>
        <w:rPr>
          <w:rFonts w:ascii="Book Antiqua" w:eastAsia="Calibri" w:hAnsi="Book Antiqua" w:cs="Arial"/>
          <w:b/>
          <w:bCs/>
          <w:i/>
          <w:iCs/>
          <w:sz w:val="24"/>
          <w:szCs w:val="24"/>
          <w:u w:val="single"/>
        </w:rPr>
      </w:pPr>
    </w:p>
    <w:p w14:paraId="47BF4236" w14:textId="0DB880DC" w:rsidR="00035487" w:rsidRPr="009F59E8" w:rsidRDefault="00035487" w:rsidP="009F59E8">
      <w:pPr>
        <w:spacing w:after="0" w:line="276" w:lineRule="auto"/>
        <w:jc w:val="both"/>
        <w:rPr>
          <w:rFonts w:ascii="Book Antiqua" w:eastAsia="Calibri" w:hAnsi="Book Antiqua" w:cs="Arial"/>
          <w:b/>
          <w:bCs/>
          <w:sz w:val="24"/>
          <w:szCs w:val="24"/>
        </w:rPr>
      </w:pPr>
      <w:r w:rsidRPr="009F59E8">
        <w:rPr>
          <w:rFonts w:ascii="Book Antiqua" w:eastAsia="Calibri" w:hAnsi="Book Antiqua" w:cs="Arial"/>
          <w:b/>
          <w:bCs/>
          <w:sz w:val="24"/>
          <w:szCs w:val="24"/>
        </w:rPr>
        <w:t xml:space="preserve">Impacto en la Sala Segunda por los cambios de competencia, reforma al artículo 55 bis LOPJ </w:t>
      </w:r>
    </w:p>
    <w:p w14:paraId="1809B707" w14:textId="77777777" w:rsidR="00035487" w:rsidRDefault="00035487" w:rsidP="00C94966">
      <w:pPr>
        <w:spacing w:after="0" w:line="276" w:lineRule="auto"/>
        <w:jc w:val="both"/>
        <w:rPr>
          <w:rFonts w:ascii="Book Antiqua" w:eastAsia="Calibri" w:hAnsi="Book Antiqua" w:cs="Arial"/>
          <w:sz w:val="24"/>
          <w:szCs w:val="24"/>
        </w:rPr>
      </w:pPr>
    </w:p>
    <w:p w14:paraId="75DF985E" w14:textId="5B1D324E" w:rsidR="00562E95" w:rsidRDefault="00562E95"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situación de la Sala Segunda es preocupante en este momento y a partir de octubre 202</w:t>
      </w:r>
      <w:r w:rsidR="00795C3F">
        <w:rPr>
          <w:rFonts w:ascii="Book Antiqua" w:eastAsia="Calibri" w:hAnsi="Book Antiqua" w:cs="Arial"/>
          <w:sz w:val="24"/>
          <w:szCs w:val="24"/>
        </w:rPr>
        <w:t>4</w:t>
      </w:r>
      <w:r>
        <w:rPr>
          <w:rFonts w:ascii="Book Antiqua" w:eastAsia="Calibri" w:hAnsi="Book Antiqua" w:cs="Arial"/>
          <w:sz w:val="24"/>
          <w:szCs w:val="24"/>
        </w:rPr>
        <w:t>, e</w:t>
      </w:r>
      <w:r w:rsidR="00F071D2" w:rsidRPr="00561C46">
        <w:rPr>
          <w:rFonts w:ascii="Book Antiqua" w:eastAsia="Calibri" w:hAnsi="Book Antiqua" w:cs="Arial"/>
          <w:sz w:val="24"/>
          <w:szCs w:val="24"/>
        </w:rPr>
        <w:t>l CPF le confiere nuevas competencias a la Sala Segunda</w:t>
      </w:r>
      <w:r w:rsidR="00441B1F">
        <w:rPr>
          <w:rFonts w:ascii="Book Antiqua" w:eastAsia="Calibri" w:hAnsi="Book Antiqua" w:cs="Arial"/>
          <w:sz w:val="24"/>
          <w:szCs w:val="24"/>
        </w:rPr>
        <w:t xml:space="preserve"> según el artículo 55 bis reformado de la LOPJ, el detalle se incluyó en el apartado 4</w:t>
      </w:r>
      <w:r w:rsidR="00441B1F" w:rsidRPr="001D0C10">
        <w:rPr>
          <w:rFonts w:ascii="Book Antiqua" w:eastAsia="Calibri" w:hAnsi="Book Antiqua" w:cs="Arial"/>
          <w:i/>
          <w:iCs/>
          <w:sz w:val="24"/>
          <w:szCs w:val="24"/>
        </w:rPr>
        <w:t xml:space="preserve"> “principales implicaciones del CPF</w:t>
      </w:r>
      <w:r w:rsidR="00441B1F">
        <w:rPr>
          <w:rFonts w:ascii="Book Antiqua" w:eastAsia="Calibri" w:hAnsi="Book Antiqua" w:cs="Arial"/>
          <w:sz w:val="24"/>
          <w:szCs w:val="24"/>
        </w:rPr>
        <w:t xml:space="preserve">” de este informe. </w:t>
      </w:r>
    </w:p>
    <w:p w14:paraId="20F17852" w14:textId="7FD502E4" w:rsidR="008F6C72" w:rsidRDefault="00441B1F"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Pero </w:t>
      </w:r>
      <w:r w:rsidR="00795C3F">
        <w:rPr>
          <w:rFonts w:ascii="Book Antiqua" w:eastAsia="Calibri" w:hAnsi="Book Antiqua" w:cs="Arial"/>
          <w:sz w:val="24"/>
          <w:szCs w:val="24"/>
        </w:rPr>
        <w:t xml:space="preserve">entre </w:t>
      </w:r>
      <w:r>
        <w:rPr>
          <w:rFonts w:ascii="Book Antiqua" w:eastAsia="Calibri" w:hAnsi="Book Antiqua" w:cs="Arial"/>
          <w:sz w:val="24"/>
          <w:szCs w:val="24"/>
        </w:rPr>
        <w:t xml:space="preserve">los que eventualmente pueden impactar la entrada en la </w:t>
      </w:r>
      <w:r w:rsidR="00FE4B7D">
        <w:rPr>
          <w:rFonts w:ascii="Book Antiqua" w:eastAsia="Calibri" w:hAnsi="Book Antiqua" w:cs="Arial"/>
          <w:sz w:val="24"/>
          <w:szCs w:val="24"/>
        </w:rPr>
        <w:t>S</w:t>
      </w:r>
      <w:r>
        <w:rPr>
          <w:rFonts w:ascii="Book Antiqua" w:eastAsia="Calibri" w:hAnsi="Book Antiqua" w:cs="Arial"/>
          <w:sz w:val="24"/>
          <w:szCs w:val="24"/>
        </w:rPr>
        <w:t xml:space="preserve">ala se encuentran: </w:t>
      </w:r>
    </w:p>
    <w:p w14:paraId="3EF5F3C7" w14:textId="77777777" w:rsidR="00035487" w:rsidRDefault="00035487" w:rsidP="00C94966">
      <w:pPr>
        <w:spacing w:after="0" w:line="276" w:lineRule="auto"/>
        <w:jc w:val="both"/>
        <w:rPr>
          <w:rFonts w:ascii="Book Antiqua" w:eastAsia="Calibri" w:hAnsi="Book Antiqua" w:cs="Arial"/>
          <w:sz w:val="24"/>
          <w:szCs w:val="24"/>
        </w:rPr>
      </w:pPr>
    </w:p>
    <w:p w14:paraId="3C78022F" w14:textId="2187F841" w:rsidR="008F6C72" w:rsidRDefault="008F6C72">
      <w:pPr>
        <w:pStyle w:val="Prrafodelista"/>
        <w:numPr>
          <w:ilvl w:val="0"/>
          <w:numId w:val="32"/>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C</w:t>
      </w:r>
      <w:r w:rsidR="00F071D2" w:rsidRPr="001D0C10">
        <w:rPr>
          <w:rFonts w:ascii="Book Antiqua" w:eastAsia="Calibri" w:hAnsi="Book Antiqua" w:cs="Arial"/>
          <w:sz w:val="24"/>
          <w:szCs w:val="24"/>
        </w:rPr>
        <w:t>onocer</w:t>
      </w:r>
      <w:r w:rsidR="00035487">
        <w:rPr>
          <w:rFonts w:ascii="Book Antiqua" w:eastAsia="Calibri" w:hAnsi="Book Antiqua" w:cs="Arial"/>
          <w:sz w:val="24"/>
          <w:szCs w:val="24"/>
        </w:rPr>
        <w:t>á</w:t>
      </w:r>
      <w:r w:rsidR="00F071D2" w:rsidRPr="001D0C10">
        <w:rPr>
          <w:rFonts w:ascii="Book Antiqua" w:eastAsia="Calibri" w:hAnsi="Book Antiqua" w:cs="Arial"/>
          <w:sz w:val="24"/>
          <w:szCs w:val="24"/>
        </w:rPr>
        <w:t xml:space="preserve"> </w:t>
      </w:r>
      <w:r w:rsidR="00562E95">
        <w:rPr>
          <w:rFonts w:ascii="Book Antiqua" w:eastAsia="Calibri" w:hAnsi="Book Antiqua" w:cs="Arial"/>
          <w:sz w:val="24"/>
          <w:szCs w:val="24"/>
        </w:rPr>
        <w:t xml:space="preserve">los recursos de los </w:t>
      </w:r>
      <w:r w:rsidR="00100D3A" w:rsidRPr="001D0C10">
        <w:rPr>
          <w:rFonts w:ascii="Book Antiqua" w:eastAsia="Calibri" w:hAnsi="Book Antiqua" w:cs="Arial"/>
          <w:sz w:val="24"/>
          <w:szCs w:val="24"/>
        </w:rPr>
        <w:t xml:space="preserve">procesos de restitución internacional de personas menores de edad </w:t>
      </w:r>
      <w:r w:rsidR="00F071D2" w:rsidRPr="001D0C10">
        <w:rPr>
          <w:rFonts w:ascii="Book Antiqua" w:eastAsia="Calibri" w:hAnsi="Book Antiqua" w:cs="Arial"/>
          <w:sz w:val="24"/>
          <w:szCs w:val="24"/>
        </w:rPr>
        <w:t xml:space="preserve">que en la actualidad </w:t>
      </w:r>
      <w:r w:rsidR="00100D3A" w:rsidRPr="001D0C10">
        <w:rPr>
          <w:rFonts w:ascii="Book Antiqua" w:eastAsia="Calibri" w:hAnsi="Book Antiqua" w:cs="Arial"/>
          <w:sz w:val="24"/>
          <w:szCs w:val="24"/>
        </w:rPr>
        <w:t>son conocidos por el Tribunal de Familia</w:t>
      </w:r>
      <w:r w:rsidR="00F071D2" w:rsidRPr="001D0C10">
        <w:rPr>
          <w:rFonts w:ascii="Book Antiqua" w:eastAsia="Calibri" w:hAnsi="Book Antiqua" w:cs="Arial"/>
          <w:sz w:val="24"/>
          <w:szCs w:val="24"/>
        </w:rPr>
        <w:t xml:space="preserve"> y para el periodo </w:t>
      </w:r>
      <w:r w:rsidRPr="0098458C">
        <w:rPr>
          <w:rFonts w:ascii="Book Antiqua" w:eastAsia="Calibri" w:hAnsi="Book Antiqua" w:cs="Arial"/>
          <w:sz w:val="24"/>
          <w:szCs w:val="24"/>
        </w:rPr>
        <w:t xml:space="preserve">del </w:t>
      </w:r>
      <w:r w:rsidRPr="002E583C">
        <w:rPr>
          <w:rFonts w:ascii="Book Antiqua" w:eastAsia="Calibri" w:hAnsi="Book Antiqua" w:cs="Arial"/>
          <w:sz w:val="24"/>
          <w:szCs w:val="24"/>
        </w:rPr>
        <w:t>20</w:t>
      </w:r>
      <w:r w:rsidR="00940F40" w:rsidRPr="002E583C">
        <w:rPr>
          <w:rFonts w:ascii="Book Antiqua" w:eastAsia="Calibri" w:hAnsi="Book Antiqua" w:cs="Arial"/>
          <w:sz w:val="24"/>
          <w:szCs w:val="24"/>
        </w:rPr>
        <w:t>20</w:t>
      </w:r>
      <w:r w:rsidRPr="002E583C">
        <w:rPr>
          <w:rFonts w:ascii="Book Antiqua" w:eastAsia="Calibri" w:hAnsi="Book Antiqua" w:cs="Arial"/>
          <w:sz w:val="24"/>
          <w:szCs w:val="24"/>
        </w:rPr>
        <w:t>-202</w:t>
      </w:r>
      <w:r w:rsidR="00522EC8" w:rsidRPr="002E583C">
        <w:rPr>
          <w:rFonts w:ascii="Book Antiqua" w:eastAsia="Calibri" w:hAnsi="Book Antiqua" w:cs="Arial"/>
          <w:sz w:val="24"/>
          <w:szCs w:val="24"/>
        </w:rPr>
        <w:t>2</w:t>
      </w:r>
      <w:r w:rsidR="00F071D2" w:rsidRPr="002E583C">
        <w:rPr>
          <w:rFonts w:ascii="Book Antiqua" w:eastAsia="Calibri" w:hAnsi="Book Antiqua" w:cs="Arial"/>
          <w:sz w:val="24"/>
          <w:szCs w:val="24"/>
        </w:rPr>
        <w:t xml:space="preserve"> </w:t>
      </w:r>
      <w:r w:rsidR="00561C46" w:rsidRPr="002E583C">
        <w:rPr>
          <w:rFonts w:ascii="Book Antiqua" w:eastAsia="Calibri" w:hAnsi="Book Antiqua" w:cs="Arial"/>
          <w:sz w:val="24"/>
          <w:szCs w:val="24"/>
        </w:rPr>
        <w:t xml:space="preserve">fue </w:t>
      </w:r>
      <w:r w:rsidR="00940F40" w:rsidRPr="002E583C">
        <w:rPr>
          <w:rFonts w:ascii="Book Antiqua" w:eastAsia="Calibri" w:hAnsi="Book Antiqua" w:cs="Arial"/>
          <w:sz w:val="24"/>
          <w:szCs w:val="24"/>
        </w:rPr>
        <w:t>u</w:t>
      </w:r>
      <w:r w:rsidRPr="002E583C">
        <w:rPr>
          <w:rFonts w:ascii="Book Antiqua" w:eastAsia="Calibri" w:hAnsi="Book Antiqua" w:cs="Arial"/>
          <w:sz w:val="24"/>
          <w:szCs w:val="24"/>
        </w:rPr>
        <w:t>n total de</w:t>
      </w:r>
      <w:r w:rsidR="00561C46" w:rsidRPr="002E583C">
        <w:rPr>
          <w:rFonts w:ascii="Book Antiqua" w:eastAsia="Calibri" w:hAnsi="Book Antiqua" w:cs="Arial"/>
          <w:sz w:val="24"/>
          <w:szCs w:val="24"/>
        </w:rPr>
        <w:t xml:space="preserve"> </w:t>
      </w:r>
      <w:r w:rsidR="002E583C">
        <w:rPr>
          <w:rFonts w:ascii="Book Antiqua" w:eastAsia="Calibri" w:hAnsi="Book Antiqua" w:cs="Arial"/>
          <w:sz w:val="24"/>
          <w:szCs w:val="24"/>
        </w:rPr>
        <w:t>45</w:t>
      </w:r>
      <w:r w:rsidR="00F071D2" w:rsidRPr="002E583C">
        <w:rPr>
          <w:rFonts w:ascii="Book Antiqua" w:eastAsia="Calibri" w:hAnsi="Book Antiqua" w:cs="Arial"/>
          <w:sz w:val="24"/>
          <w:szCs w:val="24"/>
        </w:rPr>
        <w:t xml:space="preserve"> asuntos</w:t>
      </w:r>
      <w:r w:rsidRPr="002E583C">
        <w:rPr>
          <w:rFonts w:ascii="Book Antiqua" w:eastAsia="Calibri" w:hAnsi="Book Antiqua" w:cs="Arial"/>
          <w:sz w:val="24"/>
          <w:szCs w:val="24"/>
        </w:rPr>
        <w:t xml:space="preserve">, lo que representa en promedio </w:t>
      </w:r>
      <w:r w:rsidR="002E583C" w:rsidRPr="002E583C">
        <w:rPr>
          <w:rFonts w:ascii="Book Antiqua" w:eastAsia="Calibri" w:hAnsi="Book Antiqua" w:cs="Arial"/>
          <w:sz w:val="24"/>
          <w:szCs w:val="24"/>
        </w:rPr>
        <w:t>9</w:t>
      </w:r>
      <w:r w:rsidRPr="002E583C">
        <w:rPr>
          <w:rFonts w:ascii="Book Antiqua" w:eastAsia="Calibri" w:hAnsi="Book Antiqua" w:cs="Arial"/>
          <w:sz w:val="24"/>
          <w:szCs w:val="24"/>
        </w:rPr>
        <w:t xml:space="preserve"> casos al año. Sin embargo</w:t>
      </w:r>
      <w:r w:rsidRPr="0098458C">
        <w:rPr>
          <w:rFonts w:ascii="Book Antiqua" w:eastAsia="Calibri" w:hAnsi="Book Antiqua" w:cs="Arial"/>
          <w:sz w:val="24"/>
          <w:szCs w:val="24"/>
        </w:rPr>
        <w:t>, estos asuntos al tratarse de procesos de menores de edad, en donde</w:t>
      </w:r>
      <w:r>
        <w:rPr>
          <w:rFonts w:ascii="Book Antiqua" w:eastAsia="Calibri" w:hAnsi="Book Antiqua" w:cs="Arial"/>
          <w:sz w:val="24"/>
          <w:szCs w:val="24"/>
        </w:rPr>
        <w:t xml:space="preserve"> está de por medio la seguridad del menor debe ser resuelto con urgencia. </w:t>
      </w:r>
    </w:p>
    <w:p w14:paraId="1ABED317" w14:textId="4DF2372A" w:rsidR="008F6C72" w:rsidRDefault="00E26D9E">
      <w:pPr>
        <w:pStyle w:val="Prrafodelista"/>
        <w:numPr>
          <w:ilvl w:val="0"/>
          <w:numId w:val="32"/>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Aumento probable en los recursos de revisión, por la nueva causa de “</w:t>
      </w:r>
      <w:r w:rsidRPr="001D0C10">
        <w:rPr>
          <w:rFonts w:ascii="Book Antiqua" w:eastAsia="Calibri" w:hAnsi="Book Antiqua" w:cs="Arial"/>
          <w:i/>
          <w:iCs/>
          <w:sz w:val="24"/>
          <w:szCs w:val="24"/>
        </w:rPr>
        <w:t>violación al debido proceso</w:t>
      </w:r>
      <w:r>
        <w:rPr>
          <w:rFonts w:ascii="Book Antiqua" w:eastAsia="Calibri" w:hAnsi="Book Antiqua" w:cs="Arial"/>
          <w:sz w:val="24"/>
          <w:szCs w:val="24"/>
        </w:rPr>
        <w:t xml:space="preserve">”, este incremento si fuera similar al que se </w:t>
      </w:r>
      <w:r w:rsidR="00441B1F">
        <w:rPr>
          <w:rFonts w:ascii="Book Antiqua" w:eastAsia="Calibri" w:hAnsi="Book Antiqua" w:cs="Arial"/>
          <w:sz w:val="24"/>
          <w:szCs w:val="24"/>
        </w:rPr>
        <w:t>dio</w:t>
      </w:r>
      <w:r>
        <w:rPr>
          <w:rFonts w:ascii="Book Antiqua" w:eastAsia="Calibri" w:hAnsi="Book Antiqua" w:cs="Arial"/>
          <w:sz w:val="24"/>
          <w:szCs w:val="24"/>
        </w:rPr>
        <w:t xml:space="preserve"> en la Sala por la inclusión de esa misma causal en el Código Procesal Civil, donde representó un incremento </w:t>
      </w:r>
      <w:r w:rsidRPr="008E51B7">
        <w:rPr>
          <w:rFonts w:ascii="Book Antiqua" w:eastAsia="Calibri" w:hAnsi="Book Antiqua" w:cs="Arial"/>
          <w:sz w:val="24"/>
          <w:szCs w:val="24"/>
        </w:rPr>
        <w:t>anual de 3</w:t>
      </w:r>
      <w:r w:rsidR="00441B1F" w:rsidRPr="008E51B7">
        <w:rPr>
          <w:rFonts w:ascii="Book Antiqua" w:eastAsia="Calibri" w:hAnsi="Book Antiqua" w:cs="Arial"/>
          <w:sz w:val="24"/>
          <w:szCs w:val="24"/>
        </w:rPr>
        <w:t>3</w:t>
      </w:r>
      <w:r w:rsidRPr="008E51B7">
        <w:rPr>
          <w:rFonts w:ascii="Book Antiqua" w:eastAsia="Calibri" w:hAnsi="Book Antiqua" w:cs="Arial"/>
          <w:sz w:val="24"/>
          <w:szCs w:val="24"/>
        </w:rPr>
        <w:t xml:space="preserve"> recursos de revisión adicionales</w:t>
      </w:r>
      <w:r>
        <w:rPr>
          <w:rFonts w:ascii="Book Antiqua" w:eastAsia="Calibri" w:hAnsi="Book Antiqua" w:cs="Arial"/>
          <w:sz w:val="24"/>
          <w:szCs w:val="24"/>
        </w:rPr>
        <w:t xml:space="preserve"> al año.</w:t>
      </w:r>
    </w:p>
    <w:p w14:paraId="67B1495E" w14:textId="1B8577A3" w:rsidR="00E26D9E" w:rsidRDefault="00035487">
      <w:pPr>
        <w:pStyle w:val="Prrafodelista"/>
        <w:numPr>
          <w:ilvl w:val="0"/>
          <w:numId w:val="32"/>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Conocerá los c</w:t>
      </w:r>
      <w:r w:rsidR="00E26D9E">
        <w:rPr>
          <w:rFonts w:ascii="Book Antiqua" w:eastAsia="Calibri" w:hAnsi="Book Antiqua" w:cs="Arial"/>
          <w:sz w:val="24"/>
          <w:szCs w:val="24"/>
        </w:rPr>
        <w:t>onflictos de competencia territorial entre</w:t>
      </w:r>
      <w:r w:rsidR="00562E95">
        <w:rPr>
          <w:rFonts w:ascii="Book Antiqua" w:eastAsia="Calibri" w:hAnsi="Book Antiqua" w:cs="Arial"/>
          <w:sz w:val="24"/>
          <w:szCs w:val="24"/>
        </w:rPr>
        <w:t xml:space="preserve"> dos</w:t>
      </w:r>
      <w:r w:rsidR="00E26D9E">
        <w:rPr>
          <w:rFonts w:ascii="Book Antiqua" w:eastAsia="Calibri" w:hAnsi="Book Antiqua" w:cs="Arial"/>
          <w:sz w:val="24"/>
          <w:szCs w:val="24"/>
        </w:rPr>
        <w:t xml:space="preserve"> juzgados de Familia, </w:t>
      </w:r>
      <w:r w:rsidR="00441B1F">
        <w:rPr>
          <w:rFonts w:ascii="Book Antiqua" w:eastAsia="Calibri" w:hAnsi="Book Antiqua" w:cs="Arial"/>
          <w:sz w:val="24"/>
          <w:szCs w:val="24"/>
        </w:rPr>
        <w:t>a partir de la reforma a los artículos 51 y 99 de la LOPJ, que según datos actuales del Tribunal (sin po</w:t>
      </w:r>
      <w:r w:rsidR="0054045E">
        <w:rPr>
          <w:rFonts w:ascii="Book Antiqua" w:eastAsia="Calibri" w:hAnsi="Book Antiqua" w:cs="Arial"/>
          <w:sz w:val="24"/>
          <w:szCs w:val="24"/>
        </w:rPr>
        <w:t>d</w:t>
      </w:r>
      <w:r w:rsidR="00441B1F">
        <w:rPr>
          <w:rFonts w:ascii="Book Antiqua" w:eastAsia="Calibri" w:hAnsi="Book Antiqua" w:cs="Arial"/>
          <w:sz w:val="24"/>
          <w:szCs w:val="24"/>
        </w:rPr>
        <w:t>er distinguir el tipo de conflicto de competencia alegada</w:t>
      </w:r>
      <w:r w:rsidR="00441B1F" w:rsidRPr="008E51B7">
        <w:rPr>
          <w:rFonts w:ascii="Book Antiqua" w:eastAsia="Calibri" w:hAnsi="Book Antiqua" w:cs="Arial"/>
          <w:sz w:val="24"/>
          <w:szCs w:val="24"/>
        </w:rPr>
        <w:t>) e</w:t>
      </w:r>
      <w:r w:rsidR="0054045E" w:rsidRPr="008E51B7">
        <w:rPr>
          <w:rFonts w:ascii="Book Antiqua" w:eastAsia="Calibri" w:hAnsi="Book Antiqua" w:cs="Arial"/>
          <w:sz w:val="24"/>
          <w:szCs w:val="24"/>
        </w:rPr>
        <w:t xml:space="preserve">n </w:t>
      </w:r>
      <w:r w:rsidR="00441B1F" w:rsidRPr="008E51B7">
        <w:rPr>
          <w:rFonts w:ascii="Book Antiqua" w:eastAsia="Calibri" w:hAnsi="Book Antiqua" w:cs="Arial"/>
          <w:sz w:val="24"/>
          <w:szCs w:val="24"/>
        </w:rPr>
        <w:t xml:space="preserve">promedio </w:t>
      </w:r>
      <w:r w:rsidR="0054045E" w:rsidRPr="008E51B7">
        <w:rPr>
          <w:rFonts w:ascii="Book Antiqua" w:eastAsia="Calibri" w:hAnsi="Book Antiqua" w:cs="Arial"/>
          <w:sz w:val="24"/>
          <w:szCs w:val="24"/>
        </w:rPr>
        <w:t xml:space="preserve">es de </w:t>
      </w:r>
      <w:r w:rsidR="001E70CD">
        <w:rPr>
          <w:rFonts w:ascii="Book Antiqua" w:eastAsia="Calibri" w:hAnsi="Book Antiqua" w:cs="Arial"/>
          <w:sz w:val="24"/>
          <w:szCs w:val="24"/>
        </w:rPr>
        <w:t>42</w:t>
      </w:r>
      <w:r w:rsidR="00441B1F" w:rsidRPr="008E51B7">
        <w:rPr>
          <w:rFonts w:ascii="Book Antiqua" w:eastAsia="Calibri" w:hAnsi="Book Antiqua" w:cs="Arial"/>
          <w:sz w:val="24"/>
          <w:szCs w:val="24"/>
        </w:rPr>
        <w:t xml:space="preserve"> casos al año.</w:t>
      </w:r>
      <w:r w:rsidR="00441B1F">
        <w:rPr>
          <w:rFonts w:ascii="Book Antiqua" w:eastAsia="Calibri" w:hAnsi="Book Antiqua" w:cs="Arial"/>
          <w:sz w:val="24"/>
          <w:szCs w:val="24"/>
        </w:rPr>
        <w:t xml:space="preserve"> </w:t>
      </w:r>
    </w:p>
    <w:p w14:paraId="5864D263" w14:textId="5413BAF5" w:rsidR="00E71E12" w:rsidRDefault="00E71E12" w:rsidP="00355630">
      <w:pPr>
        <w:spacing w:after="0" w:line="276" w:lineRule="auto"/>
        <w:jc w:val="both"/>
        <w:rPr>
          <w:rFonts w:ascii="Book Antiqua" w:eastAsia="Calibri" w:hAnsi="Book Antiqua" w:cs="Arial"/>
          <w:i/>
          <w:iCs/>
          <w:sz w:val="20"/>
          <w:szCs w:val="20"/>
        </w:rPr>
      </w:pPr>
    </w:p>
    <w:p w14:paraId="50F31CCC" w14:textId="463319DB" w:rsidR="00E52923" w:rsidRDefault="00441B1F" w:rsidP="00355630">
      <w:pPr>
        <w:spacing w:after="0" w:line="276" w:lineRule="auto"/>
        <w:jc w:val="both"/>
        <w:rPr>
          <w:rFonts w:ascii="Book Antiqua" w:eastAsia="Calibri" w:hAnsi="Book Antiqua" w:cs="Arial"/>
          <w:sz w:val="24"/>
          <w:szCs w:val="24"/>
        </w:rPr>
      </w:pPr>
      <w:r w:rsidRPr="008E51B7">
        <w:rPr>
          <w:rFonts w:ascii="Book Antiqua" w:eastAsia="Calibri" w:hAnsi="Book Antiqua" w:cs="Arial"/>
          <w:sz w:val="24"/>
          <w:szCs w:val="24"/>
        </w:rPr>
        <w:t xml:space="preserve">A partir de la información anterior, se puede proyectar el incremento anual en la Sala Segunda de </w:t>
      </w:r>
      <w:r w:rsidR="002C3D8E" w:rsidRPr="008E51B7">
        <w:rPr>
          <w:rFonts w:ascii="Book Antiqua" w:eastAsia="Calibri" w:hAnsi="Book Antiqua" w:cs="Arial"/>
          <w:sz w:val="24"/>
          <w:szCs w:val="24"/>
        </w:rPr>
        <w:t xml:space="preserve">aproximadamente </w:t>
      </w:r>
      <w:r w:rsidR="001E70CD">
        <w:rPr>
          <w:rFonts w:ascii="Book Antiqua" w:eastAsia="Calibri" w:hAnsi="Book Antiqua" w:cs="Arial"/>
          <w:sz w:val="24"/>
          <w:szCs w:val="24"/>
        </w:rPr>
        <w:t>84</w:t>
      </w:r>
      <w:r w:rsidR="002C3D8E" w:rsidRPr="008E51B7">
        <w:rPr>
          <w:rFonts w:ascii="Book Antiqua" w:eastAsia="Calibri" w:hAnsi="Book Antiqua" w:cs="Arial"/>
          <w:sz w:val="24"/>
          <w:szCs w:val="24"/>
        </w:rPr>
        <w:t xml:space="preserve"> asuntos</w:t>
      </w:r>
      <w:r w:rsidR="0098458C" w:rsidRPr="008E51B7">
        <w:rPr>
          <w:rFonts w:ascii="Book Antiqua" w:eastAsia="Calibri" w:hAnsi="Book Antiqua" w:cs="Arial"/>
          <w:sz w:val="24"/>
          <w:szCs w:val="24"/>
        </w:rPr>
        <w:t xml:space="preserve"> </w:t>
      </w:r>
      <w:r w:rsidRPr="008E51B7">
        <w:rPr>
          <w:rFonts w:ascii="Book Antiqua" w:eastAsia="Calibri" w:hAnsi="Book Antiqua" w:cs="Arial"/>
          <w:sz w:val="24"/>
          <w:szCs w:val="24"/>
        </w:rPr>
        <w:t>(</w:t>
      </w:r>
      <w:r w:rsidR="008E51B7" w:rsidRPr="008E51B7">
        <w:rPr>
          <w:rFonts w:ascii="Book Antiqua" w:eastAsia="Calibri" w:hAnsi="Book Antiqua" w:cs="Arial"/>
          <w:sz w:val="24"/>
          <w:szCs w:val="24"/>
        </w:rPr>
        <w:t>9</w:t>
      </w:r>
      <w:r w:rsidRPr="008E51B7">
        <w:rPr>
          <w:rFonts w:ascii="Book Antiqua" w:eastAsia="Calibri" w:hAnsi="Book Antiqua" w:cs="Arial"/>
          <w:sz w:val="24"/>
          <w:szCs w:val="24"/>
        </w:rPr>
        <w:t xml:space="preserve"> asuntos de restitución internacional de menores +</w:t>
      </w:r>
      <w:r w:rsidR="00F36389" w:rsidRPr="008E51B7">
        <w:rPr>
          <w:rFonts w:ascii="Book Antiqua" w:eastAsia="Calibri" w:hAnsi="Book Antiqua" w:cs="Arial"/>
          <w:sz w:val="24"/>
          <w:szCs w:val="24"/>
        </w:rPr>
        <w:t xml:space="preserve"> </w:t>
      </w:r>
      <w:r w:rsidRPr="008E51B7">
        <w:rPr>
          <w:rFonts w:ascii="Book Antiqua" w:eastAsia="Calibri" w:hAnsi="Book Antiqua" w:cs="Arial"/>
          <w:sz w:val="24"/>
          <w:szCs w:val="24"/>
        </w:rPr>
        <w:t>33 recurso</w:t>
      </w:r>
      <w:r w:rsidR="00F36389" w:rsidRPr="008E51B7">
        <w:rPr>
          <w:rFonts w:ascii="Book Antiqua" w:eastAsia="Calibri" w:hAnsi="Book Antiqua" w:cs="Arial"/>
          <w:sz w:val="24"/>
          <w:szCs w:val="24"/>
        </w:rPr>
        <w:t>s</w:t>
      </w:r>
      <w:r w:rsidRPr="008E51B7">
        <w:rPr>
          <w:rFonts w:ascii="Book Antiqua" w:eastAsia="Calibri" w:hAnsi="Book Antiqua" w:cs="Arial"/>
          <w:sz w:val="24"/>
          <w:szCs w:val="24"/>
        </w:rPr>
        <w:t xml:space="preserve"> de revisión por la nueva causal de “</w:t>
      </w:r>
      <w:r w:rsidR="002C3D8E" w:rsidRPr="008E51B7">
        <w:rPr>
          <w:rFonts w:ascii="Book Antiqua" w:eastAsia="Calibri" w:hAnsi="Book Antiqua" w:cs="Arial"/>
          <w:i/>
          <w:iCs/>
          <w:sz w:val="24"/>
          <w:szCs w:val="24"/>
        </w:rPr>
        <w:t>violación</w:t>
      </w:r>
      <w:r w:rsidRPr="008E51B7">
        <w:rPr>
          <w:rFonts w:ascii="Book Antiqua" w:eastAsia="Calibri" w:hAnsi="Book Antiqua" w:cs="Arial"/>
          <w:i/>
          <w:iCs/>
          <w:sz w:val="24"/>
          <w:szCs w:val="24"/>
        </w:rPr>
        <w:t xml:space="preserve"> al debido proceso</w:t>
      </w:r>
      <w:r w:rsidRPr="008E51B7">
        <w:rPr>
          <w:rFonts w:ascii="Book Antiqua" w:eastAsia="Calibri" w:hAnsi="Book Antiqua" w:cs="Arial"/>
          <w:sz w:val="24"/>
          <w:szCs w:val="24"/>
        </w:rPr>
        <w:t>” +</w:t>
      </w:r>
      <w:r w:rsidR="00F36389" w:rsidRPr="008E51B7">
        <w:rPr>
          <w:rFonts w:ascii="Book Antiqua" w:eastAsia="Calibri" w:hAnsi="Book Antiqua" w:cs="Arial"/>
          <w:sz w:val="24"/>
          <w:szCs w:val="24"/>
        </w:rPr>
        <w:t xml:space="preserve"> </w:t>
      </w:r>
      <w:r w:rsidR="001E70CD">
        <w:rPr>
          <w:rFonts w:ascii="Book Antiqua" w:eastAsia="Calibri" w:hAnsi="Book Antiqua" w:cs="Arial"/>
          <w:sz w:val="24"/>
          <w:szCs w:val="24"/>
        </w:rPr>
        <w:t>42</w:t>
      </w:r>
      <w:r w:rsidRPr="008E51B7">
        <w:rPr>
          <w:rFonts w:ascii="Book Antiqua" w:eastAsia="Calibri" w:hAnsi="Book Antiqua" w:cs="Arial"/>
          <w:sz w:val="24"/>
          <w:szCs w:val="24"/>
        </w:rPr>
        <w:t xml:space="preserve"> </w:t>
      </w:r>
      <w:r w:rsidR="002C3D8E" w:rsidRPr="008E51B7">
        <w:rPr>
          <w:rFonts w:ascii="Book Antiqua" w:eastAsia="Calibri" w:hAnsi="Book Antiqua" w:cs="Arial"/>
          <w:sz w:val="24"/>
          <w:szCs w:val="24"/>
        </w:rPr>
        <w:t>conflictos</w:t>
      </w:r>
      <w:r w:rsidRPr="008E51B7">
        <w:rPr>
          <w:rFonts w:ascii="Book Antiqua" w:eastAsia="Calibri" w:hAnsi="Book Antiqua" w:cs="Arial"/>
          <w:sz w:val="24"/>
          <w:szCs w:val="24"/>
        </w:rPr>
        <w:t xml:space="preserve"> de competencia).</w:t>
      </w:r>
      <w:r w:rsidR="008528CC">
        <w:rPr>
          <w:rFonts w:ascii="Book Antiqua" w:eastAsia="Calibri" w:hAnsi="Book Antiqua" w:cs="Arial"/>
          <w:sz w:val="24"/>
          <w:szCs w:val="24"/>
        </w:rPr>
        <w:t xml:space="preserve"> </w:t>
      </w:r>
    </w:p>
    <w:p w14:paraId="140076FD" w14:textId="062816DF" w:rsidR="008528CC" w:rsidRDefault="008528CC" w:rsidP="00355630">
      <w:pPr>
        <w:spacing w:after="0" w:line="276" w:lineRule="auto"/>
        <w:jc w:val="both"/>
        <w:rPr>
          <w:rFonts w:ascii="Book Antiqua" w:eastAsia="Calibri" w:hAnsi="Book Antiqua" w:cs="Arial"/>
          <w:sz w:val="24"/>
          <w:szCs w:val="24"/>
        </w:rPr>
      </w:pPr>
    </w:p>
    <w:p w14:paraId="48B382AA" w14:textId="46F11E37" w:rsidR="008868D8" w:rsidRDefault="00FE4B7D" w:rsidP="008868D8">
      <w:pPr>
        <w:spacing w:line="276" w:lineRule="auto"/>
        <w:jc w:val="both"/>
        <w:rPr>
          <w:rFonts w:ascii="Book Antiqua" w:hAnsi="Book Antiqua"/>
          <w:sz w:val="24"/>
          <w:szCs w:val="24"/>
        </w:rPr>
      </w:pPr>
      <w:r>
        <w:rPr>
          <w:rFonts w:ascii="Book Antiqua" w:eastAsia="Calibri" w:hAnsi="Book Antiqua" w:cs="Arial"/>
          <w:sz w:val="24"/>
          <w:szCs w:val="24"/>
        </w:rPr>
        <w:t xml:space="preserve">En este punto, es necesario reiterar </w:t>
      </w:r>
      <w:r w:rsidR="008868D8">
        <w:rPr>
          <w:rFonts w:ascii="Book Antiqua" w:eastAsia="Calibri" w:hAnsi="Book Antiqua" w:cs="Arial"/>
          <w:sz w:val="24"/>
          <w:szCs w:val="24"/>
        </w:rPr>
        <w:t>la preocupación de</w:t>
      </w:r>
      <w:r w:rsidR="008868D8">
        <w:rPr>
          <w:rFonts w:ascii="Book Antiqua" w:hAnsi="Book Antiqua"/>
          <w:sz w:val="24"/>
          <w:szCs w:val="24"/>
        </w:rPr>
        <w:t xml:space="preserve"> esta Dirección, ya que no se considera adecuado que nuevamente a partir de la aprobación del CPF, como ya paso anteriormente con las reformas al Código de Trabajo y al Procesal Civil,  </w:t>
      </w:r>
      <w:r w:rsidR="008868D8" w:rsidRPr="001F5F76">
        <w:rPr>
          <w:rFonts w:ascii="Book Antiqua" w:hAnsi="Book Antiqua"/>
          <w:sz w:val="24"/>
          <w:szCs w:val="24"/>
          <w:u w:val="single"/>
        </w:rPr>
        <w:t>se traslad</w:t>
      </w:r>
      <w:r w:rsidR="00035CF6">
        <w:rPr>
          <w:rFonts w:ascii="Book Antiqua" w:hAnsi="Book Antiqua"/>
          <w:sz w:val="24"/>
          <w:szCs w:val="24"/>
          <w:u w:val="single"/>
        </w:rPr>
        <w:t>e</w:t>
      </w:r>
      <w:r w:rsidR="008868D8" w:rsidRPr="001F5F76">
        <w:rPr>
          <w:rFonts w:ascii="Book Antiqua" w:hAnsi="Book Antiqua"/>
          <w:sz w:val="24"/>
          <w:szCs w:val="24"/>
          <w:u w:val="single"/>
        </w:rPr>
        <w:t>n nuevas competencias a es</w:t>
      </w:r>
      <w:r w:rsidR="008868D8">
        <w:rPr>
          <w:rFonts w:ascii="Book Antiqua" w:hAnsi="Book Antiqua"/>
          <w:sz w:val="24"/>
          <w:szCs w:val="24"/>
          <w:u w:val="single"/>
        </w:rPr>
        <w:t>t</w:t>
      </w:r>
      <w:r w:rsidR="008868D8" w:rsidRPr="001F5F76">
        <w:rPr>
          <w:rFonts w:ascii="Book Antiqua" w:hAnsi="Book Antiqua"/>
          <w:sz w:val="24"/>
          <w:szCs w:val="24"/>
          <w:u w:val="single"/>
        </w:rPr>
        <w:t>a Sala</w:t>
      </w:r>
      <w:r w:rsidR="008868D8">
        <w:rPr>
          <w:rFonts w:ascii="Book Antiqua" w:hAnsi="Book Antiqua"/>
          <w:sz w:val="24"/>
          <w:szCs w:val="24"/>
        </w:rPr>
        <w:t>, incluso la Ley 9747 surge a partir de un anteproyecto impulsado por el mismo Poder Judicial, en donde se están trasladando competencias del Tribunal de Familia, que</w:t>
      </w:r>
      <w:r w:rsidR="00035CF6">
        <w:rPr>
          <w:rFonts w:ascii="Book Antiqua" w:hAnsi="Book Antiqua"/>
          <w:sz w:val="24"/>
          <w:szCs w:val="24"/>
        </w:rPr>
        <w:t xml:space="preserve"> como se vio en el apartado “10.1”</w:t>
      </w:r>
      <w:r w:rsidR="008868D8">
        <w:rPr>
          <w:rFonts w:ascii="Book Antiqua" w:hAnsi="Book Antiqua"/>
          <w:sz w:val="24"/>
          <w:szCs w:val="24"/>
        </w:rPr>
        <w:t xml:space="preserve"> es un despacho que está al día</w:t>
      </w:r>
      <w:r w:rsidR="00407661">
        <w:rPr>
          <w:rFonts w:ascii="Book Antiqua" w:hAnsi="Book Antiqua"/>
          <w:sz w:val="24"/>
          <w:szCs w:val="24"/>
        </w:rPr>
        <w:t xml:space="preserve"> y que brinda respuestas al ciudadano de forma más oportuna</w:t>
      </w:r>
      <w:r w:rsidR="008868D8">
        <w:rPr>
          <w:rFonts w:ascii="Book Antiqua" w:hAnsi="Book Antiqua"/>
          <w:sz w:val="24"/>
          <w:szCs w:val="24"/>
        </w:rPr>
        <w:t xml:space="preserve"> hacia la Sala Segunda que desde 2017 está saturada</w:t>
      </w:r>
      <w:r w:rsidR="00A3285D">
        <w:rPr>
          <w:rFonts w:ascii="Book Antiqua" w:hAnsi="Book Antiqua"/>
          <w:sz w:val="24"/>
          <w:szCs w:val="24"/>
        </w:rPr>
        <w:t xml:space="preserve"> con los cambios procesales impulsados, que aún y cuando se le ha brindado más recurso humano</w:t>
      </w:r>
      <w:r w:rsidR="003E0107">
        <w:rPr>
          <w:rFonts w:ascii="Book Antiqua" w:hAnsi="Book Antiqua"/>
          <w:sz w:val="24"/>
          <w:szCs w:val="24"/>
        </w:rPr>
        <w:t>, los plazos y la entrada de asuntos, sigue en aumento</w:t>
      </w:r>
      <w:r w:rsidR="008868D8">
        <w:rPr>
          <w:rFonts w:ascii="Book Antiqua" w:hAnsi="Book Antiqua"/>
          <w:sz w:val="24"/>
          <w:szCs w:val="24"/>
        </w:rPr>
        <w:t xml:space="preserve">. </w:t>
      </w:r>
      <w:r w:rsidR="003E0107">
        <w:rPr>
          <w:rFonts w:ascii="Book Antiqua" w:hAnsi="Book Antiqua"/>
          <w:sz w:val="24"/>
          <w:szCs w:val="24"/>
        </w:rPr>
        <w:t xml:space="preserve">Esto se analiza desde el punto de vista administrativo y en atención a las respuestas de las personas ciudadanas. </w:t>
      </w:r>
    </w:p>
    <w:p w14:paraId="05534305" w14:textId="6BA10A32" w:rsidR="003D42D0" w:rsidRDefault="003D42D0" w:rsidP="00340FF2">
      <w:pPr>
        <w:spacing w:after="0" w:line="276" w:lineRule="auto"/>
        <w:jc w:val="both"/>
        <w:rPr>
          <w:rFonts w:ascii="Book Antiqua" w:eastAsia="Calibri" w:hAnsi="Book Antiqua" w:cs="Arial"/>
          <w:b/>
          <w:bCs/>
          <w:sz w:val="24"/>
          <w:szCs w:val="24"/>
        </w:rPr>
      </w:pPr>
      <w:bookmarkStart w:id="73" w:name="_Hlk128729341"/>
      <w:r w:rsidRPr="003D42D0">
        <w:rPr>
          <w:rFonts w:ascii="Book Antiqua" w:eastAsia="Calibri" w:hAnsi="Book Antiqua" w:cs="Arial"/>
          <w:b/>
          <w:bCs/>
          <w:sz w:val="24"/>
          <w:szCs w:val="24"/>
        </w:rPr>
        <w:t xml:space="preserve">La proyección realizada en este apartado toma en consideración las competencias que define actualmente la Ley 9747. Se tienen una serie de propuestas de reforma legal identificadas que ya son de conocimiento de la Comisión de la Jurisdicción de Familia, para su análisis, redacción del proyecto, presentación a Corte Plena y eventual traslado a la Asamblea Legislativa, oficios 495-PLA-MI-2022 y 969-PLA-2022, </w:t>
      </w:r>
      <w:r w:rsidR="0054045E">
        <w:rPr>
          <w:rFonts w:ascii="Book Antiqua" w:eastAsia="Calibri" w:hAnsi="Book Antiqua" w:cs="Arial"/>
          <w:b/>
          <w:bCs/>
          <w:sz w:val="24"/>
          <w:szCs w:val="24"/>
        </w:rPr>
        <w:t>O</w:t>
      </w:r>
      <w:r w:rsidRPr="003D42D0">
        <w:rPr>
          <w:rFonts w:ascii="Book Antiqua" w:eastAsia="Calibri" w:hAnsi="Book Antiqua" w:cs="Arial"/>
          <w:b/>
          <w:bCs/>
          <w:sz w:val="24"/>
          <w:szCs w:val="24"/>
        </w:rPr>
        <w:t xml:space="preserve">portunidades de mejora de </w:t>
      </w:r>
      <w:r w:rsidR="0054045E">
        <w:rPr>
          <w:rFonts w:ascii="Book Antiqua" w:eastAsia="Calibri" w:hAnsi="Book Antiqua" w:cs="Arial"/>
          <w:b/>
          <w:bCs/>
          <w:sz w:val="24"/>
          <w:szCs w:val="24"/>
        </w:rPr>
        <w:t>R</w:t>
      </w:r>
      <w:r w:rsidRPr="003D42D0">
        <w:rPr>
          <w:rFonts w:ascii="Book Antiqua" w:eastAsia="Calibri" w:hAnsi="Book Antiqua" w:cs="Arial"/>
          <w:b/>
          <w:bCs/>
          <w:sz w:val="24"/>
          <w:szCs w:val="24"/>
        </w:rPr>
        <w:t xml:space="preserve">eforma </w:t>
      </w:r>
      <w:r w:rsidR="0054045E">
        <w:rPr>
          <w:rFonts w:ascii="Book Antiqua" w:eastAsia="Calibri" w:hAnsi="Book Antiqua" w:cs="Arial"/>
          <w:b/>
          <w:bCs/>
          <w:sz w:val="24"/>
          <w:szCs w:val="24"/>
        </w:rPr>
        <w:t>L</w:t>
      </w:r>
      <w:r w:rsidRPr="003D42D0">
        <w:rPr>
          <w:rFonts w:ascii="Book Antiqua" w:eastAsia="Calibri" w:hAnsi="Book Antiqua" w:cs="Arial"/>
          <w:b/>
          <w:bCs/>
          <w:sz w:val="24"/>
          <w:szCs w:val="24"/>
        </w:rPr>
        <w:t xml:space="preserve">egal en Violencia Doméstica, y el entregable 3.3 </w:t>
      </w:r>
      <w:r w:rsidR="0054045E">
        <w:rPr>
          <w:rFonts w:ascii="Book Antiqua" w:eastAsia="Calibri" w:hAnsi="Book Antiqua" w:cs="Arial"/>
          <w:b/>
          <w:bCs/>
          <w:sz w:val="24"/>
          <w:szCs w:val="24"/>
        </w:rPr>
        <w:t>O</w:t>
      </w:r>
      <w:r w:rsidRPr="003D42D0">
        <w:rPr>
          <w:rFonts w:ascii="Book Antiqua" w:eastAsia="Calibri" w:hAnsi="Book Antiqua" w:cs="Arial"/>
          <w:b/>
          <w:bCs/>
          <w:sz w:val="24"/>
          <w:szCs w:val="24"/>
        </w:rPr>
        <w:t>portunidades de mejora en Familia (en proceso de comunicación).</w:t>
      </w:r>
    </w:p>
    <w:bookmarkEnd w:id="73"/>
    <w:p w14:paraId="286FBEFE" w14:textId="32245525" w:rsidR="003D42D0" w:rsidRDefault="00221B46" w:rsidP="00221B46">
      <w:pPr>
        <w:rPr>
          <w:rFonts w:ascii="Book Antiqua" w:eastAsia="Calibri" w:hAnsi="Book Antiqua" w:cs="Arial"/>
          <w:b/>
          <w:bCs/>
          <w:sz w:val="24"/>
          <w:szCs w:val="24"/>
        </w:rPr>
      </w:pPr>
      <w:r>
        <w:rPr>
          <w:rFonts w:ascii="Book Antiqua" w:eastAsia="Calibri" w:hAnsi="Book Antiqua" w:cs="Arial"/>
          <w:b/>
          <w:bCs/>
          <w:sz w:val="24"/>
          <w:szCs w:val="24"/>
        </w:rPr>
        <w:br w:type="page"/>
      </w:r>
    </w:p>
    <w:p w14:paraId="792BA109" w14:textId="2D6FC115" w:rsidR="00340FF2" w:rsidRPr="00340FF2" w:rsidRDefault="00340FF2" w:rsidP="00340FF2">
      <w:pPr>
        <w:spacing w:after="0" w:line="276" w:lineRule="auto"/>
        <w:jc w:val="both"/>
        <w:rPr>
          <w:rFonts w:ascii="Book Antiqua" w:eastAsia="Calibri" w:hAnsi="Book Antiqua" w:cs="Arial"/>
          <w:b/>
          <w:bCs/>
          <w:sz w:val="24"/>
          <w:szCs w:val="24"/>
        </w:rPr>
      </w:pPr>
      <w:r w:rsidRPr="00340FF2">
        <w:rPr>
          <w:rFonts w:ascii="Book Antiqua" w:eastAsia="Calibri" w:hAnsi="Book Antiqua" w:cs="Arial"/>
          <w:b/>
          <w:bCs/>
          <w:sz w:val="24"/>
          <w:szCs w:val="24"/>
        </w:rPr>
        <w:t>Análisis de carga de trabajo</w:t>
      </w:r>
    </w:p>
    <w:p w14:paraId="49752095" w14:textId="77777777" w:rsidR="00292F21" w:rsidRDefault="00292F21" w:rsidP="00340FF2">
      <w:pPr>
        <w:spacing w:after="0" w:line="276" w:lineRule="auto"/>
        <w:jc w:val="both"/>
        <w:rPr>
          <w:rFonts w:ascii="Book Antiqua" w:eastAsia="Calibri" w:hAnsi="Book Antiqua" w:cs="Arial"/>
          <w:sz w:val="24"/>
          <w:szCs w:val="24"/>
        </w:rPr>
      </w:pPr>
    </w:p>
    <w:p w14:paraId="071E0AAA" w14:textId="0E896F0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antecedente, cabe mencionar que previo a la entrada en vigencia de la reforma al Código de Trabajo y Código Procesal Civil, la entrada mensual por </w:t>
      </w:r>
      <w:r w:rsidR="0014496E">
        <w:rPr>
          <w:rFonts w:ascii="Book Antiqua" w:eastAsia="Calibri" w:hAnsi="Book Antiqua" w:cs="Arial"/>
          <w:sz w:val="24"/>
          <w:szCs w:val="24"/>
        </w:rPr>
        <w:t xml:space="preserve">plaza de </w:t>
      </w:r>
      <w:r>
        <w:rPr>
          <w:rFonts w:ascii="Book Antiqua" w:eastAsia="Calibri" w:hAnsi="Book Antiqua" w:cs="Arial"/>
          <w:sz w:val="24"/>
          <w:szCs w:val="24"/>
        </w:rPr>
        <w:t>letrad</w:t>
      </w:r>
      <w:r w:rsidR="0014496E">
        <w:rPr>
          <w:rFonts w:ascii="Book Antiqua" w:eastAsia="Calibri" w:hAnsi="Book Antiqua" w:cs="Arial"/>
          <w:sz w:val="24"/>
          <w:szCs w:val="24"/>
        </w:rPr>
        <w:t>o</w:t>
      </w:r>
      <w:r>
        <w:rPr>
          <w:rFonts w:ascii="Book Antiqua" w:eastAsia="Calibri" w:hAnsi="Book Antiqua" w:cs="Arial"/>
          <w:sz w:val="24"/>
          <w:szCs w:val="24"/>
        </w:rPr>
        <w:t xml:space="preserve"> era de aproximadamente 10 asuntos y un circulante por plaza de 45 casos</w:t>
      </w:r>
      <w:r>
        <w:rPr>
          <w:rStyle w:val="Refdenotaalpie"/>
          <w:rFonts w:ascii="Book Antiqua" w:eastAsia="Calibri" w:hAnsi="Book Antiqua" w:cs="Arial"/>
          <w:sz w:val="24"/>
          <w:szCs w:val="24"/>
        </w:rPr>
        <w:footnoteReference w:id="16"/>
      </w:r>
      <w:r>
        <w:rPr>
          <w:rFonts w:ascii="Book Antiqua" w:eastAsia="Calibri" w:hAnsi="Book Antiqua" w:cs="Arial"/>
          <w:sz w:val="24"/>
          <w:szCs w:val="24"/>
        </w:rPr>
        <w:t xml:space="preserve">.  Además por cada 4 plazas de profesional en derecho 3B, 3 plazas de apoyo (técnicos de sala o judiciales), según informe de la Dirección de Planificación 1198-PLA-2018. </w:t>
      </w:r>
    </w:p>
    <w:p w14:paraId="268BE2CB" w14:textId="7777777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 </w:t>
      </w:r>
    </w:p>
    <w:p w14:paraId="5F8840B7" w14:textId="77777777" w:rsidR="00340FF2" w:rsidRPr="001D0C10"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Con la reforma al Código de Trabajo, por el impacto de esa reforma a partir del 2018, se reforzó la Sala Segunda con 5 letrados, 1 para cada magistrado y un técnico de Sala y un Técnico Judicial 3 para el área de apoyo (las 7 plazas ordinarias a partir del 2020), principalmente por la entrada de asuntos de Auxilio Internacional </w:t>
      </w:r>
      <w:r w:rsidRPr="001D0C10">
        <w:rPr>
          <w:rFonts w:ascii="Book Antiqua" w:eastAsia="Calibri" w:hAnsi="Book Antiqua" w:cs="Arial"/>
          <w:b/>
          <w:bCs/>
          <w:sz w:val="24"/>
          <w:szCs w:val="24"/>
          <w:u w:val="single"/>
        </w:rPr>
        <w:t>nuevos</w:t>
      </w:r>
      <w:r>
        <w:rPr>
          <w:rFonts w:ascii="Book Antiqua" w:eastAsia="Calibri" w:hAnsi="Book Antiqua" w:cs="Arial"/>
          <w:sz w:val="24"/>
          <w:szCs w:val="24"/>
        </w:rPr>
        <w:t xml:space="preserve"> en materia de Familia y Trabajo, que a partir del 8 </w:t>
      </w:r>
      <w:r w:rsidRPr="00584BE8">
        <w:rPr>
          <w:rFonts w:ascii="Book Antiqua" w:eastAsia="Calibri" w:hAnsi="Book Antiqua" w:cs="Arial"/>
          <w:sz w:val="24"/>
          <w:szCs w:val="24"/>
        </w:rPr>
        <w:t xml:space="preserve">de octubre de 2018 son competencia de esta Sala. Adicionalmente a partir del 2020 se les otorgó un recurso adicional de Profesional en Derecho 3B (plaza ordinaria a partir de 2022). </w:t>
      </w:r>
    </w:p>
    <w:p w14:paraId="4C10ECB2" w14:textId="4710143A" w:rsidR="00340FF2" w:rsidRDefault="00340FF2" w:rsidP="00340FF2">
      <w:pPr>
        <w:spacing w:after="0" w:line="276" w:lineRule="auto"/>
        <w:jc w:val="both"/>
        <w:rPr>
          <w:rFonts w:ascii="Book Antiqua" w:eastAsia="Calibri" w:hAnsi="Book Antiqua" w:cs="Arial"/>
          <w:sz w:val="24"/>
          <w:szCs w:val="24"/>
        </w:rPr>
      </w:pPr>
      <w:r w:rsidRPr="00584BE8">
        <w:rPr>
          <w:rFonts w:ascii="Book Antiqua" w:eastAsia="Calibri" w:hAnsi="Book Antiqua" w:cs="Arial"/>
          <w:sz w:val="24"/>
          <w:szCs w:val="24"/>
        </w:rPr>
        <w:t xml:space="preserve">En total en este momento la Sala Segunda cuenta con </w:t>
      </w:r>
      <w:r w:rsidR="0054045E">
        <w:rPr>
          <w:rFonts w:ascii="Book Antiqua" w:eastAsia="Calibri" w:hAnsi="Book Antiqua" w:cs="Arial"/>
          <w:sz w:val="24"/>
          <w:szCs w:val="24"/>
        </w:rPr>
        <w:t>21</w:t>
      </w:r>
      <w:r w:rsidRPr="00584BE8">
        <w:rPr>
          <w:rFonts w:ascii="Book Antiqua" w:eastAsia="Calibri" w:hAnsi="Book Antiqua" w:cs="Arial"/>
          <w:sz w:val="24"/>
          <w:szCs w:val="24"/>
        </w:rPr>
        <w:t xml:space="preserve"> profesionales en Derecho más</w:t>
      </w:r>
      <w:r>
        <w:rPr>
          <w:rFonts w:ascii="Book Antiqua" w:eastAsia="Calibri" w:hAnsi="Book Antiqua" w:cs="Arial"/>
          <w:sz w:val="24"/>
          <w:szCs w:val="24"/>
        </w:rPr>
        <w:t xml:space="preserve"> 11 plazas de apoyo (3 Técnicos de Sala, 6 Técnicos Judiciales 3</w:t>
      </w:r>
      <w:r w:rsidR="003F18BF">
        <w:rPr>
          <w:rFonts w:ascii="Book Antiqua" w:eastAsia="Calibri" w:hAnsi="Book Antiqua" w:cs="Arial"/>
          <w:sz w:val="24"/>
          <w:szCs w:val="24"/>
        </w:rPr>
        <w:t>,</w:t>
      </w:r>
      <w:r>
        <w:rPr>
          <w:rFonts w:ascii="Book Antiqua" w:eastAsia="Calibri" w:hAnsi="Book Antiqua" w:cs="Arial"/>
          <w:sz w:val="24"/>
          <w:szCs w:val="24"/>
        </w:rPr>
        <w:t xml:space="preserve"> 1 Técnico en Comunicaciones y el Secretario de Sala), las </w:t>
      </w:r>
      <w:r w:rsidR="003F18BF">
        <w:rPr>
          <w:rFonts w:ascii="Book Antiqua" w:eastAsia="Calibri" w:hAnsi="Book Antiqua" w:cs="Arial"/>
          <w:sz w:val="24"/>
          <w:szCs w:val="24"/>
        </w:rPr>
        <w:t>S</w:t>
      </w:r>
      <w:r>
        <w:rPr>
          <w:rFonts w:ascii="Book Antiqua" w:eastAsia="Calibri" w:hAnsi="Book Antiqua" w:cs="Arial"/>
          <w:sz w:val="24"/>
          <w:szCs w:val="24"/>
        </w:rPr>
        <w:t xml:space="preserve">ecretarias </w:t>
      </w:r>
      <w:r w:rsidR="003F18BF">
        <w:rPr>
          <w:rFonts w:ascii="Book Antiqua" w:eastAsia="Calibri" w:hAnsi="Book Antiqua" w:cs="Arial"/>
          <w:sz w:val="24"/>
          <w:szCs w:val="24"/>
        </w:rPr>
        <w:t>E</w:t>
      </w:r>
      <w:r>
        <w:rPr>
          <w:rFonts w:ascii="Book Antiqua" w:eastAsia="Calibri" w:hAnsi="Book Antiqua" w:cs="Arial"/>
          <w:sz w:val="24"/>
          <w:szCs w:val="24"/>
        </w:rPr>
        <w:t xml:space="preserve">jecutivas de cada </w:t>
      </w:r>
      <w:r w:rsidR="003F18BF">
        <w:rPr>
          <w:rFonts w:ascii="Book Antiqua" w:eastAsia="Calibri" w:hAnsi="Book Antiqua" w:cs="Arial"/>
          <w:sz w:val="24"/>
          <w:szCs w:val="24"/>
        </w:rPr>
        <w:t>M</w:t>
      </w:r>
      <w:r>
        <w:rPr>
          <w:rFonts w:ascii="Book Antiqua" w:eastAsia="Calibri" w:hAnsi="Book Antiqua" w:cs="Arial"/>
          <w:sz w:val="24"/>
          <w:szCs w:val="24"/>
        </w:rPr>
        <w:t xml:space="preserve">agistrado y 2 </w:t>
      </w:r>
      <w:r w:rsidR="003F18BF">
        <w:rPr>
          <w:rFonts w:ascii="Book Antiqua" w:eastAsia="Calibri" w:hAnsi="Book Antiqua" w:cs="Arial"/>
          <w:sz w:val="24"/>
          <w:szCs w:val="24"/>
        </w:rPr>
        <w:t>C</w:t>
      </w:r>
      <w:r>
        <w:rPr>
          <w:rFonts w:ascii="Book Antiqua" w:eastAsia="Calibri" w:hAnsi="Book Antiqua" w:cs="Arial"/>
          <w:sz w:val="24"/>
          <w:szCs w:val="24"/>
        </w:rPr>
        <w:t xml:space="preserve">onserjes. </w:t>
      </w:r>
    </w:p>
    <w:p w14:paraId="448D5470" w14:textId="77777777" w:rsidR="0014496E" w:rsidRDefault="0014496E" w:rsidP="00340FF2">
      <w:pPr>
        <w:spacing w:after="0" w:line="276" w:lineRule="auto"/>
        <w:jc w:val="both"/>
        <w:rPr>
          <w:rFonts w:ascii="Book Antiqua" w:eastAsia="Calibri" w:hAnsi="Book Antiqua" w:cs="Arial"/>
          <w:sz w:val="24"/>
          <w:szCs w:val="24"/>
        </w:rPr>
      </w:pPr>
    </w:p>
    <w:p w14:paraId="405535FE" w14:textId="5412693B" w:rsidR="00340FF2" w:rsidRDefault="003D42D0" w:rsidP="00340FF2">
      <w:pPr>
        <w:spacing w:after="0" w:line="276" w:lineRule="auto"/>
        <w:jc w:val="both"/>
        <w:rPr>
          <w:rFonts w:ascii="Book Antiqua" w:eastAsia="Calibri" w:hAnsi="Book Antiqua" w:cs="Arial"/>
          <w:sz w:val="24"/>
          <w:szCs w:val="24"/>
        </w:rPr>
      </w:pPr>
      <w:r w:rsidRPr="003D42D0">
        <w:rPr>
          <w:rFonts w:ascii="Book Antiqua" w:eastAsia="Calibri" w:hAnsi="Book Antiqua" w:cs="Arial"/>
          <w:sz w:val="24"/>
          <w:szCs w:val="24"/>
        </w:rPr>
        <w:t xml:space="preserve">En cuanto a las </w:t>
      </w:r>
      <w:r w:rsidR="00340FF2" w:rsidRPr="003D42D0">
        <w:rPr>
          <w:rFonts w:ascii="Book Antiqua" w:eastAsia="Calibri" w:hAnsi="Book Antiqua" w:cs="Arial"/>
          <w:sz w:val="24"/>
          <w:szCs w:val="24"/>
        </w:rPr>
        <w:t xml:space="preserve">2 plazas de profesional en Derecho 3B, en préstamo del CACMFJ por acuerdo de Corte Plena en sesión </w:t>
      </w:r>
      <w:r w:rsidR="00340FF2">
        <w:rPr>
          <w:rFonts w:ascii="Book Antiqua" w:eastAsia="Calibri" w:hAnsi="Book Antiqua" w:cs="Arial"/>
          <w:sz w:val="24"/>
          <w:szCs w:val="24"/>
        </w:rPr>
        <w:t>28</w:t>
      </w:r>
      <w:r w:rsidR="00340FF2" w:rsidRPr="006175F7">
        <w:rPr>
          <w:rFonts w:ascii="Book Antiqua" w:eastAsia="Calibri" w:hAnsi="Book Antiqua" w:cs="Arial"/>
          <w:sz w:val="24"/>
          <w:szCs w:val="24"/>
        </w:rPr>
        <w:t xml:space="preserve">-2021 celebrada el 05 de julio de 2021, </w:t>
      </w:r>
      <w:r w:rsidR="00340FF2">
        <w:rPr>
          <w:rFonts w:ascii="Book Antiqua" w:eastAsia="Calibri" w:hAnsi="Book Antiqua" w:cs="Arial"/>
          <w:sz w:val="24"/>
          <w:szCs w:val="24"/>
        </w:rPr>
        <w:t>artículo</w:t>
      </w:r>
      <w:r w:rsidR="00340FF2" w:rsidRPr="006175F7">
        <w:rPr>
          <w:rFonts w:ascii="Book Antiqua" w:eastAsia="Calibri" w:hAnsi="Book Antiqua" w:cs="Arial"/>
          <w:sz w:val="24"/>
          <w:szCs w:val="24"/>
        </w:rPr>
        <w:t xml:space="preserve"> IV</w:t>
      </w:r>
      <w:r w:rsidR="00340FF2">
        <w:rPr>
          <w:rFonts w:ascii="Book Antiqua" w:eastAsia="Calibri" w:hAnsi="Book Antiqua" w:cs="Arial"/>
          <w:sz w:val="24"/>
          <w:szCs w:val="24"/>
        </w:rPr>
        <w:t>, al aprobar el plan de trabajo propuesto en el oficio de la Dirección de Planificación 673-PLA-MI-2021</w:t>
      </w:r>
      <w:r w:rsidR="008B1A2D">
        <w:rPr>
          <w:rFonts w:ascii="Book Antiqua" w:eastAsia="Calibri" w:hAnsi="Book Antiqua" w:cs="Arial"/>
          <w:sz w:val="24"/>
          <w:szCs w:val="24"/>
        </w:rPr>
        <w:t>,</w:t>
      </w:r>
      <w:r w:rsidR="00340FF2">
        <w:rPr>
          <w:rFonts w:ascii="Book Antiqua" w:eastAsia="Calibri" w:hAnsi="Book Antiqua" w:cs="Arial"/>
          <w:sz w:val="24"/>
          <w:szCs w:val="24"/>
        </w:rPr>
        <w:t xml:space="preserve"> </w:t>
      </w:r>
      <w:r w:rsidR="00340FF2" w:rsidRPr="008B1A2D">
        <w:rPr>
          <w:rFonts w:ascii="Book Antiqua" w:eastAsia="Calibri" w:hAnsi="Book Antiqua" w:cs="Arial"/>
          <w:b/>
          <w:bCs/>
          <w:sz w:val="24"/>
          <w:szCs w:val="24"/>
        </w:rPr>
        <w:t>se manten</w:t>
      </w:r>
      <w:r w:rsidR="008B1A2D" w:rsidRPr="008B1A2D">
        <w:rPr>
          <w:rFonts w:ascii="Book Antiqua" w:eastAsia="Calibri" w:hAnsi="Book Antiqua" w:cs="Arial"/>
          <w:b/>
          <w:bCs/>
          <w:sz w:val="24"/>
          <w:szCs w:val="24"/>
        </w:rPr>
        <w:t>ía</w:t>
      </w:r>
      <w:r w:rsidR="00340FF2" w:rsidRPr="008B1A2D">
        <w:rPr>
          <w:rFonts w:ascii="Book Antiqua" w:eastAsia="Calibri" w:hAnsi="Book Antiqua" w:cs="Arial"/>
          <w:b/>
          <w:bCs/>
          <w:sz w:val="24"/>
          <w:szCs w:val="24"/>
        </w:rPr>
        <w:t xml:space="preserve"> en esa sala desde setiembre 2020</w:t>
      </w:r>
      <w:r w:rsidRPr="008B1A2D">
        <w:rPr>
          <w:rFonts w:ascii="Book Antiqua" w:eastAsia="Calibri" w:hAnsi="Book Antiqua" w:cs="Arial"/>
          <w:b/>
          <w:bCs/>
          <w:sz w:val="24"/>
          <w:szCs w:val="24"/>
        </w:rPr>
        <w:t xml:space="preserve"> hasta</w:t>
      </w:r>
      <w:r w:rsidRPr="003D42D0">
        <w:rPr>
          <w:rFonts w:ascii="Book Antiqua" w:eastAsia="Calibri" w:hAnsi="Book Antiqua" w:cs="Arial"/>
          <w:sz w:val="24"/>
          <w:szCs w:val="24"/>
        </w:rPr>
        <w:t xml:space="preserve"> </w:t>
      </w:r>
      <w:r w:rsidRPr="003D42D0">
        <w:rPr>
          <w:rFonts w:ascii="Book Antiqua" w:eastAsia="Calibri" w:hAnsi="Book Antiqua" w:cs="Arial"/>
          <w:b/>
          <w:bCs/>
          <w:sz w:val="24"/>
          <w:szCs w:val="24"/>
          <w:u w:val="single"/>
        </w:rPr>
        <w:t xml:space="preserve">el 30 de junio de 2022, </w:t>
      </w:r>
      <w:r w:rsidR="008B1A2D">
        <w:rPr>
          <w:rFonts w:ascii="Book Antiqua" w:eastAsia="Calibri" w:hAnsi="Book Antiqua" w:cs="Arial"/>
          <w:b/>
          <w:bCs/>
          <w:sz w:val="24"/>
          <w:szCs w:val="24"/>
          <w:u w:val="single"/>
        </w:rPr>
        <w:t xml:space="preserve">sin embargo </w:t>
      </w:r>
      <w:r>
        <w:rPr>
          <w:rFonts w:ascii="Book Antiqua" w:eastAsia="Calibri" w:hAnsi="Book Antiqua" w:cs="Arial"/>
          <w:b/>
          <w:bCs/>
          <w:sz w:val="24"/>
          <w:szCs w:val="24"/>
          <w:u w:val="single"/>
        </w:rPr>
        <w:t>a partir de julio de 2022, dispone de las plazas 102115 y 92367 de Profesional en Derecho 3B, por acuerdo del Consejo Superior en sesión 57-22 del 7 de julio 2022, artículo LXIV</w:t>
      </w:r>
      <w:r w:rsidR="00340FF2">
        <w:rPr>
          <w:rFonts w:ascii="Book Antiqua" w:eastAsia="Calibri" w:hAnsi="Book Antiqua" w:cs="Arial"/>
          <w:sz w:val="24"/>
          <w:szCs w:val="24"/>
        </w:rPr>
        <w:t xml:space="preserve">. </w:t>
      </w:r>
    </w:p>
    <w:p w14:paraId="18B874FC" w14:textId="776C9F37" w:rsidR="003D42D0" w:rsidRDefault="003D42D0" w:rsidP="00340FF2">
      <w:pPr>
        <w:spacing w:after="0" w:line="276" w:lineRule="auto"/>
        <w:jc w:val="both"/>
        <w:rPr>
          <w:rFonts w:ascii="Book Antiqua" w:eastAsia="Calibri" w:hAnsi="Book Antiqua" w:cs="Arial"/>
          <w:sz w:val="24"/>
          <w:szCs w:val="24"/>
        </w:rPr>
      </w:pPr>
    </w:p>
    <w:p w14:paraId="1D24FF9D" w14:textId="09EB529D" w:rsidR="003D42D0" w:rsidRPr="003D42D0" w:rsidRDefault="00CF4F4F" w:rsidP="00CF4F4F">
      <w:pPr>
        <w:spacing w:after="0" w:line="276" w:lineRule="auto"/>
        <w:ind w:left="567" w:right="567"/>
        <w:jc w:val="both"/>
        <w:rPr>
          <w:rFonts w:ascii="Book Antiqua" w:eastAsia="Calibri" w:hAnsi="Book Antiqua" w:cs="Arial"/>
          <w:i/>
          <w:iCs/>
          <w:sz w:val="24"/>
          <w:szCs w:val="24"/>
        </w:rPr>
      </w:pPr>
      <w:r>
        <w:rPr>
          <w:rFonts w:ascii="Book Antiqua" w:eastAsia="Calibri" w:hAnsi="Book Antiqua" w:cs="Arial"/>
          <w:i/>
          <w:iCs/>
          <w:sz w:val="24"/>
          <w:szCs w:val="24"/>
        </w:rPr>
        <w:t>“</w:t>
      </w:r>
      <w:r w:rsidR="003D42D0" w:rsidRPr="003D42D0">
        <w:rPr>
          <w:rFonts w:ascii="Book Antiqua" w:eastAsia="Calibri" w:hAnsi="Book Antiqua" w:cs="Arial"/>
          <w:i/>
          <w:iCs/>
          <w:sz w:val="24"/>
          <w:szCs w:val="24"/>
        </w:rPr>
        <w:t>Se acordó:1.) Tener por recibido el acuerdo tomado por la Corte Plena en sesión N° 30-2022 celebrada el 13 de junio de 2022, artículo X, relativo al seguimiento al plan de trabajo en Sala Primera y la solicitud de prórroga para mantenerlo por doce meses más, así como la asignación definitiva de las plazas para completar la estructura de la Sala Segunda. 2.) Avalar que se mantengan las cuotas de trabajo conforme se han venido prorrogando según el detalle mostrado en el informe técnico N° 482-PLA-MI-2022 del 1 de junio de 2022, suscrito por la licenciada Nacira Valverde Bermúdez, Directora de Planificación, asimismo, en cuanto a la plaza 379588 la cual se mantiene reasignada como Profesional en Derecho 3B, colaborando en la Sala Primera en admisibilidad con una cuota mínima de 28 expedientes con proyecto mensuales, con la salvedad de que si un expediente tiene 2 recursos y se deben resolver con un proyecto independiente, solo se contabiliza como 1 en la cuota mensual. La Dirección de Planificación y el Centro de Apoyo Coordinación y Mejoramiento de la Función Jurisdiccional tomarán nota para lo que corresponda</w:t>
      </w:r>
      <w:r>
        <w:rPr>
          <w:rFonts w:ascii="Book Antiqua" w:eastAsia="Calibri" w:hAnsi="Book Antiqua" w:cs="Arial"/>
          <w:i/>
          <w:iCs/>
          <w:sz w:val="24"/>
          <w:szCs w:val="24"/>
        </w:rPr>
        <w:t>.</w:t>
      </w:r>
      <w:r w:rsidR="003D42D0" w:rsidRPr="003D42D0">
        <w:rPr>
          <w:rFonts w:ascii="Book Antiqua" w:eastAsia="Calibri" w:hAnsi="Book Antiqua" w:cs="Arial"/>
          <w:i/>
          <w:iCs/>
          <w:sz w:val="24"/>
          <w:szCs w:val="24"/>
        </w:rPr>
        <w:t>”</w:t>
      </w:r>
    </w:p>
    <w:p w14:paraId="20051623" w14:textId="77777777" w:rsidR="00340FF2" w:rsidRDefault="00340FF2" w:rsidP="00340FF2">
      <w:pPr>
        <w:spacing w:after="0" w:line="276" w:lineRule="auto"/>
        <w:jc w:val="both"/>
        <w:rPr>
          <w:rFonts w:ascii="Book Antiqua" w:eastAsia="Calibri" w:hAnsi="Book Antiqua" w:cs="Arial"/>
          <w:sz w:val="24"/>
          <w:szCs w:val="24"/>
        </w:rPr>
      </w:pPr>
    </w:p>
    <w:p w14:paraId="7E2EED6A" w14:textId="09167F94"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00CF4F4F">
        <w:rPr>
          <w:rFonts w:ascii="Book Antiqua" w:eastAsia="Calibri" w:hAnsi="Book Antiqua" w:cs="Arial"/>
          <w:sz w:val="24"/>
          <w:szCs w:val="24"/>
        </w:rPr>
        <w:t>2</w:t>
      </w:r>
      <w:r>
        <w:rPr>
          <w:rFonts w:ascii="Book Antiqua" w:eastAsia="Calibri" w:hAnsi="Book Antiqua" w:cs="Arial"/>
          <w:sz w:val="24"/>
          <w:szCs w:val="24"/>
        </w:rPr>
        <w:t>1 letrados están distribuidos así:</w:t>
      </w:r>
    </w:p>
    <w:p w14:paraId="6956FE41" w14:textId="431C17F9" w:rsidR="00340FF2" w:rsidRPr="001D0C10" w:rsidRDefault="00340FF2">
      <w:pPr>
        <w:pStyle w:val="Prrafodelista"/>
        <w:numPr>
          <w:ilvl w:val="0"/>
          <w:numId w:val="33"/>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4 letrados de apoyo </w:t>
      </w:r>
      <w:r w:rsidR="00CF4F4F">
        <w:rPr>
          <w:rFonts w:ascii="Book Antiqua" w:eastAsia="Calibri" w:hAnsi="Book Antiqua" w:cs="Arial"/>
          <w:sz w:val="24"/>
          <w:szCs w:val="24"/>
        </w:rPr>
        <w:t>para los 5</w:t>
      </w:r>
      <w:r>
        <w:rPr>
          <w:rFonts w:ascii="Book Antiqua" w:eastAsia="Calibri" w:hAnsi="Book Antiqua" w:cs="Arial"/>
          <w:sz w:val="24"/>
          <w:szCs w:val="24"/>
        </w:rPr>
        <w:t xml:space="preserve"> puestos de Magistrado</w:t>
      </w:r>
      <w:r w:rsidRPr="001D0C10">
        <w:rPr>
          <w:rFonts w:ascii="Book Antiqua" w:eastAsia="Calibri" w:hAnsi="Book Antiqua" w:cs="Arial"/>
          <w:sz w:val="24"/>
          <w:szCs w:val="24"/>
        </w:rPr>
        <w:t>.</w:t>
      </w:r>
    </w:p>
    <w:p w14:paraId="431C7CED" w14:textId="77777777" w:rsidR="00340FF2" w:rsidRPr="001D0C10" w:rsidRDefault="00340FF2">
      <w:pPr>
        <w:pStyle w:val="Prrafodelista"/>
        <w:numPr>
          <w:ilvl w:val="0"/>
          <w:numId w:val="33"/>
        </w:numPr>
        <w:spacing w:after="0" w:line="276" w:lineRule="auto"/>
        <w:jc w:val="both"/>
        <w:rPr>
          <w:rFonts w:ascii="Book Antiqua" w:eastAsia="Calibri" w:hAnsi="Book Antiqua" w:cs="Arial"/>
          <w:sz w:val="20"/>
          <w:szCs w:val="20"/>
        </w:rPr>
      </w:pPr>
      <w:r>
        <w:rPr>
          <w:rFonts w:ascii="Book Antiqua" w:eastAsia="Calibri" w:hAnsi="Book Antiqua" w:cs="Arial"/>
          <w:sz w:val="24"/>
          <w:szCs w:val="24"/>
        </w:rPr>
        <w:t xml:space="preserve">1 letrado Centro de Jurisprudencia. </w:t>
      </w:r>
    </w:p>
    <w:p w14:paraId="36F166F1" w14:textId="77777777" w:rsidR="00340FF2" w:rsidRDefault="00340FF2" w:rsidP="00340FF2">
      <w:pPr>
        <w:spacing w:after="0" w:line="276" w:lineRule="auto"/>
        <w:jc w:val="both"/>
        <w:rPr>
          <w:rFonts w:ascii="Book Antiqua" w:eastAsia="Calibri" w:hAnsi="Book Antiqua" w:cs="Arial"/>
          <w:i/>
          <w:iCs/>
          <w:sz w:val="20"/>
          <w:szCs w:val="20"/>
        </w:rPr>
      </w:pPr>
    </w:p>
    <w:p w14:paraId="6606F308" w14:textId="7D5669F5"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Cabe mencionar que desde el 2018, a partir de la distribución de competencia en los asuntos de exequatur y cartas rogatorias</w:t>
      </w:r>
      <w:r w:rsidR="0014496E">
        <w:rPr>
          <w:rFonts w:ascii="Book Antiqua" w:eastAsia="Calibri" w:hAnsi="Book Antiqua" w:cs="Arial"/>
          <w:sz w:val="24"/>
          <w:szCs w:val="24"/>
        </w:rPr>
        <w:t xml:space="preserve"> (auxilio internacional)</w:t>
      </w:r>
      <w:r w:rsidRPr="001D0C10">
        <w:rPr>
          <w:rFonts w:ascii="Book Antiqua" w:eastAsia="Calibri" w:hAnsi="Book Antiqua" w:cs="Arial"/>
          <w:sz w:val="24"/>
          <w:szCs w:val="24"/>
        </w:rPr>
        <w:t>, a la Sala Primera se le otorg</w:t>
      </w:r>
      <w:r>
        <w:rPr>
          <w:rFonts w:ascii="Book Antiqua" w:eastAsia="Calibri" w:hAnsi="Book Antiqua" w:cs="Arial"/>
          <w:sz w:val="24"/>
          <w:szCs w:val="24"/>
        </w:rPr>
        <w:t>ó</w:t>
      </w:r>
      <w:r w:rsidRPr="001D0C10">
        <w:rPr>
          <w:rFonts w:ascii="Book Antiqua" w:eastAsia="Calibri" w:hAnsi="Book Antiqua" w:cs="Arial"/>
          <w:sz w:val="24"/>
          <w:szCs w:val="24"/>
        </w:rPr>
        <w:t xml:space="preserve"> un recurso de Profesional en Derecho 3 B para finalizar el circulante que mantenía en esos asuntos en todas las materias (96% asuntos de Familia). </w:t>
      </w:r>
    </w:p>
    <w:p w14:paraId="772BE160" w14:textId="77777777" w:rsidR="0014496E" w:rsidRDefault="0014496E" w:rsidP="00340FF2">
      <w:pPr>
        <w:spacing w:after="0" w:line="276" w:lineRule="auto"/>
        <w:jc w:val="both"/>
        <w:rPr>
          <w:rFonts w:ascii="Book Antiqua" w:eastAsia="Calibri" w:hAnsi="Book Antiqua" w:cs="Arial"/>
          <w:sz w:val="24"/>
          <w:szCs w:val="24"/>
        </w:rPr>
      </w:pPr>
    </w:p>
    <w:p w14:paraId="33A65EB0" w14:textId="664F9B5B" w:rsidR="00340FF2" w:rsidRPr="001D0C10" w:rsidRDefault="00221B46" w:rsidP="00340FF2">
      <w:pPr>
        <w:spacing w:after="0" w:line="276" w:lineRule="auto"/>
        <w:jc w:val="both"/>
        <w:rPr>
          <w:rFonts w:ascii="Book Antiqua" w:eastAsia="Calibri" w:hAnsi="Book Antiqua" w:cs="Arial"/>
          <w:sz w:val="24"/>
          <w:szCs w:val="24"/>
        </w:rPr>
      </w:pPr>
      <w:r w:rsidRPr="00C875AD">
        <w:rPr>
          <w:rFonts w:ascii="Book Antiqua" w:eastAsia="Calibri" w:hAnsi="Book Antiqua" w:cs="Arial"/>
          <w:sz w:val="24"/>
          <w:szCs w:val="24"/>
        </w:rPr>
        <w:t>Los asuntos nuevos a partir del 8 de octubre de 2018 correspondían</w:t>
      </w:r>
      <w:r w:rsidR="00340FF2" w:rsidRPr="001D0C10">
        <w:rPr>
          <w:rFonts w:ascii="Book Antiqua" w:eastAsia="Calibri" w:hAnsi="Book Antiqua" w:cs="Arial"/>
          <w:sz w:val="24"/>
          <w:szCs w:val="24"/>
        </w:rPr>
        <w:t xml:space="preserve"> que ingresaran a cada Sala. Sin embargo, en </w:t>
      </w:r>
      <w:r w:rsidR="00340FF2">
        <w:rPr>
          <w:rFonts w:ascii="Book Antiqua" w:eastAsia="Calibri" w:hAnsi="Book Antiqua" w:cs="Arial"/>
          <w:sz w:val="24"/>
          <w:szCs w:val="24"/>
        </w:rPr>
        <w:t xml:space="preserve">agosto 2021, un total de </w:t>
      </w:r>
      <w:r w:rsidR="00340FF2" w:rsidRPr="001D0C10">
        <w:rPr>
          <w:rFonts w:ascii="Book Antiqua" w:eastAsia="Calibri" w:hAnsi="Book Antiqua" w:cs="Arial"/>
          <w:sz w:val="24"/>
          <w:szCs w:val="24"/>
        </w:rPr>
        <w:t>1</w:t>
      </w:r>
      <w:r w:rsidR="00340FF2">
        <w:rPr>
          <w:rFonts w:ascii="Book Antiqua" w:eastAsia="Calibri" w:hAnsi="Book Antiqua" w:cs="Arial"/>
          <w:sz w:val="24"/>
          <w:szCs w:val="24"/>
        </w:rPr>
        <w:t>36</w:t>
      </w:r>
      <w:r w:rsidR="00340FF2">
        <w:rPr>
          <w:rStyle w:val="Refdenotaalpie"/>
          <w:rFonts w:ascii="Book Antiqua" w:eastAsia="Calibri" w:hAnsi="Book Antiqua" w:cs="Arial"/>
          <w:sz w:val="24"/>
          <w:szCs w:val="24"/>
        </w:rPr>
        <w:footnoteReference w:id="17"/>
      </w:r>
      <w:r w:rsidR="00340FF2" w:rsidRPr="001D0C10">
        <w:rPr>
          <w:rFonts w:ascii="Book Antiqua" w:eastAsia="Calibri" w:hAnsi="Book Antiqua" w:cs="Arial"/>
          <w:sz w:val="24"/>
          <w:szCs w:val="24"/>
        </w:rPr>
        <w:t xml:space="preserve"> asuntos de auxilio internacional en circulante en la Sala Primera fueron </w:t>
      </w:r>
      <w:r w:rsidR="00340FF2" w:rsidRPr="00C875AD">
        <w:rPr>
          <w:rFonts w:ascii="Book Antiqua" w:eastAsia="Calibri" w:hAnsi="Book Antiqua" w:cs="Arial"/>
          <w:sz w:val="24"/>
          <w:szCs w:val="24"/>
        </w:rPr>
        <w:t>remitido</w:t>
      </w:r>
      <w:r w:rsidR="00340FF2">
        <w:rPr>
          <w:rFonts w:ascii="Book Antiqua" w:eastAsia="Calibri" w:hAnsi="Book Antiqua" w:cs="Arial"/>
          <w:sz w:val="24"/>
          <w:szCs w:val="24"/>
        </w:rPr>
        <w:t>s</w:t>
      </w:r>
      <w:r w:rsidR="00340FF2" w:rsidRPr="00C875AD">
        <w:rPr>
          <w:rFonts w:ascii="Book Antiqua" w:eastAsia="Calibri" w:hAnsi="Book Antiqua" w:cs="Arial"/>
          <w:sz w:val="24"/>
          <w:szCs w:val="24"/>
        </w:rPr>
        <w:t xml:space="preserve"> a</w:t>
      </w:r>
      <w:r w:rsidR="00340FF2" w:rsidRPr="001D0C10">
        <w:rPr>
          <w:rFonts w:ascii="Book Antiqua" w:eastAsia="Calibri" w:hAnsi="Book Antiqua" w:cs="Arial"/>
          <w:sz w:val="24"/>
          <w:szCs w:val="24"/>
        </w:rPr>
        <w:t xml:space="preserve"> la Sala Segund</w:t>
      </w:r>
      <w:r w:rsidR="00340FF2">
        <w:rPr>
          <w:rFonts w:ascii="Book Antiqua" w:eastAsia="Calibri" w:hAnsi="Book Antiqua" w:cs="Arial"/>
          <w:sz w:val="24"/>
          <w:szCs w:val="24"/>
        </w:rPr>
        <w:t>a</w:t>
      </w:r>
      <w:r w:rsidR="00340FF2" w:rsidRPr="001D0C10">
        <w:rPr>
          <w:rFonts w:ascii="Book Antiqua" w:eastAsia="Calibri" w:hAnsi="Book Antiqua" w:cs="Arial"/>
          <w:sz w:val="24"/>
          <w:szCs w:val="24"/>
        </w:rPr>
        <w:t xml:space="preserve">, al declarar </w:t>
      </w:r>
      <w:r w:rsidR="00340FF2" w:rsidRPr="00C875AD">
        <w:rPr>
          <w:rFonts w:ascii="Book Antiqua" w:eastAsia="Calibri" w:hAnsi="Book Antiqua" w:cs="Arial"/>
          <w:sz w:val="24"/>
          <w:szCs w:val="24"/>
        </w:rPr>
        <w:t>inconstitucional</w:t>
      </w:r>
      <w:r w:rsidR="00340FF2" w:rsidRPr="001D0C10">
        <w:rPr>
          <w:rFonts w:ascii="Book Antiqua" w:eastAsia="Calibri" w:hAnsi="Book Antiqua" w:cs="Arial"/>
          <w:sz w:val="24"/>
          <w:szCs w:val="24"/>
        </w:rPr>
        <w:t xml:space="preserve"> la medida a nivel administrativo de 2018 de mantener en esa Sala los asuntos que ya existían en circulante</w:t>
      </w:r>
      <w:r w:rsidR="00340FF2">
        <w:rPr>
          <w:rFonts w:ascii="Book Antiqua" w:eastAsia="Calibri" w:hAnsi="Book Antiqua" w:cs="Arial"/>
          <w:sz w:val="24"/>
          <w:szCs w:val="24"/>
        </w:rPr>
        <w:t xml:space="preserve"> (cabe mencionar que la Sala Segunda se denominan de cooperación internacional, y al no tener estadísticamente un procedimiento exequatur los incluyeron como “</w:t>
      </w:r>
      <w:r w:rsidR="00340FF2" w:rsidRPr="000034BF">
        <w:rPr>
          <w:rFonts w:ascii="Book Antiqua" w:eastAsia="Calibri" w:hAnsi="Book Antiqua" w:cs="Arial"/>
          <w:i/>
          <w:iCs/>
          <w:sz w:val="24"/>
          <w:szCs w:val="24"/>
        </w:rPr>
        <w:t>casaciones</w:t>
      </w:r>
      <w:r w:rsidR="00340FF2">
        <w:rPr>
          <w:rFonts w:ascii="Book Antiqua" w:eastAsia="Calibri" w:hAnsi="Book Antiqua" w:cs="Arial"/>
          <w:sz w:val="24"/>
          <w:szCs w:val="24"/>
        </w:rPr>
        <w:t>”)</w:t>
      </w:r>
      <w:r w:rsidR="00340FF2" w:rsidRPr="001D0C10">
        <w:rPr>
          <w:rFonts w:ascii="Book Antiqua" w:eastAsia="Calibri" w:hAnsi="Book Antiqua" w:cs="Arial"/>
          <w:sz w:val="24"/>
          <w:szCs w:val="24"/>
        </w:rPr>
        <w:t xml:space="preserve">. Voto 90089-2021 de la Sala Constitucional del 5 de mayo de 2021. </w:t>
      </w:r>
    </w:p>
    <w:p w14:paraId="1F627D20" w14:textId="77777777" w:rsidR="008B1A2D" w:rsidRDefault="008B1A2D" w:rsidP="00340FF2">
      <w:pPr>
        <w:spacing w:after="0" w:line="276" w:lineRule="auto"/>
        <w:jc w:val="both"/>
        <w:rPr>
          <w:rFonts w:ascii="Book Antiqua" w:eastAsia="Calibri" w:hAnsi="Book Antiqua" w:cs="Arial"/>
          <w:sz w:val="24"/>
          <w:szCs w:val="24"/>
        </w:rPr>
      </w:pPr>
    </w:p>
    <w:p w14:paraId="25CCD3F0" w14:textId="4104D69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w:t>
      </w:r>
      <w:r w:rsidRPr="001D0C10">
        <w:rPr>
          <w:rFonts w:ascii="Book Antiqua" w:eastAsia="Calibri" w:hAnsi="Book Antiqua" w:cs="Arial"/>
          <w:b/>
          <w:bCs/>
          <w:sz w:val="24"/>
          <w:szCs w:val="24"/>
        </w:rPr>
        <w:t>Carga de trabajo proyectada 202</w:t>
      </w:r>
      <w:r w:rsidR="001E70CD">
        <w:rPr>
          <w:rFonts w:ascii="Book Antiqua" w:eastAsia="Calibri" w:hAnsi="Book Antiqua" w:cs="Arial"/>
          <w:b/>
          <w:bCs/>
          <w:sz w:val="24"/>
          <w:szCs w:val="24"/>
        </w:rPr>
        <w:t>3</w:t>
      </w:r>
      <w:r w:rsidRPr="001D0C10">
        <w:rPr>
          <w:rFonts w:ascii="Book Antiqua" w:eastAsia="Calibri" w:hAnsi="Book Antiqua" w:cs="Arial"/>
          <w:b/>
          <w:bCs/>
          <w:sz w:val="24"/>
          <w:szCs w:val="24"/>
        </w:rPr>
        <w:t>:</w:t>
      </w:r>
      <w:r>
        <w:rPr>
          <w:rFonts w:ascii="Book Antiqua" w:eastAsia="Calibri" w:hAnsi="Book Antiqua" w:cs="Arial"/>
          <w:sz w:val="24"/>
          <w:szCs w:val="24"/>
        </w:rPr>
        <w:t xml:space="preserve"> </w:t>
      </w:r>
    </w:p>
    <w:p w14:paraId="3E681E92" w14:textId="77777777" w:rsidR="00292F21" w:rsidRDefault="00292F21" w:rsidP="00340FF2">
      <w:pPr>
        <w:spacing w:after="0" w:line="276" w:lineRule="auto"/>
        <w:jc w:val="both"/>
        <w:rPr>
          <w:rFonts w:ascii="Book Antiqua" w:eastAsia="Calibri" w:hAnsi="Book Antiqua" w:cs="Arial"/>
          <w:sz w:val="24"/>
          <w:szCs w:val="24"/>
        </w:rPr>
      </w:pPr>
    </w:p>
    <w:p w14:paraId="3DEB5A81" w14:textId="2C09C29D" w:rsidR="00340FF2" w:rsidRDefault="00340FF2" w:rsidP="00340FF2">
      <w:pPr>
        <w:spacing w:after="0" w:line="276" w:lineRule="auto"/>
        <w:jc w:val="both"/>
        <w:rPr>
          <w:rFonts w:ascii="Book Antiqua" w:eastAsia="Calibri" w:hAnsi="Book Antiqua" w:cs="Arial"/>
          <w:sz w:val="24"/>
          <w:szCs w:val="24"/>
        </w:rPr>
      </w:pPr>
      <w:r w:rsidRPr="00DB2BA3">
        <w:rPr>
          <w:rFonts w:ascii="Book Antiqua" w:eastAsia="Calibri" w:hAnsi="Book Antiqua" w:cs="Arial"/>
          <w:sz w:val="24"/>
          <w:szCs w:val="24"/>
        </w:rPr>
        <w:t xml:space="preserve">Asumiendo que la entrada se incremente en </w:t>
      </w:r>
      <w:r w:rsidR="001E70CD">
        <w:rPr>
          <w:rFonts w:ascii="Book Antiqua" w:eastAsia="Calibri" w:hAnsi="Book Antiqua" w:cs="Arial"/>
          <w:sz w:val="24"/>
          <w:szCs w:val="24"/>
        </w:rPr>
        <w:t>84</w:t>
      </w:r>
      <w:r w:rsidRPr="00DB2BA3">
        <w:rPr>
          <w:rFonts w:ascii="Book Antiqua" w:eastAsia="Calibri" w:hAnsi="Book Antiqua" w:cs="Arial"/>
          <w:sz w:val="24"/>
          <w:szCs w:val="24"/>
        </w:rPr>
        <w:t xml:space="preserve"> casos conforme a la proyección en párrafos anteriores y que el circulante presente el mismo aumento este año del que hubo de 202</w:t>
      </w:r>
      <w:r w:rsidR="00DB2BA3" w:rsidRPr="00DB2BA3">
        <w:rPr>
          <w:rFonts w:ascii="Book Antiqua" w:eastAsia="Calibri" w:hAnsi="Book Antiqua" w:cs="Arial"/>
          <w:sz w:val="24"/>
          <w:szCs w:val="24"/>
        </w:rPr>
        <w:t>1</w:t>
      </w:r>
      <w:r w:rsidRPr="00DB2BA3">
        <w:rPr>
          <w:rFonts w:ascii="Book Antiqua" w:eastAsia="Calibri" w:hAnsi="Book Antiqua" w:cs="Arial"/>
          <w:sz w:val="24"/>
          <w:szCs w:val="24"/>
        </w:rPr>
        <w:t xml:space="preserve"> a 202</w:t>
      </w:r>
      <w:r w:rsidR="008B1A2D" w:rsidRPr="00DB2BA3">
        <w:rPr>
          <w:rFonts w:ascii="Book Antiqua" w:eastAsia="Calibri" w:hAnsi="Book Antiqua" w:cs="Arial"/>
          <w:sz w:val="24"/>
          <w:szCs w:val="24"/>
        </w:rPr>
        <w:t>2</w:t>
      </w:r>
      <w:r w:rsidRPr="00DB2BA3">
        <w:rPr>
          <w:rFonts w:ascii="Book Antiqua" w:eastAsia="Calibri" w:hAnsi="Book Antiqua" w:cs="Arial"/>
          <w:sz w:val="24"/>
          <w:szCs w:val="24"/>
        </w:rPr>
        <w:t xml:space="preserve">, la entrada sería de aproximadamente </w:t>
      </w:r>
      <w:r w:rsidR="00DB2BA3" w:rsidRPr="00DB2BA3">
        <w:rPr>
          <w:rFonts w:ascii="Book Antiqua" w:eastAsia="Calibri" w:hAnsi="Book Antiqua" w:cs="Arial"/>
          <w:sz w:val="24"/>
          <w:szCs w:val="24"/>
        </w:rPr>
        <w:t>2 9</w:t>
      </w:r>
      <w:r w:rsidR="001E70CD">
        <w:rPr>
          <w:rFonts w:ascii="Book Antiqua" w:eastAsia="Calibri" w:hAnsi="Book Antiqua" w:cs="Arial"/>
          <w:sz w:val="24"/>
          <w:szCs w:val="24"/>
        </w:rPr>
        <w:t>0</w:t>
      </w:r>
      <w:r w:rsidR="00DB2BA3" w:rsidRPr="00DB2BA3">
        <w:rPr>
          <w:rFonts w:ascii="Book Antiqua" w:eastAsia="Calibri" w:hAnsi="Book Antiqua" w:cs="Arial"/>
          <w:sz w:val="24"/>
          <w:szCs w:val="24"/>
        </w:rPr>
        <w:t>1</w:t>
      </w:r>
      <w:r w:rsidRPr="00DB2BA3">
        <w:rPr>
          <w:rFonts w:ascii="Book Antiqua" w:eastAsia="Calibri" w:hAnsi="Book Antiqua" w:cs="Arial"/>
          <w:sz w:val="24"/>
          <w:szCs w:val="24"/>
        </w:rPr>
        <w:t xml:space="preserve"> asuntos y el circulante de </w:t>
      </w:r>
      <w:r w:rsidR="00DB2BA3" w:rsidRPr="00DB2BA3">
        <w:rPr>
          <w:rFonts w:ascii="Book Antiqua" w:eastAsia="Calibri" w:hAnsi="Book Antiqua" w:cs="Arial"/>
          <w:sz w:val="24"/>
          <w:szCs w:val="24"/>
        </w:rPr>
        <w:t>4 2</w:t>
      </w:r>
      <w:r w:rsidRPr="00DB2BA3">
        <w:rPr>
          <w:rFonts w:ascii="Book Antiqua" w:eastAsia="Calibri" w:hAnsi="Book Antiqua" w:cs="Arial"/>
          <w:sz w:val="24"/>
          <w:szCs w:val="24"/>
        </w:rPr>
        <w:t>8</w:t>
      </w:r>
      <w:r w:rsidR="00DB2BA3" w:rsidRPr="00DB2BA3">
        <w:rPr>
          <w:rFonts w:ascii="Book Antiqua" w:eastAsia="Calibri" w:hAnsi="Book Antiqua" w:cs="Arial"/>
          <w:sz w:val="24"/>
          <w:szCs w:val="24"/>
        </w:rPr>
        <w:t>8</w:t>
      </w:r>
      <w:r w:rsidRPr="00DB2BA3">
        <w:rPr>
          <w:rFonts w:ascii="Book Antiqua" w:eastAsia="Calibri" w:hAnsi="Book Antiqua" w:cs="Arial"/>
          <w:sz w:val="24"/>
          <w:szCs w:val="24"/>
        </w:rPr>
        <w:t>.</w:t>
      </w:r>
      <w:r>
        <w:rPr>
          <w:rFonts w:ascii="Book Antiqua" w:eastAsia="Calibri" w:hAnsi="Book Antiqua" w:cs="Arial"/>
          <w:sz w:val="24"/>
          <w:szCs w:val="24"/>
        </w:rPr>
        <w:t xml:space="preserve"> </w:t>
      </w:r>
    </w:p>
    <w:p w14:paraId="432CFC73" w14:textId="37C728B6"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considerando además que para ese circulante de exequatur, se disponía en Sala Primera de 1 recurso de </w:t>
      </w:r>
      <w:r w:rsidR="0014496E">
        <w:rPr>
          <w:rFonts w:ascii="Book Antiqua" w:eastAsia="Calibri" w:hAnsi="Book Antiqua" w:cs="Arial"/>
          <w:sz w:val="24"/>
          <w:szCs w:val="24"/>
        </w:rPr>
        <w:t xml:space="preserve">plaza de </w:t>
      </w:r>
      <w:r>
        <w:rPr>
          <w:rFonts w:ascii="Book Antiqua" w:eastAsia="Calibri" w:hAnsi="Book Antiqua" w:cs="Arial"/>
          <w:sz w:val="24"/>
          <w:szCs w:val="24"/>
        </w:rPr>
        <w:t>Letrado</w:t>
      </w:r>
      <w:r w:rsidR="0014496E">
        <w:rPr>
          <w:rFonts w:ascii="Book Antiqua" w:eastAsia="Calibri" w:hAnsi="Book Antiqua" w:cs="Arial"/>
          <w:sz w:val="24"/>
          <w:szCs w:val="24"/>
        </w:rPr>
        <w:t xml:space="preserve"> y una plaza de Técnico Judicial</w:t>
      </w:r>
      <w:r>
        <w:rPr>
          <w:rFonts w:ascii="Book Antiqua" w:eastAsia="Calibri" w:hAnsi="Book Antiqua" w:cs="Arial"/>
          <w:sz w:val="24"/>
          <w:szCs w:val="24"/>
        </w:rPr>
        <w:t xml:space="preserve">, entonces debería contar la Sala Segunda también con este recurso. Siendo necesaria la incorporación de </w:t>
      </w:r>
      <w:r w:rsidR="0014496E">
        <w:rPr>
          <w:rFonts w:ascii="Book Antiqua" w:eastAsia="Calibri" w:hAnsi="Book Antiqua" w:cs="Arial"/>
          <w:sz w:val="24"/>
          <w:szCs w:val="24"/>
        </w:rPr>
        <w:t xml:space="preserve">esos dos </w:t>
      </w:r>
      <w:r>
        <w:rPr>
          <w:rFonts w:ascii="Book Antiqua" w:eastAsia="Calibri" w:hAnsi="Book Antiqua" w:cs="Arial"/>
          <w:sz w:val="24"/>
          <w:szCs w:val="24"/>
        </w:rPr>
        <w:t>recurso</w:t>
      </w:r>
      <w:r w:rsidR="0014496E">
        <w:rPr>
          <w:rFonts w:ascii="Book Antiqua" w:eastAsia="Calibri" w:hAnsi="Book Antiqua" w:cs="Arial"/>
          <w:sz w:val="24"/>
          <w:szCs w:val="24"/>
        </w:rPr>
        <w:t>s</w:t>
      </w:r>
      <w:r>
        <w:rPr>
          <w:rFonts w:ascii="Book Antiqua" w:eastAsia="Calibri" w:hAnsi="Book Antiqua" w:cs="Arial"/>
          <w:sz w:val="24"/>
          <w:szCs w:val="24"/>
        </w:rPr>
        <w:t xml:space="preserve"> adicional</w:t>
      </w:r>
      <w:r w:rsidR="0014496E">
        <w:rPr>
          <w:rFonts w:ascii="Book Antiqua" w:eastAsia="Calibri" w:hAnsi="Book Antiqua" w:cs="Arial"/>
          <w:sz w:val="24"/>
          <w:szCs w:val="24"/>
        </w:rPr>
        <w:t>es</w:t>
      </w:r>
      <w:r>
        <w:rPr>
          <w:rFonts w:ascii="Book Antiqua" w:eastAsia="Calibri" w:hAnsi="Book Antiqua" w:cs="Arial"/>
          <w:sz w:val="24"/>
          <w:szCs w:val="24"/>
        </w:rPr>
        <w:t xml:space="preserve">. </w:t>
      </w:r>
    </w:p>
    <w:p w14:paraId="2FDD9BD9" w14:textId="77777777" w:rsidR="00340FF2" w:rsidRDefault="00340FF2" w:rsidP="00340FF2">
      <w:pPr>
        <w:spacing w:after="0" w:line="276" w:lineRule="auto"/>
        <w:jc w:val="both"/>
        <w:rPr>
          <w:rFonts w:ascii="Book Antiqua" w:eastAsia="Calibri" w:hAnsi="Book Antiqua" w:cs="Arial"/>
          <w:sz w:val="24"/>
          <w:szCs w:val="24"/>
        </w:rPr>
      </w:pPr>
    </w:p>
    <w:p w14:paraId="4683B219" w14:textId="1707E97F" w:rsidR="008B1A2D" w:rsidRPr="001D0C10"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 nivel de apoyo, para mantener la relación entre cantidad de recurso de apoyo y letrados, se requeriría adicionalmente la incorporación de dos personas Técnicas de Sala (que colaboran en admisibilidad) y dos personas Técnicas Judicial 3. Ya que de contar con 2</w:t>
      </w:r>
      <w:r w:rsidR="0014496E">
        <w:rPr>
          <w:rFonts w:ascii="Book Antiqua" w:eastAsia="Calibri" w:hAnsi="Book Antiqua" w:cs="Arial"/>
          <w:sz w:val="24"/>
          <w:szCs w:val="24"/>
        </w:rPr>
        <w:t>2</w:t>
      </w:r>
      <w:r>
        <w:rPr>
          <w:rFonts w:ascii="Book Antiqua" w:eastAsia="Calibri" w:hAnsi="Book Antiqua" w:cs="Arial"/>
          <w:sz w:val="24"/>
          <w:szCs w:val="24"/>
        </w:rPr>
        <w:t xml:space="preserve"> letrados, siguiendo la proporción de 3 plazas de apoyo por cada 4 de letrado, en total se debería crecer en 4 plazas de apoyo, mantener la relación 22 letrados, 15 plazas de apoyo.  </w:t>
      </w:r>
    </w:p>
    <w:p w14:paraId="0ADE3E5A" w14:textId="77777777" w:rsidR="00340FF2" w:rsidRDefault="00340FF2" w:rsidP="00340FF2">
      <w:pPr>
        <w:spacing w:after="0" w:line="276" w:lineRule="auto"/>
        <w:jc w:val="both"/>
        <w:rPr>
          <w:rFonts w:ascii="Book Antiqua" w:eastAsia="Calibri" w:hAnsi="Book Antiqua" w:cs="Arial"/>
          <w:i/>
          <w:iCs/>
          <w:sz w:val="20"/>
          <w:szCs w:val="20"/>
        </w:rPr>
      </w:pPr>
    </w:p>
    <w:p w14:paraId="0B0AB414" w14:textId="7DD81981" w:rsidR="00340FF2" w:rsidRPr="00076886" w:rsidRDefault="00340FF2" w:rsidP="00340FF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t xml:space="preserve">Cuadro </w:t>
      </w:r>
      <w:r w:rsidRPr="00076886">
        <w:rPr>
          <w:rFonts w:ascii="Book Antiqua" w:eastAsia="Calibri" w:hAnsi="Book Antiqua" w:cs="Arial"/>
          <w:b/>
          <w:bCs/>
          <w:color w:val="1F497D"/>
          <w:szCs w:val="24"/>
          <w:lang w:val="es-ES" w:eastAsia="es-ES"/>
        </w:rPr>
        <w:fldChar w:fldCharType="begin"/>
      </w:r>
      <w:r w:rsidRPr="00076886">
        <w:rPr>
          <w:rFonts w:ascii="Book Antiqua" w:eastAsia="Calibri" w:hAnsi="Book Antiqua" w:cs="Arial"/>
          <w:b/>
          <w:bCs/>
          <w:color w:val="1F497D"/>
          <w:szCs w:val="24"/>
          <w:lang w:val="es-ES" w:eastAsia="es-ES"/>
        </w:rPr>
        <w:instrText xml:space="preserve"> SEQ Cuadro \* ARABIC </w:instrText>
      </w:r>
      <w:r w:rsidRPr="00076886">
        <w:rPr>
          <w:rFonts w:ascii="Book Antiqua" w:eastAsia="Calibri" w:hAnsi="Book Antiqua" w:cs="Arial"/>
          <w:b/>
          <w:bCs/>
          <w:color w:val="1F497D"/>
          <w:szCs w:val="24"/>
          <w:lang w:val="es-ES" w:eastAsia="es-ES"/>
        </w:rPr>
        <w:fldChar w:fldCharType="separate"/>
      </w:r>
      <w:r w:rsidR="00CE6F72">
        <w:rPr>
          <w:rFonts w:ascii="Book Antiqua" w:eastAsia="Calibri" w:hAnsi="Book Antiqua" w:cs="Arial"/>
          <w:b/>
          <w:bCs/>
          <w:noProof/>
          <w:color w:val="1F497D"/>
          <w:szCs w:val="24"/>
          <w:lang w:val="es-ES" w:eastAsia="es-ES"/>
        </w:rPr>
        <w:t>59</w:t>
      </w:r>
      <w:r w:rsidRPr="00076886">
        <w:rPr>
          <w:rFonts w:ascii="Book Antiqua" w:eastAsia="Calibri" w:hAnsi="Book Antiqua" w:cs="Arial"/>
          <w:b/>
          <w:bCs/>
          <w:color w:val="1F497D"/>
          <w:szCs w:val="24"/>
          <w:lang w:val="es-ES" w:eastAsia="es-ES"/>
        </w:rPr>
        <w:fldChar w:fldCharType="end"/>
      </w:r>
      <w:r w:rsidRPr="00076886">
        <w:rPr>
          <w:rFonts w:ascii="Book Antiqua" w:eastAsia="Calibri" w:hAnsi="Book Antiqua" w:cs="Arial"/>
          <w:b/>
          <w:bCs/>
          <w:color w:val="1F497D"/>
          <w:szCs w:val="24"/>
          <w:lang w:val="es-ES" w:eastAsia="es-ES"/>
        </w:rPr>
        <w:t xml:space="preserve"> </w:t>
      </w:r>
    </w:p>
    <w:p w14:paraId="34AB0B47" w14:textId="7ECA8293" w:rsidR="00340FF2" w:rsidRDefault="00340FF2" w:rsidP="00340FF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122C6">
        <w:rPr>
          <w:rFonts w:ascii="Book Antiqua" w:eastAsia="Calibri" w:hAnsi="Book Antiqua" w:cs="Arial"/>
          <w:b/>
          <w:bCs/>
          <w:color w:val="1F497D"/>
          <w:szCs w:val="24"/>
          <w:lang w:val="es-ES" w:eastAsia="es-ES"/>
        </w:rPr>
        <w:t>Carga de trabajo según escenario CPF de la Sala Segunda</w:t>
      </w:r>
    </w:p>
    <w:tbl>
      <w:tblPr>
        <w:tblW w:w="10420" w:type="dxa"/>
        <w:jc w:val="center"/>
        <w:tblCellMar>
          <w:left w:w="70" w:type="dxa"/>
          <w:right w:w="70" w:type="dxa"/>
        </w:tblCellMar>
        <w:tblLook w:val="04A0" w:firstRow="1" w:lastRow="0" w:firstColumn="1" w:lastColumn="0" w:noHBand="0" w:noVBand="1"/>
      </w:tblPr>
      <w:tblGrid>
        <w:gridCol w:w="3500"/>
        <w:gridCol w:w="940"/>
        <w:gridCol w:w="940"/>
        <w:gridCol w:w="940"/>
        <w:gridCol w:w="940"/>
        <w:gridCol w:w="820"/>
        <w:gridCol w:w="1240"/>
        <w:gridCol w:w="1100"/>
      </w:tblGrid>
      <w:tr w:rsidR="006E6AD2" w:rsidRPr="006E6AD2" w14:paraId="560BB41E" w14:textId="77777777" w:rsidTr="006E6AD2">
        <w:trPr>
          <w:trHeight w:val="530"/>
          <w:jc w:val="center"/>
        </w:trPr>
        <w:tc>
          <w:tcPr>
            <w:tcW w:w="3500" w:type="dxa"/>
            <w:tcBorders>
              <w:top w:val="single" w:sz="8" w:space="0" w:color="auto"/>
              <w:left w:val="single" w:sz="8" w:space="0" w:color="auto"/>
              <w:bottom w:val="single" w:sz="8" w:space="0" w:color="auto"/>
              <w:right w:val="single" w:sz="8" w:space="0" w:color="auto"/>
            </w:tcBorders>
            <w:shd w:val="clear" w:color="000000" w:fill="003366"/>
            <w:noWrap/>
            <w:vAlign w:val="center"/>
            <w:hideMark/>
          </w:tcPr>
          <w:p w14:paraId="7F0E956A" w14:textId="77777777" w:rsidR="006E6AD2" w:rsidRPr="006E6AD2" w:rsidRDefault="006E6AD2" w:rsidP="006E6AD2">
            <w:pPr>
              <w:spacing w:after="0" w:line="240" w:lineRule="auto"/>
              <w:jc w:val="center"/>
              <w:rPr>
                <w:rFonts w:ascii="Book Antiqua" w:eastAsia="Times New Roman" w:hAnsi="Book Antiqua" w:cs="Calibri"/>
                <w:b/>
                <w:bCs/>
                <w:color w:val="FFFFFF"/>
                <w:sz w:val="20"/>
                <w:szCs w:val="20"/>
                <w:lang w:eastAsia="es-CR"/>
              </w:rPr>
            </w:pPr>
            <w:r w:rsidRPr="006E6AD2">
              <w:rPr>
                <w:rFonts w:ascii="Book Antiqua" w:eastAsia="Times New Roman" w:hAnsi="Book Antiqua" w:cs="Calibri"/>
                <w:b/>
                <w:bCs/>
                <w:color w:val="FFFFFF"/>
                <w:sz w:val="20"/>
                <w:szCs w:val="20"/>
                <w:lang w:eastAsia="es-CR"/>
              </w:rPr>
              <w:t>Año</w:t>
            </w:r>
          </w:p>
        </w:tc>
        <w:tc>
          <w:tcPr>
            <w:tcW w:w="940" w:type="dxa"/>
            <w:tcBorders>
              <w:top w:val="single" w:sz="8" w:space="0" w:color="auto"/>
              <w:left w:val="nil"/>
              <w:bottom w:val="single" w:sz="8" w:space="0" w:color="auto"/>
              <w:right w:val="single" w:sz="8" w:space="0" w:color="auto"/>
            </w:tcBorders>
            <w:shd w:val="clear" w:color="000000" w:fill="003366"/>
            <w:noWrap/>
            <w:vAlign w:val="center"/>
            <w:hideMark/>
          </w:tcPr>
          <w:p w14:paraId="6D870E59" w14:textId="77777777" w:rsidR="006E6AD2" w:rsidRPr="006E6AD2" w:rsidRDefault="006E6AD2" w:rsidP="006E6AD2">
            <w:pPr>
              <w:spacing w:after="0" w:line="240" w:lineRule="auto"/>
              <w:jc w:val="center"/>
              <w:rPr>
                <w:rFonts w:ascii="Book Antiqua" w:eastAsia="Times New Roman" w:hAnsi="Book Antiqua" w:cs="Calibri"/>
                <w:b/>
                <w:bCs/>
                <w:color w:val="FFFFFF"/>
                <w:sz w:val="20"/>
                <w:szCs w:val="20"/>
                <w:lang w:eastAsia="es-CR"/>
              </w:rPr>
            </w:pPr>
            <w:r w:rsidRPr="006E6AD2">
              <w:rPr>
                <w:rFonts w:ascii="Book Antiqua" w:eastAsia="Times New Roman" w:hAnsi="Book Antiqua" w:cs="Calibri"/>
                <w:b/>
                <w:bCs/>
                <w:color w:val="FFFFFF"/>
                <w:sz w:val="20"/>
                <w:szCs w:val="20"/>
                <w:lang w:eastAsia="es-CR"/>
              </w:rPr>
              <w:t>2018</w:t>
            </w:r>
          </w:p>
        </w:tc>
        <w:tc>
          <w:tcPr>
            <w:tcW w:w="940" w:type="dxa"/>
            <w:tcBorders>
              <w:top w:val="single" w:sz="8" w:space="0" w:color="auto"/>
              <w:left w:val="nil"/>
              <w:bottom w:val="single" w:sz="8" w:space="0" w:color="auto"/>
              <w:right w:val="single" w:sz="8" w:space="0" w:color="auto"/>
            </w:tcBorders>
            <w:shd w:val="clear" w:color="000000" w:fill="002060"/>
            <w:noWrap/>
            <w:vAlign w:val="center"/>
            <w:hideMark/>
          </w:tcPr>
          <w:p w14:paraId="713E5C7F" w14:textId="77777777" w:rsidR="006E6AD2" w:rsidRPr="006E6AD2" w:rsidRDefault="006E6AD2" w:rsidP="006E6AD2">
            <w:pPr>
              <w:spacing w:after="0" w:line="240" w:lineRule="auto"/>
              <w:jc w:val="center"/>
              <w:rPr>
                <w:rFonts w:ascii="Book Antiqua" w:eastAsia="Times New Roman" w:hAnsi="Book Antiqua" w:cs="Calibri"/>
                <w:b/>
                <w:bCs/>
                <w:color w:val="FFFFFF"/>
                <w:sz w:val="20"/>
                <w:szCs w:val="20"/>
                <w:lang w:eastAsia="es-CR"/>
              </w:rPr>
            </w:pPr>
            <w:r w:rsidRPr="006E6AD2">
              <w:rPr>
                <w:rFonts w:ascii="Book Antiqua" w:eastAsia="Times New Roman" w:hAnsi="Book Antiqua" w:cs="Calibri"/>
                <w:b/>
                <w:bCs/>
                <w:color w:val="FFFFFF"/>
                <w:sz w:val="20"/>
                <w:szCs w:val="20"/>
                <w:lang w:eastAsia="es-CR"/>
              </w:rPr>
              <w:t>2019</w:t>
            </w:r>
          </w:p>
        </w:tc>
        <w:tc>
          <w:tcPr>
            <w:tcW w:w="940" w:type="dxa"/>
            <w:tcBorders>
              <w:top w:val="single" w:sz="8" w:space="0" w:color="auto"/>
              <w:left w:val="nil"/>
              <w:bottom w:val="single" w:sz="8" w:space="0" w:color="auto"/>
              <w:right w:val="single" w:sz="8" w:space="0" w:color="auto"/>
            </w:tcBorders>
            <w:shd w:val="clear" w:color="000000" w:fill="002060"/>
            <w:noWrap/>
            <w:vAlign w:val="center"/>
            <w:hideMark/>
          </w:tcPr>
          <w:p w14:paraId="006F7132" w14:textId="77777777" w:rsidR="006E6AD2" w:rsidRPr="006E6AD2" w:rsidRDefault="006E6AD2" w:rsidP="006E6AD2">
            <w:pPr>
              <w:spacing w:after="0" w:line="240" w:lineRule="auto"/>
              <w:jc w:val="center"/>
              <w:rPr>
                <w:rFonts w:ascii="Book Antiqua" w:eastAsia="Times New Roman" w:hAnsi="Book Antiqua" w:cs="Calibri"/>
                <w:b/>
                <w:bCs/>
                <w:color w:val="FFFFFF"/>
                <w:sz w:val="20"/>
                <w:szCs w:val="20"/>
                <w:lang w:eastAsia="es-CR"/>
              </w:rPr>
            </w:pPr>
            <w:r w:rsidRPr="006E6AD2">
              <w:rPr>
                <w:rFonts w:ascii="Book Antiqua" w:eastAsia="Times New Roman" w:hAnsi="Book Antiqua" w:cs="Calibri"/>
                <w:b/>
                <w:bCs/>
                <w:color w:val="FFFFFF"/>
                <w:sz w:val="20"/>
                <w:szCs w:val="20"/>
                <w:lang w:eastAsia="es-CR"/>
              </w:rPr>
              <w:t>2020</w:t>
            </w:r>
          </w:p>
        </w:tc>
        <w:tc>
          <w:tcPr>
            <w:tcW w:w="940" w:type="dxa"/>
            <w:tcBorders>
              <w:top w:val="single" w:sz="8" w:space="0" w:color="auto"/>
              <w:left w:val="nil"/>
              <w:bottom w:val="single" w:sz="8" w:space="0" w:color="auto"/>
              <w:right w:val="single" w:sz="8" w:space="0" w:color="auto"/>
            </w:tcBorders>
            <w:shd w:val="clear" w:color="000000" w:fill="002060"/>
            <w:noWrap/>
            <w:vAlign w:val="center"/>
            <w:hideMark/>
          </w:tcPr>
          <w:p w14:paraId="4E5644C9" w14:textId="77777777" w:rsidR="006E6AD2" w:rsidRPr="006E6AD2" w:rsidRDefault="006E6AD2" w:rsidP="006E6AD2">
            <w:pPr>
              <w:spacing w:after="0" w:line="240" w:lineRule="auto"/>
              <w:jc w:val="center"/>
              <w:rPr>
                <w:rFonts w:ascii="Book Antiqua" w:eastAsia="Times New Roman" w:hAnsi="Book Antiqua" w:cs="Calibri"/>
                <w:b/>
                <w:bCs/>
                <w:color w:val="FFFFFF"/>
                <w:sz w:val="20"/>
                <w:szCs w:val="20"/>
                <w:lang w:eastAsia="es-CR"/>
              </w:rPr>
            </w:pPr>
            <w:r w:rsidRPr="006E6AD2">
              <w:rPr>
                <w:rFonts w:ascii="Book Antiqua" w:eastAsia="Times New Roman" w:hAnsi="Book Antiqua" w:cs="Calibri"/>
                <w:b/>
                <w:bCs/>
                <w:color w:val="FFFFFF"/>
                <w:sz w:val="20"/>
                <w:szCs w:val="20"/>
                <w:lang w:eastAsia="es-CR"/>
              </w:rPr>
              <w:t>2021</w:t>
            </w:r>
          </w:p>
        </w:tc>
        <w:tc>
          <w:tcPr>
            <w:tcW w:w="820" w:type="dxa"/>
            <w:tcBorders>
              <w:top w:val="single" w:sz="8" w:space="0" w:color="auto"/>
              <w:left w:val="nil"/>
              <w:bottom w:val="single" w:sz="8" w:space="0" w:color="auto"/>
              <w:right w:val="single" w:sz="8" w:space="0" w:color="auto"/>
            </w:tcBorders>
            <w:shd w:val="clear" w:color="000000" w:fill="002060"/>
            <w:noWrap/>
            <w:vAlign w:val="center"/>
            <w:hideMark/>
          </w:tcPr>
          <w:p w14:paraId="5E99A0A5" w14:textId="77777777" w:rsidR="006E6AD2" w:rsidRPr="006E6AD2" w:rsidRDefault="006E6AD2" w:rsidP="006E6AD2">
            <w:pPr>
              <w:spacing w:after="0" w:line="240" w:lineRule="auto"/>
              <w:jc w:val="center"/>
              <w:rPr>
                <w:rFonts w:ascii="Book Antiqua" w:eastAsia="Times New Roman" w:hAnsi="Book Antiqua" w:cs="Calibri"/>
                <w:b/>
                <w:bCs/>
                <w:color w:val="FFFFFF"/>
                <w:sz w:val="20"/>
                <w:szCs w:val="20"/>
                <w:lang w:eastAsia="es-CR"/>
              </w:rPr>
            </w:pPr>
            <w:r w:rsidRPr="006E6AD2">
              <w:rPr>
                <w:rFonts w:ascii="Book Antiqua" w:eastAsia="Times New Roman" w:hAnsi="Book Antiqua" w:cs="Calibri"/>
                <w:b/>
                <w:bCs/>
                <w:color w:val="FFFFFF"/>
                <w:sz w:val="20"/>
                <w:szCs w:val="20"/>
                <w:lang w:eastAsia="es-CR"/>
              </w:rPr>
              <w:t>2022</w:t>
            </w:r>
          </w:p>
        </w:tc>
        <w:tc>
          <w:tcPr>
            <w:tcW w:w="1240" w:type="dxa"/>
            <w:tcBorders>
              <w:top w:val="single" w:sz="8" w:space="0" w:color="auto"/>
              <w:left w:val="nil"/>
              <w:bottom w:val="single" w:sz="8" w:space="0" w:color="auto"/>
              <w:right w:val="single" w:sz="8" w:space="0" w:color="auto"/>
            </w:tcBorders>
            <w:shd w:val="clear" w:color="000000" w:fill="002060"/>
            <w:vAlign w:val="center"/>
            <w:hideMark/>
          </w:tcPr>
          <w:p w14:paraId="46B4C623" w14:textId="77777777" w:rsidR="006E6AD2" w:rsidRPr="006E6AD2" w:rsidRDefault="006E6AD2" w:rsidP="006E6AD2">
            <w:pPr>
              <w:spacing w:after="0" w:line="240" w:lineRule="auto"/>
              <w:jc w:val="center"/>
              <w:rPr>
                <w:rFonts w:ascii="Book Antiqua" w:eastAsia="Times New Roman" w:hAnsi="Book Antiqua" w:cs="Calibri"/>
                <w:b/>
                <w:bCs/>
                <w:color w:val="FFFFFF"/>
                <w:sz w:val="20"/>
                <w:szCs w:val="20"/>
                <w:lang w:eastAsia="es-CR"/>
              </w:rPr>
            </w:pPr>
            <w:r w:rsidRPr="006E6AD2">
              <w:rPr>
                <w:rFonts w:ascii="Book Antiqua" w:eastAsia="Times New Roman" w:hAnsi="Book Antiqua" w:cs="Calibri"/>
                <w:b/>
                <w:bCs/>
                <w:color w:val="FFFFFF"/>
                <w:sz w:val="20"/>
                <w:szCs w:val="20"/>
                <w:lang w:eastAsia="es-CR"/>
              </w:rPr>
              <w:t>Proyección 2023</w:t>
            </w:r>
          </w:p>
        </w:tc>
        <w:tc>
          <w:tcPr>
            <w:tcW w:w="1100" w:type="dxa"/>
            <w:tcBorders>
              <w:top w:val="single" w:sz="8" w:space="0" w:color="auto"/>
              <w:left w:val="nil"/>
              <w:bottom w:val="single" w:sz="8" w:space="0" w:color="auto"/>
              <w:right w:val="single" w:sz="8" w:space="0" w:color="auto"/>
            </w:tcBorders>
            <w:shd w:val="clear" w:color="000000" w:fill="BDD7EE"/>
            <w:vAlign w:val="center"/>
            <w:hideMark/>
          </w:tcPr>
          <w:p w14:paraId="202211A5" w14:textId="77777777" w:rsidR="006E6AD2" w:rsidRPr="006E6AD2" w:rsidRDefault="006E6AD2" w:rsidP="006E6AD2">
            <w:pPr>
              <w:spacing w:after="0" w:line="240" w:lineRule="auto"/>
              <w:jc w:val="center"/>
              <w:rPr>
                <w:rFonts w:ascii="Book Antiqua" w:eastAsia="Times New Roman" w:hAnsi="Book Antiqua" w:cs="Calibri"/>
                <w:b/>
                <w:bCs/>
                <w:color w:val="000000"/>
                <w:sz w:val="20"/>
                <w:szCs w:val="20"/>
                <w:lang w:eastAsia="es-CR"/>
              </w:rPr>
            </w:pPr>
            <w:r w:rsidRPr="006E6AD2">
              <w:rPr>
                <w:rFonts w:ascii="Book Antiqua" w:eastAsia="Times New Roman" w:hAnsi="Book Antiqua" w:cs="Calibri"/>
                <w:b/>
                <w:bCs/>
                <w:color w:val="000000"/>
                <w:sz w:val="20"/>
                <w:szCs w:val="20"/>
                <w:lang w:eastAsia="es-CR"/>
              </w:rPr>
              <w:t>Escenario CPF</w:t>
            </w:r>
          </w:p>
        </w:tc>
      </w:tr>
      <w:tr w:rsidR="006E6AD2" w:rsidRPr="006E6AD2" w14:paraId="59B28045" w14:textId="77777777" w:rsidTr="006E6AD2">
        <w:trPr>
          <w:trHeight w:val="300"/>
          <w:jc w:val="center"/>
        </w:trPr>
        <w:tc>
          <w:tcPr>
            <w:tcW w:w="3500" w:type="dxa"/>
            <w:tcBorders>
              <w:top w:val="nil"/>
              <w:left w:val="single" w:sz="8" w:space="0" w:color="auto"/>
              <w:bottom w:val="single" w:sz="8" w:space="0" w:color="auto"/>
              <w:right w:val="single" w:sz="8" w:space="0" w:color="auto"/>
            </w:tcBorders>
            <w:shd w:val="clear" w:color="auto" w:fill="auto"/>
            <w:noWrap/>
            <w:vAlign w:val="center"/>
            <w:hideMark/>
          </w:tcPr>
          <w:p w14:paraId="1A09C030" w14:textId="77777777" w:rsidR="006E6AD2" w:rsidRPr="006E6AD2" w:rsidRDefault="006E6AD2" w:rsidP="006E6AD2">
            <w:pPr>
              <w:spacing w:after="0" w:line="240" w:lineRule="auto"/>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Entrada</w:t>
            </w:r>
          </w:p>
        </w:tc>
        <w:tc>
          <w:tcPr>
            <w:tcW w:w="940" w:type="dxa"/>
            <w:tcBorders>
              <w:top w:val="nil"/>
              <w:left w:val="nil"/>
              <w:bottom w:val="single" w:sz="8" w:space="0" w:color="auto"/>
              <w:right w:val="single" w:sz="8" w:space="0" w:color="auto"/>
            </w:tcBorders>
            <w:shd w:val="clear" w:color="auto" w:fill="auto"/>
            <w:noWrap/>
            <w:vAlign w:val="center"/>
            <w:hideMark/>
          </w:tcPr>
          <w:p w14:paraId="031EAA63"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3357</w:t>
            </w:r>
          </w:p>
        </w:tc>
        <w:tc>
          <w:tcPr>
            <w:tcW w:w="940" w:type="dxa"/>
            <w:tcBorders>
              <w:top w:val="nil"/>
              <w:left w:val="nil"/>
              <w:bottom w:val="single" w:sz="8" w:space="0" w:color="auto"/>
              <w:right w:val="single" w:sz="8" w:space="0" w:color="auto"/>
            </w:tcBorders>
            <w:shd w:val="clear" w:color="auto" w:fill="auto"/>
            <w:noWrap/>
            <w:vAlign w:val="center"/>
            <w:hideMark/>
          </w:tcPr>
          <w:p w14:paraId="4A7B4D3D"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3577</w:t>
            </w:r>
          </w:p>
        </w:tc>
        <w:tc>
          <w:tcPr>
            <w:tcW w:w="940" w:type="dxa"/>
            <w:tcBorders>
              <w:top w:val="nil"/>
              <w:left w:val="nil"/>
              <w:bottom w:val="single" w:sz="8" w:space="0" w:color="auto"/>
              <w:right w:val="single" w:sz="8" w:space="0" w:color="auto"/>
            </w:tcBorders>
            <w:shd w:val="clear" w:color="auto" w:fill="auto"/>
            <w:noWrap/>
            <w:vAlign w:val="center"/>
            <w:hideMark/>
          </w:tcPr>
          <w:p w14:paraId="774EFC9E"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2973</w:t>
            </w:r>
          </w:p>
        </w:tc>
        <w:tc>
          <w:tcPr>
            <w:tcW w:w="940" w:type="dxa"/>
            <w:tcBorders>
              <w:top w:val="nil"/>
              <w:left w:val="nil"/>
              <w:bottom w:val="single" w:sz="8" w:space="0" w:color="auto"/>
              <w:right w:val="single" w:sz="8" w:space="0" w:color="auto"/>
            </w:tcBorders>
            <w:shd w:val="clear" w:color="auto" w:fill="auto"/>
            <w:noWrap/>
            <w:vAlign w:val="center"/>
            <w:hideMark/>
          </w:tcPr>
          <w:p w14:paraId="2C3E39FA"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2907</w:t>
            </w:r>
          </w:p>
        </w:tc>
        <w:tc>
          <w:tcPr>
            <w:tcW w:w="820" w:type="dxa"/>
            <w:tcBorders>
              <w:top w:val="nil"/>
              <w:left w:val="nil"/>
              <w:bottom w:val="single" w:sz="8" w:space="0" w:color="auto"/>
              <w:right w:val="single" w:sz="8" w:space="0" w:color="auto"/>
            </w:tcBorders>
            <w:shd w:val="clear" w:color="auto" w:fill="auto"/>
            <w:noWrap/>
            <w:vAlign w:val="center"/>
            <w:hideMark/>
          </w:tcPr>
          <w:p w14:paraId="6A42F9F8"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2817</w:t>
            </w:r>
          </w:p>
        </w:tc>
        <w:tc>
          <w:tcPr>
            <w:tcW w:w="1240" w:type="dxa"/>
            <w:tcBorders>
              <w:top w:val="nil"/>
              <w:left w:val="nil"/>
              <w:bottom w:val="single" w:sz="8" w:space="0" w:color="auto"/>
              <w:right w:val="single" w:sz="8" w:space="0" w:color="auto"/>
            </w:tcBorders>
            <w:shd w:val="clear" w:color="auto" w:fill="auto"/>
            <w:noWrap/>
            <w:vAlign w:val="center"/>
            <w:hideMark/>
          </w:tcPr>
          <w:p w14:paraId="267C8A3E" w14:textId="6354D75F"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29</w:t>
            </w:r>
            <w:r w:rsidR="001E70CD">
              <w:rPr>
                <w:rFonts w:ascii="Book Antiqua" w:eastAsia="Times New Roman" w:hAnsi="Book Antiqua" w:cs="Calibri"/>
                <w:color w:val="000000"/>
                <w:sz w:val="20"/>
                <w:szCs w:val="20"/>
                <w:lang w:eastAsia="es-CR"/>
              </w:rPr>
              <w:t>0</w:t>
            </w:r>
            <w:r w:rsidRPr="006E6AD2">
              <w:rPr>
                <w:rFonts w:ascii="Book Antiqua" w:eastAsia="Times New Roman" w:hAnsi="Book Antiqua" w:cs="Calibri"/>
                <w:color w:val="000000"/>
                <w:sz w:val="20"/>
                <w:szCs w:val="20"/>
                <w:lang w:eastAsia="es-CR"/>
              </w:rPr>
              <w:t>1</w:t>
            </w:r>
          </w:p>
        </w:tc>
        <w:tc>
          <w:tcPr>
            <w:tcW w:w="1100" w:type="dxa"/>
            <w:tcBorders>
              <w:top w:val="nil"/>
              <w:left w:val="nil"/>
              <w:bottom w:val="single" w:sz="8" w:space="0" w:color="auto"/>
              <w:right w:val="single" w:sz="8" w:space="0" w:color="auto"/>
            </w:tcBorders>
            <w:shd w:val="clear" w:color="000000" w:fill="BDD7EE"/>
            <w:noWrap/>
            <w:vAlign w:val="center"/>
            <w:hideMark/>
          </w:tcPr>
          <w:p w14:paraId="12D03CA0" w14:textId="07D9DE54"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29</w:t>
            </w:r>
            <w:r w:rsidR="001E70CD">
              <w:rPr>
                <w:rFonts w:ascii="Book Antiqua" w:eastAsia="Times New Roman" w:hAnsi="Book Antiqua" w:cs="Calibri"/>
                <w:color w:val="000000"/>
                <w:sz w:val="20"/>
                <w:szCs w:val="20"/>
                <w:lang w:eastAsia="es-CR"/>
              </w:rPr>
              <w:t>0</w:t>
            </w:r>
            <w:r w:rsidRPr="006E6AD2">
              <w:rPr>
                <w:rFonts w:ascii="Book Antiqua" w:eastAsia="Times New Roman" w:hAnsi="Book Antiqua" w:cs="Calibri"/>
                <w:color w:val="000000"/>
                <w:sz w:val="20"/>
                <w:szCs w:val="20"/>
                <w:lang w:eastAsia="es-CR"/>
              </w:rPr>
              <w:t>1</w:t>
            </w:r>
          </w:p>
        </w:tc>
      </w:tr>
      <w:tr w:rsidR="006E6AD2" w:rsidRPr="006E6AD2" w14:paraId="20FF3B2F" w14:textId="77777777" w:rsidTr="006E6AD2">
        <w:trPr>
          <w:trHeight w:val="300"/>
          <w:jc w:val="center"/>
        </w:trPr>
        <w:tc>
          <w:tcPr>
            <w:tcW w:w="3500" w:type="dxa"/>
            <w:tcBorders>
              <w:top w:val="nil"/>
              <w:left w:val="single" w:sz="8" w:space="0" w:color="auto"/>
              <w:bottom w:val="single" w:sz="8" w:space="0" w:color="auto"/>
              <w:right w:val="single" w:sz="8" w:space="0" w:color="auto"/>
            </w:tcBorders>
            <w:shd w:val="clear" w:color="auto" w:fill="auto"/>
            <w:noWrap/>
            <w:vAlign w:val="center"/>
            <w:hideMark/>
          </w:tcPr>
          <w:p w14:paraId="2FEFAF1C" w14:textId="77777777" w:rsidR="006E6AD2" w:rsidRPr="006E6AD2" w:rsidRDefault="006E6AD2" w:rsidP="006E6AD2">
            <w:pPr>
              <w:spacing w:after="0" w:line="240" w:lineRule="auto"/>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Circulante</w:t>
            </w:r>
          </w:p>
        </w:tc>
        <w:tc>
          <w:tcPr>
            <w:tcW w:w="940" w:type="dxa"/>
            <w:tcBorders>
              <w:top w:val="nil"/>
              <w:left w:val="nil"/>
              <w:bottom w:val="single" w:sz="8" w:space="0" w:color="auto"/>
              <w:right w:val="single" w:sz="8" w:space="0" w:color="auto"/>
            </w:tcBorders>
            <w:shd w:val="clear" w:color="auto" w:fill="auto"/>
            <w:noWrap/>
            <w:vAlign w:val="center"/>
            <w:hideMark/>
          </w:tcPr>
          <w:p w14:paraId="191D890F"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2872</w:t>
            </w:r>
          </w:p>
        </w:tc>
        <w:tc>
          <w:tcPr>
            <w:tcW w:w="940" w:type="dxa"/>
            <w:tcBorders>
              <w:top w:val="nil"/>
              <w:left w:val="nil"/>
              <w:bottom w:val="single" w:sz="8" w:space="0" w:color="auto"/>
              <w:right w:val="single" w:sz="8" w:space="0" w:color="auto"/>
            </w:tcBorders>
            <w:shd w:val="clear" w:color="auto" w:fill="auto"/>
            <w:noWrap/>
            <w:vAlign w:val="center"/>
            <w:hideMark/>
          </w:tcPr>
          <w:p w14:paraId="1D1FCDA8"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4189</w:t>
            </w:r>
          </w:p>
        </w:tc>
        <w:tc>
          <w:tcPr>
            <w:tcW w:w="940" w:type="dxa"/>
            <w:tcBorders>
              <w:top w:val="nil"/>
              <w:left w:val="nil"/>
              <w:bottom w:val="single" w:sz="8" w:space="0" w:color="auto"/>
              <w:right w:val="single" w:sz="8" w:space="0" w:color="auto"/>
            </w:tcBorders>
            <w:shd w:val="clear" w:color="auto" w:fill="auto"/>
            <w:noWrap/>
            <w:vAlign w:val="center"/>
            <w:hideMark/>
          </w:tcPr>
          <w:p w14:paraId="68216B43"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4970</w:t>
            </w:r>
          </w:p>
        </w:tc>
        <w:tc>
          <w:tcPr>
            <w:tcW w:w="940" w:type="dxa"/>
            <w:tcBorders>
              <w:top w:val="nil"/>
              <w:left w:val="nil"/>
              <w:bottom w:val="single" w:sz="8" w:space="0" w:color="auto"/>
              <w:right w:val="single" w:sz="8" w:space="0" w:color="auto"/>
            </w:tcBorders>
            <w:shd w:val="clear" w:color="auto" w:fill="auto"/>
            <w:noWrap/>
            <w:vAlign w:val="center"/>
            <w:hideMark/>
          </w:tcPr>
          <w:p w14:paraId="651CE33F"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5178</w:t>
            </w:r>
          </w:p>
        </w:tc>
        <w:tc>
          <w:tcPr>
            <w:tcW w:w="820" w:type="dxa"/>
            <w:tcBorders>
              <w:top w:val="nil"/>
              <w:left w:val="nil"/>
              <w:bottom w:val="single" w:sz="8" w:space="0" w:color="auto"/>
              <w:right w:val="single" w:sz="8" w:space="0" w:color="auto"/>
            </w:tcBorders>
            <w:shd w:val="clear" w:color="auto" w:fill="auto"/>
            <w:noWrap/>
            <w:vAlign w:val="center"/>
            <w:hideMark/>
          </w:tcPr>
          <w:p w14:paraId="2046D609"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4703</w:t>
            </w:r>
          </w:p>
        </w:tc>
        <w:tc>
          <w:tcPr>
            <w:tcW w:w="1240" w:type="dxa"/>
            <w:tcBorders>
              <w:top w:val="nil"/>
              <w:left w:val="nil"/>
              <w:bottom w:val="single" w:sz="8" w:space="0" w:color="auto"/>
              <w:right w:val="single" w:sz="8" w:space="0" w:color="auto"/>
            </w:tcBorders>
            <w:shd w:val="clear" w:color="auto" w:fill="auto"/>
            <w:noWrap/>
            <w:vAlign w:val="center"/>
            <w:hideMark/>
          </w:tcPr>
          <w:p w14:paraId="588DCB32"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4228</w:t>
            </w:r>
          </w:p>
        </w:tc>
        <w:tc>
          <w:tcPr>
            <w:tcW w:w="1100" w:type="dxa"/>
            <w:tcBorders>
              <w:top w:val="nil"/>
              <w:left w:val="nil"/>
              <w:bottom w:val="single" w:sz="8" w:space="0" w:color="auto"/>
              <w:right w:val="single" w:sz="8" w:space="0" w:color="auto"/>
            </w:tcBorders>
            <w:shd w:val="clear" w:color="000000" w:fill="BDD7EE"/>
            <w:noWrap/>
            <w:vAlign w:val="center"/>
            <w:hideMark/>
          </w:tcPr>
          <w:p w14:paraId="52B91248"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4228</w:t>
            </w:r>
          </w:p>
        </w:tc>
      </w:tr>
      <w:tr w:rsidR="006E6AD2" w:rsidRPr="006E6AD2" w14:paraId="33BF95F6" w14:textId="77777777" w:rsidTr="006E6AD2">
        <w:trPr>
          <w:trHeight w:val="300"/>
          <w:jc w:val="center"/>
        </w:trPr>
        <w:tc>
          <w:tcPr>
            <w:tcW w:w="3500" w:type="dxa"/>
            <w:tcBorders>
              <w:top w:val="nil"/>
              <w:left w:val="single" w:sz="8" w:space="0" w:color="auto"/>
              <w:bottom w:val="single" w:sz="8" w:space="0" w:color="auto"/>
              <w:right w:val="single" w:sz="8" w:space="0" w:color="auto"/>
            </w:tcBorders>
            <w:shd w:val="clear" w:color="auto" w:fill="auto"/>
            <w:noWrap/>
            <w:vAlign w:val="center"/>
            <w:hideMark/>
          </w:tcPr>
          <w:p w14:paraId="7A8E4A8B" w14:textId="77777777" w:rsidR="006E6AD2" w:rsidRPr="006E6AD2" w:rsidRDefault="006E6AD2" w:rsidP="006E6AD2">
            <w:pPr>
              <w:spacing w:after="0" w:line="240" w:lineRule="auto"/>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 xml:space="preserve">Cantidad de letrados </w:t>
            </w:r>
          </w:p>
        </w:tc>
        <w:tc>
          <w:tcPr>
            <w:tcW w:w="940" w:type="dxa"/>
            <w:tcBorders>
              <w:top w:val="nil"/>
              <w:left w:val="nil"/>
              <w:bottom w:val="single" w:sz="8" w:space="0" w:color="auto"/>
              <w:right w:val="single" w:sz="8" w:space="0" w:color="auto"/>
            </w:tcBorders>
            <w:shd w:val="clear" w:color="auto" w:fill="auto"/>
            <w:noWrap/>
            <w:vAlign w:val="center"/>
            <w:hideMark/>
          </w:tcPr>
          <w:p w14:paraId="3FCEB9D9"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18</w:t>
            </w:r>
          </w:p>
        </w:tc>
        <w:tc>
          <w:tcPr>
            <w:tcW w:w="940" w:type="dxa"/>
            <w:tcBorders>
              <w:top w:val="nil"/>
              <w:left w:val="nil"/>
              <w:bottom w:val="single" w:sz="8" w:space="0" w:color="auto"/>
              <w:right w:val="single" w:sz="8" w:space="0" w:color="auto"/>
            </w:tcBorders>
            <w:shd w:val="clear" w:color="auto" w:fill="auto"/>
            <w:noWrap/>
            <w:vAlign w:val="center"/>
            <w:hideMark/>
          </w:tcPr>
          <w:p w14:paraId="78BC7D57"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18</w:t>
            </w:r>
          </w:p>
        </w:tc>
        <w:tc>
          <w:tcPr>
            <w:tcW w:w="940" w:type="dxa"/>
            <w:tcBorders>
              <w:top w:val="nil"/>
              <w:left w:val="nil"/>
              <w:bottom w:val="single" w:sz="8" w:space="0" w:color="auto"/>
              <w:right w:val="single" w:sz="8" w:space="0" w:color="auto"/>
            </w:tcBorders>
            <w:shd w:val="clear" w:color="auto" w:fill="auto"/>
            <w:noWrap/>
            <w:vAlign w:val="center"/>
            <w:hideMark/>
          </w:tcPr>
          <w:p w14:paraId="722165B1"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19</w:t>
            </w:r>
          </w:p>
        </w:tc>
        <w:tc>
          <w:tcPr>
            <w:tcW w:w="940" w:type="dxa"/>
            <w:tcBorders>
              <w:top w:val="nil"/>
              <w:left w:val="nil"/>
              <w:bottom w:val="single" w:sz="8" w:space="0" w:color="auto"/>
              <w:right w:val="single" w:sz="8" w:space="0" w:color="auto"/>
            </w:tcBorders>
            <w:shd w:val="clear" w:color="auto" w:fill="auto"/>
            <w:noWrap/>
            <w:vAlign w:val="center"/>
            <w:hideMark/>
          </w:tcPr>
          <w:p w14:paraId="06473782"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19</w:t>
            </w:r>
          </w:p>
        </w:tc>
        <w:tc>
          <w:tcPr>
            <w:tcW w:w="820" w:type="dxa"/>
            <w:tcBorders>
              <w:top w:val="nil"/>
              <w:left w:val="nil"/>
              <w:bottom w:val="single" w:sz="8" w:space="0" w:color="auto"/>
              <w:right w:val="single" w:sz="8" w:space="0" w:color="auto"/>
            </w:tcBorders>
            <w:shd w:val="clear" w:color="auto" w:fill="auto"/>
            <w:noWrap/>
            <w:vAlign w:val="center"/>
            <w:hideMark/>
          </w:tcPr>
          <w:p w14:paraId="7529219B"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21</w:t>
            </w:r>
          </w:p>
        </w:tc>
        <w:tc>
          <w:tcPr>
            <w:tcW w:w="1240" w:type="dxa"/>
            <w:tcBorders>
              <w:top w:val="nil"/>
              <w:left w:val="nil"/>
              <w:bottom w:val="single" w:sz="8" w:space="0" w:color="auto"/>
              <w:right w:val="single" w:sz="8" w:space="0" w:color="auto"/>
            </w:tcBorders>
            <w:shd w:val="clear" w:color="auto" w:fill="auto"/>
            <w:noWrap/>
            <w:vAlign w:val="center"/>
            <w:hideMark/>
          </w:tcPr>
          <w:p w14:paraId="45FB3E08"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19</w:t>
            </w:r>
          </w:p>
        </w:tc>
        <w:tc>
          <w:tcPr>
            <w:tcW w:w="1100" w:type="dxa"/>
            <w:tcBorders>
              <w:top w:val="nil"/>
              <w:left w:val="nil"/>
              <w:bottom w:val="single" w:sz="8" w:space="0" w:color="auto"/>
              <w:right w:val="single" w:sz="8" w:space="0" w:color="auto"/>
            </w:tcBorders>
            <w:shd w:val="clear" w:color="000000" w:fill="BDD7EE"/>
            <w:noWrap/>
            <w:vAlign w:val="center"/>
            <w:hideMark/>
          </w:tcPr>
          <w:p w14:paraId="52878329"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22</w:t>
            </w:r>
          </w:p>
        </w:tc>
      </w:tr>
      <w:tr w:rsidR="006E6AD2" w:rsidRPr="006E6AD2" w14:paraId="373C56C5" w14:textId="77777777" w:rsidTr="006E6AD2">
        <w:trPr>
          <w:trHeight w:val="300"/>
          <w:jc w:val="center"/>
        </w:trPr>
        <w:tc>
          <w:tcPr>
            <w:tcW w:w="3500" w:type="dxa"/>
            <w:tcBorders>
              <w:top w:val="nil"/>
              <w:left w:val="single" w:sz="8" w:space="0" w:color="auto"/>
              <w:bottom w:val="single" w:sz="8" w:space="0" w:color="auto"/>
              <w:right w:val="single" w:sz="8" w:space="0" w:color="auto"/>
            </w:tcBorders>
            <w:shd w:val="clear" w:color="auto" w:fill="auto"/>
            <w:noWrap/>
            <w:vAlign w:val="center"/>
            <w:hideMark/>
          </w:tcPr>
          <w:p w14:paraId="57E8BE94" w14:textId="77777777" w:rsidR="006E6AD2" w:rsidRPr="006E6AD2" w:rsidRDefault="006E6AD2" w:rsidP="006E6AD2">
            <w:pPr>
              <w:spacing w:after="0" w:line="240" w:lineRule="auto"/>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Carga de trabajo por letrado al año</w:t>
            </w:r>
          </w:p>
        </w:tc>
        <w:tc>
          <w:tcPr>
            <w:tcW w:w="940" w:type="dxa"/>
            <w:tcBorders>
              <w:top w:val="nil"/>
              <w:left w:val="nil"/>
              <w:bottom w:val="single" w:sz="8" w:space="0" w:color="auto"/>
              <w:right w:val="single" w:sz="8" w:space="0" w:color="auto"/>
            </w:tcBorders>
            <w:shd w:val="clear" w:color="auto" w:fill="auto"/>
            <w:noWrap/>
            <w:vAlign w:val="center"/>
            <w:hideMark/>
          </w:tcPr>
          <w:p w14:paraId="16E42728"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187</w:t>
            </w:r>
          </w:p>
        </w:tc>
        <w:tc>
          <w:tcPr>
            <w:tcW w:w="940" w:type="dxa"/>
            <w:tcBorders>
              <w:top w:val="nil"/>
              <w:left w:val="nil"/>
              <w:bottom w:val="single" w:sz="8" w:space="0" w:color="auto"/>
              <w:right w:val="single" w:sz="8" w:space="0" w:color="auto"/>
            </w:tcBorders>
            <w:shd w:val="clear" w:color="auto" w:fill="auto"/>
            <w:noWrap/>
            <w:vAlign w:val="center"/>
            <w:hideMark/>
          </w:tcPr>
          <w:p w14:paraId="49BEF8E1"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199</w:t>
            </w:r>
          </w:p>
        </w:tc>
        <w:tc>
          <w:tcPr>
            <w:tcW w:w="940" w:type="dxa"/>
            <w:tcBorders>
              <w:top w:val="nil"/>
              <w:left w:val="nil"/>
              <w:bottom w:val="single" w:sz="8" w:space="0" w:color="auto"/>
              <w:right w:val="single" w:sz="8" w:space="0" w:color="auto"/>
            </w:tcBorders>
            <w:shd w:val="clear" w:color="auto" w:fill="auto"/>
            <w:noWrap/>
            <w:vAlign w:val="center"/>
            <w:hideMark/>
          </w:tcPr>
          <w:p w14:paraId="3E5EB74A"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156</w:t>
            </w:r>
          </w:p>
        </w:tc>
        <w:tc>
          <w:tcPr>
            <w:tcW w:w="940" w:type="dxa"/>
            <w:tcBorders>
              <w:top w:val="nil"/>
              <w:left w:val="nil"/>
              <w:bottom w:val="single" w:sz="8" w:space="0" w:color="auto"/>
              <w:right w:val="single" w:sz="8" w:space="0" w:color="auto"/>
            </w:tcBorders>
            <w:shd w:val="clear" w:color="auto" w:fill="auto"/>
            <w:noWrap/>
            <w:vAlign w:val="center"/>
            <w:hideMark/>
          </w:tcPr>
          <w:p w14:paraId="52AA6CC5"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153</w:t>
            </w:r>
          </w:p>
        </w:tc>
        <w:tc>
          <w:tcPr>
            <w:tcW w:w="820" w:type="dxa"/>
            <w:tcBorders>
              <w:top w:val="nil"/>
              <w:left w:val="nil"/>
              <w:bottom w:val="single" w:sz="8" w:space="0" w:color="auto"/>
              <w:right w:val="single" w:sz="8" w:space="0" w:color="auto"/>
            </w:tcBorders>
            <w:shd w:val="clear" w:color="auto" w:fill="auto"/>
            <w:noWrap/>
            <w:vAlign w:val="center"/>
            <w:hideMark/>
          </w:tcPr>
          <w:p w14:paraId="6F1BA811"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134</w:t>
            </w:r>
          </w:p>
        </w:tc>
        <w:tc>
          <w:tcPr>
            <w:tcW w:w="1240" w:type="dxa"/>
            <w:tcBorders>
              <w:top w:val="nil"/>
              <w:left w:val="nil"/>
              <w:bottom w:val="single" w:sz="8" w:space="0" w:color="auto"/>
              <w:right w:val="single" w:sz="8" w:space="0" w:color="auto"/>
            </w:tcBorders>
            <w:shd w:val="clear" w:color="auto" w:fill="auto"/>
            <w:noWrap/>
            <w:vAlign w:val="center"/>
            <w:hideMark/>
          </w:tcPr>
          <w:p w14:paraId="130B809A" w14:textId="72A2BF1D"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15</w:t>
            </w:r>
            <w:r w:rsidR="00F337B8">
              <w:rPr>
                <w:rFonts w:ascii="Book Antiqua" w:eastAsia="Times New Roman" w:hAnsi="Book Antiqua" w:cs="Calibri"/>
                <w:color w:val="000000"/>
                <w:sz w:val="20"/>
                <w:szCs w:val="20"/>
                <w:lang w:eastAsia="es-CR"/>
              </w:rPr>
              <w:t>3</w:t>
            </w:r>
          </w:p>
        </w:tc>
        <w:tc>
          <w:tcPr>
            <w:tcW w:w="1100" w:type="dxa"/>
            <w:tcBorders>
              <w:top w:val="nil"/>
              <w:left w:val="nil"/>
              <w:bottom w:val="single" w:sz="8" w:space="0" w:color="auto"/>
              <w:right w:val="single" w:sz="8" w:space="0" w:color="auto"/>
            </w:tcBorders>
            <w:shd w:val="clear" w:color="000000" w:fill="BDD7EE"/>
            <w:noWrap/>
            <w:vAlign w:val="center"/>
            <w:hideMark/>
          </w:tcPr>
          <w:p w14:paraId="3B514121" w14:textId="4E1DDE04"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13</w:t>
            </w:r>
            <w:r w:rsidR="00F337B8">
              <w:rPr>
                <w:rFonts w:ascii="Book Antiqua" w:eastAsia="Times New Roman" w:hAnsi="Book Antiqua" w:cs="Calibri"/>
                <w:color w:val="000000"/>
                <w:sz w:val="20"/>
                <w:szCs w:val="20"/>
                <w:lang w:eastAsia="es-CR"/>
              </w:rPr>
              <w:t>2</w:t>
            </w:r>
          </w:p>
        </w:tc>
      </w:tr>
      <w:tr w:rsidR="006E6AD2" w:rsidRPr="006E6AD2" w14:paraId="170BE59F" w14:textId="77777777" w:rsidTr="006E6AD2">
        <w:trPr>
          <w:trHeight w:val="300"/>
          <w:jc w:val="center"/>
        </w:trPr>
        <w:tc>
          <w:tcPr>
            <w:tcW w:w="3500" w:type="dxa"/>
            <w:tcBorders>
              <w:top w:val="nil"/>
              <w:left w:val="single" w:sz="8" w:space="0" w:color="auto"/>
              <w:bottom w:val="single" w:sz="8" w:space="0" w:color="auto"/>
              <w:right w:val="single" w:sz="8" w:space="0" w:color="auto"/>
            </w:tcBorders>
            <w:shd w:val="clear" w:color="auto" w:fill="auto"/>
            <w:noWrap/>
            <w:vAlign w:val="center"/>
            <w:hideMark/>
          </w:tcPr>
          <w:p w14:paraId="20D99DDB" w14:textId="77777777" w:rsidR="006E6AD2" w:rsidRPr="006E6AD2" w:rsidRDefault="006E6AD2" w:rsidP="006E6AD2">
            <w:pPr>
              <w:spacing w:after="0" w:line="240" w:lineRule="auto"/>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Carga de trabajo por letrado por mes</w:t>
            </w:r>
          </w:p>
        </w:tc>
        <w:tc>
          <w:tcPr>
            <w:tcW w:w="940" w:type="dxa"/>
            <w:tcBorders>
              <w:top w:val="nil"/>
              <w:left w:val="nil"/>
              <w:bottom w:val="single" w:sz="8" w:space="0" w:color="auto"/>
              <w:right w:val="single" w:sz="8" w:space="0" w:color="auto"/>
            </w:tcBorders>
            <w:shd w:val="clear" w:color="auto" w:fill="auto"/>
            <w:noWrap/>
            <w:vAlign w:val="center"/>
            <w:hideMark/>
          </w:tcPr>
          <w:p w14:paraId="5789AFAD"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17</w:t>
            </w:r>
          </w:p>
        </w:tc>
        <w:tc>
          <w:tcPr>
            <w:tcW w:w="940" w:type="dxa"/>
            <w:tcBorders>
              <w:top w:val="nil"/>
              <w:left w:val="nil"/>
              <w:bottom w:val="single" w:sz="8" w:space="0" w:color="auto"/>
              <w:right w:val="single" w:sz="8" w:space="0" w:color="auto"/>
            </w:tcBorders>
            <w:shd w:val="clear" w:color="auto" w:fill="auto"/>
            <w:noWrap/>
            <w:vAlign w:val="center"/>
            <w:hideMark/>
          </w:tcPr>
          <w:p w14:paraId="582566DF"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18</w:t>
            </w:r>
          </w:p>
        </w:tc>
        <w:tc>
          <w:tcPr>
            <w:tcW w:w="940" w:type="dxa"/>
            <w:tcBorders>
              <w:top w:val="nil"/>
              <w:left w:val="nil"/>
              <w:bottom w:val="single" w:sz="8" w:space="0" w:color="auto"/>
              <w:right w:val="single" w:sz="8" w:space="0" w:color="auto"/>
            </w:tcBorders>
            <w:shd w:val="clear" w:color="auto" w:fill="auto"/>
            <w:noWrap/>
            <w:vAlign w:val="center"/>
            <w:hideMark/>
          </w:tcPr>
          <w:p w14:paraId="2DE86FD9"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14</w:t>
            </w:r>
          </w:p>
        </w:tc>
        <w:tc>
          <w:tcPr>
            <w:tcW w:w="940" w:type="dxa"/>
            <w:tcBorders>
              <w:top w:val="nil"/>
              <w:left w:val="nil"/>
              <w:bottom w:val="single" w:sz="8" w:space="0" w:color="auto"/>
              <w:right w:val="single" w:sz="8" w:space="0" w:color="auto"/>
            </w:tcBorders>
            <w:shd w:val="clear" w:color="auto" w:fill="auto"/>
            <w:noWrap/>
            <w:vAlign w:val="center"/>
            <w:hideMark/>
          </w:tcPr>
          <w:p w14:paraId="4917B4D1"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14</w:t>
            </w:r>
          </w:p>
        </w:tc>
        <w:tc>
          <w:tcPr>
            <w:tcW w:w="820" w:type="dxa"/>
            <w:tcBorders>
              <w:top w:val="nil"/>
              <w:left w:val="nil"/>
              <w:bottom w:val="single" w:sz="8" w:space="0" w:color="auto"/>
              <w:right w:val="single" w:sz="8" w:space="0" w:color="auto"/>
            </w:tcBorders>
            <w:shd w:val="clear" w:color="auto" w:fill="auto"/>
            <w:noWrap/>
            <w:vAlign w:val="center"/>
            <w:hideMark/>
          </w:tcPr>
          <w:p w14:paraId="2D809FBA"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12</w:t>
            </w:r>
          </w:p>
        </w:tc>
        <w:tc>
          <w:tcPr>
            <w:tcW w:w="1240" w:type="dxa"/>
            <w:tcBorders>
              <w:top w:val="nil"/>
              <w:left w:val="nil"/>
              <w:bottom w:val="single" w:sz="8" w:space="0" w:color="auto"/>
              <w:right w:val="single" w:sz="8" w:space="0" w:color="auto"/>
            </w:tcBorders>
            <w:shd w:val="clear" w:color="auto" w:fill="auto"/>
            <w:noWrap/>
            <w:vAlign w:val="center"/>
            <w:hideMark/>
          </w:tcPr>
          <w:p w14:paraId="3A7C6854"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14</w:t>
            </w:r>
          </w:p>
        </w:tc>
        <w:tc>
          <w:tcPr>
            <w:tcW w:w="1100" w:type="dxa"/>
            <w:tcBorders>
              <w:top w:val="nil"/>
              <w:left w:val="nil"/>
              <w:bottom w:val="single" w:sz="8" w:space="0" w:color="auto"/>
              <w:right w:val="single" w:sz="8" w:space="0" w:color="auto"/>
            </w:tcBorders>
            <w:shd w:val="clear" w:color="000000" w:fill="BDD7EE"/>
            <w:noWrap/>
            <w:vAlign w:val="center"/>
            <w:hideMark/>
          </w:tcPr>
          <w:p w14:paraId="51BB3C7A"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12</w:t>
            </w:r>
          </w:p>
        </w:tc>
      </w:tr>
      <w:tr w:rsidR="006E6AD2" w:rsidRPr="006E6AD2" w14:paraId="09B3B4B7" w14:textId="77777777" w:rsidTr="006E6AD2">
        <w:trPr>
          <w:trHeight w:val="300"/>
          <w:jc w:val="center"/>
        </w:trPr>
        <w:tc>
          <w:tcPr>
            <w:tcW w:w="3500" w:type="dxa"/>
            <w:tcBorders>
              <w:top w:val="nil"/>
              <w:left w:val="single" w:sz="8" w:space="0" w:color="auto"/>
              <w:bottom w:val="single" w:sz="8" w:space="0" w:color="auto"/>
              <w:right w:val="single" w:sz="8" w:space="0" w:color="auto"/>
            </w:tcBorders>
            <w:shd w:val="clear" w:color="auto" w:fill="auto"/>
            <w:noWrap/>
            <w:vAlign w:val="center"/>
            <w:hideMark/>
          </w:tcPr>
          <w:p w14:paraId="3E74BB4F" w14:textId="77777777" w:rsidR="006E6AD2" w:rsidRPr="006E6AD2" w:rsidRDefault="006E6AD2" w:rsidP="006E6AD2">
            <w:pPr>
              <w:spacing w:after="0" w:line="240" w:lineRule="auto"/>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Circulante por letrado</w:t>
            </w:r>
          </w:p>
        </w:tc>
        <w:tc>
          <w:tcPr>
            <w:tcW w:w="940" w:type="dxa"/>
            <w:tcBorders>
              <w:top w:val="nil"/>
              <w:left w:val="nil"/>
              <w:bottom w:val="single" w:sz="8" w:space="0" w:color="auto"/>
              <w:right w:val="single" w:sz="8" w:space="0" w:color="auto"/>
            </w:tcBorders>
            <w:shd w:val="clear" w:color="auto" w:fill="auto"/>
            <w:noWrap/>
            <w:vAlign w:val="center"/>
            <w:hideMark/>
          </w:tcPr>
          <w:p w14:paraId="1F42A888"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160</w:t>
            </w:r>
          </w:p>
        </w:tc>
        <w:tc>
          <w:tcPr>
            <w:tcW w:w="940" w:type="dxa"/>
            <w:tcBorders>
              <w:top w:val="nil"/>
              <w:left w:val="nil"/>
              <w:bottom w:val="single" w:sz="8" w:space="0" w:color="auto"/>
              <w:right w:val="single" w:sz="8" w:space="0" w:color="auto"/>
            </w:tcBorders>
            <w:shd w:val="clear" w:color="auto" w:fill="auto"/>
            <w:noWrap/>
            <w:vAlign w:val="center"/>
            <w:hideMark/>
          </w:tcPr>
          <w:p w14:paraId="5B483349"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233</w:t>
            </w:r>
          </w:p>
        </w:tc>
        <w:tc>
          <w:tcPr>
            <w:tcW w:w="940" w:type="dxa"/>
            <w:tcBorders>
              <w:top w:val="nil"/>
              <w:left w:val="nil"/>
              <w:bottom w:val="single" w:sz="8" w:space="0" w:color="auto"/>
              <w:right w:val="single" w:sz="8" w:space="0" w:color="auto"/>
            </w:tcBorders>
            <w:shd w:val="clear" w:color="auto" w:fill="auto"/>
            <w:noWrap/>
            <w:vAlign w:val="center"/>
            <w:hideMark/>
          </w:tcPr>
          <w:p w14:paraId="7BE4551A"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262</w:t>
            </w:r>
          </w:p>
        </w:tc>
        <w:tc>
          <w:tcPr>
            <w:tcW w:w="940" w:type="dxa"/>
            <w:tcBorders>
              <w:top w:val="nil"/>
              <w:left w:val="nil"/>
              <w:bottom w:val="single" w:sz="8" w:space="0" w:color="auto"/>
              <w:right w:val="single" w:sz="8" w:space="0" w:color="auto"/>
            </w:tcBorders>
            <w:shd w:val="clear" w:color="auto" w:fill="auto"/>
            <w:noWrap/>
            <w:vAlign w:val="center"/>
            <w:hideMark/>
          </w:tcPr>
          <w:p w14:paraId="01A1C1A2"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273</w:t>
            </w:r>
          </w:p>
        </w:tc>
        <w:tc>
          <w:tcPr>
            <w:tcW w:w="820" w:type="dxa"/>
            <w:tcBorders>
              <w:top w:val="nil"/>
              <w:left w:val="nil"/>
              <w:bottom w:val="single" w:sz="8" w:space="0" w:color="auto"/>
              <w:right w:val="single" w:sz="8" w:space="0" w:color="auto"/>
            </w:tcBorders>
            <w:shd w:val="clear" w:color="auto" w:fill="auto"/>
            <w:noWrap/>
            <w:vAlign w:val="center"/>
            <w:hideMark/>
          </w:tcPr>
          <w:p w14:paraId="358E08A4"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394</w:t>
            </w:r>
          </w:p>
        </w:tc>
        <w:tc>
          <w:tcPr>
            <w:tcW w:w="1240" w:type="dxa"/>
            <w:tcBorders>
              <w:top w:val="nil"/>
              <w:left w:val="nil"/>
              <w:bottom w:val="single" w:sz="8" w:space="0" w:color="auto"/>
              <w:right w:val="single" w:sz="8" w:space="0" w:color="auto"/>
            </w:tcBorders>
            <w:shd w:val="clear" w:color="auto" w:fill="auto"/>
            <w:noWrap/>
            <w:vAlign w:val="center"/>
            <w:hideMark/>
          </w:tcPr>
          <w:p w14:paraId="24EE5C8A"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223</w:t>
            </w:r>
          </w:p>
        </w:tc>
        <w:tc>
          <w:tcPr>
            <w:tcW w:w="1100" w:type="dxa"/>
            <w:tcBorders>
              <w:top w:val="nil"/>
              <w:left w:val="nil"/>
              <w:bottom w:val="single" w:sz="8" w:space="0" w:color="auto"/>
              <w:right w:val="single" w:sz="8" w:space="0" w:color="auto"/>
            </w:tcBorders>
            <w:shd w:val="clear" w:color="000000" w:fill="BDD7EE"/>
            <w:noWrap/>
            <w:vAlign w:val="center"/>
            <w:hideMark/>
          </w:tcPr>
          <w:p w14:paraId="6760DAB8" w14:textId="77777777" w:rsidR="006E6AD2" w:rsidRPr="006E6AD2" w:rsidRDefault="006E6AD2" w:rsidP="006E6AD2">
            <w:pPr>
              <w:spacing w:after="0" w:line="240" w:lineRule="auto"/>
              <w:jc w:val="center"/>
              <w:rPr>
                <w:rFonts w:ascii="Book Antiqua" w:eastAsia="Times New Roman" w:hAnsi="Book Antiqua" w:cs="Calibri"/>
                <w:color w:val="000000"/>
                <w:sz w:val="20"/>
                <w:szCs w:val="20"/>
                <w:lang w:eastAsia="es-CR"/>
              </w:rPr>
            </w:pPr>
            <w:r w:rsidRPr="006E6AD2">
              <w:rPr>
                <w:rFonts w:ascii="Book Antiqua" w:eastAsia="Times New Roman" w:hAnsi="Book Antiqua" w:cs="Calibri"/>
                <w:color w:val="000000"/>
                <w:sz w:val="20"/>
                <w:szCs w:val="20"/>
                <w:lang w:eastAsia="es-CR"/>
              </w:rPr>
              <w:t>192</w:t>
            </w:r>
          </w:p>
        </w:tc>
      </w:tr>
    </w:tbl>
    <w:p w14:paraId="33E4A078" w14:textId="7CFC94B7" w:rsidR="00340FF2" w:rsidRDefault="00340FF2" w:rsidP="00340FF2">
      <w:pPr>
        <w:spacing w:after="0" w:line="276" w:lineRule="auto"/>
        <w:jc w:val="both"/>
        <w:rPr>
          <w:rFonts w:ascii="Book Antiqua" w:eastAsia="Calibri" w:hAnsi="Book Antiqua" w:cs="Arial"/>
          <w:i/>
          <w:iCs/>
          <w:sz w:val="20"/>
          <w:szCs w:val="20"/>
        </w:rPr>
      </w:pPr>
      <w:r w:rsidRPr="00B8406C">
        <w:rPr>
          <w:rFonts w:ascii="Book Antiqua" w:eastAsia="Calibri" w:hAnsi="Book Antiqua" w:cs="Arial"/>
          <w:b/>
          <w:bCs/>
          <w:i/>
          <w:iCs/>
          <w:sz w:val="20"/>
          <w:szCs w:val="20"/>
        </w:rPr>
        <w:t>Fuente:</w:t>
      </w:r>
      <w:r>
        <w:rPr>
          <w:rFonts w:ascii="Book Antiqua" w:eastAsia="Calibri" w:hAnsi="Book Antiqua" w:cs="Arial"/>
          <w:i/>
          <w:iCs/>
          <w:sz w:val="20"/>
          <w:szCs w:val="20"/>
        </w:rPr>
        <w:t xml:space="preserve"> </w:t>
      </w:r>
      <w:r w:rsidR="0071570B">
        <w:rPr>
          <w:rFonts w:ascii="Book Antiqua" w:eastAsia="Calibri" w:hAnsi="Book Antiqua" w:cs="Arial"/>
          <w:i/>
          <w:iCs/>
          <w:sz w:val="20"/>
          <w:szCs w:val="20"/>
        </w:rPr>
        <w:t xml:space="preserve">Subproceso de </w:t>
      </w:r>
      <w:r>
        <w:rPr>
          <w:rFonts w:ascii="Book Antiqua" w:eastAsia="Calibri" w:hAnsi="Book Antiqua" w:cs="Arial"/>
          <w:i/>
          <w:iCs/>
          <w:sz w:val="20"/>
          <w:szCs w:val="20"/>
        </w:rPr>
        <w:t>Modernización Institucional</w:t>
      </w:r>
      <w:r w:rsidR="0071570B">
        <w:rPr>
          <w:rFonts w:ascii="Book Antiqua" w:eastAsia="Calibri" w:hAnsi="Book Antiqua" w:cs="Arial"/>
          <w:i/>
          <w:iCs/>
          <w:sz w:val="20"/>
          <w:szCs w:val="20"/>
        </w:rPr>
        <w:t xml:space="preserve"> con datos del Subproceso de Estadística</w:t>
      </w:r>
      <w:r w:rsidR="006E6AD2">
        <w:rPr>
          <w:rFonts w:ascii="Book Antiqua" w:eastAsia="Calibri" w:hAnsi="Book Antiqua" w:cs="Arial"/>
          <w:i/>
          <w:iCs/>
          <w:sz w:val="20"/>
          <w:szCs w:val="20"/>
        </w:rPr>
        <w:t xml:space="preserve"> y consulta del Balance General Interactivo del 7/3/2023</w:t>
      </w:r>
      <w:r>
        <w:rPr>
          <w:rFonts w:ascii="Book Antiqua" w:eastAsia="Calibri" w:hAnsi="Book Antiqua" w:cs="Arial"/>
          <w:i/>
          <w:iCs/>
          <w:sz w:val="20"/>
          <w:szCs w:val="20"/>
        </w:rPr>
        <w:t>.</w:t>
      </w:r>
    </w:p>
    <w:p w14:paraId="64ECDE47" w14:textId="77777777" w:rsidR="00340FF2" w:rsidRDefault="00340FF2" w:rsidP="00340FF2">
      <w:pPr>
        <w:spacing w:after="0" w:line="276" w:lineRule="auto"/>
        <w:jc w:val="both"/>
        <w:rPr>
          <w:rFonts w:ascii="Book Antiqua" w:eastAsia="Calibri" w:hAnsi="Book Antiqua" w:cs="Arial"/>
          <w:i/>
          <w:iCs/>
          <w:sz w:val="20"/>
          <w:szCs w:val="20"/>
        </w:rPr>
      </w:pPr>
    </w:p>
    <w:p w14:paraId="6E183CF5" w14:textId="6FFFE97C"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De aprobarse la creación de las plazas citadas, según “</w:t>
      </w:r>
      <w:r w:rsidRPr="001D0C10">
        <w:rPr>
          <w:rFonts w:ascii="Book Antiqua" w:eastAsia="Calibri" w:hAnsi="Book Antiqua" w:cs="Arial"/>
          <w:i/>
          <w:iCs/>
          <w:sz w:val="24"/>
          <w:szCs w:val="24"/>
        </w:rPr>
        <w:t>escenario CPF</w:t>
      </w:r>
      <w:r w:rsidRPr="001D0C10">
        <w:rPr>
          <w:rFonts w:ascii="Book Antiqua" w:eastAsia="Calibri" w:hAnsi="Book Antiqua" w:cs="Arial"/>
          <w:sz w:val="24"/>
          <w:szCs w:val="24"/>
        </w:rPr>
        <w:t xml:space="preserve">”, la entrada por </w:t>
      </w:r>
      <w:r w:rsidRPr="00797B0C">
        <w:rPr>
          <w:rFonts w:ascii="Book Antiqua" w:eastAsia="Calibri" w:hAnsi="Book Antiqua" w:cs="Arial"/>
          <w:sz w:val="24"/>
          <w:szCs w:val="24"/>
        </w:rPr>
        <w:t xml:space="preserve">plaza sería de 12 asuntos, y el circulante de </w:t>
      </w:r>
      <w:r w:rsidR="00797B0C" w:rsidRPr="00797B0C">
        <w:rPr>
          <w:rFonts w:ascii="Book Antiqua" w:eastAsia="Calibri" w:hAnsi="Book Antiqua" w:cs="Arial"/>
          <w:sz w:val="24"/>
          <w:szCs w:val="24"/>
        </w:rPr>
        <w:t>192</w:t>
      </w:r>
      <w:r w:rsidRPr="00797B0C">
        <w:rPr>
          <w:rFonts w:ascii="Book Antiqua" w:eastAsia="Calibri" w:hAnsi="Book Antiqua" w:cs="Arial"/>
          <w:sz w:val="24"/>
          <w:szCs w:val="24"/>
        </w:rPr>
        <w:t xml:space="preserve"> casos en promedio</w:t>
      </w:r>
      <w:r w:rsidR="00AC1B0B" w:rsidRPr="00797B0C">
        <w:rPr>
          <w:rFonts w:ascii="Book Antiqua" w:eastAsia="Calibri" w:hAnsi="Book Antiqua" w:cs="Arial"/>
          <w:sz w:val="24"/>
          <w:szCs w:val="24"/>
        </w:rPr>
        <w:t xml:space="preserve"> por</w:t>
      </w:r>
      <w:r w:rsidR="00AC1B0B">
        <w:rPr>
          <w:rFonts w:ascii="Book Antiqua" w:eastAsia="Calibri" w:hAnsi="Book Antiqua" w:cs="Arial"/>
          <w:sz w:val="24"/>
          <w:szCs w:val="24"/>
        </w:rPr>
        <w:t xml:space="preserve"> letrado</w:t>
      </w:r>
      <w:r w:rsidRPr="001D0C10">
        <w:rPr>
          <w:rFonts w:ascii="Book Antiqua" w:eastAsia="Calibri" w:hAnsi="Book Antiqua" w:cs="Arial"/>
          <w:sz w:val="24"/>
          <w:szCs w:val="24"/>
        </w:rPr>
        <w:t xml:space="preserve">. Aún por encima de </w:t>
      </w:r>
      <w:r w:rsidRPr="00584BE8">
        <w:rPr>
          <w:rFonts w:ascii="Book Antiqua" w:eastAsia="Calibri" w:hAnsi="Book Antiqua" w:cs="Arial"/>
          <w:sz w:val="24"/>
          <w:szCs w:val="24"/>
        </w:rPr>
        <w:t>la situación inicial</w:t>
      </w:r>
      <w:r w:rsidRPr="001D0C10">
        <w:rPr>
          <w:rFonts w:ascii="Book Antiqua" w:eastAsia="Calibri" w:hAnsi="Book Antiqua" w:cs="Arial"/>
          <w:sz w:val="24"/>
          <w:szCs w:val="24"/>
        </w:rPr>
        <w:t xml:space="preserve"> de la Sala </w:t>
      </w:r>
      <w:r>
        <w:rPr>
          <w:rFonts w:ascii="Book Antiqua" w:eastAsia="Calibri" w:hAnsi="Book Antiqua" w:cs="Arial"/>
          <w:sz w:val="24"/>
          <w:szCs w:val="24"/>
        </w:rPr>
        <w:t xml:space="preserve">Segunda </w:t>
      </w:r>
      <w:r w:rsidRPr="001D0C10">
        <w:rPr>
          <w:rFonts w:ascii="Book Antiqua" w:eastAsia="Calibri" w:hAnsi="Book Antiqua" w:cs="Arial"/>
          <w:sz w:val="24"/>
          <w:szCs w:val="24"/>
        </w:rPr>
        <w:t xml:space="preserve">en 2016 y años anteriores. </w:t>
      </w:r>
    </w:p>
    <w:p w14:paraId="609BBD32" w14:textId="77777777" w:rsidR="006B501C" w:rsidRDefault="006B501C" w:rsidP="006B501C">
      <w:pPr>
        <w:spacing w:after="0" w:line="276" w:lineRule="auto"/>
        <w:jc w:val="both"/>
        <w:rPr>
          <w:rFonts w:ascii="Book Antiqua" w:eastAsia="Calibri" w:hAnsi="Book Antiqua" w:cs="Arial"/>
          <w:sz w:val="24"/>
          <w:szCs w:val="24"/>
        </w:rPr>
      </w:pPr>
    </w:p>
    <w:p w14:paraId="34DDC8A3" w14:textId="25957525" w:rsidR="006B501C" w:rsidRDefault="006B501C"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resumen: se plantea </w:t>
      </w:r>
      <w:r w:rsidRPr="00076886">
        <w:rPr>
          <w:rFonts w:ascii="Book Antiqua" w:eastAsia="Calibri" w:hAnsi="Book Antiqua" w:cs="Arial"/>
          <w:sz w:val="24"/>
          <w:szCs w:val="24"/>
        </w:rPr>
        <w:t xml:space="preserve">la creación de </w:t>
      </w:r>
      <w:r w:rsidR="00CF4F4F">
        <w:rPr>
          <w:rFonts w:ascii="Book Antiqua" w:eastAsia="Calibri" w:hAnsi="Book Antiqua" w:cs="Arial"/>
          <w:sz w:val="24"/>
          <w:szCs w:val="24"/>
        </w:rPr>
        <w:t>una</w:t>
      </w:r>
      <w:r w:rsidRPr="00076886">
        <w:rPr>
          <w:rFonts w:ascii="Book Antiqua" w:eastAsia="Calibri" w:hAnsi="Book Antiqua" w:cs="Arial"/>
          <w:sz w:val="24"/>
          <w:szCs w:val="24"/>
        </w:rPr>
        <w:t xml:space="preserve"> plaza nueva extraordinaria de </w:t>
      </w:r>
      <w:r>
        <w:rPr>
          <w:rFonts w:ascii="Book Antiqua" w:eastAsia="Calibri" w:hAnsi="Book Antiqua" w:cs="Arial"/>
          <w:sz w:val="24"/>
          <w:szCs w:val="24"/>
        </w:rPr>
        <w:t>Profesional en Derecho 3B</w:t>
      </w:r>
      <w:r w:rsidR="00CF4F4F">
        <w:rPr>
          <w:rFonts w:ascii="Book Antiqua" w:eastAsia="Calibri" w:hAnsi="Book Antiqua" w:cs="Arial"/>
          <w:sz w:val="24"/>
          <w:szCs w:val="24"/>
        </w:rPr>
        <w:t xml:space="preserve"> (atención de procesos de auxilio internacional)</w:t>
      </w:r>
      <w:r>
        <w:rPr>
          <w:rFonts w:ascii="Book Antiqua" w:eastAsia="Calibri" w:hAnsi="Book Antiqua" w:cs="Arial"/>
          <w:sz w:val="24"/>
          <w:szCs w:val="24"/>
        </w:rPr>
        <w:t xml:space="preserve">, dos Técnicos de Sala </w:t>
      </w:r>
      <w:r w:rsidRPr="00076886">
        <w:rPr>
          <w:rFonts w:ascii="Book Antiqua" w:eastAsia="Calibri" w:hAnsi="Book Antiqua" w:cs="Arial"/>
          <w:sz w:val="24"/>
          <w:szCs w:val="24"/>
        </w:rPr>
        <w:t xml:space="preserve">y dos </w:t>
      </w:r>
      <w:r>
        <w:rPr>
          <w:rFonts w:ascii="Book Antiqua" w:eastAsia="Calibri" w:hAnsi="Book Antiqua" w:cs="Arial"/>
          <w:sz w:val="24"/>
          <w:szCs w:val="24"/>
        </w:rPr>
        <w:t xml:space="preserve">Técnicos Judiciales 3, </w:t>
      </w:r>
      <w:r w:rsidRPr="00076886">
        <w:rPr>
          <w:rFonts w:ascii="Book Antiqua" w:eastAsia="Calibri" w:hAnsi="Book Antiqua" w:cs="Arial"/>
          <w:sz w:val="24"/>
          <w:szCs w:val="24"/>
        </w:rPr>
        <w:t>para completar la estructura de trabajo calculada de</w:t>
      </w:r>
      <w:r>
        <w:rPr>
          <w:rFonts w:ascii="Book Antiqua" w:eastAsia="Calibri" w:hAnsi="Book Antiqua" w:cs="Arial"/>
          <w:sz w:val="24"/>
          <w:szCs w:val="24"/>
        </w:rPr>
        <w:t xml:space="preserve"> </w:t>
      </w:r>
      <w:r w:rsidRPr="00076886">
        <w:rPr>
          <w:rFonts w:ascii="Book Antiqua" w:eastAsia="Calibri" w:hAnsi="Book Antiqua" w:cs="Arial"/>
          <w:sz w:val="24"/>
          <w:szCs w:val="24"/>
        </w:rPr>
        <w:t>l</w:t>
      </w:r>
      <w:r>
        <w:rPr>
          <w:rFonts w:ascii="Book Antiqua" w:eastAsia="Calibri" w:hAnsi="Book Antiqua" w:cs="Arial"/>
          <w:sz w:val="24"/>
          <w:szCs w:val="24"/>
        </w:rPr>
        <w:t>a</w:t>
      </w:r>
      <w:r w:rsidRPr="00076886">
        <w:rPr>
          <w:rFonts w:ascii="Book Antiqua" w:eastAsia="Calibri" w:hAnsi="Book Antiqua" w:cs="Arial"/>
          <w:sz w:val="24"/>
          <w:szCs w:val="24"/>
        </w:rPr>
        <w:t xml:space="preserve"> </w:t>
      </w:r>
      <w:r>
        <w:rPr>
          <w:rFonts w:ascii="Book Antiqua" w:eastAsia="Calibri" w:hAnsi="Book Antiqua" w:cs="Arial"/>
          <w:sz w:val="24"/>
          <w:szCs w:val="24"/>
        </w:rPr>
        <w:t>Sala Segunda, d</w:t>
      </w:r>
      <w:r w:rsidRPr="00076886">
        <w:rPr>
          <w:rFonts w:ascii="Book Antiqua" w:eastAsia="Calibri" w:hAnsi="Book Antiqua" w:cs="Arial"/>
          <w:sz w:val="24"/>
          <w:szCs w:val="24"/>
        </w:rPr>
        <w:t>onde se identificó necesidad de personal. El cambio en la estructura se plantea en el siguiente cuadro.</w:t>
      </w:r>
    </w:p>
    <w:p w14:paraId="3B66F366" w14:textId="18B16453" w:rsidR="006B501C" w:rsidRPr="00076886"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t xml:space="preserve">Cuadro </w:t>
      </w:r>
      <w:r w:rsidRPr="00076886">
        <w:rPr>
          <w:rFonts w:ascii="Book Antiqua" w:eastAsia="Calibri" w:hAnsi="Book Antiqua" w:cs="Arial"/>
          <w:b/>
          <w:bCs/>
          <w:color w:val="1F497D"/>
          <w:szCs w:val="24"/>
          <w:lang w:val="es-ES" w:eastAsia="es-ES"/>
        </w:rPr>
        <w:fldChar w:fldCharType="begin"/>
      </w:r>
      <w:r w:rsidRPr="00076886">
        <w:rPr>
          <w:rFonts w:ascii="Book Antiqua" w:eastAsia="Calibri" w:hAnsi="Book Antiqua" w:cs="Arial"/>
          <w:b/>
          <w:bCs/>
          <w:color w:val="1F497D"/>
          <w:szCs w:val="24"/>
          <w:lang w:val="es-ES" w:eastAsia="es-ES"/>
        </w:rPr>
        <w:instrText xml:space="preserve"> SEQ Cuadro \* ARABIC </w:instrText>
      </w:r>
      <w:r w:rsidRPr="00076886">
        <w:rPr>
          <w:rFonts w:ascii="Book Antiqua" w:eastAsia="Calibri" w:hAnsi="Book Antiqua" w:cs="Arial"/>
          <w:b/>
          <w:bCs/>
          <w:color w:val="1F497D"/>
          <w:szCs w:val="24"/>
          <w:lang w:val="es-ES" w:eastAsia="es-ES"/>
        </w:rPr>
        <w:fldChar w:fldCharType="separate"/>
      </w:r>
      <w:r w:rsidR="00CE6F72">
        <w:rPr>
          <w:rFonts w:ascii="Book Antiqua" w:eastAsia="Calibri" w:hAnsi="Book Antiqua" w:cs="Arial"/>
          <w:b/>
          <w:bCs/>
          <w:noProof/>
          <w:color w:val="1F497D"/>
          <w:szCs w:val="24"/>
          <w:lang w:val="es-ES" w:eastAsia="es-ES"/>
        </w:rPr>
        <w:t>60</w:t>
      </w:r>
      <w:r w:rsidRPr="00076886">
        <w:rPr>
          <w:rFonts w:ascii="Book Antiqua" w:eastAsia="Calibri" w:hAnsi="Book Antiqua" w:cs="Arial"/>
          <w:b/>
          <w:bCs/>
          <w:color w:val="1F497D"/>
          <w:szCs w:val="24"/>
          <w:lang w:val="es-ES" w:eastAsia="es-ES"/>
        </w:rPr>
        <w:fldChar w:fldCharType="end"/>
      </w:r>
      <w:r w:rsidRPr="00076886">
        <w:rPr>
          <w:rFonts w:ascii="Book Antiqua" w:eastAsia="Calibri" w:hAnsi="Book Antiqua" w:cs="Arial"/>
          <w:b/>
          <w:bCs/>
          <w:color w:val="1F497D"/>
          <w:szCs w:val="24"/>
          <w:lang w:val="es-ES" w:eastAsia="es-ES"/>
        </w:rPr>
        <w:t xml:space="preserve"> </w:t>
      </w:r>
    </w:p>
    <w:p w14:paraId="77947641" w14:textId="77777777" w:rsidR="006B501C" w:rsidRPr="00076886"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Estructura</w:t>
      </w:r>
      <w:r w:rsidRPr="00076886">
        <w:rPr>
          <w:rFonts w:ascii="Book Antiqua" w:eastAsia="Calibri" w:hAnsi="Book Antiqua" w:cs="Arial"/>
          <w:b/>
          <w:bCs/>
          <w:color w:val="1F497D"/>
          <w:szCs w:val="24"/>
          <w:lang w:val="es-ES" w:eastAsia="es-ES"/>
        </w:rPr>
        <w:t xml:space="preserve"> propuesta de </w:t>
      </w:r>
      <w:r>
        <w:rPr>
          <w:rFonts w:ascii="Book Antiqua" w:eastAsia="Calibri" w:hAnsi="Book Antiqua" w:cs="Arial"/>
          <w:b/>
          <w:bCs/>
          <w:color w:val="1F497D"/>
          <w:szCs w:val="24"/>
          <w:lang w:val="es-ES" w:eastAsia="es-ES"/>
        </w:rPr>
        <w:t>la Sala Segunda</w:t>
      </w:r>
    </w:p>
    <w:tbl>
      <w:tblPr>
        <w:tblW w:w="9040" w:type="dxa"/>
        <w:tblCellMar>
          <w:left w:w="70" w:type="dxa"/>
          <w:right w:w="70" w:type="dxa"/>
        </w:tblCellMar>
        <w:tblLook w:val="04A0" w:firstRow="1" w:lastRow="0" w:firstColumn="1" w:lastColumn="0" w:noHBand="0" w:noVBand="1"/>
      </w:tblPr>
      <w:tblGrid>
        <w:gridCol w:w="2460"/>
        <w:gridCol w:w="3260"/>
        <w:gridCol w:w="3320"/>
      </w:tblGrid>
      <w:tr w:rsidR="006B501C" w:rsidRPr="00386C33" w14:paraId="522B1F6E" w14:textId="77777777" w:rsidTr="00035934">
        <w:trPr>
          <w:trHeight w:val="590"/>
        </w:trPr>
        <w:tc>
          <w:tcPr>
            <w:tcW w:w="246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15899287"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bookmarkStart w:id="74" w:name="_Hlk97897908"/>
            <w:r w:rsidRPr="00386C33">
              <w:rPr>
                <w:rFonts w:ascii="Book Antiqua" w:eastAsia="Times New Roman" w:hAnsi="Book Antiqua" w:cs="Calibri"/>
                <w:b/>
                <w:bCs/>
                <w:color w:val="FFFFFF"/>
                <w:lang w:eastAsia="es-CR"/>
              </w:rPr>
              <w:t>Sala Segunda</w:t>
            </w:r>
          </w:p>
        </w:tc>
        <w:tc>
          <w:tcPr>
            <w:tcW w:w="3260" w:type="dxa"/>
            <w:tcBorders>
              <w:top w:val="single" w:sz="8" w:space="0" w:color="auto"/>
              <w:left w:val="nil"/>
              <w:bottom w:val="single" w:sz="8" w:space="0" w:color="auto"/>
              <w:right w:val="single" w:sz="8" w:space="0" w:color="auto"/>
            </w:tcBorders>
            <w:shd w:val="clear" w:color="000000" w:fill="002060"/>
            <w:vAlign w:val="center"/>
            <w:hideMark/>
          </w:tcPr>
          <w:p w14:paraId="59C702B5"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r w:rsidRPr="00386C33">
              <w:rPr>
                <w:rFonts w:ascii="Book Antiqua" w:eastAsia="Times New Roman" w:hAnsi="Book Antiqua" w:cs="Calibri"/>
                <w:b/>
                <w:bCs/>
                <w:color w:val="FFFFFF"/>
                <w:lang w:eastAsia="es-CR"/>
              </w:rPr>
              <w:t>Estructura orgánica funcional actual de la Sala Segunda</w:t>
            </w:r>
          </w:p>
        </w:tc>
        <w:tc>
          <w:tcPr>
            <w:tcW w:w="3320" w:type="dxa"/>
            <w:tcBorders>
              <w:top w:val="single" w:sz="8" w:space="0" w:color="auto"/>
              <w:left w:val="nil"/>
              <w:bottom w:val="single" w:sz="8" w:space="0" w:color="auto"/>
              <w:right w:val="single" w:sz="8" w:space="0" w:color="auto"/>
            </w:tcBorders>
            <w:shd w:val="clear" w:color="000000" w:fill="002060"/>
            <w:vAlign w:val="center"/>
            <w:hideMark/>
          </w:tcPr>
          <w:p w14:paraId="42BFC666"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r w:rsidRPr="00386C33">
              <w:rPr>
                <w:rFonts w:ascii="Book Antiqua" w:eastAsia="Times New Roman" w:hAnsi="Book Antiqua" w:cs="Calibri"/>
                <w:b/>
                <w:bCs/>
                <w:color w:val="FFFFFF"/>
                <w:lang w:eastAsia="es-CR"/>
              </w:rPr>
              <w:t>Estructura Propuesta</w:t>
            </w:r>
          </w:p>
        </w:tc>
      </w:tr>
      <w:tr w:rsidR="006B501C" w:rsidRPr="00386C33" w14:paraId="164C723E" w14:textId="77777777" w:rsidTr="00035934">
        <w:trPr>
          <w:trHeight w:val="300"/>
        </w:trPr>
        <w:tc>
          <w:tcPr>
            <w:tcW w:w="2460" w:type="dxa"/>
            <w:vMerge w:val="restart"/>
            <w:tcBorders>
              <w:top w:val="nil"/>
              <w:left w:val="single" w:sz="8" w:space="0" w:color="auto"/>
              <w:bottom w:val="single" w:sz="8" w:space="0" w:color="000000"/>
              <w:right w:val="single" w:sz="8" w:space="0" w:color="auto"/>
            </w:tcBorders>
            <w:shd w:val="clear" w:color="auto" w:fill="auto"/>
            <w:vAlign w:val="center"/>
            <w:hideMark/>
          </w:tcPr>
          <w:p w14:paraId="5B6199C6"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Sala Segunda</w:t>
            </w:r>
          </w:p>
        </w:tc>
        <w:tc>
          <w:tcPr>
            <w:tcW w:w="3260" w:type="dxa"/>
            <w:tcBorders>
              <w:top w:val="nil"/>
              <w:left w:val="nil"/>
              <w:bottom w:val="single" w:sz="8" w:space="0" w:color="auto"/>
              <w:right w:val="single" w:sz="8" w:space="0" w:color="auto"/>
            </w:tcBorders>
            <w:shd w:val="clear" w:color="auto" w:fill="auto"/>
            <w:vAlign w:val="center"/>
            <w:hideMark/>
          </w:tcPr>
          <w:p w14:paraId="4A552077"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Magistrado Presidente</w:t>
            </w:r>
          </w:p>
        </w:tc>
        <w:tc>
          <w:tcPr>
            <w:tcW w:w="3320" w:type="dxa"/>
            <w:tcBorders>
              <w:top w:val="nil"/>
              <w:left w:val="nil"/>
              <w:bottom w:val="single" w:sz="8" w:space="0" w:color="auto"/>
              <w:right w:val="single" w:sz="8" w:space="0" w:color="auto"/>
            </w:tcBorders>
            <w:shd w:val="clear" w:color="auto" w:fill="auto"/>
            <w:vAlign w:val="center"/>
            <w:hideMark/>
          </w:tcPr>
          <w:p w14:paraId="3ECB3F69"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Magistrado Presidente</w:t>
            </w:r>
          </w:p>
        </w:tc>
      </w:tr>
      <w:tr w:rsidR="006B501C" w:rsidRPr="00386C33" w14:paraId="0264C13A"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DC778DD"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8745C93"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4 Magistrados</w:t>
            </w:r>
          </w:p>
        </w:tc>
        <w:tc>
          <w:tcPr>
            <w:tcW w:w="3320" w:type="dxa"/>
            <w:tcBorders>
              <w:top w:val="nil"/>
              <w:left w:val="nil"/>
              <w:bottom w:val="single" w:sz="8" w:space="0" w:color="auto"/>
              <w:right w:val="single" w:sz="8" w:space="0" w:color="auto"/>
            </w:tcBorders>
            <w:shd w:val="clear" w:color="auto" w:fill="auto"/>
            <w:vAlign w:val="center"/>
            <w:hideMark/>
          </w:tcPr>
          <w:p w14:paraId="6310464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4 Magistrados</w:t>
            </w:r>
          </w:p>
        </w:tc>
      </w:tr>
      <w:tr w:rsidR="006B501C" w:rsidRPr="00386C33" w14:paraId="009D2968"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6E5580B8"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61380AF4" w14:textId="4AEEB763" w:rsidR="006B501C" w:rsidRPr="00386C33" w:rsidRDefault="00CF4F4F" w:rsidP="00035934">
            <w:pPr>
              <w:spacing w:after="0" w:line="240" w:lineRule="auto"/>
              <w:jc w:val="both"/>
              <w:rPr>
                <w:rFonts w:ascii="Book Antiqua" w:eastAsia="Times New Roman" w:hAnsi="Book Antiqua" w:cs="Calibri"/>
                <w:color w:val="000000"/>
                <w:lang w:eastAsia="es-CR"/>
              </w:rPr>
            </w:pPr>
            <w:r>
              <w:rPr>
                <w:rFonts w:ascii="Book Antiqua" w:eastAsia="Times New Roman" w:hAnsi="Book Antiqua" w:cs="Calibri"/>
                <w:color w:val="000000"/>
                <w:lang w:eastAsia="es-CR"/>
              </w:rPr>
              <w:t>21</w:t>
            </w:r>
            <w:r w:rsidR="006B501C" w:rsidRPr="00386C33">
              <w:rPr>
                <w:rFonts w:ascii="Book Antiqua" w:eastAsia="Times New Roman" w:hAnsi="Book Antiqua" w:cs="Calibri"/>
                <w:color w:val="000000"/>
                <w:lang w:eastAsia="es-CR"/>
              </w:rPr>
              <w:t xml:space="preserve"> Profesionales en Derecho 3B</w:t>
            </w:r>
          </w:p>
        </w:tc>
        <w:tc>
          <w:tcPr>
            <w:tcW w:w="3320" w:type="dxa"/>
            <w:tcBorders>
              <w:top w:val="nil"/>
              <w:left w:val="nil"/>
              <w:bottom w:val="single" w:sz="8" w:space="0" w:color="auto"/>
              <w:right w:val="single" w:sz="8" w:space="0" w:color="auto"/>
            </w:tcBorders>
            <w:shd w:val="clear" w:color="auto" w:fill="auto"/>
            <w:vAlign w:val="center"/>
            <w:hideMark/>
          </w:tcPr>
          <w:p w14:paraId="3E092A00"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22 Profesionales en Derecho 3B</w:t>
            </w:r>
          </w:p>
        </w:tc>
      </w:tr>
      <w:tr w:rsidR="006B501C" w:rsidRPr="00386C33" w14:paraId="169D0C34"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84A215F"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EEF01E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Secretario Sala</w:t>
            </w:r>
          </w:p>
        </w:tc>
        <w:tc>
          <w:tcPr>
            <w:tcW w:w="3320" w:type="dxa"/>
            <w:tcBorders>
              <w:top w:val="nil"/>
              <w:left w:val="nil"/>
              <w:bottom w:val="single" w:sz="8" w:space="0" w:color="auto"/>
              <w:right w:val="single" w:sz="8" w:space="0" w:color="auto"/>
            </w:tcBorders>
            <w:shd w:val="clear" w:color="auto" w:fill="auto"/>
            <w:vAlign w:val="center"/>
            <w:hideMark/>
          </w:tcPr>
          <w:p w14:paraId="72287F00"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Secretario Sala</w:t>
            </w:r>
          </w:p>
        </w:tc>
      </w:tr>
      <w:tr w:rsidR="006B501C" w:rsidRPr="00386C33" w14:paraId="3D65B1DF"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1E9DB45"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238D984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Secretaria Ejecutiva 3</w:t>
            </w:r>
          </w:p>
        </w:tc>
        <w:tc>
          <w:tcPr>
            <w:tcW w:w="3320" w:type="dxa"/>
            <w:tcBorders>
              <w:top w:val="nil"/>
              <w:left w:val="nil"/>
              <w:bottom w:val="single" w:sz="8" w:space="0" w:color="auto"/>
              <w:right w:val="single" w:sz="8" w:space="0" w:color="auto"/>
            </w:tcBorders>
            <w:shd w:val="clear" w:color="auto" w:fill="auto"/>
            <w:vAlign w:val="center"/>
            <w:hideMark/>
          </w:tcPr>
          <w:p w14:paraId="0A175D5F"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Secretaria Ejecutiva 3</w:t>
            </w:r>
          </w:p>
        </w:tc>
      </w:tr>
      <w:tr w:rsidR="006B501C" w:rsidRPr="00386C33" w14:paraId="0E3E3FB3"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1657FDF"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2DE748E8" w14:textId="41B40AA8"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Secretaria</w:t>
            </w:r>
            <w:r w:rsidR="00AC1B0B">
              <w:rPr>
                <w:rFonts w:ascii="Book Antiqua" w:eastAsia="Times New Roman" w:hAnsi="Book Antiqua" w:cs="Calibri"/>
                <w:color w:val="000000"/>
                <w:lang w:eastAsia="es-CR"/>
              </w:rPr>
              <w:t>s</w:t>
            </w:r>
            <w:r w:rsidRPr="00386C33">
              <w:rPr>
                <w:rFonts w:ascii="Book Antiqua" w:eastAsia="Times New Roman" w:hAnsi="Book Antiqua" w:cs="Calibri"/>
                <w:color w:val="000000"/>
                <w:lang w:eastAsia="es-CR"/>
              </w:rPr>
              <w:t xml:space="preserve"> Ejecutiva</w:t>
            </w:r>
            <w:r w:rsidR="00AC1B0B">
              <w:rPr>
                <w:rFonts w:ascii="Book Antiqua" w:eastAsia="Times New Roman" w:hAnsi="Book Antiqua" w:cs="Calibri"/>
                <w:color w:val="000000"/>
                <w:lang w:eastAsia="es-CR"/>
              </w:rPr>
              <w:t>s</w:t>
            </w:r>
            <w:r w:rsidRPr="00386C33">
              <w:rPr>
                <w:rFonts w:ascii="Book Antiqua" w:eastAsia="Times New Roman" w:hAnsi="Book Antiqua" w:cs="Calibri"/>
                <w:color w:val="000000"/>
                <w:lang w:eastAsia="es-CR"/>
              </w:rPr>
              <w:t xml:space="preserve"> 2</w:t>
            </w:r>
          </w:p>
        </w:tc>
        <w:tc>
          <w:tcPr>
            <w:tcW w:w="3320" w:type="dxa"/>
            <w:tcBorders>
              <w:top w:val="nil"/>
              <w:left w:val="nil"/>
              <w:bottom w:val="single" w:sz="8" w:space="0" w:color="auto"/>
              <w:right w:val="single" w:sz="8" w:space="0" w:color="auto"/>
            </w:tcBorders>
            <w:shd w:val="clear" w:color="auto" w:fill="auto"/>
            <w:vAlign w:val="center"/>
            <w:hideMark/>
          </w:tcPr>
          <w:p w14:paraId="1CE4BD48" w14:textId="1C6E0EED"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Secretaria</w:t>
            </w:r>
            <w:r w:rsidR="00042C64">
              <w:rPr>
                <w:rFonts w:ascii="Book Antiqua" w:eastAsia="Times New Roman" w:hAnsi="Book Antiqua" w:cs="Calibri"/>
                <w:color w:val="000000"/>
                <w:lang w:eastAsia="es-CR"/>
              </w:rPr>
              <w:t>s</w:t>
            </w:r>
            <w:r w:rsidRPr="00386C33">
              <w:rPr>
                <w:rFonts w:ascii="Book Antiqua" w:eastAsia="Times New Roman" w:hAnsi="Book Antiqua" w:cs="Calibri"/>
                <w:color w:val="000000"/>
                <w:lang w:eastAsia="es-CR"/>
              </w:rPr>
              <w:t xml:space="preserve"> Ejecutiva</w:t>
            </w:r>
            <w:r w:rsidR="003F18BF">
              <w:rPr>
                <w:rFonts w:ascii="Book Antiqua" w:eastAsia="Times New Roman" w:hAnsi="Book Antiqua" w:cs="Calibri"/>
                <w:color w:val="000000"/>
                <w:lang w:eastAsia="es-CR"/>
              </w:rPr>
              <w:t>s</w:t>
            </w:r>
            <w:r w:rsidRPr="00386C33">
              <w:rPr>
                <w:rFonts w:ascii="Book Antiqua" w:eastAsia="Times New Roman" w:hAnsi="Book Antiqua" w:cs="Calibri"/>
                <w:color w:val="000000"/>
                <w:lang w:eastAsia="es-CR"/>
              </w:rPr>
              <w:t xml:space="preserve"> 2</w:t>
            </w:r>
          </w:p>
        </w:tc>
      </w:tr>
      <w:tr w:rsidR="006B501C" w:rsidRPr="00386C33" w14:paraId="41066FFF"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51E6B45"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7B05D87E" w14:textId="3309B1B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3 Técnico</w:t>
            </w:r>
            <w:r w:rsidR="00AC1B0B">
              <w:rPr>
                <w:rFonts w:ascii="Book Antiqua" w:eastAsia="Times New Roman" w:hAnsi="Book Antiqua" w:cs="Calibri"/>
                <w:color w:val="000000"/>
                <w:lang w:eastAsia="es-CR"/>
              </w:rPr>
              <w:t>s</w:t>
            </w:r>
            <w:r w:rsidRPr="00386C33">
              <w:rPr>
                <w:rFonts w:ascii="Book Antiqua" w:eastAsia="Times New Roman" w:hAnsi="Book Antiqua" w:cs="Calibri"/>
                <w:color w:val="000000"/>
                <w:lang w:eastAsia="es-CR"/>
              </w:rPr>
              <w:t xml:space="preserve"> Sala de la Corte</w:t>
            </w:r>
          </w:p>
        </w:tc>
        <w:tc>
          <w:tcPr>
            <w:tcW w:w="3320" w:type="dxa"/>
            <w:tcBorders>
              <w:top w:val="nil"/>
              <w:left w:val="nil"/>
              <w:bottom w:val="single" w:sz="8" w:space="0" w:color="auto"/>
              <w:right w:val="single" w:sz="8" w:space="0" w:color="auto"/>
            </w:tcBorders>
            <w:shd w:val="clear" w:color="auto" w:fill="auto"/>
            <w:vAlign w:val="center"/>
            <w:hideMark/>
          </w:tcPr>
          <w:p w14:paraId="2A4F5897"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Técnico Sala de la Corte</w:t>
            </w:r>
          </w:p>
        </w:tc>
      </w:tr>
      <w:tr w:rsidR="006B501C" w:rsidRPr="00386C33" w14:paraId="3F5F46BC"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F036CFE"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1792092"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 xml:space="preserve">6 Técnicos Judiciales 3 </w:t>
            </w:r>
          </w:p>
        </w:tc>
        <w:tc>
          <w:tcPr>
            <w:tcW w:w="3320" w:type="dxa"/>
            <w:tcBorders>
              <w:top w:val="nil"/>
              <w:left w:val="nil"/>
              <w:bottom w:val="single" w:sz="8" w:space="0" w:color="auto"/>
              <w:right w:val="single" w:sz="8" w:space="0" w:color="auto"/>
            </w:tcBorders>
            <w:shd w:val="clear" w:color="auto" w:fill="auto"/>
            <w:vAlign w:val="center"/>
            <w:hideMark/>
          </w:tcPr>
          <w:p w14:paraId="0EE341C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 xml:space="preserve">8 Técnicos Judiciales 3 </w:t>
            </w:r>
          </w:p>
        </w:tc>
      </w:tr>
      <w:tr w:rsidR="006B501C" w:rsidRPr="00386C33" w14:paraId="44B0C5A6" w14:textId="77777777" w:rsidTr="00035934">
        <w:trPr>
          <w:trHeight w:val="590"/>
        </w:trPr>
        <w:tc>
          <w:tcPr>
            <w:tcW w:w="2460" w:type="dxa"/>
            <w:vMerge/>
            <w:tcBorders>
              <w:top w:val="nil"/>
              <w:left w:val="single" w:sz="8" w:space="0" w:color="auto"/>
              <w:bottom w:val="single" w:sz="8" w:space="0" w:color="000000"/>
              <w:right w:val="single" w:sz="8" w:space="0" w:color="auto"/>
            </w:tcBorders>
            <w:vAlign w:val="center"/>
            <w:hideMark/>
          </w:tcPr>
          <w:p w14:paraId="45297329"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6233D611" w14:textId="77777777" w:rsidR="006B501C" w:rsidRPr="00386C33" w:rsidRDefault="006B501C" w:rsidP="00FB7578">
            <w:pPr>
              <w:spacing w:after="0" w:line="240" w:lineRule="auto"/>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Técnico Judicial Comunicaciones Judiciales</w:t>
            </w:r>
          </w:p>
        </w:tc>
        <w:tc>
          <w:tcPr>
            <w:tcW w:w="3320" w:type="dxa"/>
            <w:tcBorders>
              <w:top w:val="nil"/>
              <w:left w:val="nil"/>
              <w:bottom w:val="single" w:sz="8" w:space="0" w:color="auto"/>
              <w:right w:val="single" w:sz="8" w:space="0" w:color="auto"/>
            </w:tcBorders>
            <w:shd w:val="clear" w:color="auto" w:fill="auto"/>
            <w:vAlign w:val="center"/>
            <w:hideMark/>
          </w:tcPr>
          <w:p w14:paraId="79A832C6" w14:textId="77777777" w:rsidR="006B501C" w:rsidRPr="00386C33" w:rsidRDefault="006B501C" w:rsidP="00FB7578">
            <w:pPr>
              <w:spacing w:after="0" w:line="240" w:lineRule="auto"/>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Técnico Judicial Comunicaciones Judiciales</w:t>
            </w:r>
          </w:p>
        </w:tc>
      </w:tr>
      <w:tr w:rsidR="006B501C" w:rsidRPr="00386C33" w14:paraId="312E098E"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4C9B448D"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7BA1A77E"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Aux. Serv. Generales 4</w:t>
            </w:r>
          </w:p>
        </w:tc>
        <w:tc>
          <w:tcPr>
            <w:tcW w:w="3320" w:type="dxa"/>
            <w:tcBorders>
              <w:top w:val="nil"/>
              <w:left w:val="nil"/>
              <w:bottom w:val="single" w:sz="8" w:space="0" w:color="auto"/>
              <w:right w:val="single" w:sz="8" w:space="0" w:color="auto"/>
            </w:tcBorders>
            <w:shd w:val="clear" w:color="auto" w:fill="auto"/>
            <w:vAlign w:val="center"/>
            <w:hideMark/>
          </w:tcPr>
          <w:p w14:paraId="03A3778D"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Aux. Serv. Generales 4</w:t>
            </w:r>
          </w:p>
        </w:tc>
      </w:tr>
      <w:tr w:rsidR="006B501C" w:rsidRPr="00386C33" w14:paraId="479B2894"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4E31624E"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57951C62"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 Aux. Serv. Generales 2</w:t>
            </w:r>
          </w:p>
        </w:tc>
        <w:tc>
          <w:tcPr>
            <w:tcW w:w="3320" w:type="dxa"/>
            <w:tcBorders>
              <w:top w:val="nil"/>
              <w:left w:val="nil"/>
              <w:bottom w:val="single" w:sz="8" w:space="0" w:color="auto"/>
              <w:right w:val="single" w:sz="8" w:space="0" w:color="auto"/>
            </w:tcBorders>
            <w:shd w:val="clear" w:color="auto" w:fill="auto"/>
            <w:vAlign w:val="center"/>
            <w:hideMark/>
          </w:tcPr>
          <w:p w14:paraId="0E6EB179"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 Aux. Serv. Generales 2</w:t>
            </w:r>
          </w:p>
        </w:tc>
      </w:tr>
    </w:tbl>
    <w:p w14:paraId="26708365" w14:textId="7A47062E" w:rsidR="006B501C" w:rsidRPr="001D0C10" w:rsidRDefault="006B501C" w:rsidP="006B501C">
      <w:pPr>
        <w:spacing w:after="0" w:line="276" w:lineRule="auto"/>
        <w:jc w:val="both"/>
        <w:rPr>
          <w:rFonts w:ascii="Book Antiqua" w:eastAsia="Calibri" w:hAnsi="Book Antiqua" w:cs="Arial"/>
          <w:i/>
          <w:iCs/>
          <w:sz w:val="20"/>
          <w:szCs w:val="20"/>
        </w:rPr>
      </w:pPr>
      <w:r w:rsidRPr="001D0C10">
        <w:rPr>
          <w:rFonts w:ascii="Book Antiqua" w:eastAsia="Calibri" w:hAnsi="Book Antiqua" w:cs="Arial"/>
          <w:b/>
          <w:bCs/>
          <w:i/>
          <w:iCs/>
          <w:sz w:val="20"/>
          <w:szCs w:val="20"/>
        </w:rPr>
        <w:t>Fuente:</w:t>
      </w:r>
      <w:r w:rsidRPr="001D0C10">
        <w:rPr>
          <w:rFonts w:ascii="Book Antiqua" w:eastAsia="Calibri" w:hAnsi="Book Antiqua" w:cs="Arial"/>
          <w:i/>
          <w:iCs/>
          <w:sz w:val="20"/>
          <w:szCs w:val="20"/>
        </w:rPr>
        <w:t xml:space="preserve"> </w:t>
      </w:r>
      <w:r w:rsidR="000C08F6">
        <w:rPr>
          <w:rFonts w:ascii="Book Antiqua" w:eastAsia="Calibri" w:hAnsi="Book Antiqua" w:cs="Arial"/>
          <w:i/>
          <w:iCs/>
          <w:sz w:val="20"/>
          <w:szCs w:val="20"/>
        </w:rPr>
        <w:t xml:space="preserve">Subproceso de </w:t>
      </w:r>
      <w:r w:rsidRPr="001D0C10">
        <w:rPr>
          <w:rFonts w:ascii="Book Antiqua" w:eastAsia="Calibri" w:hAnsi="Book Antiqua" w:cs="Arial"/>
          <w:i/>
          <w:iCs/>
          <w:sz w:val="20"/>
          <w:szCs w:val="20"/>
        </w:rPr>
        <w:t>Modernización Institucional.</w:t>
      </w:r>
    </w:p>
    <w:bookmarkEnd w:id="74"/>
    <w:p w14:paraId="130A5066" w14:textId="77777777" w:rsidR="006B501C" w:rsidRDefault="006B501C" w:rsidP="006B501C">
      <w:pPr>
        <w:spacing w:after="0" w:line="276" w:lineRule="auto"/>
        <w:jc w:val="both"/>
        <w:rPr>
          <w:rFonts w:ascii="Book Antiqua" w:eastAsia="Calibri" w:hAnsi="Book Antiqua" w:cs="Arial"/>
          <w:sz w:val="24"/>
          <w:szCs w:val="24"/>
        </w:rPr>
      </w:pPr>
    </w:p>
    <w:p w14:paraId="40F8B627" w14:textId="00940ADB" w:rsidR="006B501C" w:rsidRDefault="006B501C" w:rsidP="006B501C">
      <w:pPr>
        <w:spacing w:after="0" w:line="276" w:lineRule="auto"/>
        <w:jc w:val="both"/>
        <w:rPr>
          <w:rFonts w:ascii="Book Antiqua" w:eastAsia="Calibri" w:hAnsi="Book Antiqua" w:cs="Arial"/>
          <w:b/>
          <w:bCs/>
          <w:sz w:val="24"/>
          <w:szCs w:val="24"/>
        </w:rPr>
      </w:pPr>
      <w:r>
        <w:rPr>
          <w:rFonts w:ascii="Book Antiqua" w:eastAsia="Calibri" w:hAnsi="Book Antiqua" w:cs="Arial"/>
          <w:sz w:val="24"/>
          <w:szCs w:val="24"/>
        </w:rPr>
        <w:t xml:space="preserve">El </w:t>
      </w:r>
      <w:r w:rsidRPr="008142B1">
        <w:rPr>
          <w:rFonts w:ascii="Book Antiqua" w:eastAsia="Calibri" w:hAnsi="Book Antiqua" w:cs="Arial"/>
          <w:sz w:val="24"/>
          <w:szCs w:val="24"/>
        </w:rPr>
        <w:t xml:space="preserve">costo anual </w:t>
      </w:r>
      <w:r>
        <w:rPr>
          <w:rFonts w:ascii="Book Antiqua" w:eastAsia="Calibri" w:hAnsi="Book Antiqua" w:cs="Arial"/>
          <w:sz w:val="24"/>
          <w:szCs w:val="24"/>
        </w:rPr>
        <w:t>de la propuesta de</w:t>
      </w:r>
      <w:r w:rsidRPr="008142B1">
        <w:rPr>
          <w:rFonts w:ascii="Book Antiqua" w:eastAsia="Calibri" w:hAnsi="Book Antiqua" w:cs="Arial"/>
          <w:sz w:val="24"/>
          <w:szCs w:val="24"/>
        </w:rPr>
        <w:t xml:space="preserve"> creación de </w:t>
      </w:r>
      <w:r w:rsidR="00CF4F4F">
        <w:rPr>
          <w:rFonts w:ascii="Book Antiqua" w:eastAsia="Calibri" w:hAnsi="Book Antiqua" w:cs="Arial"/>
          <w:sz w:val="24"/>
          <w:szCs w:val="24"/>
        </w:rPr>
        <w:t>una</w:t>
      </w:r>
      <w:r w:rsidRPr="008142B1">
        <w:rPr>
          <w:rFonts w:ascii="Book Antiqua" w:eastAsia="Calibri" w:hAnsi="Book Antiqua" w:cs="Arial"/>
          <w:sz w:val="24"/>
          <w:szCs w:val="24"/>
        </w:rPr>
        <w:t xml:space="preserve"> plaza de</w:t>
      </w:r>
      <w:r>
        <w:rPr>
          <w:rFonts w:ascii="Book Antiqua" w:eastAsia="Calibri" w:hAnsi="Book Antiqua" w:cs="Arial"/>
          <w:sz w:val="24"/>
          <w:szCs w:val="24"/>
        </w:rPr>
        <w:t xml:space="preserve"> Profesional en Derecho 3B, dos </w:t>
      </w:r>
      <w:r w:rsidR="00237182">
        <w:rPr>
          <w:rFonts w:ascii="Book Antiqua" w:eastAsia="Calibri" w:hAnsi="Book Antiqua" w:cs="Arial"/>
          <w:sz w:val="24"/>
          <w:szCs w:val="24"/>
        </w:rPr>
        <w:t xml:space="preserve">plazas de </w:t>
      </w:r>
      <w:r>
        <w:rPr>
          <w:rFonts w:ascii="Book Antiqua" w:eastAsia="Calibri" w:hAnsi="Book Antiqua" w:cs="Arial"/>
          <w:sz w:val="24"/>
          <w:szCs w:val="24"/>
        </w:rPr>
        <w:t>Técnicos de Sala de la Corte y d</w:t>
      </w:r>
      <w:r w:rsidRPr="008142B1">
        <w:rPr>
          <w:rFonts w:ascii="Book Antiqua" w:eastAsia="Calibri" w:hAnsi="Book Antiqua" w:cs="Arial"/>
          <w:sz w:val="24"/>
          <w:szCs w:val="24"/>
        </w:rPr>
        <w:t xml:space="preserve">os plazas de Técnico Judicial </w:t>
      </w:r>
      <w:r>
        <w:rPr>
          <w:rFonts w:ascii="Book Antiqua" w:eastAsia="Calibri" w:hAnsi="Book Antiqua" w:cs="Arial"/>
          <w:sz w:val="24"/>
          <w:szCs w:val="24"/>
        </w:rPr>
        <w:t>3</w:t>
      </w:r>
      <w:r w:rsidRPr="008142B1">
        <w:rPr>
          <w:rFonts w:ascii="Book Antiqua" w:eastAsia="Calibri" w:hAnsi="Book Antiqua" w:cs="Arial"/>
          <w:sz w:val="24"/>
          <w:szCs w:val="24"/>
        </w:rPr>
        <w:t xml:space="preserve"> es </w:t>
      </w:r>
      <w:r w:rsidRPr="007F29A3">
        <w:rPr>
          <w:rFonts w:ascii="Book Antiqua" w:eastAsia="Calibri" w:hAnsi="Book Antiqua" w:cs="Arial"/>
          <w:sz w:val="24"/>
          <w:szCs w:val="24"/>
        </w:rPr>
        <w:t xml:space="preserve">de </w:t>
      </w:r>
      <w:r w:rsidRPr="007F29A3">
        <w:rPr>
          <w:rFonts w:ascii="Times New Roman" w:eastAsia="Calibri" w:hAnsi="Times New Roman" w:cs="Times New Roman"/>
          <w:b/>
          <w:bCs/>
          <w:sz w:val="24"/>
          <w:szCs w:val="24"/>
        </w:rPr>
        <w:t>₡</w:t>
      </w:r>
      <w:r w:rsidR="007F29A3" w:rsidRPr="007F29A3">
        <w:rPr>
          <w:rFonts w:ascii="Times New Roman" w:eastAsia="Calibri" w:hAnsi="Times New Roman" w:cs="Times New Roman"/>
          <w:b/>
          <w:bCs/>
          <w:sz w:val="24"/>
          <w:szCs w:val="24"/>
        </w:rPr>
        <w:t>130</w:t>
      </w:r>
      <w:r w:rsidR="00237182" w:rsidRPr="007F29A3">
        <w:rPr>
          <w:rFonts w:ascii="Times New Roman" w:eastAsia="Calibri" w:hAnsi="Times New Roman" w:cs="Times New Roman"/>
          <w:b/>
          <w:bCs/>
          <w:sz w:val="24"/>
          <w:szCs w:val="24"/>
        </w:rPr>
        <w:t> 252 </w:t>
      </w:r>
      <w:r w:rsidRPr="007F29A3">
        <w:rPr>
          <w:rFonts w:ascii="Times New Roman" w:eastAsia="Calibri" w:hAnsi="Times New Roman" w:cs="Times New Roman"/>
          <w:b/>
          <w:bCs/>
          <w:sz w:val="24"/>
          <w:szCs w:val="24"/>
        </w:rPr>
        <w:t>000</w:t>
      </w:r>
      <w:r w:rsidR="00237182" w:rsidRPr="007F29A3">
        <w:rPr>
          <w:rFonts w:ascii="Book Antiqua" w:eastAsia="Calibri" w:hAnsi="Book Antiqua" w:cs="Arial"/>
          <w:b/>
          <w:bCs/>
          <w:sz w:val="24"/>
          <w:szCs w:val="24"/>
        </w:rPr>
        <w:t xml:space="preserve"> (ciento</w:t>
      </w:r>
      <w:r w:rsidR="007F29A3">
        <w:rPr>
          <w:rFonts w:ascii="Book Antiqua" w:eastAsia="Calibri" w:hAnsi="Book Antiqua" w:cs="Arial"/>
          <w:b/>
          <w:bCs/>
          <w:sz w:val="24"/>
          <w:szCs w:val="24"/>
        </w:rPr>
        <w:t xml:space="preserve"> treinta </w:t>
      </w:r>
      <w:r w:rsidR="00237182">
        <w:rPr>
          <w:rFonts w:ascii="Book Antiqua" w:eastAsia="Calibri" w:hAnsi="Book Antiqua" w:cs="Arial"/>
          <w:b/>
          <w:bCs/>
          <w:sz w:val="24"/>
          <w:szCs w:val="24"/>
        </w:rPr>
        <w:t>millones doscientos cincuenta y dos mil colones exactos)</w:t>
      </w:r>
      <w:r>
        <w:rPr>
          <w:rFonts w:ascii="Book Antiqua" w:eastAsia="Calibri" w:hAnsi="Book Antiqua" w:cs="Arial"/>
          <w:b/>
          <w:bCs/>
          <w:sz w:val="24"/>
          <w:szCs w:val="24"/>
        </w:rPr>
        <w:t xml:space="preserve"> </w:t>
      </w:r>
      <w:r w:rsidRPr="006B501C">
        <w:rPr>
          <w:rFonts w:ascii="Book Antiqua" w:eastAsia="Calibri" w:hAnsi="Book Antiqua" w:cs="Arial"/>
          <w:sz w:val="24"/>
          <w:szCs w:val="24"/>
        </w:rPr>
        <w:t xml:space="preserve">considerando los costos </w:t>
      </w:r>
      <w:r>
        <w:rPr>
          <w:rFonts w:ascii="Book Antiqua" w:eastAsia="Calibri" w:hAnsi="Book Antiqua" w:cs="Arial"/>
          <w:sz w:val="24"/>
          <w:szCs w:val="24"/>
        </w:rPr>
        <w:t xml:space="preserve">anuales </w:t>
      </w:r>
      <w:r w:rsidRPr="006B501C">
        <w:rPr>
          <w:rFonts w:ascii="Book Antiqua" w:eastAsia="Calibri" w:hAnsi="Book Antiqua" w:cs="Arial"/>
          <w:sz w:val="24"/>
          <w:szCs w:val="24"/>
        </w:rPr>
        <w:t>por tipo de puesto del siguiente cuadro:</w:t>
      </w:r>
      <w:r>
        <w:rPr>
          <w:rFonts w:ascii="Book Antiqua" w:eastAsia="Calibri" w:hAnsi="Book Antiqua" w:cs="Arial"/>
          <w:b/>
          <w:bCs/>
          <w:sz w:val="24"/>
          <w:szCs w:val="24"/>
        </w:rPr>
        <w:t xml:space="preserve"> </w:t>
      </w:r>
    </w:p>
    <w:p w14:paraId="611A95B6" w14:textId="77777777" w:rsidR="001F41B2" w:rsidRPr="008142B1" w:rsidRDefault="001F41B2" w:rsidP="006B501C">
      <w:pPr>
        <w:spacing w:after="0" w:line="276" w:lineRule="auto"/>
        <w:jc w:val="both"/>
        <w:rPr>
          <w:rFonts w:ascii="Book Antiqua" w:eastAsia="Calibri" w:hAnsi="Book Antiqua" w:cs="Arial"/>
          <w:sz w:val="24"/>
          <w:szCs w:val="24"/>
        </w:rPr>
      </w:pPr>
    </w:p>
    <w:p w14:paraId="7A4421BF" w14:textId="3C71761D" w:rsidR="006B501C" w:rsidRPr="008142B1"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142B1">
        <w:rPr>
          <w:rFonts w:ascii="Book Antiqua" w:eastAsia="Calibri" w:hAnsi="Book Antiqua" w:cs="Arial"/>
          <w:b/>
          <w:bCs/>
          <w:color w:val="1F497D"/>
          <w:szCs w:val="24"/>
          <w:lang w:val="es-ES" w:eastAsia="es-ES"/>
        </w:rPr>
        <w:t xml:space="preserve">Cuadro </w:t>
      </w:r>
      <w:r w:rsidRPr="008142B1">
        <w:rPr>
          <w:rFonts w:ascii="Book Antiqua" w:eastAsia="Calibri" w:hAnsi="Book Antiqua" w:cs="Arial"/>
          <w:b/>
          <w:bCs/>
          <w:color w:val="1F497D"/>
          <w:szCs w:val="24"/>
          <w:lang w:val="es-ES" w:eastAsia="es-ES"/>
        </w:rPr>
        <w:fldChar w:fldCharType="begin"/>
      </w:r>
      <w:r w:rsidRPr="008142B1">
        <w:rPr>
          <w:rFonts w:ascii="Book Antiqua" w:eastAsia="Calibri" w:hAnsi="Book Antiqua" w:cs="Arial"/>
          <w:b/>
          <w:bCs/>
          <w:color w:val="1F497D"/>
          <w:szCs w:val="24"/>
          <w:lang w:val="es-ES" w:eastAsia="es-ES"/>
        </w:rPr>
        <w:instrText xml:space="preserve"> SEQ Cuadro \* ARABIC </w:instrText>
      </w:r>
      <w:r w:rsidRPr="008142B1">
        <w:rPr>
          <w:rFonts w:ascii="Book Antiqua" w:eastAsia="Calibri" w:hAnsi="Book Antiqua" w:cs="Arial"/>
          <w:b/>
          <w:bCs/>
          <w:color w:val="1F497D"/>
          <w:szCs w:val="24"/>
          <w:lang w:val="es-ES" w:eastAsia="es-ES"/>
        </w:rPr>
        <w:fldChar w:fldCharType="separate"/>
      </w:r>
      <w:r w:rsidR="00CE6F72">
        <w:rPr>
          <w:rFonts w:ascii="Book Antiqua" w:eastAsia="Calibri" w:hAnsi="Book Antiqua" w:cs="Arial"/>
          <w:b/>
          <w:bCs/>
          <w:noProof/>
          <w:color w:val="1F497D"/>
          <w:szCs w:val="24"/>
          <w:lang w:val="es-ES" w:eastAsia="es-ES"/>
        </w:rPr>
        <w:t>61</w:t>
      </w:r>
      <w:r w:rsidRPr="008142B1">
        <w:rPr>
          <w:rFonts w:ascii="Book Antiqua" w:eastAsia="Calibri" w:hAnsi="Book Antiqua" w:cs="Arial"/>
          <w:b/>
          <w:bCs/>
          <w:color w:val="1F497D"/>
          <w:szCs w:val="24"/>
          <w:lang w:val="es-ES" w:eastAsia="es-ES"/>
        </w:rPr>
        <w:fldChar w:fldCharType="end"/>
      </w:r>
      <w:r w:rsidRPr="008142B1">
        <w:rPr>
          <w:rFonts w:ascii="Book Antiqua" w:eastAsia="Calibri" w:hAnsi="Book Antiqua" w:cs="Arial"/>
          <w:b/>
          <w:bCs/>
          <w:color w:val="1F497D"/>
          <w:szCs w:val="24"/>
          <w:lang w:val="es-ES" w:eastAsia="es-ES"/>
        </w:rPr>
        <w:t xml:space="preserve"> </w:t>
      </w:r>
    </w:p>
    <w:p w14:paraId="22CFA535" w14:textId="77777777" w:rsidR="006B501C" w:rsidRPr="008142B1"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142B1">
        <w:rPr>
          <w:rFonts w:ascii="Book Antiqua" w:eastAsia="Calibri" w:hAnsi="Book Antiqua" w:cs="Arial"/>
          <w:b/>
          <w:bCs/>
          <w:color w:val="1F497D"/>
          <w:szCs w:val="24"/>
          <w:lang w:val="es-ES" w:eastAsia="es-ES"/>
        </w:rPr>
        <w:t xml:space="preserve">Costo de estructura propuesta para </w:t>
      </w:r>
      <w:r>
        <w:rPr>
          <w:rFonts w:ascii="Book Antiqua" w:eastAsia="Calibri" w:hAnsi="Book Antiqua" w:cs="Arial"/>
          <w:b/>
          <w:bCs/>
          <w:color w:val="1F497D"/>
          <w:szCs w:val="24"/>
          <w:lang w:val="es-ES" w:eastAsia="es-ES"/>
        </w:rPr>
        <w:t>la Sala Segunda</w:t>
      </w:r>
    </w:p>
    <w:tbl>
      <w:tblPr>
        <w:tblW w:w="5000" w:type="pct"/>
        <w:tblCellMar>
          <w:left w:w="70" w:type="dxa"/>
          <w:right w:w="70" w:type="dxa"/>
        </w:tblCellMar>
        <w:tblLook w:val="04A0" w:firstRow="1" w:lastRow="0" w:firstColumn="1" w:lastColumn="0" w:noHBand="0" w:noVBand="1"/>
      </w:tblPr>
      <w:tblGrid>
        <w:gridCol w:w="1558"/>
        <w:gridCol w:w="1429"/>
        <w:gridCol w:w="1292"/>
        <w:gridCol w:w="1887"/>
        <w:gridCol w:w="1153"/>
        <w:gridCol w:w="1514"/>
      </w:tblGrid>
      <w:tr w:rsidR="001A4A80" w:rsidRPr="001A4A80" w14:paraId="4802845A" w14:textId="77777777" w:rsidTr="001A4A80">
        <w:trPr>
          <w:trHeight w:val="620"/>
        </w:trPr>
        <w:tc>
          <w:tcPr>
            <w:tcW w:w="762" w:type="pct"/>
            <w:vMerge w:val="restart"/>
            <w:tcBorders>
              <w:top w:val="nil"/>
              <w:left w:val="nil"/>
              <w:bottom w:val="single" w:sz="4" w:space="0" w:color="000000"/>
              <w:right w:val="single" w:sz="4" w:space="0" w:color="auto"/>
            </w:tcBorders>
            <w:shd w:val="clear" w:color="000000" w:fill="002060"/>
            <w:vAlign w:val="center"/>
            <w:hideMark/>
          </w:tcPr>
          <w:p w14:paraId="5FACD515"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bookmarkStart w:id="75" w:name="_Hlk128602591"/>
            <w:r w:rsidRPr="001A4A80">
              <w:rPr>
                <w:rFonts w:ascii="Book Antiqua" w:eastAsia="Times New Roman" w:hAnsi="Book Antiqua" w:cs="Calibri"/>
                <w:b/>
                <w:bCs/>
                <w:color w:val="FFFFFF"/>
                <w:lang w:eastAsia="es-CR"/>
              </w:rPr>
              <w:t>Plaza nueva extraordinaria</w:t>
            </w:r>
          </w:p>
        </w:tc>
        <w:tc>
          <w:tcPr>
            <w:tcW w:w="927" w:type="pct"/>
            <w:tcBorders>
              <w:top w:val="single" w:sz="4" w:space="0" w:color="auto"/>
              <w:left w:val="nil"/>
              <w:bottom w:val="single" w:sz="4" w:space="0" w:color="auto"/>
              <w:right w:val="single" w:sz="4" w:space="0" w:color="auto"/>
            </w:tcBorders>
            <w:shd w:val="clear" w:color="000000" w:fill="002060"/>
            <w:vAlign w:val="center"/>
            <w:hideMark/>
          </w:tcPr>
          <w:p w14:paraId="04777680"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Clase ancha</w:t>
            </w:r>
          </w:p>
        </w:tc>
        <w:tc>
          <w:tcPr>
            <w:tcW w:w="848" w:type="pct"/>
            <w:tcBorders>
              <w:top w:val="single" w:sz="4" w:space="0" w:color="auto"/>
              <w:left w:val="nil"/>
              <w:bottom w:val="single" w:sz="4" w:space="0" w:color="auto"/>
              <w:right w:val="single" w:sz="4" w:space="0" w:color="auto"/>
            </w:tcBorders>
            <w:shd w:val="clear" w:color="000000" w:fill="002060"/>
            <w:vAlign w:val="center"/>
            <w:hideMark/>
          </w:tcPr>
          <w:p w14:paraId="7609C73E"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Clase angosta</w:t>
            </w:r>
          </w:p>
        </w:tc>
        <w:tc>
          <w:tcPr>
            <w:tcW w:w="1186" w:type="pct"/>
            <w:tcBorders>
              <w:top w:val="single" w:sz="4" w:space="0" w:color="auto"/>
              <w:left w:val="nil"/>
              <w:bottom w:val="single" w:sz="4" w:space="0" w:color="auto"/>
              <w:right w:val="single" w:sz="4" w:space="0" w:color="auto"/>
            </w:tcBorders>
            <w:shd w:val="clear" w:color="000000" w:fill="002060"/>
            <w:vAlign w:val="center"/>
            <w:hideMark/>
          </w:tcPr>
          <w:p w14:paraId="702D7EF2"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Costo del puesto anual</w:t>
            </w:r>
          </w:p>
        </w:tc>
        <w:tc>
          <w:tcPr>
            <w:tcW w:w="564" w:type="pct"/>
            <w:tcBorders>
              <w:top w:val="single" w:sz="4" w:space="0" w:color="auto"/>
              <w:left w:val="nil"/>
              <w:bottom w:val="single" w:sz="4" w:space="0" w:color="auto"/>
              <w:right w:val="single" w:sz="4" w:space="0" w:color="auto"/>
            </w:tcBorders>
            <w:shd w:val="clear" w:color="000000" w:fill="002060"/>
            <w:vAlign w:val="center"/>
            <w:hideMark/>
          </w:tcPr>
          <w:p w14:paraId="1C6BF9A2"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Cantidad</w:t>
            </w:r>
          </w:p>
        </w:tc>
        <w:tc>
          <w:tcPr>
            <w:tcW w:w="712" w:type="pct"/>
            <w:tcBorders>
              <w:top w:val="single" w:sz="4" w:space="0" w:color="auto"/>
              <w:left w:val="nil"/>
              <w:bottom w:val="single" w:sz="4" w:space="0" w:color="auto"/>
              <w:right w:val="single" w:sz="4" w:space="0" w:color="auto"/>
            </w:tcBorders>
            <w:shd w:val="clear" w:color="000000" w:fill="002060"/>
            <w:vAlign w:val="center"/>
            <w:hideMark/>
          </w:tcPr>
          <w:p w14:paraId="75548F18"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Costo total</w:t>
            </w:r>
          </w:p>
        </w:tc>
      </w:tr>
      <w:tr w:rsidR="001A4A80" w:rsidRPr="001A4A80" w14:paraId="2650A2B7" w14:textId="77777777" w:rsidTr="001A4A80">
        <w:trPr>
          <w:trHeight w:val="580"/>
        </w:trPr>
        <w:tc>
          <w:tcPr>
            <w:tcW w:w="762" w:type="pct"/>
            <w:vMerge/>
            <w:tcBorders>
              <w:top w:val="nil"/>
              <w:left w:val="nil"/>
              <w:bottom w:val="single" w:sz="4" w:space="0" w:color="000000"/>
              <w:right w:val="single" w:sz="4" w:space="0" w:color="auto"/>
            </w:tcBorders>
            <w:vAlign w:val="center"/>
            <w:hideMark/>
          </w:tcPr>
          <w:p w14:paraId="239C5B9F"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40739DF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Profesional Derecho 3B</w:t>
            </w:r>
          </w:p>
        </w:tc>
        <w:tc>
          <w:tcPr>
            <w:tcW w:w="848" w:type="pct"/>
            <w:tcBorders>
              <w:top w:val="nil"/>
              <w:left w:val="nil"/>
              <w:bottom w:val="single" w:sz="4" w:space="0" w:color="auto"/>
              <w:right w:val="single" w:sz="4" w:space="0" w:color="auto"/>
            </w:tcBorders>
            <w:shd w:val="clear" w:color="auto" w:fill="auto"/>
            <w:vAlign w:val="center"/>
            <w:hideMark/>
          </w:tcPr>
          <w:p w14:paraId="2E7F868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Abogado Asistente 3</w:t>
            </w:r>
          </w:p>
        </w:tc>
        <w:tc>
          <w:tcPr>
            <w:tcW w:w="1186" w:type="pct"/>
            <w:tcBorders>
              <w:top w:val="nil"/>
              <w:left w:val="nil"/>
              <w:bottom w:val="single" w:sz="4" w:space="0" w:color="auto"/>
              <w:right w:val="single" w:sz="4" w:space="0" w:color="auto"/>
            </w:tcBorders>
            <w:shd w:val="clear" w:color="auto" w:fill="auto"/>
            <w:vAlign w:val="center"/>
            <w:hideMark/>
          </w:tcPr>
          <w:p w14:paraId="6D582681" w14:textId="793DB5AD"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5</w:t>
            </w:r>
            <w:r w:rsidR="00C23068">
              <w:rPr>
                <w:rFonts w:ascii="Book Antiqua" w:eastAsia="Times New Roman" w:hAnsi="Book Antiqua" w:cs="Calibri"/>
                <w:color w:val="000000"/>
                <w:lang w:eastAsia="es-CR"/>
              </w:rPr>
              <w:t>6</w:t>
            </w:r>
            <w:r w:rsidRPr="001A4A80">
              <w:rPr>
                <w:rFonts w:ascii="Book Antiqua" w:eastAsia="Times New Roman" w:hAnsi="Book Antiqua" w:cs="Calibri"/>
                <w:color w:val="000000"/>
                <w:lang w:eastAsia="es-CR"/>
              </w:rPr>
              <w:t xml:space="preserve"> </w:t>
            </w:r>
            <w:r w:rsidR="00C23068">
              <w:rPr>
                <w:rFonts w:ascii="Book Antiqua" w:eastAsia="Times New Roman" w:hAnsi="Book Antiqua" w:cs="Calibri"/>
                <w:color w:val="000000"/>
                <w:lang w:eastAsia="es-CR"/>
              </w:rPr>
              <w:t>926</w:t>
            </w:r>
            <w:r w:rsidRPr="001A4A80">
              <w:rPr>
                <w:rFonts w:ascii="Book Antiqua" w:eastAsia="Times New Roman" w:hAnsi="Book Antiqua" w:cs="Calibri"/>
                <w:color w:val="000000"/>
                <w:lang w:eastAsia="es-CR"/>
              </w:rPr>
              <w:t xml:space="preserve"> 000</w:t>
            </w:r>
          </w:p>
        </w:tc>
        <w:tc>
          <w:tcPr>
            <w:tcW w:w="564" w:type="pct"/>
            <w:tcBorders>
              <w:top w:val="nil"/>
              <w:left w:val="nil"/>
              <w:bottom w:val="single" w:sz="4" w:space="0" w:color="auto"/>
              <w:right w:val="single" w:sz="4" w:space="0" w:color="auto"/>
            </w:tcBorders>
            <w:shd w:val="clear" w:color="auto" w:fill="auto"/>
            <w:vAlign w:val="center"/>
            <w:hideMark/>
          </w:tcPr>
          <w:p w14:paraId="69CA17AD" w14:textId="0D3B1541" w:rsidR="001A4A80" w:rsidRPr="001A4A80" w:rsidRDefault="00CF4F4F" w:rsidP="001A4A80">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1</w:t>
            </w:r>
          </w:p>
        </w:tc>
        <w:tc>
          <w:tcPr>
            <w:tcW w:w="712" w:type="pct"/>
            <w:tcBorders>
              <w:top w:val="nil"/>
              <w:left w:val="nil"/>
              <w:bottom w:val="single" w:sz="4" w:space="0" w:color="auto"/>
              <w:right w:val="single" w:sz="4" w:space="0" w:color="auto"/>
            </w:tcBorders>
            <w:shd w:val="clear" w:color="auto" w:fill="auto"/>
            <w:vAlign w:val="center"/>
            <w:hideMark/>
          </w:tcPr>
          <w:p w14:paraId="08FB2895" w14:textId="1150C13B" w:rsidR="001A4A80" w:rsidRPr="001A4A80" w:rsidRDefault="001A4A80" w:rsidP="001A4A80">
            <w:pPr>
              <w:spacing w:after="0" w:line="240" w:lineRule="auto"/>
              <w:jc w:val="center"/>
              <w:rPr>
                <w:rFonts w:ascii="Book Antiqua" w:eastAsia="Times New Roman" w:hAnsi="Book Antiqua" w:cs="Calibri"/>
                <w:color w:val="000000"/>
                <w:lang w:eastAsia="es-CR"/>
              </w:rPr>
            </w:pPr>
            <w:r w:rsidRPr="00635ABA">
              <w:rPr>
                <w:rFonts w:ascii="Times New Roman" w:eastAsia="Times New Roman" w:hAnsi="Times New Roman" w:cs="Times New Roman"/>
                <w:color w:val="000000"/>
                <w:lang w:eastAsia="es-CR"/>
              </w:rPr>
              <w:t>₡</w:t>
            </w:r>
            <w:r w:rsidR="00635ABA" w:rsidRPr="00635ABA">
              <w:rPr>
                <w:rFonts w:ascii="Book Antiqua" w:eastAsia="Times New Roman" w:hAnsi="Book Antiqua" w:cs="Calibri"/>
                <w:color w:val="000000"/>
                <w:lang w:eastAsia="es-CR"/>
              </w:rPr>
              <w:t>5</w:t>
            </w:r>
            <w:r w:rsidR="00635ABA">
              <w:rPr>
                <w:rFonts w:ascii="Book Antiqua" w:eastAsia="Times New Roman" w:hAnsi="Book Antiqua" w:cs="Calibri"/>
                <w:color w:val="000000"/>
                <w:lang w:eastAsia="es-CR"/>
              </w:rPr>
              <w:t>6 926 000</w:t>
            </w:r>
          </w:p>
        </w:tc>
      </w:tr>
      <w:tr w:rsidR="001A4A80" w:rsidRPr="001A4A80" w14:paraId="1C86DD4C" w14:textId="77777777" w:rsidTr="001A4A80">
        <w:trPr>
          <w:trHeight w:val="580"/>
        </w:trPr>
        <w:tc>
          <w:tcPr>
            <w:tcW w:w="762" w:type="pct"/>
            <w:vMerge/>
            <w:tcBorders>
              <w:top w:val="nil"/>
              <w:left w:val="nil"/>
              <w:bottom w:val="single" w:sz="4" w:space="0" w:color="000000"/>
              <w:right w:val="single" w:sz="4" w:space="0" w:color="auto"/>
            </w:tcBorders>
            <w:vAlign w:val="center"/>
            <w:hideMark/>
          </w:tcPr>
          <w:p w14:paraId="7E7EFE00"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68E336B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Sala de la Corte</w:t>
            </w:r>
          </w:p>
        </w:tc>
        <w:tc>
          <w:tcPr>
            <w:tcW w:w="848" w:type="pct"/>
            <w:tcBorders>
              <w:top w:val="nil"/>
              <w:left w:val="nil"/>
              <w:bottom w:val="single" w:sz="4" w:space="0" w:color="auto"/>
              <w:right w:val="single" w:sz="4" w:space="0" w:color="auto"/>
            </w:tcBorders>
            <w:shd w:val="clear" w:color="auto" w:fill="auto"/>
            <w:vAlign w:val="center"/>
            <w:hideMark/>
          </w:tcPr>
          <w:p w14:paraId="6FB6055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Sala de la Corte</w:t>
            </w:r>
          </w:p>
        </w:tc>
        <w:tc>
          <w:tcPr>
            <w:tcW w:w="1186" w:type="pct"/>
            <w:tcBorders>
              <w:top w:val="nil"/>
              <w:left w:val="nil"/>
              <w:bottom w:val="single" w:sz="4" w:space="0" w:color="auto"/>
              <w:right w:val="single" w:sz="4" w:space="0" w:color="auto"/>
            </w:tcBorders>
            <w:shd w:val="clear" w:color="auto" w:fill="auto"/>
            <w:vAlign w:val="center"/>
            <w:hideMark/>
          </w:tcPr>
          <w:p w14:paraId="34F77056" w14:textId="10C230B4"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w:t>
            </w:r>
            <w:r w:rsidR="00C23068">
              <w:rPr>
                <w:rFonts w:ascii="Book Antiqua" w:eastAsia="Times New Roman" w:hAnsi="Book Antiqua" w:cs="Calibri"/>
                <w:color w:val="000000"/>
                <w:lang w:eastAsia="es-CR"/>
              </w:rPr>
              <w:t>9</w:t>
            </w:r>
            <w:r w:rsidRPr="001A4A80">
              <w:rPr>
                <w:rFonts w:ascii="Book Antiqua" w:eastAsia="Times New Roman" w:hAnsi="Book Antiqua" w:cs="Calibri"/>
                <w:color w:val="000000"/>
                <w:lang w:eastAsia="es-CR"/>
              </w:rPr>
              <w:t xml:space="preserve"> </w:t>
            </w:r>
            <w:r w:rsidR="00C23068">
              <w:rPr>
                <w:rFonts w:ascii="Book Antiqua" w:eastAsia="Times New Roman" w:hAnsi="Book Antiqua" w:cs="Calibri"/>
                <w:color w:val="000000"/>
                <w:lang w:eastAsia="es-CR"/>
              </w:rPr>
              <w:t>987</w:t>
            </w:r>
            <w:r w:rsidRPr="001A4A80">
              <w:rPr>
                <w:rFonts w:ascii="Book Antiqua" w:eastAsia="Times New Roman" w:hAnsi="Book Antiqua" w:cs="Calibri"/>
                <w:color w:val="000000"/>
                <w:lang w:eastAsia="es-CR"/>
              </w:rPr>
              <w:t xml:space="preserve"> 000</w:t>
            </w:r>
          </w:p>
        </w:tc>
        <w:tc>
          <w:tcPr>
            <w:tcW w:w="564" w:type="pct"/>
            <w:tcBorders>
              <w:top w:val="nil"/>
              <w:left w:val="nil"/>
              <w:bottom w:val="single" w:sz="4" w:space="0" w:color="auto"/>
              <w:right w:val="single" w:sz="4" w:space="0" w:color="auto"/>
            </w:tcBorders>
            <w:shd w:val="clear" w:color="auto" w:fill="auto"/>
            <w:vAlign w:val="center"/>
            <w:hideMark/>
          </w:tcPr>
          <w:p w14:paraId="139D60CC"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2</w:t>
            </w:r>
          </w:p>
        </w:tc>
        <w:tc>
          <w:tcPr>
            <w:tcW w:w="712" w:type="pct"/>
            <w:tcBorders>
              <w:top w:val="nil"/>
              <w:left w:val="nil"/>
              <w:bottom w:val="single" w:sz="4" w:space="0" w:color="auto"/>
              <w:right w:val="single" w:sz="4" w:space="0" w:color="auto"/>
            </w:tcBorders>
            <w:shd w:val="clear" w:color="auto" w:fill="auto"/>
            <w:vAlign w:val="center"/>
            <w:hideMark/>
          </w:tcPr>
          <w:p w14:paraId="17972583" w14:textId="697551AA"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00237182">
              <w:rPr>
                <w:rFonts w:ascii="Times New Roman" w:eastAsia="Times New Roman" w:hAnsi="Times New Roman" w:cs="Times New Roman"/>
                <w:color w:val="000000"/>
                <w:lang w:eastAsia="es-CR"/>
              </w:rPr>
              <w:t>39 974</w:t>
            </w:r>
            <w:r w:rsidRPr="001A4A80">
              <w:rPr>
                <w:rFonts w:ascii="Book Antiqua" w:eastAsia="Times New Roman" w:hAnsi="Book Antiqua" w:cs="Calibri"/>
                <w:color w:val="000000"/>
                <w:lang w:eastAsia="es-CR"/>
              </w:rPr>
              <w:t xml:space="preserve"> 000</w:t>
            </w:r>
          </w:p>
        </w:tc>
      </w:tr>
      <w:tr w:rsidR="001A4A80" w:rsidRPr="001A4A80" w14:paraId="7539E954" w14:textId="77777777" w:rsidTr="001A4A80">
        <w:trPr>
          <w:trHeight w:val="290"/>
        </w:trPr>
        <w:tc>
          <w:tcPr>
            <w:tcW w:w="762" w:type="pct"/>
            <w:vMerge/>
            <w:tcBorders>
              <w:top w:val="nil"/>
              <w:left w:val="nil"/>
              <w:bottom w:val="single" w:sz="4" w:space="0" w:color="000000"/>
              <w:right w:val="single" w:sz="4" w:space="0" w:color="auto"/>
            </w:tcBorders>
            <w:vAlign w:val="center"/>
            <w:hideMark/>
          </w:tcPr>
          <w:p w14:paraId="7CE463C1"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60D3D75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Judicial 3</w:t>
            </w:r>
          </w:p>
        </w:tc>
        <w:tc>
          <w:tcPr>
            <w:tcW w:w="848" w:type="pct"/>
            <w:tcBorders>
              <w:top w:val="nil"/>
              <w:left w:val="nil"/>
              <w:bottom w:val="single" w:sz="4" w:space="0" w:color="auto"/>
              <w:right w:val="single" w:sz="4" w:space="0" w:color="auto"/>
            </w:tcBorders>
            <w:shd w:val="clear" w:color="auto" w:fill="auto"/>
            <w:vAlign w:val="center"/>
            <w:hideMark/>
          </w:tcPr>
          <w:p w14:paraId="39F880DE"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Judicial</w:t>
            </w:r>
          </w:p>
        </w:tc>
        <w:tc>
          <w:tcPr>
            <w:tcW w:w="1186" w:type="pct"/>
            <w:tcBorders>
              <w:top w:val="nil"/>
              <w:left w:val="nil"/>
              <w:bottom w:val="single" w:sz="4" w:space="0" w:color="auto"/>
              <w:right w:val="single" w:sz="4" w:space="0" w:color="auto"/>
            </w:tcBorders>
            <w:shd w:val="clear" w:color="auto" w:fill="auto"/>
            <w:vAlign w:val="center"/>
            <w:hideMark/>
          </w:tcPr>
          <w:p w14:paraId="0D7485D7" w14:textId="22B3EC6D"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w:t>
            </w:r>
            <w:r w:rsidR="00C23068">
              <w:rPr>
                <w:rFonts w:ascii="Book Antiqua" w:eastAsia="Times New Roman" w:hAnsi="Book Antiqua" w:cs="Calibri"/>
                <w:color w:val="000000"/>
                <w:lang w:eastAsia="es-CR"/>
              </w:rPr>
              <w:t>6</w:t>
            </w:r>
            <w:r w:rsidRPr="001A4A80">
              <w:rPr>
                <w:rFonts w:ascii="Book Antiqua" w:eastAsia="Times New Roman" w:hAnsi="Book Antiqua" w:cs="Calibri"/>
                <w:color w:val="000000"/>
                <w:lang w:eastAsia="es-CR"/>
              </w:rPr>
              <w:t xml:space="preserve"> </w:t>
            </w:r>
            <w:r w:rsidR="00C23068">
              <w:rPr>
                <w:rFonts w:ascii="Book Antiqua" w:eastAsia="Times New Roman" w:hAnsi="Book Antiqua" w:cs="Calibri"/>
                <w:color w:val="000000"/>
                <w:lang w:eastAsia="es-CR"/>
              </w:rPr>
              <w:t>676</w:t>
            </w:r>
            <w:r w:rsidRPr="001A4A80">
              <w:rPr>
                <w:rFonts w:ascii="Book Antiqua" w:eastAsia="Times New Roman" w:hAnsi="Book Antiqua" w:cs="Calibri"/>
                <w:color w:val="000000"/>
                <w:lang w:eastAsia="es-CR"/>
              </w:rPr>
              <w:t xml:space="preserve"> 000</w:t>
            </w:r>
          </w:p>
        </w:tc>
        <w:tc>
          <w:tcPr>
            <w:tcW w:w="564" w:type="pct"/>
            <w:tcBorders>
              <w:top w:val="nil"/>
              <w:left w:val="nil"/>
              <w:bottom w:val="single" w:sz="4" w:space="0" w:color="auto"/>
              <w:right w:val="single" w:sz="4" w:space="0" w:color="auto"/>
            </w:tcBorders>
            <w:shd w:val="clear" w:color="auto" w:fill="auto"/>
            <w:vAlign w:val="center"/>
            <w:hideMark/>
          </w:tcPr>
          <w:p w14:paraId="4A3F3DA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2</w:t>
            </w:r>
          </w:p>
        </w:tc>
        <w:tc>
          <w:tcPr>
            <w:tcW w:w="712" w:type="pct"/>
            <w:tcBorders>
              <w:top w:val="nil"/>
              <w:left w:val="nil"/>
              <w:bottom w:val="single" w:sz="4" w:space="0" w:color="auto"/>
              <w:right w:val="single" w:sz="4" w:space="0" w:color="auto"/>
            </w:tcBorders>
            <w:shd w:val="clear" w:color="auto" w:fill="auto"/>
            <w:vAlign w:val="center"/>
            <w:hideMark/>
          </w:tcPr>
          <w:p w14:paraId="772C2FFD" w14:textId="4123A194"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00237182">
              <w:rPr>
                <w:rFonts w:ascii="Times New Roman" w:eastAsia="Times New Roman" w:hAnsi="Times New Roman" w:cs="Times New Roman"/>
                <w:color w:val="000000"/>
                <w:lang w:eastAsia="es-CR"/>
              </w:rPr>
              <w:t>3</w:t>
            </w:r>
            <w:r w:rsidRPr="001A4A80">
              <w:rPr>
                <w:rFonts w:ascii="Book Antiqua" w:eastAsia="Times New Roman" w:hAnsi="Book Antiqua" w:cs="Calibri"/>
                <w:color w:val="000000"/>
                <w:lang w:eastAsia="es-CR"/>
              </w:rPr>
              <w:t xml:space="preserve">3 </w:t>
            </w:r>
            <w:r w:rsidR="00237182">
              <w:rPr>
                <w:rFonts w:ascii="Book Antiqua" w:eastAsia="Times New Roman" w:hAnsi="Book Antiqua" w:cs="Calibri"/>
                <w:color w:val="000000"/>
                <w:lang w:eastAsia="es-CR"/>
              </w:rPr>
              <w:t>352</w:t>
            </w:r>
            <w:r w:rsidRPr="001A4A80">
              <w:rPr>
                <w:rFonts w:ascii="Book Antiqua" w:eastAsia="Times New Roman" w:hAnsi="Book Antiqua" w:cs="Calibri"/>
                <w:color w:val="000000"/>
                <w:lang w:eastAsia="es-CR"/>
              </w:rPr>
              <w:t xml:space="preserve"> 000</w:t>
            </w:r>
          </w:p>
        </w:tc>
      </w:tr>
      <w:tr w:rsidR="001A4A80" w:rsidRPr="001A4A80" w14:paraId="411ABD33" w14:textId="77777777" w:rsidTr="001A4A80">
        <w:trPr>
          <w:trHeight w:val="310"/>
        </w:trPr>
        <w:tc>
          <w:tcPr>
            <w:tcW w:w="2538"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9356C"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Book Antiqua" w:eastAsia="Times New Roman" w:hAnsi="Book Antiqua" w:cs="Calibri"/>
                <w:b/>
                <w:bCs/>
                <w:color w:val="000000"/>
                <w:sz w:val="24"/>
                <w:szCs w:val="24"/>
                <w:lang w:eastAsia="es-CR"/>
              </w:rPr>
              <w:t>Total</w:t>
            </w:r>
          </w:p>
        </w:tc>
        <w:tc>
          <w:tcPr>
            <w:tcW w:w="1186" w:type="pct"/>
            <w:tcBorders>
              <w:top w:val="nil"/>
              <w:left w:val="nil"/>
              <w:bottom w:val="single" w:sz="4" w:space="0" w:color="auto"/>
              <w:right w:val="single" w:sz="4" w:space="0" w:color="auto"/>
            </w:tcBorders>
            <w:shd w:val="clear" w:color="auto" w:fill="auto"/>
            <w:noWrap/>
            <w:vAlign w:val="center"/>
            <w:hideMark/>
          </w:tcPr>
          <w:p w14:paraId="61435E74" w14:textId="48638AC4"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Times New Roman" w:eastAsia="Times New Roman" w:hAnsi="Times New Roman" w:cs="Times New Roman"/>
                <w:b/>
                <w:bCs/>
                <w:color w:val="000000"/>
                <w:sz w:val="24"/>
                <w:szCs w:val="24"/>
                <w:lang w:eastAsia="es-CR"/>
              </w:rPr>
              <w:t>₡</w:t>
            </w:r>
            <w:r w:rsidR="00C23068">
              <w:rPr>
                <w:rFonts w:ascii="Times New Roman" w:eastAsia="Times New Roman" w:hAnsi="Times New Roman" w:cs="Times New Roman"/>
                <w:b/>
                <w:bCs/>
                <w:color w:val="000000"/>
                <w:sz w:val="24"/>
                <w:szCs w:val="24"/>
                <w:lang w:eastAsia="es-CR"/>
              </w:rPr>
              <w:t>93</w:t>
            </w:r>
            <w:r w:rsidRPr="001A4A80">
              <w:rPr>
                <w:rFonts w:ascii="Book Antiqua" w:eastAsia="Times New Roman" w:hAnsi="Book Antiqua" w:cs="Calibri"/>
                <w:b/>
                <w:bCs/>
                <w:color w:val="000000"/>
                <w:sz w:val="24"/>
                <w:szCs w:val="24"/>
                <w:lang w:eastAsia="es-CR"/>
              </w:rPr>
              <w:t xml:space="preserve"> </w:t>
            </w:r>
            <w:r w:rsidR="00C23068">
              <w:rPr>
                <w:rFonts w:ascii="Book Antiqua" w:eastAsia="Times New Roman" w:hAnsi="Book Antiqua" w:cs="Calibri"/>
                <w:b/>
                <w:bCs/>
                <w:color w:val="000000"/>
                <w:sz w:val="24"/>
                <w:szCs w:val="24"/>
                <w:lang w:eastAsia="es-CR"/>
              </w:rPr>
              <w:t>5</w:t>
            </w:r>
            <w:r w:rsidRPr="001A4A80">
              <w:rPr>
                <w:rFonts w:ascii="Book Antiqua" w:eastAsia="Times New Roman" w:hAnsi="Book Antiqua" w:cs="Calibri"/>
                <w:b/>
                <w:bCs/>
                <w:color w:val="000000"/>
                <w:sz w:val="24"/>
                <w:szCs w:val="24"/>
                <w:lang w:eastAsia="es-CR"/>
              </w:rPr>
              <w:t>8</w:t>
            </w:r>
            <w:r w:rsidR="00C23068">
              <w:rPr>
                <w:rFonts w:ascii="Book Antiqua" w:eastAsia="Times New Roman" w:hAnsi="Book Antiqua" w:cs="Calibri"/>
                <w:b/>
                <w:bCs/>
                <w:color w:val="000000"/>
                <w:sz w:val="24"/>
                <w:szCs w:val="24"/>
                <w:lang w:eastAsia="es-CR"/>
              </w:rPr>
              <w:t>9</w:t>
            </w:r>
            <w:r w:rsidRPr="001A4A80">
              <w:rPr>
                <w:rFonts w:ascii="Book Antiqua" w:eastAsia="Times New Roman" w:hAnsi="Book Antiqua" w:cs="Calibri"/>
                <w:b/>
                <w:bCs/>
                <w:color w:val="000000"/>
                <w:sz w:val="24"/>
                <w:szCs w:val="24"/>
                <w:lang w:eastAsia="es-CR"/>
              </w:rPr>
              <w:t xml:space="preserve"> 000</w:t>
            </w:r>
          </w:p>
        </w:tc>
        <w:tc>
          <w:tcPr>
            <w:tcW w:w="564" w:type="pct"/>
            <w:tcBorders>
              <w:top w:val="nil"/>
              <w:left w:val="nil"/>
              <w:bottom w:val="single" w:sz="4" w:space="0" w:color="auto"/>
              <w:right w:val="single" w:sz="4" w:space="0" w:color="auto"/>
            </w:tcBorders>
            <w:shd w:val="clear" w:color="auto" w:fill="auto"/>
            <w:noWrap/>
            <w:vAlign w:val="center"/>
            <w:hideMark/>
          </w:tcPr>
          <w:p w14:paraId="708B6965" w14:textId="7426CAEC" w:rsidR="001A4A80" w:rsidRPr="001A4A80" w:rsidRDefault="00CF4F4F" w:rsidP="001A4A80">
            <w:pPr>
              <w:spacing w:after="0" w:line="240" w:lineRule="auto"/>
              <w:jc w:val="center"/>
              <w:rPr>
                <w:rFonts w:ascii="Book Antiqua" w:eastAsia="Times New Roman" w:hAnsi="Book Antiqua" w:cs="Calibri"/>
                <w:b/>
                <w:bCs/>
                <w:color w:val="000000"/>
                <w:sz w:val="24"/>
                <w:szCs w:val="24"/>
                <w:lang w:eastAsia="es-CR"/>
              </w:rPr>
            </w:pPr>
            <w:r>
              <w:rPr>
                <w:rFonts w:ascii="Book Antiqua" w:eastAsia="Times New Roman" w:hAnsi="Book Antiqua" w:cs="Calibri"/>
                <w:b/>
                <w:bCs/>
                <w:color w:val="000000"/>
                <w:sz w:val="24"/>
                <w:szCs w:val="24"/>
                <w:lang w:eastAsia="es-CR"/>
              </w:rPr>
              <w:t>5</w:t>
            </w:r>
          </w:p>
        </w:tc>
        <w:tc>
          <w:tcPr>
            <w:tcW w:w="712" w:type="pct"/>
            <w:tcBorders>
              <w:top w:val="nil"/>
              <w:left w:val="nil"/>
              <w:bottom w:val="single" w:sz="4" w:space="0" w:color="auto"/>
              <w:right w:val="single" w:sz="4" w:space="0" w:color="auto"/>
            </w:tcBorders>
            <w:shd w:val="clear" w:color="auto" w:fill="auto"/>
            <w:noWrap/>
            <w:vAlign w:val="center"/>
            <w:hideMark/>
          </w:tcPr>
          <w:p w14:paraId="2F573F0E" w14:textId="41517E5F"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Times New Roman" w:eastAsia="Times New Roman" w:hAnsi="Times New Roman" w:cs="Times New Roman"/>
                <w:b/>
                <w:bCs/>
                <w:color w:val="000000"/>
                <w:sz w:val="24"/>
                <w:szCs w:val="24"/>
                <w:lang w:eastAsia="es-CR"/>
              </w:rPr>
              <w:t>₡</w:t>
            </w:r>
            <w:r w:rsidR="00635ABA">
              <w:rPr>
                <w:rFonts w:ascii="Times New Roman" w:eastAsia="Times New Roman" w:hAnsi="Times New Roman" w:cs="Times New Roman"/>
                <w:b/>
                <w:bCs/>
                <w:color w:val="000000"/>
                <w:sz w:val="24"/>
                <w:szCs w:val="24"/>
                <w:lang w:eastAsia="es-CR"/>
              </w:rPr>
              <w:t>130</w:t>
            </w:r>
            <w:r w:rsidRPr="001A4A80">
              <w:rPr>
                <w:rFonts w:ascii="Book Antiqua" w:eastAsia="Times New Roman" w:hAnsi="Book Antiqua" w:cs="Calibri"/>
                <w:b/>
                <w:bCs/>
                <w:color w:val="000000"/>
                <w:sz w:val="24"/>
                <w:szCs w:val="24"/>
                <w:lang w:eastAsia="es-CR"/>
              </w:rPr>
              <w:t xml:space="preserve"> </w:t>
            </w:r>
            <w:r w:rsidR="00635ABA">
              <w:rPr>
                <w:rFonts w:ascii="Book Antiqua" w:eastAsia="Times New Roman" w:hAnsi="Book Antiqua" w:cs="Calibri"/>
                <w:b/>
                <w:bCs/>
                <w:color w:val="000000"/>
                <w:sz w:val="24"/>
                <w:szCs w:val="24"/>
                <w:lang w:eastAsia="es-CR"/>
              </w:rPr>
              <w:t>252</w:t>
            </w:r>
            <w:r w:rsidRPr="001A4A80">
              <w:rPr>
                <w:rFonts w:ascii="Book Antiqua" w:eastAsia="Times New Roman" w:hAnsi="Book Antiqua" w:cs="Calibri"/>
                <w:b/>
                <w:bCs/>
                <w:color w:val="000000"/>
                <w:sz w:val="24"/>
                <w:szCs w:val="24"/>
                <w:lang w:eastAsia="es-CR"/>
              </w:rPr>
              <w:t xml:space="preserve"> 000</w:t>
            </w:r>
          </w:p>
        </w:tc>
      </w:tr>
    </w:tbl>
    <w:bookmarkEnd w:id="75"/>
    <w:p w14:paraId="28AF04F1" w14:textId="27A54FDB" w:rsidR="006B501C" w:rsidRDefault="006B501C" w:rsidP="006B501C">
      <w:pPr>
        <w:spacing w:after="0" w:line="276" w:lineRule="auto"/>
        <w:jc w:val="both"/>
        <w:rPr>
          <w:rFonts w:ascii="Book Antiqua" w:eastAsia="Calibri" w:hAnsi="Book Antiqua" w:cs="Arial"/>
          <w:i/>
          <w:iCs/>
          <w:sz w:val="20"/>
          <w:szCs w:val="20"/>
        </w:rPr>
      </w:pPr>
      <w:r w:rsidRPr="004D423D">
        <w:rPr>
          <w:rFonts w:ascii="Book Antiqua" w:eastAsia="Calibri" w:hAnsi="Book Antiqua" w:cs="Arial"/>
          <w:b/>
          <w:bCs/>
          <w:i/>
          <w:iCs/>
          <w:sz w:val="20"/>
          <w:szCs w:val="20"/>
        </w:rPr>
        <w:t>Fuente:</w:t>
      </w:r>
      <w:r w:rsidRPr="004D423D">
        <w:rPr>
          <w:rFonts w:ascii="Book Antiqua" w:eastAsia="Calibri" w:hAnsi="Book Antiqua" w:cs="Arial"/>
          <w:i/>
          <w:iCs/>
          <w:sz w:val="20"/>
          <w:szCs w:val="20"/>
        </w:rPr>
        <w:t xml:space="preserve"> </w:t>
      </w:r>
      <w:r w:rsidR="00C854E0">
        <w:rPr>
          <w:rFonts w:ascii="Book Antiqua" w:eastAsia="Calibri" w:hAnsi="Book Antiqua" w:cs="Arial"/>
          <w:i/>
          <w:iCs/>
          <w:sz w:val="20"/>
          <w:szCs w:val="20"/>
        </w:rPr>
        <w:t xml:space="preserve">Subproceso </w:t>
      </w:r>
      <w:r w:rsidRPr="004D423D">
        <w:rPr>
          <w:rFonts w:ascii="Book Antiqua" w:eastAsia="Calibri" w:hAnsi="Book Antiqua" w:cs="Arial"/>
          <w:i/>
          <w:iCs/>
          <w:sz w:val="20"/>
          <w:szCs w:val="20"/>
        </w:rPr>
        <w:t>Modernización Institucional</w:t>
      </w:r>
      <w:r w:rsidR="009A6BF7">
        <w:rPr>
          <w:rFonts w:ascii="Book Antiqua" w:eastAsia="Calibri" w:hAnsi="Book Antiqua" w:cs="Arial"/>
          <w:i/>
          <w:iCs/>
          <w:sz w:val="20"/>
          <w:szCs w:val="20"/>
        </w:rPr>
        <w:t xml:space="preserve"> </w:t>
      </w:r>
      <w:r w:rsidR="009A6BF7" w:rsidRPr="009A6BF7">
        <w:rPr>
          <w:rFonts w:ascii="Book Antiqua" w:eastAsia="Calibri" w:hAnsi="Book Antiqua" w:cs="Arial"/>
          <w:i/>
          <w:iCs/>
          <w:sz w:val="20"/>
          <w:szCs w:val="20"/>
        </w:rPr>
        <w:t>con datos suministrados por el Subproceso de Presupuesto y Portafolio de Proyectos de la Dirección de Planificación.</w:t>
      </w:r>
    </w:p>
    <w:p w14:paraId="391F90F1" w14:textId="0C9EAC63" w:rsidR="00EB64B7" w:rsidRDefault="001C29B6"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se </w:t>
      </w:r>
      <w:r w:rsidRPr="001C29B6">
        <w:rPr>
          <w:rFonts w:ascii="Book Antiqua" w:eastAsia="Calibri" w:hAnsi="Book Antiqua" w:cs="Arial"/>
          <w:sz w:val="24"/>
          <w:szCs w:val="24"/>
        </w:rPr>
        <w:t>recom</w:t>
      </w:r>
      <w:r>
        <w:rPr>
          <w:rFonts w:ascii="Book Antiqua" w:eastAsia="Calibri" w:hAnsi="Book Antiqua" w:cs="Arial"/>
          <w:sz w:val="24"/>
          <w:szCs w:val="24"/>
        </w:rPr>
        <w:t>i</w:t>
      </w:r>
      <w:r w:rsidRPr="001C29B6">
        <w:rPr>
          <w:rFonts w:ascii="Book Antiqua" w:eastAsia="Calibri" w:hAnsi="Book Antiqua" w:cs="Arial"/>
          <w:sz w:val="24"/>
          <w:szCs w:val="24"/>
        </w:rPr>
        <w:t xml:space="preserve">enda </w:t>
      </w:r>
      <w:r w:rsidR="009A6BF7" w:rsidRPr="009A6BF7">
        <w:rPr>
          <w:rFonts w:ascii="Book Antiqua" w:eastAsia="Calibri" w:hAnsi="Book Antiqua" w:cs="Arial"/>
          <w:sz w:val="24"/>
          <w:szCs w:val="24"/>
        </w:rPr>
        <w:t xml:space="preserve">la propuesta de la estructura </w:t>
      </w:r>
      <w:r w:rsidRPr="001C29B6">
        <w:rPr>
          <w:rFonts w:ascii="Book Antiqua" w:eastAsia="Calibri" w:hAnsi="Book Antiqua" w:cs="Arial"/>
          <w:sz w:val="24"/>
          <w:szCs w:val="24"/>
        </w:rPr>
        <w:t xml:space="preserve">bajo 2 condiciones: que no se reforme el Código </w:t>
      </w:r>
      <w:r>
        <w:rPr>
          <w:rFonts w:ascii="Book Antiqua" w:eastAsia="Calibri" w:hAnsi="Book Antiqua" w:cs="Arial"/>
          <w:sz w:val="24"/>
          <w:szCs w:val="24"/>
        </w:rPr>
        <w:t xml:space="preserve">Procesal de Familia </w:t>
      </w:r>
      <w:r w:rsidRPr="001C29B6">
        <w:rPr>
          <w:rFonts w:ascii="Book Antiqua" w:eastAsia="Calibri" w:hAnsi="Book Antiqua" w:cs="Arial"/>
          <w:sz w:val="24"/>
          <w:szCs w:val="24"/>
        </w:rPr>
        <w:t xml:space="preserve">y </w:t>
      </w:r>
      <w:r>
        <w:rPr>
          <w:rFonts w:ascii="Book Antiqua" w:eastAsia="Calibri" w:hAnsi="Book Antiqua" w:cs="Arial"/>
          <w:sz w:val="24"/>
          <w:szCs w:val="24"/>
        </w:rPr>
        <w:t xml:space="preserve">al no conocerse </w:t>
      </w:r>
      <w:r w:rsidRPr="001C29B6">
        <w:rPr>
          <w:rFonts w:ascii="Book Antiqua" w:eastAsia="Calibri" w:hAnsi="Book Antiqua" w:cs="Arial"/>
          <w:sz w:val="24"/>
          <w:szCs w:val="24"/>
        </w:rPr>
        <w:t>a</w:t>
      </w:r>
      <w:r>
        <w:rPr>
          <w:rFonts w:ascii="Book Antiqua" w:eastAsia="Calibri" w:hAnsi="Book Antiqua" w:cs="Arial"/>
          <w:sz w:val="24"/>
          <w:szCs w:val="24"/>
        </w:rPr>
        <w:t>ún</w:t>
      </w:r>
      <w:r w:rsidRPr="001C29B6">
        <w:rPr>
          <w:rFonts w:ascii="Book Antiqua" w:eastAsia="Calibri" w:hAnsi="Book Antiqua" w:cs="Arial"/>
          <w:sz w:val="24"/>
          <w:szCs w:val="24"/>
        </w:rPr>
        <w:t xml:space="preserve"> el resultado del abordaje </w:t>
      </w:r>
      <w:r>
        <w:rPr>
          <w:rFonts w:ascii="Book Antiqua" w:eastAsia="Calibri" w:hAnsi="Book Antiqua" w:cs="Arial"/>
          <w:sz w:val="24"/>
          <w:szCs w:val="24"/>
        </w:rPr>
        <w:t xml:space="preserve">que está </w:t>
      </w:r>
      <w:r w:rsidR="00EB64B7">
        <w:rPr>
          <w:rFonts w:ascii="Book Antiqua" w:eastAsia="Calibri" w:hAnsi="Book Antiqua" w:cs="Arial"/>
          <w:sz w:val="24"/>
          <w:szCs w:val="24"/>
        </w:rPr>
        <w:t>inician</w:t>
      </w:r>
      <w:r>
        <w:rPr>
          <w:rFonts w:ascii="Book Antiqua" w:eastAsia="Calibri" w:hAnsi="Book Antiqua" w:cs="Arial"/>
          <w:sz w:val="24"/>
          <w:szCs w:val="24"/>
        </w:rPr>
        <w:t xml:space="preserve">do esta Dirección en la Sala Segunda, </w:t>
      </w:r>
      <w:r w:rsidR="00EB64B7">
        <w:rPr>
          <w:rFonts w:ascii="Book Antiqua" w:eastAsia="Calibri" w:hAnsi="Book Antiqua" w:cs="Arial"/>
          <w:sz w:val="24"/>
          <w:szCs w:val="24"/>
        </w:rPr>
        <w:t xml:space="preserve">mediante el proyecto </w:t>
      </w:r>
      <w:r w:rsidR="00EB64B7" w:rsidRPr="00EB64B7">
        <w:rPr>
          <w:rFonts w:ascii="Book Antiqua" w:eastAsia="Calibri" w:hAnsi="Book Antiqua" w:cs="Arial"/>
          <w:b/>
          <w:bCs/>
          <w:sz w:val="24"/>
          <w:szCs w:val="24"/>
        </w:rPr>
        <w:t>0110-PLA-P35</w:t>
      </w:r>
      <w:r w:rsidR="00EB64B7" w:rsidRPr="00EB64B7">
        <w:rPr>
          <w:i/>
          <w:iCs/>
        </w:rPr>
        <w:t xml:space="preserve"> </w:t>
      </w:r>
      <w:r w:rsidR="00EB64B7" w:rsidRPr="00EB64B7">
        <w:rPr>
          <w:b/>
          <w:bCs/>
          <w:i/>
          <w:iCs/>
        </w:rPr>
        <w:t>“</w:t>
      </w:r>
      <w:r w:rsidR="00EB64B7" w:rsidRPr="00EB64B7">
        <w:rPr>
          <w:rFonts w:ascii="Book Antiqua" w:eastAsia="Calibri" w:hAnsi="Book Antiqua" w:cs="Arial"/>
          <w:b/>
          <w:bCs/>
          <w:i/>
          <w:iCs/>
          <w:sz w:val="24"/>
          <w:szCs w:val="24"/>
        </w:rPr>
        <w:t>Abordaje Específico a la Sala Segunda”</w:t>
      </w:r>
      <w:r w:rsidR="00EB64B7" w:rsidRPr="00EB64B7">
        <w:rPr>
          <w:rFonts w:ascii="Book Antiqua" w:eastAsia="Calibri" w:hAnsi="Book Antiqua" w:cs="Arial"/>
          <w:sz w:val="24"/>
          <w:szCs w:val="24"/>
        </w:rPr>
        <w:t xml:space="preserve">, </w:t>
      </w:r>
      <w:r>
        <w:rPr>
          <w:rFonts w:ascii="Book Antiqua" w:eastAsia="Calibri" w:hAnsi="Book Antiqua" w:cs="Arial"/>
          <w:sz w:val="24"/>
          <w:szCs w:val="24"/>
        </w:rPr>
        <w:t xml:space="preserve">el cual </w:t>
      </w:r>
      <w:r w:rsidR="00EB64B7">
        <w:rPr>
          <w:rFonts w:ascii="Book Antiqua" w:eastAsia="Calibri" w:hAnsi="Book Antiqua" w:cs="Arial"/>
          <w:sz w:val="24"/>
          <w:szCs w:val="24"/>
        </w:rPr>
        <w:t xml:space="preserve">finaliza el 10 de noviembre de 2023, </w:t>
      </w:r>
      <w:r>
        <w:rPr>
          <w:rFonts w:ascii="Book Antiqua" w:eastAsia="Calibri" w:hAnsi="Book Antiqua" w:cs="Arial"/>
          <w:sz w:val="24"/>
          <w:szCs w:val="24"/>
        </w:rPr>
        <w:t>la estructura propuesta en este informe</w:t>
      </w:r>
      <w:r w:rsidR="008F0059">
        <w:rPr>
          <w:rFonts w:ascii="Book Antiqua" w:eastAsia="Calibri" w:hAnsi="Book Antiqua" w:cs="Arial"/>
          <w:sz w:val="24"/>
          <w:szCs w:val="24"/>
        </w:rPr>
        <w:t xml:space="preserve"> podría variar</w:t>
      </w:r>
      <w:r>
        <w:rPr>
          <w:rFonts w:ascii="Book Antiqua" w:eastAsia="Calibri" w:hAnsi="Book Antiqua" w:cs="Arial"/>
          <w:sz w:val="24"/>
          <w:szCs w:val="24"/>
        </w:rPr>
        <w:t xml:space="preserve">. </w:t>
      </w:r>
    </w:p>
    <w:p w14:paraId="7A648C3B" w14:textId="2B2EB12E" w:rsidR="001C29B6" w:rsidRDefault="00EB64B7"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Además</w:t>
      </w:r>
      <w:r w:rsidR="001C29B6">
        <w:rPr>
          <w:rFonts w:ascii="Book Antiqua" w:eastAsia="Calibri" w:hAnsi="Book Antiqua" w:cs="Arial"/>
          <w:sz w:val="24"/>
          <w:szCs w:val="24"/>
        </w:rPr>
        <w:t xml:space="preserve">, </w:t>
      </w:r>
      <w:r>
        <w:rPr>
          <w:rFonts w:ascii="Book Antiqua" w:eastAsia="Calibri" w:hAnsi="Book Antiqua" w:cs="Arial"/>
          <w:sz w:val="24"/>
          <w:szCs w:val="24"/>
        </w:rPr>
        <w:t xml:space="preserve">se debe considerar que </w:t>
      </w:r>
      <w:r w:rsidR="001C29B6">
        <w:rPr>
          <w:rFonts w:ascii="Book Antiqua" w:eastAsia="Calibri" w:hAnsi="Book Antiqua" w:cs="Arial"/>
          <w:sz w:val="24"/>
          <w:szCs w:val="24"/>
        </w:rPr>
        <w:t xml:space="preserve">la Comisión de Familia, </w:t>
      </w:r>
      <w:r>
        <w:rPr>
          <w:rFonts w:ascii="Book Antiqua" w:eastAsia="Calibri" w:hAnsi="Book Antiqua" w:cs="Arial"/>
          <w:sz w:val="24"/>
          <w:szCs w:val="24"/>
        </w:rPr>
        <w:t>Niñez y Adolescencia, está trabajando en las reformas al Código Procesal de Familia.</w:t>
      </w:r>
    </w:p>
    <w:p w14:paraId="675CB876" w14:textId="77777777" w:rsidR="001C29B6" w:rsidRDefault="001C29B6" w:rsidP="006B501C">
      <w:pPr>
        <w:spacing w:after="0" w:line="276" w:lineRule="auto"/>
        <w:jc w:val="both"/>
        <w:rPr>
          <w:rFonts w:ascii="Book Antiqua" w:eastAsia="Calibri" w:hAnsi="Book Antiqua" w:cs="Arial"/>
          <w:sz w:val="24"/>
          <w:szCs w:val="24"/>
        </w:rPr>
      </w:pPr>
    </w:p>
    <w:p w14:paraId="5D5D66E5" w14:textId="0091BB05" w:rsidR="006B501C" w:rsidRDefault="00EB64B7"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último</w:t>
      </w:r>
      <w:r w:rsidR="00090CF2">
        <w:rPr>
          <w:rFonts w:ascii="Book Antiqua" w:eastAsia="Calibri" w:hAnsi="Book Antiqua" w:cs="Arial"/>
          <w:sz w:val="24"/>
          <w:szCs w:val="24"/>
        </w:rPr>
        <w:t xml:space="preserve">, tal y como se </w:t>
      </w:r>
      <w:r w:rsidR="00655D0C">
        <w:rPr>
          <w:rFonts w:ascii="Book Antiqua" w:eastAsia="Calibri" w:hAnsi="Book Antiqua" w:cs="Arial"/>
          <w:sz w:val="24"/>
          <w:szCs w:val="24"/>
        </w:rPr>
        <w:t>indicó</w:t>
      </w:r>
      <w:r w:rsidR="00090CF2">
        <w:rPr>
          <w:rFonts w:ascii="Book Antiqua" w:eastAsia="Calibri" w:hAnsi="Book Antiqua" w:cs="Arial"/>
          <w:sz w:val="24"/>
          <w:szCs w:val="24"/>
        </w:rPr>
        <w:t xml:space="preserve"> en líneas anteriores, aplicar esta </w:t>
      </w:r>
      <w:r w:rsidR="00655D0C">
        <w:rPr>
          <w:rFonts w:ascii="Book Antiqua" w:eastAsia="Calibri" w:hAnsi="Book Antiqua" w:cs="Arial"/>
          <w:sz w:val="24"/>
          <w:szCs w:val="24"/>
        </w:rPr>
        <w:t>ley de la forma propuesta, implica una desmejora en los tiempos de respuesta</w:t>
      </w:r>
      <w:r w:rsidR="00F6659E">
        <w:rPr>
          <w:rFonts w:ascii="Book Antiqua" w:eastAsia="Calibri" w:hAnsi="Book Antiqua" w:cs="Arial"/>
          <w:sz w:val="24"/>
          <w:szCs w:val="24"/>
        </w:rPr>
        <w:t xml:space="preserve"> a la persona ciudadana.</w:t>
      </w:r>
    </w:p>
    <w:p w14:paraId="5AFACFB0" w14:textId="77777777" w:rsidR="00292F21" w:rsidRDefault="00292F21" w:rsidP="006B501C">
      <w:pPr>
        <w:spacing w:after="0" w:line="276" w:lineRule="auto"/>
        <w:jc w:val="both"/>
        <w:rPr>
          <w:rFonts w:ascii="Book Antiqua" w:eastAsia="Calibri" w:hAnsi="Book Antiqua" w:cs="Arial"/>
          <w:sz w:val="24"/>
          <w:szCs w:val="24"/>
        </w:rPr>
      </w:pPr>
    </w:p>
    <w:p w14:paraId="569BB887" w14:textId="39BD1530" w:rsidR="00035487" w:rsidRPr="00F3324E" w:rsidRDefault="00035487"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Impacto en el servicio a la persona usuaria de los cambios de competencia propuestos en el CPF</w:t>
      </w:r>
    </w:p>
    <w:p w14:paraId="0248C4DE" w14:textId="4AEF391B" w:rsidR="00F3324E" w:rsidRDefault="00F3324E" w:rsidP="008868D8">
      <w:pPr>
        <w:spacing w:line="276" w:lineRule="auto"/>
        <w:jc w:val="both"/>
        <w:rPr>
          <w:rFonts w:ascii="Book Antiqua" w:hAnsi="Book Antiqua"/>
          <w:sz w:val="24"/>
          <w:szCs w:val="24"/>
        </w:rPr>
      </w:pPr>
    </w:p>
    <w:p w14:paraId="566EA8E2" w14:textId="43E5937E" w:rsidR="00FB7578" w:rsidRDefault="00FB7578" w:rsidP="008868D8">
      <w:pPr>
        <w:spacing w:line="276" w:lineRule="auto"/>
        <w:jc w:val="both"/>
        <w:rPr>
          <w:rFonts w:ascii="Book Antiqua" w:hAnsi="Book Antiqua"/>
          <w:sz w:val="24"/>
          <w:szCs w:val="24"/>
        </w:rPr>
      </w:pPr>
      <w:r>
        <w:rPr>
          <w:rFonts w:ascii="Book Antiqua" w:hAnsi="Book Antiqua"/>
          <w:sz w:val="24"/>
          <w:szCs w:val="24"/>
        </w:rPr>
        <w:t>Ya la Dirección de Planificación mediante los oficios</w:t>
      </w:r>
      <w:r w:rsidR="004F1725" w:rsidRPr="004F1725">
        <w:rPr>
          <w:rFonts w:ascii="Book Antiqua" w:hAnsi="Book Antiqua"/>
          <w:sz w:val="24"/>
          <w:szCs w:val="24"/>
        </w:rPr>
        <w:t xml:space="preserve"> 495-PLA-MI-2022 y 969-PLA-2022</w:t>
      </w:r>
      <w:r>
        <w:rPr>
          <w:rFonts w:ascii="Book Antiqua" w:hAnsi="Book Antiqua"/>
          <w:sz w:val="24"/>
          <w:szCs w:val="24"/>
        </w:rPr>
        <w:t xml:space="preserve">, trasladó las oportunidades de reforma a nivel legal a la Comisión de </w:t>
      </w:r>
      <w:r w:rsidR="004F1725">
        <w:rPr>
          <w:rFonts w:ascii="Book Antiqua" w:hAnsi="Book Antiqua"/>
          <w:sz w:val="24"/>
          <w:szCs w:val="24"/>
        </w:rPr>
        <w:t xml:space="preserve">la Jurisdicción de </w:t>
      </w:r>
      <w:r>
        <w:rPr>
          <w:rFonts w:ascii="Book Antiqua" w:hAnsi="Book Antiqua"/>
          <w:sz w:val="24"/>
          <w:szCs w:val="24"/>
        </w:rPr>
        <w:t>Familia para su análisis antes de la entrada en vigencia del CPF.</w:t>
      </w:r>
    </w:p>
    <w:p w14:paraId="2E6C70DE" w14:textId="12386995" w:rsidR="008868D8" w:rsidRDefault="00340FF2" w:rsidP="008868D8">
      <w:pPr>
        <w:spacing w:line="276" w:lineRule="auto"/>
        <w:jc w:val="both"/>
        <w:rPr>
          <w:rFonts w:ascii="Book Antiqua" w:hAnsi="Book Antiqua"/>
          <w:sz w:val="24"/>
          <w:szCs w:val="24"/>
        </w:rPr>
      </w:pPr>
      <w:r>
        <w:rPr>
          <w:rFonts w:ascii="Book Antiqua" w:hAnsi="Book Antiqua"/>
          <w:sz w:val="24"/>
          <w:szCs w:val="24"/>
        </w:rPr>
        <w:t>Se reitera la preocupación de esta Dirección por el traslado de competencias que se están delegando en los últimos año</w:t>
      </w:r>
      <w:r w:rsidR="007E153E">
        <w:rPr>
          <w:rFonts w:ascii="Book Antiqua" w:hAnsi="Book Antiqua"/>
          <w:sz w:val="24"/>
          <w:szCs w:val="24"/>
        </w:rPr>
        <w:t>s</w:t>
      </w:r>
      <w:r>
        <w:rPr>
          <w:rFonts w:ascii="Book Antiqua" w:hAnsi="Book Antiqua"/>
          <w:sz w:val="24"/>
          <w:szCs w:val="24"/>
        </w:rPr>
        <w:t xml:space="preserve"> a la Sala Segunda, </w:t>
      </w:r>
      <w:r w:rsidR="008868D8">
        <w:rPr>
          <w:rFonts w:ascii="Book Antiqua" w:hAnsi="Book Antiqua"/>
          <w:sz w:val="24"/>
          <w:szCs w:val="24"/>
        </w:rPr>
        <w:t xml:space="preserve">a una Sala </w:t>
      </w:r>
      <w:r>
        <w:rPr>
          <w:rFonts w:ascii="Book Antiqua" w:hAnsi="Book Antiqua"/>
          <w:sz w:val="24"/>
          <w:szCs w:val="24"/>
        </w:rPr>
        <w:t xml:space="preserve">de la Corte </w:t>
      </w:r>
      <w:r w:rsidR="008868D8">
        <w:rPr>
          <w:rFonts w:ascii="Book Antiqua" w:hAnsi="Book Antiqua"/>
          <w:sz w:val="24"/>
          <w:szCs w:val="24"/>
        </w:rPr>
        <w:t>en donde se requiere incluso de reforma constitucional para incrementar el personal de magistratura, y aunque se incremente el personal de apoyo, igualmente los asuntos deben ser votados por la misma cantidad de señoras y señores Magistrados que tienen otras labores adicionales a la resolución de recursos conforme a la Ley Orgánica del Poder Judicial</w:t>
      </w:r>
      <w:r>
        <w:rPr>
          <w:rFonts w:ascii="Book Antiqua" w:hAnsi="Book Antiqua"/>
          <w:sz w:val="24"/>
          <w:szCs w:val="24"/>
        </w:rPr>
        <w:t>;</w:t>
      </w:r>
      <w:r w:rsidR="008868D8">
        <w:rPr>
          <w:rFonts w:ascii="Book Antiqua" w:hAnsi="Book Antiqua"/>
          <w:sz w:val="24"/>
          <w:szCs w:val="24"/>
        </w:rPr>
        <w:t xml:space="preserve"> por lo que este tipo de cambios o traslados de competencias, lo que conllevan es a una desmejora del servicio público de la Institución.  </w:t>
      </w:r>
    </w:p>
    <w:p w14:paraId="7FE64044" w14:textId="22220F6F" w:rsidR="008868D8" w:rsidRDefault="008868D8" w:rsidP="008868D8">
      <w:pPr>
        <w:spacing w:line="276" w:lineRule="auto"/>
        <w:jc w:val="both"/>
        <w:rPr>
          <w:rFonts w:ascii="Book Antiqua" w:hAnsi="Book Antiqua"/>
          <w:sz w:val="24"/>
          <w:szCs w:val="24"/>
        </w:rPr>
      </w:pPr>
      <w:r>
        <w:rPr>
          <w:rFonts w:ascii="Book Antiqua" w:hAnsi="Book Antiqua"/>
          <w:sz w:val="24"/>
          <w:szCs w:val="24"/>
        </w:rPr>
        <w:t>En virtud de lo anterior, se plantea también la recomendación, para que este tipo de cambios de competencia, o traslados de competencia de una instancia a otra; sea analizado previamente a la aprobación o propuesta de una Ley, no solo a nivel jurídico por el impacto legal, sino también en las estructuras</w:t>
      </w:r>
      <w:r w:rsidR="00340FF2">
        <w:rPr>
          <w:rFonts w:ascii="Book Antiqua" w:hAnsi="Book Antiqua"/>
          <w:sz w:val="24"/>
          <w:szCs w:val="24"/>
        </w:rPr>
        <w:t xml:space="preserve"> y en el posible impacto (mejora o desmejora) del servicio público</w:t>
      </w:r>
      <w:r>
        <w:rPr>
          <w:rFonts w:ascii="Book Antiqua" w:hAnsi="Book Antiqua"/>
          <w:sz w:val="24"/>
          <w:szCs w:val="24"/>
        </w:rPr>
        <w:t xml:space="preserve">. </w:t>
      </w:r>
    </w:p>
    <w:p w14:paraId="3F3C722E" w14:textId="7C6E8061" w:rsidR="008868D8" w:rsidRDefault="008868D8" w:rsidP="008868D8">
      <w:pPr>
        <w:spacing w:line="276" w:lineRule="auto"/>
        <w:jc w:val="both"/>
        <w:rPr>
          <w:rFonts w:ascii="Book Antiqua" w:hAnsi="Book Antiqua"/>
          <w:sz w:val="24"/>
          <w:szCs w:val="24"/>
        </w:rPr>
      </w:pPr>
      <w:r>
        <w:rPr>
          <w:rFonts w:ascii="Book Antiqua" w:hAnsi="Book Antiqua"/>
          <w:sz w:val="24"/>
          <w:szCs w:val="24"/>
        </w:rPr>
        <w:t>Se requiere de inmediato un estudio de parte de la Dirección Jurídica</w:t>
      </w:r>
      <w:r w:rsidR="007561DF">
        <w:rPr>
          <w:rFonts w:ascii="Book Antiqua" w:hAnsi="Book Antiqua"/>
          <w:sz w:val="24"/>
          <w:szCs w:val="24"/>
        </w:rPr>
        <w:t xml:space="preserve">, la Comisión de Asuntos Laborales y </w:t>
      </w:r>
      <w:r w:rsidR="00686982">
        <w:rPr>
          <w:rFonts w:ascii="Book Antiqua" w:hAnsi="Book Antiqua"/>
          <w:sz w:val="24"/>
          <w:szCs w:val="24"/>
        </w:rPr>
        <w:t>la Sala Segunda</w:t>
      </w:r>
      <w:r>
        <w:rPr>
          <w:rFonts w:ascii="Book Antiqua" w:hAnsi="Book Antiqua"/>
          <w:sz w:val="24"/>
          <w:szCs w:val="24"/>
        </w:rPr>
        <w:t>, para que valoren la posibilidad de plantear una reforma legal al CPF, tanto en este aspecto como al artículo 286 del CPF que a esta fecha no cuenta con reglamento</w:t>
      </w:r>
      <w:r w:rsidR="00340FF2">
        <w:rPr>
          <w:rFonts w:ascii="Book Antiqua" w:hAnsi="Book Antiqua"/>
          <w:sz w:val="24"/>
          <w:szCs w:val="24"/>
        </w:rPr>
        <w:t xml:space="preserve"> aprobado por Corte Plena</w:t>
      </w:r>
      <w:r>
        <w:rPr>
          <w:rFonts w:ascii="Book Antiqua" w:hAnsi="Book Antiqua"/>
          <w:sz w:val="24"/>
          <w:szCs w:val="24"/>
        </w:rPr>
        <w:t xml:space="preserve"> para su ejecución, pese a las reiteradas solicitudes de esta Dirección. </w:t>
      </w:r>
    </w:p>
    <w:p w14:paraId="70555B09" w14:textId="0AE2C755" w:rsidR="00125BC1" w:rsidRDefault="000C2B7F">
      <w:pPr>
        <w:pStyle w:val="Ttulo1"/>
        <w:numPr>
          <w:ilvl w:val="0"/>
          <w:numId w:val="22"/>
        </w:numPr>
        <w:spacing w:line="276" w:lineRule="auto"/>
      </w:pPr>
      <w:r w:rsidRPr="009E73B0">
        <w:t>Información relevante</w:t>
      </w:r>
      <w:r w:rsidR="00853713">
        <w:t xml:space="preserve"> en materia de Violencia Doméstica</w:t>
      </w:r>
    </w:p>
    <w:p w14:paraId="1102C7CA" w14:textId="0D932236" w:rsidR="00125BC1" w:rsidRPr="00F3324E" w:rsidRDefault="00853713"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Situación de los Juzgados de Violencia Doméstica (especializados y mixtos)</w:t>
      </w:r>
    </w:p>
    <w:p w14:paraId="41A037BF" w14:textId="7F4DCDBC" w:rsidR="002B3DB0" w:rsidRDefault="002B3DB0" w:rsidP="002B3DB0">
      <w:pPr>
        <w:spacing w:after="0" w:line="276" w:lineRule="auto"/>
        <w:jc w:val="both"/>
        <w:rPr>
          <w:rFonts w:ascii="Book Antiqua" w:eastAsia="Calibri" w:hAnsi="Book Antiqua" w:cs="Arial"/>
          <w:sz w:val="24"/>
          <w:szCs w:val="24"/>
        </w:rPr>
      </w:pPr>
    </w:p>
    <w:p w14:paraId="4719675A" w14:textId="3CC73745"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El CPF incorpora una adición a la Ley Orgánica del Poder Judicial, Ley 7333, específicamente el artículo 121 bis, referente a la competencia material de los Juzgados de Violencia Doméstica, donde se establece que estos conocerán:</w:t>
      </w:r>
    </w:p>
    <w:p w14:paraId="349EBD1D" w14:textId="77777777" w:rsidR="002B3DB0" w:rsidRPr="002B3DB0" w:rsidRDefault="002B3DB0" w:rsidP="002B3DB0">
      <w:pPr>
        <w:spacing w:after="0" w:line="276" w:lineRule="auto"/>
        <w:jc w:val="both"/>
        <w:rPr>
          <w:rFonts w:ascii="Book Antiqua" w:eastAsia="Calibri" w:hAnsi="Book Antiqua" w:cs="Arial"/>
          <w:sz w:val="24"/>
          <w:szCs w:val="24"/>
        </w:rPr>
      </w:pPr>
    </w:p>
    <w:p w14:paraId="48C9DE12"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“1) Todo lo relativo a los procesos de protección cautelar de violencia intrafamiliar, personas adultas mayores y personas con discapacidad.</w:t>
      </w:r>
    </w:p>
    <w:p w14:paraId="03593EE5"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2) Los demás asuntos que estipule la ley.</w:t>
      </w:r>
    </w:p>
    <w:p w14:paraId="11CE8F51"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04765F79" w14:textId="77777777" w:rsidR="00726555" w:rsidRDefault="00726555" w:rsidP="002B3DB0">
      <w:pPr>
        <w:spacing w:after="0" w:line="276" w:lineRule="auto"/>
        <w:jc w:val="both"/>
        <w:rPr>
          <w:rFonts w:ascii="Book Antiqua" w:eastAsia="Calibri" w:hAnsi="Book Antiqua" w:cs="Arial"/>
          <w:sz w:val="24"/>
          <w:szCs w:val="24"/>
        </w:rPr>
      </w:pPr>
    </w:p>
    <w:p w14:paraId="4F02515B" w14:textId="4B25CEAB"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Es importante aclarar que la actual Ley Contra la Violencia Doméstica continuaría vigente cuando entre en vigencia el CPF, siendo novedad la inclusión de los procesos de protección cautelar a favor de personas adultas mayores y personas con discapacidad (en aquellos casos donde el presunto agresor no pertenezca al núcleo intrafamiliar).</w:t>
      </w:r>
    </w:p>
    <w:p w14:paraId="50CF37DF" w14:textId="0CE91505"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Lo que conlleva, que algunos asuntos actualmente ingresan en los Juzgados Contravencionales (en donde figura una persona adulta mayor por algún problema de violencia, pero sin lazo familiar) y podrían eventualmente ser de conocimiento de los Juzgados de Violencia Doméstica; se tiene </w:t>
      </w:r>
      <w:r w:rsidRPr="006E41C2">
        <w:rPr>
          <w:rFonts w:ascii="Book Antiqua" w:eastAsia="Calibri" w:hAnsi="Book Antiqua" w:cs="Arial"/>
          <w:sz w:val="24"/>
          <w:szCs w:val="24"/>
        </w:rPr>
        <w:t xml:space="preserve">en </w:t>
      </w:r>
      <w:r w:rsidRPr="00264B82">
        <w:rPr>
          <w:rFonts w:ascii="Book Antiqua" w:eastAsia="Calibri" w:hAnsi="Book Antiqua" w:cs="Arial"/>
          <w:sz w:val="24"/>
          <w:szCs w:val="24"/>
        </w:rPr>
        <w:t>20</w:t>
      </w:r>
      <w:r w:rsidR="00726555" w:rsidRPr="00264B82">
        <w:rPr>
          <w:rFonts w:ascii="Book Antiqua" w:eastAsia="Calibri" w:hAnsi="Book Antiqua" w:cs="Arial"/>
          <w:sz w:val="24"/>
          <w:szCs w:val="24"/>
        </w:rPr>
        <w:t>22</w:t>
      </w:r>
      <w:r w:rsidRPr="00264B82">
        <w:rPr>
          <w:rFonts w:ascii="Book Antiqua" w:eastAsia="Calibri" w:hAnsi="Book Antiqua" w:cs="Arial"/>
          <w:sz w:val="24"/>
          <w:szCs w:val="24"/>
        </w:rPr>
        <w:t xml:space="preserve">, por género y edad un total de </w:t>
      </w:r>
      <w:r w:rsidR="0051019E" w:rsidRPr="00264B82">
        <w:rPr>
          <w:rFonts w:ascii="Book Antiqua" w:eastAsia="Calibri" w:hAnsi="Book Antiqua" w:cs="Arial"/>
          <w:sz w:val="24"/>
          <w:szCs w:val="24"/>
        </w:rPr>
        <w:t>862</w:t>
      </w:r>
      <w:r w:rsidRPr="00264B82">
        <w:rPr>
          <w:rFonts w:ascii="Book Antiqua" w:eastAsia="Calibri" w:hAnsi="Book Antiqua" w:cs="Arial"/>
          <w:sz w:val="24"/>
          <w:szCs w:val="24"/>
        </w:rPr>
        <w:t xml:space="preserve"> ofendidos reportan una edad superior a los 63 años (</w:t>
      </w:r>
      <w:r w:rsidR="0051019E" w:rsidRPr="00264B82">
        <w:rPr>
          <w:rFonts w:ascii="Book Antiqua" w:eastAsia="Calibri" w:hAnsi="Book Antiqua" w:cs="Arial"/>
          <w:sz w:val="24"/>
          <w:szCs w:val="24"/>
        </w:rPr>
        <w:t>503</w:t>
      </w:r>
      <w:r w:rsidRPr="00264B82">
        <w:rPr>
          <w:rFonts w:ascii="Book Antiqua" w:eastAsia="Calibri" w:hAnsi="Book Antiqua" w:cs="Arial"/>
          <w:sz w:val="24"/>
          <w:szCs w:val="24"/>
        </w:rPr>
        <w:t xml:space="preserve"> hombres y </w:t>
      </w:r>
      <w:r w:rsidR="0051019E" w:rsidRPr="00264B82">
        <w:rPr>
          <w:rFonts w:ascii="Book Antiqua" w:eastAsia="Calibri" w:hAnsi="Book Antiqua" w:cs="Arial"/>
          <w:sz w:val="24"/>
          <w:szCs w:val="24"/>
        </w:rPr>
        <w:t>359</w:t>
      </w:r>
      <w:r w:rsidRPr="00264B82">
        <w:rPr>
          <w:rFonts w:ascii="Book Antiqua" w:eastAsia="Calibri" w:hAnsi="Book Antiqua" w:cs="Arial"/>
          <w:sz w:val="24"/>
          <w:szCs w:val="24"/>
        </w:rPr>
        <w:t xml:space="preserve"> mujeres). Asumiendo que, se trata de un ofendido por caso, representaría </w:t>
      </w:r>
      <w:r w:rsidR="00264B82" w:rsidRPr="00264B82">
        <w:rPr>
          <w:rFonts w:ascii="Book Antiqua" w:eastAsia="Calibri" w:hAnsi="Book Antiqua" w:cs="Arial"/>
          <w:sz w:val="24"/>
          <w:szCs w:val="24"/>
        </w:rPr>
        <w:t>77</w:t>
      </w:r>
      <w:r w:rsidRPr="00264B82">
        <w:rPr>
          <w:rFonts w:ascii="Book Antiqua" w:eastAsia="Calibri" w:hAnsi="Book Antiqua" w:cs="Arial"/>
          <w:sz w:val="24"/>
          <w:szCs w:val="24"/>
        </w:rPr>
        <w:t xml:space="preserve"> asuntos nuevos por mes, eso entre los 74 Juzgados competentes en Violencia Doméstica del país, representaría en promedio </w:t>
      </w:r>
      <w:r w:rsidR="00264B82" w:rsidRPr="00264B82">
        <w:rPr>
          <w:rFonts w:ascii="Book Antiqua" w:eastAsia="Calibri" w:hAnsi="Book Antiqua" w:cs="Arial"/>
          <w:sz w:val="24"/>
          <w:szCs w:val="24"/>
        </w:rPr>
        <w:t>1</w:t>
      </w:r>
      <w:r w:rsidRPr="00264B82">
        <w:rPr>
          <w:rFonts w:ascii="Book Antiqua" w:eastAsia="Calibri" w:hAnsi="Book Antiqua" w:cs="Arial"/>
          <w:sz w:val="24"/>
          <w:szCs w:val="24"/>
        </w:rPr>
        <w:t xml:space="preserve"> caso nuevo por mes por oficina.</w:t>
      </w:r>
      <w:r w:rsidRPr="002B3DB0">
        <w:rPr>
          <w:rFonts w:ascii="Book Antiqua" w:eastAsia="Calibri" w:hAnsi="Book Antiqua" w:cs="Arial"/>
          <w:sz w:val="24"/>
          <w:szCs w:val="24"/>
        </w:rPr>
        <w:t xml:space="preserve"> </w:t>
      </w:r>
    </w:p>
    <w:p w14:paraId="518C526B" w14:textId="25DD1234"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Por tanto, el impacto del CPF en los Juzgados de Violencia Doméstica radicaría principalmente en cambios a nivel de nomenclatura y en la nueva atribución conferida, estos procesos de protección cautelar a favor de personas adultas mayores y personas con discapacidad no está considerad</w:t>
      </w:r>
      <w:r w:rsidR="007931ED">
        <w:rPr>
          <w:rFonts w:ascii="Book Antiqua" w:eastAsia="Calibri" w:hAnsi="Book Antiqua" w:cs="Arial"/>
          <w:sz w:val="24"/>
          <w:szCs w:val="24"/>
        </w:rPr>
        <w:t>a</w:t>
      </w:r>
      <w:r w:rsidRPr="002B3DB0">
        <w:rPr>
          <w:rFonts w:ascii="Book Antiqua" w:eastAsia="Calibri" w:hAnsi="Book Antiqua" w:cs="Arial"/>
          <w:sz w:val="24"/>
          <w:szCs w:val="24"/>
        </w:rPr>
        <w:t xml:space="preserve"> como parte de la competencia material que tiene</w:t>
      </w:r>
      <w:r w:rsidR="007931ED">
        <w:rPr>
          <w:rFonts w:ascii="Book Antiqua" w:eastAsia="Calibri" w:hAnsi="Book Antiqua" w:cs="Arial"/>
          <w:sz w:val="24"/>
          <w:szCs w:val="24"/>
        </w:rPr>
        <w:t>n</w:t>
      </w:r>
      <w:r w:rsidRPr="002B3DB0">
        <w:rPr>
          <w:rFonts w:ascii="Book Antiqua" w:eastAsia="Calibri" w:hAnsi="Book Antiqua" w:cs="Arial"/>
          <w:sz w:val="24"/>
          <w:szCs w:val="24"/>
        </w:rPr>
        <w:t xml:space="preserve"> los juzgados de esta jurisdicción y por lo tanto, tampoco se tiene incluido actualmente en la fórmula estadística, por lo </w:t>
      </w:r>
      <w:r>
        <w:rPr>
          <w:rFonts w:ascii="Book Antiqua" w:eastAsia="Calibri" w:hAnsi="Book Antiqua" w:cs="Arial"/>
          <w:sz w:val="24"/>
          <w:szCs w:val="24"/>
        </w:rPr>
        <w:t xml:space="preserve">que </w:t>
      </w:r>
      <w:r w:rsidRPr="002B3DB0">
        <w:rPr>
          <w:rFonts w:ascii="Book Antiqua" w:eastAsia="Calibri" w:hAnsi="Book Antiqua" w:cs="Arial"/>
          <w:sz w:val="24"/>
          <w:szCs w:val="24"/>
        </w:rPr>
        <w:t>resulta difícil estimar su comportamiento futuro sobre la carga laboral por su carácter novedoso dentro del Poder Judicial. Sin embargo,</w:t>
      </w:r>
      <w:r w:rsidR="00694038">
        <w:rPr>
          <w:rFonts w:ascii="Book Antiqua" w:eastAsia="Calibri" w:hAnsi="Book Antiqua" w:cs="Arial"/>
          <w:sz w:val="24"/>
          <w:szCs w:val="24"/>
        </w:rPr>
        <w:t xml:space="preserve"> conforme el criterio experto, se percibe</w:t>
      </w:r>
      <w:r w:rsidRPr="002B3DB0">
        <w:rPr>
          <w:rFonts w:ascii="Book Antiqua" w:eastAsia="Calibri" w:hAnsi="Book Antiqua" w:cs="Arial"/>
          <w:sz w:val="24"/>
          <w:szCs w:val="24"/>
        </w:rPr>
        <w:t xml:space="preserve"> que por su naturaleza</w:t>
      </w:r>
      <w:r w:rsidR="00694038">
        <w:rPr>
          <w:rFonts w:ascii="Book Antiqua" w:eastAsia="Calibri" w:hAnsi="Book Antiqua" w:cs="Arial"/>
          <w:sz w:val="24"/>
          <w:szCs w:val="24"/>
        </w:rPr>
        <w:t>,</w:t>
      </w:r>
      <w:r w:rsidRPr="002B3DB0">
        <w:rPr>
          <w:rFonts w:ascii="Book Antiqua" w:eastAsia="Calibri" w:hAnsi="Book Antiqua" w:cs="Arial"/>
          <w:sz w:val="24"/>
          <w:szCs w:val="24"/>
        </w:rPr>
        <w:t xml:space="preserve"> los procesos de protección cautelar podrían </w:t>
      </w:r>
      <w:r w:rsidR="00694038">
        <w:rPr>
          <w:rFonts w:ascii="Book Antiqua" w:eastAsia="Calibri" w:hAnsi="Book Antiqua" w:cs="Arial"/>
          <w:sz w:val="24"/>
          <w:szCs w:val="24"/>
        </w:rPr>
        <w:t>impactar la entrada de los Juzgados contra la Violencia, pero consideran que podría ser</w:t>
      </w:r>
      <w:r w:rsidRPr="002B3DB0">
        <w:rPr>
          <w:rFonts w:ascii="Book Antiqua" w:eastAsia="Calibri" w:hAnsi="Book Antiqua" w:cs="Arial"/>
          <w:sz w:val="24"/>
          <w:szCs w:val="24"/>
        </w:rPr>
        <w:t xml:space="preserve"> baja</w:t>
      </w:r>
      <w:r w:rsidR="00694038">
        <w:rPr>
          <w:rFonts w:ascii="Book Antiqua" w:eastAsia="Calibri" w:hAnsi="Book Antiqua" w:cs="Arial"/>
          <w:sz w:val="24"/>
          <w:szCs w:val="24"/>
        </w:rPr>
        <w:t xml:space="preserve"> la</w:t>
      </w:r>
      <w:r w:rsidRPr="002B3DB0">
        <w:rPr>
          <w:rFonts w:ascii="Book Antiqua" w:eastAsia="Calibri" w:hAnsi="Book Antiqua" w:cs="Arial"/>
          <w:sz w:val="24"/>
          <w:szCs w:val="24"/>
        </w:rPr>
        <w:t xml:space="preserve"> incidencia sobre el ingreso de casos en estos despachos</w:t>
      </w:r>
      <w:r w:rsidR="00694038">
        <w:rPr>
          <w:rFonts w:ascii="Book Antiqua" w:eastAsia="Calibri" w:hAnsi="Book Antiqua" w:cs="Arial"/>
          <w:sz w:val="24"/>
          <w:szCs w:val="24"/>
        </w:rPr>
        <w:t xml:space="preserve">; caso contrario lo que consideran las personas juzgadoras en la materia, en donde se les asignan nuevas competencias, con plazos de resolución </w:t>
      </w:r>
      <w:r w:rsidR="00D72349">
        <w:rPr>
          <w:rFonts w:ascii="Book Antiqua" w:eastAsia="Calibri" w:hAnsi="Book Antiqua" w:cs="Arial"/>
          <w:sz w:val="24"/>
          <w:szCs w:val="24"/>
        </w:rPr>
        <w:t xml:space="preserve">legales </w:t>
      </w:r>
      <w:r w:rsidR="00694038">
        <w:rPr>
          <w:rFonts w:ascii="Book Antiqua" w:eastAsia="Calibri" w:hAnsi="Book Antiqua" w:cs="Arial"/>
          <w:sz w:val="24"/>
          <w:szCs w:val="24"/>
        </w:rPr>
        <w:t xml:space="preserve">muy cortos. </w:t>
      </w:r>
    </w:p>
    <w:p w14:paraId="3A2217B9" w14:textId="7BF174BF" w:rsidR="002B3DB0" w:rsidRDefault="002B3DB0" w:rsidP="00A65874">
      <w:pPr>
        <w:rPr>
          <w:lang w:val="es-ES"/>
        </w:rPr>
      </w:pPr>
    </w:p>
    <w:p w14:paraId="43260B6E" w14:textId="46BD4FDF" w:rsidR="002B3DB0" w:rsidRDefault="002B3DB0" w:rsidP="002B3DB0">
      <w:pPr>
        <w:spacing w:after="0" w:line="276" w:lineRule="auto"/>
        <w:jc w:val="both"/>
        <w:rPr>
          <w:rFonts w:ascii="Book Antiqua" w:eastAsia="Calibri" w:hAnsi="Book Antiqua" w:cs="Arial"/>
          <w:iCs/>
          <w:spacing w:val="-3"/>
          <w:sz w:val="24"/>
          <w:szCs w:val="24"/>
        </w:rPr>
      </w:pPr>
      <w:r w:rsidRPr="002B3DB0">
        <w:rPr>
          <w:rFonts w:ascii="Book Antiqua" w:eastAsia="Calibri" w:hAnsi="Book Antiqua" w:cs="Arial"/>
          <w:sz w:val="24"/>
          <w:szCs w:val="24"/>
        </w:rPr>
        <w:t xml:space="preserve">La Dirección de Planificación emitió el oficio </w:t>
      </w:r>
      <w:r w:rsidRPr="002610B1">
        <w:rPr>
          <w:rFonts w:ascii="Book Antiqua" w:eastAsia="Calibri" w:hAnsi="Book Antiqua" w:cs="Arial"/>
          <w:b/>
          <w:bCs/>
          <w:sz w:val="24"/>
          <w:szCs w:val="24"/>
        </w:rPr>
        <w:t>124-PLA-PP-MI-2020</w:t>
      </w:r>
      <w:r w:rsidRPr="002B3DB0">
        <w:rPr>
          <w:rFonts w:ascii="Book Antiqua" w:eastAsia="Calibri" w:hAnsi="Book Antiqua" w:cs="Arial"/>
          <w:sz w:val="24"/>
          <w:szCs w:val="24"/>
        </w:rPr>
        <w:t xml:space="preserve"> con la propuesta de variación de nombres de los juzgados competentes en materia de Violencia Doméstica a nivel nacional, atendiendo </w:t>
      </w:r>
      <w:r w:rsidRPr="002B3DB0">
        <w:rPr>
          <w:rFonts w:ascii="Book Antiqua" w:eastAsia="Calibri" w:hAnsi="Book Antiqua" w:cs="Arial"/>
          <w:iCs/>
          <w:spacing w:val="-3"/>
          <w:sz w:val="24"/>
          <w:szCs w:val="24"/>
        </w:rPr>
        <w:t xml:space="preserve">lo establecido en la Ley 7586 Ley Contra la Violencia Doméstica, </w:t>
      </w:r>
      <w:r w:rsidRPr="002B3DB0">
        <w:rPr>
          <w:rFonts w:ascii="Book Antiqua" w:eastAsia="Calibri" w:hAnsi="Book Antiqua" w:cs="Arial"/>
          <w:sz w:val="24"/>
          <w:szCs w:val="24"/>
        </w:rPr>
        <w:t xml:space="preserve">artículo 121 bis de la Ley Orgánica del Poder Judicial (incorporado por Ley 9747) </w:t>
      </w:r>
      <w:r w:rsidRPr="002B3DB0">
        <w:rPr>
          <w:rFonts w:ascii="Book Antiqua" w:eastAsia="Calibri" w:hAnsi="Book Antiqua" w:cs="Arial"/>
          <w:iCs/>
          <w:spacing w:val="-3"/>
          <w:sz w:val="24"/>
          <w:szCs w:val="24"/>
        </w:rPr>
        <w:t>y el acuerdo de la Comisión de Familia del primero de diciembre 2020, artículo III comunicado por oficio 079-JVA-2020 donde indican:</w:t>
      </w:r>
    </w:p>
    <w:p w14:paraId="67AE03FD" w14:textId="77777777" w:rsidR="00CC00E5" w:rsidRPr="002B3DB0" w:rsidRDefault="00CC00E5" w:rsidP="002B3DB0">
      <w:pPr>
        <w:spacing w:after="0" w:line="276" w:lineRule="auto"/>
        <w:jc w:val="both"/>
        <w:rPr>
          <w:rFonts w:ascii="Book Antiqua" w:eastAsia="Calibri" w:hAnsi="Book Antiqua" w:cs="Arial"/>
          <w:iCs/>
          <w:spacing w:val="-3"/>
        </w:rPr>
      </w:pPr>
    </w:p>
    <w:p w14:paraId="50F7EF56" w14:textId="151C6CCB"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r w:rsidRPr="002B3DB0">
        <w:rPr>
          <w:rFonts w:ascii="Book Antiqua" w:eastAsia="Calibri" w:hAnsi="Book Antiqua" w:cs="Arial"/>
          <w:i/>
          <w:color w:val="000000"/>
          <w:spacing w:val="-3"/>
          <w:sz w:val="24"/>
          <w:szCs w:val="24"/>
          <w:lang w:eastAsia="es-CR"/>
        </w:rPr>
        <w:t>“</w:t>
      </w:r>
      <w:r w:rsidRPr="002B3DB0">
        <w:rPr>
          <w:rFonts w:ascii="Book Antiqua" w:eastAsia="Calibri" w:hAnsi="Book Antiqua" w:cs="Arial"/>
          <w:b/>
          <w:bCs/>
          <w:i/>
          <w:color w:val="000000"/>
          <w:spacing w:val="-3"/>
          <w:sz w:val="24"/>
          <w:szCs w:val="24"/>
          <w:lang w:eastAsia="es-CR"/>
        </w:rPr>
        <w:t>Se acuerda:</w:t>
      </w:r>
      <w:r w:rsidRPr="002B3DB0">
        <w:rPr>
          <w:rFonts w:ascii="Book Antiqua" w:eastAsia="Calibri" w:hAnsi="Book Antiqua" w:cs="Arial"/>
          <w:i/>
          <w:color w:val="000000"/>
          <w:spacing w:val="-3"/>
          <w:sz w:val="24"/>
          <w:szCs w:val="24"/>
          <w:lang w:eastAsia="es-CR"/>
        </w:rPr>
        <w:t xml:space="preserve"> 1) Solicitar a la Dirección de Planificación que se modifique el nombre de los despachos que actualmente se identifican como” Juzgados de Violencia Doméstica” para que a futuro se denominen “Juzgados contra la Violencia Doméstica y Protección Cautelar”, tal y como lo establece la Ley que los creó y consta en el Sistema de Información Jurídica. Que ese cambio se haga a partir del momento en que se</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cuente con</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presupuesto</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para esos</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efectos. 2) Solicitar a la Dirección de Planificación que a</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partir del primero de</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 xml:space="preserve">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3586BC70" w14:textId="4ED1BD40"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r w:rsidRPr="002B3DB0">
        <w:rPr>
          <w:rFonts w:ascii="Book Antiqua" w:eastAsia="Calibri" w:hAnsi="Book Antiqua" w:cs="Arial"/>
          <w:i/>
          <w:color w:val="000000"/>
          <w:spacing w:val="-3"/>
          <w:sz w:val="24"/>
          <w:szCs w:val="24"/>
          <w:lang w:eastAsia="es-CR"/>
        </w:rPr>
        <w:t>Se tiene como acuerdo firme.”.</w:t>
      </w:r>
    </w:p>
    <w:p w14:paraId="0CF7ED2E" w14:textId="77777777"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p>
    <w:p w14:paraId="5D69CC9F" w14:textId="399A190B" w:rsidR="002B3DB0" w:rsidRDefault="002B3DB0" w:rsidP="002B3DB0">
      <w:pPr>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FE5950">
        <w:rPr>
          <w:rFonts w:ascii="Book Antiqua" w:eastAsia="Calibri" w:hAnsi="Book Antiqua" w:cs="Book Antiqua"/>
          <w:iCs/>
          <w:color w:val="000000"/>
          <w:spacing w:val="-3"/>
          <w:sz w:val="24"/>
          <w:szCs w:val="24"/>
        </w:rPr>
        <w:t xml:space="preserve">Cabe mencionar que para poder aplicar el cambio en los nombres </w:t>
      </w:r>
      <w:r w:rsidR="00FE5950" w:rsidRPr="00FE5950">
        <w:rPr>
          <w:rFonts w:ascii="Book Antiqua" w:eastAsia="Calibri" w:hAnsi="Book Antiqua" w:cs="Book Antiqua"/>
          <w:iCs/>
          <w:color w:val="000000"/>
          <w:spacing w:val="-3"/>
          <w:sz w:val="24"/>
          <w:szCs w:val="24"/>
        </w:rPr>
        <w:t xml:space="preserve">sin abreviaturas como está en la actualidad </w:t>
      </w:r>
      <w:r w:rsidRPr="00FE5950">
        <w:rPr>
          <w:rFonts w:ascii="Book Antiqua" w:eastAsia="Calibri" w:hAnsi="Book Antiqua" w:cs="Book Antiqua"/>
          <w:iCs/>
          <w:color w:val="000000"/>
          <w:spacing w:val="-3"/>
          <w:sz w:val="24"/>
          <w:szCs w:val="24"/>
        </w:rPr>
        <w:t xml:space="preserve">en el sistema SIGA-PJ es necesaria una mejora en el sistema de parte de la Dirección de Tecnología de la Información y Comunicaciones que amplié la cantidad de caracteres, requerimiento presentado por la misma Comisión de Familia, Niñez y Adolescencia en la sesión del primero de diciembre del </w:t>
      </w:r>
      <w:r w:rsidR="00724F8B" w:rsidRPr="00FE5950">
        <w:rPr>
          <w:rFonts w:ascii="Book Antiqua" w:eastAsia="Calibri" w:hAnsi="Book Antiqua" w:cs="Book Antiqua"/>
          <w:iCs/>
          <w:color w:val="000000"/>
          <w:spacing w:val="-3"/>
          <w:sz w:val="24"/>
          <w:szCs w:val="24"/>
        </w:rPr>
        <w:t>2020</w:t>
      </w:r>
      <w:r w:rsidRPr="00FE5950">
        <w:rPr>
          <w:rFonts w:ascii="Book Antiqua" w:eastAsia="Calibri" w:hAnsi="Book Antiqua" w:cs="Book Antiqua"/>
          <w:iCs/>
          <w:color w:val="000000"/>
          <w:spacing w:val="-3"/>
          <w:sz w:val="24"/>
          <w:szCs w:val="24"/>
        </w:rPr>
        <w:t>,</w:t>
      </w:r>
      <w:r w:rsidR="00AB0ABA" w:rsidRPr="00FE5950">
        <w:rPr>
          <w:rFonts w:ascii="Book Antiqua" w:eastAsia="Calibri" w:hAnsi="Book Antiqua" w:cs="Book Antiqua"/>
          <w:iCs/>
          <w:color w:val="000000"/>
          <w:spacing w:val="-3"/>
          <w:sz w:val="24"/>
          <w:szCs w:val="24"/>
        </w:rPr>
        <w:t xml:space="preserve"> </w:t>
      </w:r>
      <w:r w:rsidRPr="00FE5950">
        <w:rPr>
          <w:rFonts w:ascii="Book Antiqua" w:eastAsia="Calibri" w:hAnsi="Book Antiqua" w:cs="Book Antiqua"/>
          <w:iCs/>
          <w:color w:val="000000"/>
          <w:spacing w:val="-3"/>
          <w:sz w:val="24"/>
          <w:szCs w:val="24"/>
        </w:rPr>
        <w:t xml:space="preserve">artículo III. </w:t>
      </w:r>
    </w:p>
    <w:p w14:paraId="1F5196A1" w14:textId="77777777" w:rsidR="00950574" w:rsidRDefault="00950574" w:rsidP="002B3DB0">
      <w:pPr>
        <w:autoSpaceDE w:val="0"/>
        <w:autoSpaceDN w:val="0"/>
        <w:adjustRightInd w:val="0"/>
        <w:spacing w:after="0" w:line="276" w:lineRule="auto"/>
        <w:jc w:val="both"/>
        <w:rPr>
          <w:rFonts w:ascii="Book Antiqua" w:eastAsia="Calibri" w:hAnsi="Book Antiqua" w:cs="Book Antiqua"/>
          <w:iCs/>
          <w:color w:val="000000"/>
          <w:spacing w:val="-3"/>
          <w:sz w:val="24"/>
          <w:szCs w:val="24"/>
        </w:rPr>
      </w:pPr>
    </w:p>
    <w:p w14:paraId="1F684815" w14:textId="6B1668FC" w:rsidR="002B3DB0" w:rsidRPr="00F3324E" w:rsidRDefault="002B3DB0"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Modelo de Juzgados de Violencia Doméstica-estructuras</w:t>
      </w:r>
    </w:p>
    <w:p w14:paraId="55A66DDE" w14:textId="77777777" w:rsidR="00FE5950" w:rsidRDefault="00FE5950" w:rsidP="002B3DB0">
      <w:pPr>
        <w:spacing w:after="0" w:line="276" w:lineRule="auto"/>
        <w:jc w:val="both"/>
        <w:rPr>
          <w:rFonts w:ascii="Book Antiqua" w:eastAsia="Calibri" w:hAnsi="Book Antiqua" w:cs="Arial"/>
          <w:sz w:val="24"/>
          <w:szCs w:val="24"/>
        </w:rPr>
      </w:pPr>
    </w:p>
    <w:p w14:paraId="3D5DCAC4" w14:textId="20C57BC4" w:rsidR="00D72349" w:rsidRDefault="00FE5950" w:rsidP="002B3DB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El informe de oficina Modelo </w:t>
      </w:r>
      <w:r w:rsidR="00DA002C">
        <w:rPr>
          <w:rFonts w:ascii="Book Antiqua" w:eastAsia="Calibri" w:hAnsi="Book Antiqua" w:cs="Arial"/>
          <w:sz w:val="24"/>
          <w:szCs w:val="24"/>
        </w:rPr>
        <w:t>de</w:t>
      </w:r>
      <w:r w:rsidR="00CC6976">
        <w:rPr>
          <w:rFonts w:ascii="Book Antiqua" w:eastAsia="Calibri" w:hAnsi="Book Antiqua" w:cs="Arial"/>
          <w:sz w:val="24"/>
          <w:szCs w:val="24"/>
        </w:rPr>
        <w:t xml:space="preserve"> Tramitación de los Juzgados de</w:t>
      </w:r>
      <w:r w:rsidR="00DA002C">
        <w:rPr>
          <w:rFonts w:ascii="Book Antiqua" w:eastAsia="Calibri" w:hAnsi="Book Antiqua" w:cs="Arial"/>
          <w:sz w:val="24"/>
          <w:szCs w:val="24"/>
        </w:rPr>
        <w:t xml:space="preserve"> Violencia Doméstica es el </w:t>
      </w:r>
      <w:r w:rsidR="00F462FA">
        <w:rPr>
          <w:rFonts w:ascii="Book Antiqua" w:eastAsia="Calibri" w:hAnsi="Book Antiqua" w:cs="Arial"/>
          <w:sz w:val="24"/>
          <w:szCs w:val="24"/>
        </w:rPr>
        <w:t>1170-PLA-MI(NPL)-2022</w:t>
      </w:r>
      <w:r>
        <w:rPr>
          <w:rFonts w:ascii="Book Antiqua" w:eastAsia="Calibri" w:hAnsi="Book Antiqua" w:cs="Arial"/>
          <w:sz w:val="24"/>
          <w:szCs w:val="24"/>
        </w:rPr>
        <w:t xml:space="preserve">, </w:t>
      </w:r>
      <w:r w:rsidR="00DA002C">
        <w:rPr>
          <w:rFonts w:ascii="Book Antiqua" w:eastAsia="Calibri" w:hAnsi="Book Antiqua" w:cs="Arial"/>
          <w:sz w:val="24"/>
          <w:szCs w:val="24"/>
        </w:rPr>
        <w:t xml:space="preserve">que </w:t>
      </w:r>
      <w:r>
        <w:rPr>
          <w:rFonts w:ascii="Book Antiqua" w:eastAsia="Calibri" w:hAnsi="Book Antiqua" w:cs="Arial"/>
          <w:sz w:val="24"/>
          <w:szCs w:val="24"/>
        </w:rPr>
        <w:t xml:space="preserve">se encuentra pendiente de aprobación por el Consejo Superior, </w:t>
      </w:r>
      <w:r w:rsidR="00DA002C">
        <w:rPr>
          <w:rFonts w:ascii="Book Antiqua" w:eastAsia="Calibri" w:hAnsi="Book Antiqua" w:cs="Arial"/>
          <w:sz w:val="24"/>
          <w:szCs w:val="24"/>
        </w:rPr>
        <w:t xml:space="preserve">y analiza las estructuras de </w:t>
      </w:r>
      <w:r w:rsidR="00320C4C">
        <w:rPr>
          <w:rFonts w:ascii="Book Antiqua" w:eastAsia="Calibri" w:hAnsi="Book Antiqua" w:cs="Arial"/>
          <w:sz w:val="24"/>
          <w:szCs w:val="24"/>
        </w:rPr>
        <w:t xml:space="preserve">los </w:t>
      </w:r>
      <w:r w:rsidR="002B3DB0" w:rsidRPr="002B3DB0">
        <w:rPr>
          <w:rFonts w:ascii="Book Antiqua" w:eastAsia="Calibri" w:hAnsi="Book Antiqua" w:cs="Arial"/>
          <w:sz w:val="24"/>
          <w:szCs w:val="24"/>
        </w:rPr>
        <w:t>1</w:t>
      </w:r>
      <w:r w:rsidR="00D72349">
        <w:rPr>
          <w:rFonts w:ascii="Book Antiqua" w:eastAsia="Calibri" w:hAnsi="Book Antiqua" w:cs="Arial"/>
          <w:sz w:val="24"/>
          <w:szCs w:val="24"/>
        </w:rPr>
        <w:t>2</w:t>
      </w:r>
      <w:r w:rsidR="002B3DB0" w:rsidRPr="002B3DB0">
        <w:rPr>
          <w:rFonts w:ascii="Book Antiqua" w:eastAsia="Calibri" w:hAnsi="Book Antiqua" w:cs="Arial"/>
          <w:sz w:val="24"/>
          <w:szCs w:val="24"/>
        </w:rPr>
        <w:t xml:space="preserve"> Juzgados de Violencia Doméstica Especializados</w:t>
      </w:r>
      <w:r w:rsidR="00D72349">
        <w:rPr>
          <w:rFonts w:ascii="Book Antiqua" w:eastAsia="Calibri" w:hAnsi="Book Antiqua" w:cs="Arial"/>
          <w:sz w:val="24"/>
          <w:szCs w:val="24"/>
        </w:rPr>
        <w:t xml:space="preserve"> + el Juzgado de turno en el Segundo Circuito Judicial de San José</w:t>
      </w:r>
      <w:r w:rsidR="00320C4C">
        <w:rPr>
          <w:rFonts w:ascii="Book Antiqua" w:eastAsia="Calibri" w:hAnsi="Book Antiqua" w:cs="Arial"/>
          <w:sz w:val="24"/>
          <w:szCs w:val="24"/>
        </w:rPr>
        <w:t>,</w:t>
      </w:r>
      <w:r>
        <w:rPr>
          <w:rFonts w:ascii="Book Antiqua" w:eastAsia="Calibri" w:hAnsi="Book Antiqua" w:cs="Arial"/>
          <w:sz w:val="24"/>
          <w:szCs w:val="24"/>
        </w:rPr>
        <w:t xml:space="preserve"> </w:t>
      </w:r>
      <w:r w:rsidR="00DA002C">
        <w:rPr>
          <w:rFonts w:ascii="Book Antiqua" w:eastAsia="Calibri" w:hAnsi="Book Antiqua" w:cs="Arial"/>
          <w:sz w:val="24"/>
          <w:szCs w:val="24"/>
        </w:rPr>
        <w:t>una vez aprobado</w:t>
      </w:r>
      <w:r w:rsidR="00CC6976">
        <w:rPr>
          <w:rFonts w:ascii="Book Antiqua" w:eastAsia="Calibri" w:hAnsi="Book Antiqua" w:cs="Arial"/>
          <w:sz w:val="24"/>
          <w:szCs w:val="24"/>
        </w:rPr>
        <w:t>,</w:t>
      </w:r>
      <w:r w:rsidR="00DA002C">
        <w:rPr>
          <w:rFonts w:ascii="Book Antiqua" w:eastAsia="Calibri" w:hAnsi="Book Antiqua" w:cs="Arial"/>
          <w:sz w:val="24"/>
          <w:szCs w:val="24"/>
        </w:rPr>
        <w:t xml:space="preserve"> se replicará en los </w:t>
      </w:r>
      <w:r w:rsidR="00CC6976">
        <w:rPr>
          <w:rFonts w:ascii="Book Antiqua" w:eastAsia="Calibri" w:hAnsi="Book Antiqua" w:cs="Arial"/>
          <w:sz w:val="24"/>
          <w:szCs w:val="24"/>
        </w:rPr>
        <w:t>j</w:t>
      </w:r>
      <w:r w:rsidR="00DA002C">
        <w:rPr>
          <w:rFonts w:ascii="Book Antiqua" w:eastAsia="Calibri" w:hAnsi="Book Antiqua" w:cs="Arial"/>
          <w:sz w:val="24"/>
          <w:szCs w:val="24"/>
        </w:rPr>
        <w:t xml:space="preserve">uzgados </w:t>
      </w:r>
      <w:r>
        <w:rPr>
          <w:rFonts w:ascii="Book Antiqua" w:eastAsia="Calibri" w:hAnsi="Book Antiqua" w:cs="Arial"/>
          <w:sz w:val="24"/>
          <w:szCs w:val="24"/>
        </w:rPr>
        <w:t>y se ajustará lo que se requiera en los Juzgados Mixtos</w:t>
      </w:r>
      <w:r w:rsidR="002B3DB0" w:rsidRPr="002B3DB0">
        <w:rPr>
          <w:rFonts w:ascii="Book Antiqua" w:eastAsia="Calibri" w:hAnsi="Book Antiqua" w:cs="Arial"/>
          <w:sz w:val="24"/>
          <w:szCs w:val="24"/>
        </w:rPr>
        <w:t>.</w:t>
      </w:r>
    </w:p>
    <w:p w14:paraId="77DA277B" w14:textId="77777777" w:rsidR="004E4FAF" w:rsidRDefault="004E4FAF" w:rsidP="002B3DB0">
      <w:pPr>
        <w:spacing w:after="0" w:line="276" w:lineRule="auto"/>
        <w:jc w:val="both"/>
        <w:rPr>
          <w:rFonts w:ascii="Book Antiqua" w:eastAsia="Calibri" w:hAnsi="Book Antiqua" w:cs="Arial"/>
          <w:sz w:val="24"/>
          <w:szCs w:val="24"/>
        </w:rPr>
      </w:pPr>
    </w:p>
    <w:p w14:paraId="37DF6D0B" w14:textId="72BBB5D8" w:rsidR="009B45D3" w:rsidRDefault="00FE5950" w:rsidP="00E03F00">
      <w:pPr>
        <w:spacing w:before="30" w:afterLines="30" w:after="72"/>
        <w:jc w:val="both"/>
        <w:rPr>
          <w:rFonts w:ascii="Book Antiqua" w:eastAsia="Calibri" w:hAnsi="Book Antiqua" w:cs="Arial"/>
          <w:sz w:val="24"/>
          <w:szCs w:val="24"/>
        </w:rPr>
      </w:pPr>
      <w:r>
        <w:rPr>
          <w:rFonts w:ascii="Book Antiqua" w:eastAsia="Calibri" w:hAnsi="Book Antiqua" w:cs="Arial"/>
          <w:sz w:val="24"/>
          <w:szCs w:val="24"/>
        </w:rPr>
        <w:t xml:space="preserve">Conforme al Modelo y al requerimiento incluido en la formulación presupuestaria del año anterior, se mantiene la necesidad de </w:t>
      </w:r>
      <w:r w:rsidR="00DA002C">
        <w:rPr>
          <w:rFonts w:ascii="Book Antiqua" w:eastAsia="Calibri" w:hAnsi="Book Antiqua" w:cs="Arial"/>
          <w:sz w:val="24"/>
          <w:szCs w:val="24"/>
        </w:rPr>
        <w:t>crear</w:t>
      </w:r>
      <w:r>
        <w:rPr>
          <w:rFonts w:ascii="Book Antiqua" w:eastAsia="Calibri" w:hAnsi="Book Antiqua" w:cs="Arial"/>
          <w:sz w:val="24"/>
          <w:szCs w:val="24"/>
        </w:rPr>
        <w:t xml:space="preserve"> para el 2024, las 17 plazas de Técnico Judicial 1 para completar estructura</w:t>
      </w:r>
      <w:r w:rsidR="00DA002C">
        <w:rPr>
          <w:rFonts w:ascii="Book Antiqua" w:eastAsia="Calibri" w:hAnsi="Book Antiqua" w:cs="Arial"/>
          <w:sz w:val="24"/>
          <w:szCs w:val="24"/>
        </w:rPr>
        <w:t>s</w:t>
      </w:r>
      <w:r>
        <w:rPr>
          <w:rFonts w:ascii="Book Antiqua" w:eastAsia="Calibri" w:hAnsi="Book Antiqua" w:cs="Arial"/>
          <w:sz w:val="24"/>
          <w:szCs w:val="24"/>
        </w:rPr>
        <w:t xml:space="preserve"> en los Juzgados Contra la Violencia especializados del país.</w:t>
      </w:r>
    </w:p>
    <w:p w14:paraId="2BD64282" w14:textId="5B2B840C" w:rsidR="004E4FAF" w:rsidRPr="00391382" w:rsidRDefault="004E4FAF" w:rsidP="00391382">
      <w:pPr>
        <w:spacing w:after="0" w:line="240" w:lineRule="auto"/>
        <w:jc w:val="center"/>
        <w:rPr>
          <w:rFonts w:ascii="Book Antiqua" w:hAnsi="Book Antiqua"/>
          <w:b/>
          <w:bCs/>
          <w:lang w:val="es-ES"/>
        </w:rPr>
      </w:pPr>
    </w:p>
    <w:p w14:paraId="049E9972" w14:textId="77777777" w:rsidR="009B45D3" w:rsidRPr="00391382" w:rsidRDefault="009B45D3" w:rsidP="00391382">
      <w:pPr>
        <w:spacing w:before="30" w:afterLines="30" w:after="72"/>
        <w:jc w:val="both"/>
        <w:rPr>
          <w:rFonts w:ascii="Book Antiqua" w:eastAsia="Calibri" w:hAnsi="Book Antiqua" w:cs="Arial"/>
          <w:sz w:val="24"/>
          <w:szCs w:val="24"/>
        </w:rPr>
      </w:pPr>
    </w:p>
    <w:p w14:paraId="53D58E25" w14:textId="77777777" w:rsidR="00440BE7" w:rsidRDefault="00440BE7" w:rsidP="009B6D0C">
      <w:pPr>
        <w:spacing w:after="0" w:line="240" w:lineRule="auto"/>
        <w:jc w:val="center"/>
        <w:rPr>
          <w:rFonts w:ascii="Book Antiqua" w:eastAsia="Calibri" w:hAnsi="Book Antiqua" w:cs="Arial"/>
          <w:b/>
          <w:bCs/>
          <w:color w:val="1F497D"/>
          <w:szCs w:val="24"/>
          <w:lang w:val="es-ES" w:eastAsia="es-ES"/>
        </w:rPr>
        <w:sectPr w:rsidR="00440BE7" w:rsidSect="00FA559C">
          <w:footerReference w:type="default" r:id="rId25"/>
          <w:pgSz w:w="12240" w:h="15840"/>
          <w:pgMar w:top="1417" w:right="1701" w:bottom="1417" w:left="1701" w:header="708" w:footer="708" w:gutter="0"/>
          <w:pgNumType w:start="1"/>
          <w:cols w:space="708"/>
          <w:docGrid w:linePitch="360"/>
        </w:sectPr>
      </w:pPr>
    </w:p>
    <w:p w14:paraId="68A89EEC" w14:textId="653851AC" w:rsidR="009B6D0C" w:rsidRPr="00391382" w:rsidRDefault="003012D1" w:rsidP="0038213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91382">
        <w:rPr>
          <w:rFonts w:ascii="Book Antiqua" w:eastAsia="Calibri" w:hAnsi="Book Antiqua" w:cs="Arial"/>
          <w:b/>
          <w:bCs/>
          <w:color w:val="1F497D"/>
          <w:szCs w:val="24"/>
          <w:lang w:val="es-ES" w:eastAsia="es-ES"/>
        </w:rPr>
        <w:t xml:space="preserve">Cuadro </w:t>
      </w:r>
      <w:r w:rsidR="009B6D0C" w:rsidRPr="006A551F">
        <w:rPr>
          <w:rFonts w:ascii="Book Antiqua" w:eastAsia="Calibri" w:hAnsi="Book Antiqua" w:cs="Arial"/>
          <w:b/>
          <w:bCs/>
          <w:color w:val="1F497D"/>
          <w:szCs w:val="24"/>
          <w:lang w:val="es-ES" w:eastAsia="es-ES"/>
        </w:rPr>
        <w:t xml:space="preserve"> </w:t>
      </w:r>
      <w:r w:rsidR="009B6D0C" w:rsidRPr="006A551F">
        <w:rPr>
          <w:rFonts w:ascii="Book Antiqua" w:eastAsia="Calibri" w:hAnsi="Book Antiqua" w:cs="Arial"/>
          <w:b/>
          <w:bCs/>
          <w:color w:val="1F497D"/>
          <w:szCs w:val="24"/>
          <w:lang w:val="es-ES" w:eastAsia="es-ES"/>
        </w:rPr>
        <w:fldChar w:fldCharType="begin"/>
      </w:r>
      <w:r w:rsidR="009B6D0C" w:rsidRPr="006A551F">
        <w:rPr>
          <w:rFonts w:ascii="Book Antiqua" w:eastAsia="Calibri" w:hAnsi="Book Antiqua" w:cs="Arial"/>
          <w:b/>
          <w:bCs/>
          <w:color w:val="1F497D"/>
          <w:szCs w:val="24"/>
          <w:lang w:val="es-ES" w:eastAsia="es-ES"/>
        </w:rPr>
        <w:instrText xml:space="preserve"> SEQ Cuadro \* ARABIC </w:instrText>
      </w:r>
      <w:r w:rsidR="009B6D0C" w:rsidRPr="006A551F">
        <w:rPr>
          <w:rFonts w:ascii="Book Antiqua" w:eastAsia="Calibri" w:hAnsi="Book Antiqua" w:cs="Arial"/>
          <w:b/>
          <w:bCs/>
          <w:color w:val="1F497D"/>
          <w:szCs w:val="24"/>
          <w:lang w:val="es-ES" w:eastAsia="es-ES"/>
        </w:rPr>
        <w:fldChar w:fldCharType="separate"/>
      </w:r>
      <w:r w:rsidR="00BC0ED8">
        <w:rPr>
          <w:rFonts w:ascii="Book Antiqua" w:eastAsia="Calibri" w:hAnsi="Book Antiqua" w:cs="Arial"/>
          <w:b/>
          <w:bCs/>
          <w:noProof/>
          <w:color w:val="1F497D"/>
          <w:szCs w:val="24"/>
          <w:lang w:val="es-ES" w:eastAsia="es-ES"/>
        </w:rPr>
        <w:t>62</w:t>
      </w:r>
      <w:r w:rsidR="009B6D0C" w:rsidRPr="006A551F">
        <w:rPr>
          <w:rFonts w:ascii="Book Antiqua" w:eastAsia="Calibri" w:hAnsi="Book Antiqua" w:cs="Arial"/>
          <w:b/>
          <w:bCs/>
          <w:color w:val="1F497D"/>
          <w:szCs w:val="24"/>
          <w:lang w:val="es-ES" w:eastAsia="es-ES"/>
        </w:rPr>
        <w:fldChar w:fldCharType="end"/>
      </w:r>
    </w:p>
    <w:p w14:paraId="05EA797D" w14:textId="168B41E5" w:rsidR="009B6D0C" w:rsidRDefault="009B6D0C" w:rsidP="009B6D0C">
      <w:pPr>
        <w:spacing w:after="0" w:line="240" w:lineRule="auto"/>
        <w:jc w:val="center"/>
        <w:rPr>
          <w:rFonts w:ascii="Book Antiqua" w:eastAsia="Calibri" w:hAnsi="Book Antiqua" w:cs="Arial"/>
          <w:b/>
          <w:bCs/>
          <w:color w:val="1F497D"/>
          <w:szCs w:val="24"/>
          <w:lang w:val="es-ES" w:eastAsia="es-ES"/>
        </w:rPr>
      </w:pPr>
      <w:r w:rsidRPr="00391382">
        <w:rPr>
          <w:rFonts w:ascii="Book Antiqua" w:eastAsia="Calibri" w:hAnsi="Book Antiqua" w:cs="Arial"/>
          <w:b/>
          <w:bCs/>
          <w:color w:val="1F497D"/>
          <w:szCs w:val="24"/>
          <w:lang w:val="es-ES" w:eastAsia="es-ES"/>
        </w:rPr>
        <w:t>Justificación de personal especializado en la manifestación y relaciones de trabajo, según Modelo de Tramitación que se implementará en los despachos de Violencia Doméstica</w:t>
      </w:r>
    </w:p>
    <w:tbl>
      <w:tblPr>
        <w:tblW w:w="12437" w:type="dxa"/>
        <w:tblCellMar>
          <w:left w:w="70" w:type="dxa"/>
          <w:right w:w="70" w:type="dxa"/>
        </w:tblCellMar>
        <w:tblLook w:val="04A0" w:firstRow="1" w:lastRow="0" w:firstColumn="1" w:lastColumn="0" w:noHBand="0" w:noVBand="1"/>
      </w:tblPr>
      <w:tblGrid>
        <w:gridCol w:w="320"/>
        <w:gridCol w:w="6251"/>
        <w:gridCol w:w="592"/>
        <w:gridCol w:w="592"/>
        <w:gridCol w:w="369"/>
        <w:gridCol w:w="426"/>
        <w:gridCol w:w="427"/>
        <w:gridCol w:w="427"/>
        <w:gridCol w:w="427"/>
        <w:gridCol w:w="425"/>
        <w:gridCol w:w="425"/>
        <w:gridCol w:w="425"/>
        <w:gridCol w:w="425"/>
        <w:gridCol w:w="453"/>
        <w:gridCol w:w="453"/>
      </w:tblGrid>
      <w:tr w:rsidR="00D32E04" w:rsidRPr="000057E4" w14:paraId="314537C6" w14:textId="77777777" w:rsidTr="000057E4">
        <w:trPr>
          <w:trHeight w:val="653"/>
        </w:trPr>
        <w:tc>
          <w:tcPr>
            <w:tcW w:w="0" w:type="auto"/>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263D730"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B43345D"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Despacho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3C3CAB27"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Entrada mensual</w:t>
            </w:r>
            <w:r w:rsidRPr="00391382">
              <w:rPr>
                <w:rFonts w:ascii="Book Antiqua" w:eastAsia="Times New Roman" w:hAnsi="Book Antiqua" w:cs="Calibri"/>
                <w:b/>
                <w:bCs/>
                <w:color w:val="FFFFFF"/>
                <w:sz w:val="18"/>
                <w:szCs w:val="18"/>
                <w:lang w:eastAsia="es-CR"/>
              </w:rPr>
              <w:br/>
              <w:t>Prom. 2017-2021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7E7EC910"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Entrada diaria</w:t>
            </w:r>
            <w:r w:rsidRPr="00391382">
              <w:rPr>
                <w:rFonts w:ascii="Book Antiqua" w:eastAsia="Times New Roman" w:hAnsi="Book Antiqua" w:cs="Calibri"/>
                <w:b/>
                <w:bCs/>
                <w:color w:val="FFFFFF"/>
                <w:sz w:val="18"/>
                <w:szCs w:val="18"/>
                <w:lang w:eastAsia="es-CR"/>
              </w:rPr>
              <w:br/>
              <w:t>Prom. 2017-2021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60F4591B"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Carga diaria por Juez/a</w:t>
            </w:r>
          </w:p>
        </w:tc>
        <w:tc>
          <w:tcPr>
            <w:tcW w:w="0" w:type="auto"/>
            <w:gridSpan w:val="4"/>
            <w:tcBorders>
              <w:top w:val="single" w:sz="4" w:space="0" w:color="auto"/>
              <w:left w:val="nil"/>
              <w:bottom w:val="single" w:sz="4" w:space="0" w:color="auto"/>
              <w:right w:val="single" w:sz="4" w:space="0" w:color="auto"/>
            </w:tcBorders>
            <w:shd w:val="clear" w:color="000000" w:fill="BDD7EE"/>
            <w:vAlign w:val="center"/>
            <w:hideMark/>
          </w:tcPr>
          <w:p w14:paraId="190B4909"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Estructura Actual Juzgados Especializados de Violencia Doméstica</w:t>
            </w:r>
          </w:p>
        </w:tc>
        <w:tc>
          <w:tcPr>
            <w:tcW w:w="0" w:type="auto"/>
            <w:gridSpan w:val="4"/>
            <w:tcBorders>
              <w:top w:val="single" w:sz="4" w:space="0" w:color="auto"/>
              <w:left w:val="nil"/>
              <w:bottom w:val="single" w:sz="4" w:space="0" w:color="auto"/>
              <w:right w:val="single" w:sz="4" w:space="0" w:color="auto"/>
            </w:tcBorders>
            <w:shd w:val="clear" w:color="000000" w:fill="BDD7EE"/>
            <w:vAlign w:val="center"/>
            <w:hideMark/>
          </w:tcPr>
          <w:p w14:paraId="60FDAB25"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Estructura Ideal Juzgados Especializados de Violencia Doméstica</w:t>
            </w:r>
          </w:p>
        </w:tc>
        <w:tc>
          <w:tcPr>
            <w:tcW w:w="0" w:type="auto"/>
            <w:gridSpan w:val="2"/>
            <w:tcBorders>
              <w:top w:val="single" w:sz="4" w:space="0" w:color="auto"/>
              <w:left w:val="nil"/>
              <w:bottom w:val="single" w:sz="4" w:space="0" w:color="auto"/>
              <w:right w:val="single" w:sz="4" w:space="0" w:color="auto"/>
            </w:tcBorders>
            <w:shd w:val="clear" w:color="000000" w:fill="BDD7EE"/>
            <w:vAlign w:val="center"/>
            <w:hideMark/>
          </w:tcPr>
          <w:p w14:paraId="7E9B9237"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Personal Faltante</w:t>
            </w:r>
          </w:p>
        </w:tc>
      </w:tr>
      <w:tr w:rsidR="000057E4" w:rsidRPr="000843DA" w14:paraId="6AF21FA8" w14:textId="77777777" w:rsidTr="000057E4">
        <w:trPr>
          <w:trHeight w:val="155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798111"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5956B9"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60C01D"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B6E843"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F91001"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6FE7E302"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DFCAC41"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Coordinador/a  Judicial</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168FC13"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439B432A"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Aux. de Serv. Grls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66C6911"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78077D99"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Coordinador/a  Judicial</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26A6146"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6229CA9"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Aux. de Serv. Grls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08E0DE42"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5BB3BCE"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r>
      <w:tr w:rsidR="00E23F52" w:rsidRPr="000057E4" w14:paraId="7BE30067"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65B5575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8E52A7A" w14:textId="53E2EBA9"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 Circ. Jud. San José</w:t>
            </w:r>
            <w:r w:rsidR="002F786E">
              <w:rPr>
                <w:rFonts w:ascii="Book Antiqua" w:eastAsia="Times New Roman" w:hAnsi="Book Antiqua" w:cs="Calibri"/>
                <w:color w:val="000000"/>
                <w:sz w:val="18"/>
                <w:szCs w:val="18"/>
                <w:lang w:eastAsia="es-CR"/>
              </w:rPr>
              <w:t>****</w:t>
            </w:r>
          </w:p>
        </w:tc>
        <w:tc>
          <w:tcPr>
            <w:tcW w:w="0" w:type="auto"/>
            <w:tcBorders>
              <w:top w:val="nil"/>
              <w:left w:val="nil"/>
              <w:bottom w:val="single" w:sz="4" w:space="0" w:color="auto"/>
              <w:right w:val="single" w:sz="4" w:space="0" w:color="auto"/>
            </w:tcBorders>
            <w:shd w:val="clear" w:color="auto" w:fill="auto"/>
            <w:noWrap/>
            <w:vAlign w:val="center"/>
            <w:hideMark/>
          </w:tcPr>
          <w:p w14:paraId="0A9B842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178</w:t>
            </w:r>
          </w:p>
        </w:tc>
        <w:tc>
          <w:tcPr>
            <w:tcW w:w="0" w:type="auto"/>
            <w:tcBorders>
              <w:top w:val="nil"/>
              <w:left w:val="nil"/>
              <w:bottom w:val="single" w:sz="4" w:space="0" w:color="auto"/>
              <w:right w:val="single" w:sz="4" w:space="0" w:color="auto"/>
            </w:tcBorders>
            <w:shd w:val="clear" w:color="auto" w:fill="auto"/>
            <w:noWrap/>
            <w:vAlign w:val="center"/>
            <w:hideMark/>
          </w:tcPr>
          <w:p w14:paraId="0B29B37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8,5</w:t>
            </w:r>
          </w:p>
        </w:tc>
        <w:tc>
          <w:tcPr>
            <w:tcW w:w="0" w:type="auto"/>
            <w:tcBorders>
              <w:top w:val="nil"/>
              <w:left w:val="nil"/>
              <w:bottom w:val="single" w:sz="4" w:space="0" w:color="auto"/>
              <w:right w:val="single" w:sz="4" w:space="0" w:color="auto"/>
            </w:tcBorders>
            <w:shd w:val="clear" w:color="auto" w:fill="auto"/>
            <w:noWrap/>
            <w:vAlign w:val="center"/>
            <w:hideMark/>
          </w:tcPr>
          <w:p w14:paraId="59D7D5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4,2</w:t>
            </w:r>
          </w:p>
        </w:tc>
        <w:tc>
          <w:tcPr>
            <w:tcW w:w="0" w:type="auto"/>
            <w:tcBorders>
              <w:top w:val="nil"/>
              <w:left w:val="nil"/>
              <w:bottom w:val="single" w:sz="4" w:space="0" w:color="auto"/>
              <w:right w:val="single" w:sz="4" w:space="0" w:color="auto"/>
            </w:tcBorders>
            <w:shd w:val="clear" w:color="auto" w:fill="auto"/>
            <w:noWrap/>
            <w:vAlign w:val="center"/>
            <w:hideMark/>
          </w:tcPr>
          <w:p w14:paraId="4817D2C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4FD6E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97712C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817280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B66FA3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89AFFB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D516F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2827593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0896DCC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EA004C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1A903962"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4E937AA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AD48593"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San José</w:t>
            </w:r>
          </w:p>
        </w:tc>
        <w:tc>
          <w:tcPr>
            <w:tcW w:w="0" w:type="auto"/>
            <w:tcBorders>
              <w:top w:val="nil"/>
              <w:left w:val="nil"/>
              <w:bottom w:val="single" w:sz="4" w:space="0" w:color="auto"/>
              <w:right w:val="single" w:sz="4" w:space="0" w:color="auto"/>
            </w:tcBorders>
            <w:shd w:val="clear" w:color="auto" w:fill="auto"/>
            <w:noWrap/>
            <w:vAlign w:val="center"/>
            <w:hideMark/>
          </w:tcPr>
          <w:p w14:paraId="161521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484</w:t>
            </w:r>
          </w:p>
        </w:tc>
        <w:tc>
          <w:tcPr>
            <w:tcW w:w="0" w:type="auto"/>
            <w:tcBorders>
              <w:top w:val="nil"/>
              <w:left w:val="nil"/>
              <w:bottom w:val="single" w:sz="4" w:space="0" w:color="auto"/>
              <w:right w:val="single" w:sz="4" w:space="0" w:color="auto"/>
            </w:tcBorders>
            <w:shd w:val="clear" w:color="auto" w:fill="auto"/>
            <w:noWrap/>
            <w:vAlign w:val="center"/>
            <w:hideMark/>
          </w:tcPr>
          <w:p w14:paraId="43AE83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23,0</w:t>
            </w:r>
          </w:p>
        </w:tc>
        <w:tc>
          <w:tcPr>
            <w:tcW w:w="0" w:type="auto"/>
            <w:tcBorders>
              <w:top w:val="nil"/>
              <w:left w:val="nil"/>
              <w:bottom w:val="single" w:sz="4" w:space="0" w:color="auto"/>
              <w:right w:val="single" w:sz="4" w:space="0" w:color="auto"/>
            </w:tcBorders>
            <w:shd w:val="clear" w:color="000000" w:fill="FFFFFF"/>
            <w:noWrap/>
            <w:vAlign w:val="center"/>
            <w:hideMark/>
          </w:tcPr>
          <w:p w14:paraId="18EFB42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3EDF293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123BFB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224327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61B06D8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486772C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3ABB4E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D47F5F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w:t>
            </w:r>
          </w:p>
        </w:tc>
        <w:tc>
          <w:tcPr>
            <w:tcW w:w="0" w:type="auto"/>
            <w:tcBorders>
              <w:top w:val="nil"/>
              <w:left w:val="nil"/>
              <w:bottom w:val="single" w:sz="4" w:space="0" w:color="auto"/>
              <w:right w:val="single" w:sz="4" w:space="0" w:color="auto"/>
            </w:tcBorders>
            <w:shd w:val="clear" w:color="000000" w:fill="FFFFFF"/>
            <w:vAlign w:val="center"/>
            <w:hideMark/>
          </w:tcPr>
          <w:p w14:paraId="3CB485E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748117E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77FBD5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r>
      <w:tr w:rsidR="000057E4" w:rsidRPr="000843DA" w14:paraId="6D063011"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29F6189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11AA808"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III Circ. Jud. San José (Desamparados)</w:t>
            </w:r>
          </w:p>
        </w:tc>
        <w:tc>
          <w:tcPr>
            <w:tcW w:w="0" w:type="auto"/>
            <w:tcBorders>
              <w:top w:val="nil"/>
              <w:left w:val="nil"/>
              <w:bottom w:val="single" w:sz="4" w:space="0" w:color="auto"/>
              <w:right w:val="single" w:sz="4" w:space="0" w:color="auto"/>
            </w:tcBorders>
            <w:shd w:val="clear" w:color="auto" w:fill="auto"/>
            <w:noWrap/>
            <w:vAlign w:val="center"/>
            <w:hideMark/>
          </w:tcPr>
          <w:p w14:paraId="56AD1DC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244</w:t>
            </w:r>
          </w:p>
        </w:tc>
        <w:tc>
          <w:tcPr>
            <w:tcW w:w="0" w:type="auto"/>
            <w:tcBorders>
              <w:top w:val="nil"/>
              <w:left w:val="nil"/>
              <w:bottom w:val="single" w:sz="4" w:space="0" w:color="auto"/>
              <w:right w:val="single" w:sz="4" w:space="0" w:color="auto"/>
            </w:tcBorders>
            <w:shd w:val="clear" w:color="auto" w:fill="auto"/>
            <w:noWrap/>
            <w:vAlign w:val="center"/>
            <w:hideMark/>
          </w:tcPr>
          <w:p w14:paraId="4A5D856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11,6</w:t>
            </w:r>
          </w:p>
        </w:tc>
        <w:tc>
          <w:tcPr>
            <w:tcW w:w="0" w:type="auto"/>
            <w:tcBorders>
              <w:top w:val="nil"/>
              <w:left w:val="nil"/>
              <w:bottom w:val="single" w:sz="4" w:space="0" w:color="auto"/>
              <w:right w:val="single" w:sz="4" w:space="0" w:color="auto"/>
            </w:tcBorders>
            <w:shd w:val="clear" w:color="000000" w:fill="FFFFFF"/>
            <w:noWrap/>
            <w:vAlign w:val="center"/>
            <w:hideMark/>
          </w:tcPr>
          <w:p w14:paraId="00D3E69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5,8</w:t>
            </w:r>
          </w:p>
        </w:tc>
        <w:tc>
          <w:tcPr>
            <w:tcW w:w="0" w:type="auto"/>
            <w:tcBorders>
              <w:top w:val="nil"/>
              <w:left w:val="nil"/>
              <w:bottom w:val="single" w:sz="4" w:space="0" w:color="auto"/>
              <w:right w:val="single" w:sz="4" w:space="0" w:color="auto"/>
            </w:tcBorders>
            <w:shd w:val="clear" w:color="auto" w:fill="auto"/>
            <w:noWrap/>
            <w:vAlign w:val="center"/>
            <w:hideMark/>
          </w:tcPr>
          <w:p w14:paraId="5C42C3D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60E34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7FC18F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D56DDC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887D7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E51854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871FAA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37A9FC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0F4437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470D87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4EAF884E"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216EDAA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noWrap/>
            <w:vAlign w:val="center"/>
            <w:hideMark/>
          </w:tcPr>
          <w:p w14:paraId="34C7612F"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Hatillo, San Sebas. y Alajuelita</w:t>
            </w:r>
          </w:p>
        </w:tc>
        <w:tc>
          <w:tcPr>
            <w:tcW w:w="0" w:type="auto"/>
            <w:tcBorders>
              <w:top w:val="nil"/>
              <w:left w:val="nil"/>
              <w:bottom w:val="single" w:sz="4" w:space="0" w:color="auto"/>
              <w:right w:val="single" w:sz="4" w:space="0" w:color="auto"/>
            </w:tcBorders>
            <w:shd w:val="clear" w:color="auto" w:fill="auto"/>
            <w:noWrap/>
            <w:vAlign w:val="center"/>
            <w:hideMark/>
          </w:tcPr>
          <w:p w14:paraId="5FE80F1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241</w:t>
            </w:r>
          </w:p>
        </w:tc>
        <w:tc>
          <w:tcPr>
            <w:tcW w:w="0" w:type="auto"/>
            <w:tcBorders>
              <w:top w:val="nil"/>
              <w:left w:val="nil"/>
              <w:bottom w:val="single" w:sz="4" w:space="0" w:color="auto"/>
              <w:right w:val="single" w:sz="4" w:space="0" w:color="auto"/>
            </w:tcBorders>
            <w:shd w:val="clear" w:color="auto" w:fill="auto"/>
            <w:noWrap/>
            <w:vAlign w:val="center"/>
            <w:hideMark/>
          </w:tcPr>
          <w:p w14:paraId="649860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11,5</w:t>
            </w:r>
          </w:p>
        </w:tc>
        <w:tc>
          <w:tcPr>
            <w:tcW w:w="0" w:type="auto"/>
            <w:tcBorders>
              <w:top w:val="nil"/>
              <w:left w:val="nil"/>
              <w:bottom w:val="single" w:sz="4" w:space="0" w:color="auto"/>
              <w:right w:val="single" w:sz="4" w:space="0" w:color="auto"/>
            </w:tcBorders>
            <w:shd w:val="clear" w:color="000000" w:fill="FFFFFF"/>
            <w:noWrap/>
            <w:vAlign w:val="center"/>
            <w:hideMark/>
          </w:tcPr>
          <w:p w14:paraId="44AD1D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5,7</w:t>
            </w:r>
          </w:p>
        </w:tc>
        <w:tc>
          <w:tcPr>
            <w:tcW w:w="0" w:type="auto"/>
            <w:tcBorders>
              <w:top w:val="nil"/>
              <w:left w:val="nil"/>
              <w:bottom w:val="single" w:sz="4" w:space="0" w:color="auto"/>
              <w:right w:val="single" w:sz="4" w:space="0" w:color="auto"/>
            </w:tcBorders>
            <w:shd w:val="clear" w:color="auto" w:fill="auto"/>
            <w:noWrap/>
            <w:vAlign w:val="center"/>
            <w:hideMark/>
          </w:tcPr>
          <w:p w14:paraId="4040124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509FB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F3992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E46116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1167FC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730A33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FF2A8C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0B42E4A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204A407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5B97193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5852B66E"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3F0D080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71FAD441"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 Circ. Jud. Alajuela</w:t>
            </w:r>
          </w:p>
        </w:tc>
        <w:tc>
          <w:tcPr>
            <w:tcW w:w="0" w:type="auto"/>
            <w:tcBorders>
              <w:top w:val="nil"/>
              <w:left w:val="nil"/>
              <w:bottom w:val="single" w:sz="4" w:space="0" w:color="auto"/>
              <w:right w:val="single" w:sz="4" w:space="0" w:color="auto"/>
            </w:tcBorders>
            <w:shd w:val="clear" w:color="auto" w:fill="auto"/>
            <w:noWrap/>
            <w:vAlign w:val="center"/>
            <w:hideMark/>
          </w:tcPr>
          <w:p w14:paraId="3EADB34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332</w:t>
            </w:r>
          </w:p>
        </w:tc>
        <w:tc>
          <w:tcPr>
            <w:tcW w:w="0" w:type="auto"/>
            <w:tcBorders>
              <w:top w:val="nil"/>
              <w:left w:val="nil"/>
              <w:bottom w:val="single" w:sz="4" w:space="0" w:color="auto"/>
              <w:right w:val="single" w:sz="4" w:space="0" w:color="auto"/>
            </w:tcBorders>
            <w:shd w:val="clear" w:color="auto" w:fill="auto"/>
            <w:noWrap/>
            <w:vAlign w:val="center"/>
            <w:hideMark/>
          </w:tcPr>
          <w:p w14:paraId="28C399C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15,8</w:t>
            </w:r>
          </w:p>
        </w:tc>
        <w:tc>
          <w:tcPr>
            <w:tcW w:w="0" w:type="auto"/>
            <w:tcBorders>
              <w:top w:val="nil"/>
              <w:left w:val="nil"/>
              <w:bottom w:val="single" w:sz="4" w:space="0" w:color="auto"/>
              <w:right w:val="single" w:sz="4" w:space="0" w:color="auto"/>
            </w:tcBorders>
            <w:shd w:val="clear" w:color="000000" w:fill="FFFFFF"/>
            <w:noWrap/>
            <w:vAlign w:val="center"/>
            <w:hideMark/>
          </w:tcPr>
          <w:p w14:paraId="72EEA80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5,3</w:t>
            </w:r>
          </w:p>
        </w:tc>
        <w:tc>
          <w:tcPr>
            <w:tcW w:w="0" w:type="auto"/>
            <w:tcBorders>
              <w:top w:val="nil"/>
              <w:left w:val="nil"/>
              <w:bottom w:val="single" w:sz="4" w:space="0" w:color="auto"/>
              <w:right w:val="single" w:sz="4" w:space="0" w:color="auto"/>
            </w:tcBorders>
            <w:shd w:val="clear" w:color="auto" w:fill="auto"/>
            <w:noWrap/>
            <w:vAlign w:val="center"/>
            <w:hideMark/>
          </w:tcPr>
          <w:p w14:paraId="48B1EF3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D33BC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4C0E2E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6CCD4A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1B0657A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5D5D140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6D64E7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vAlign w:val="center"/>
            <w:hideMark/>
          </w:tcPr>
          <w:p w14:paraId="768E44E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4AF78D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5EDA15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3B2EADE7" w14:textId="77777777" w:rsidTr="00320C4C">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782D8C8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noWrap/>
            <w:vAlign w:val="center"/>
            <w:hideMark/>
          </w:tcPr>
          <w:p w14:paraId="0674E679"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Alajuela (San Carlos)</w:t>
            </w:r>
          </w:p>
        </w:tc>
        <w:tc>
          <w:tcPr>
            <w:tcW w:w="0" w:type="auto"/>
            <w:tcBorders>
              <w:top w:val="nil"/>
              <w:left w:val="nil"/>
              <w:bottom w:val="single" w:sz="4" w:space="0" w:color="auto"/>
              <w:right w:val="single" w:sz="4" w:space="0" w:color="auto"/>
            </w:tcBorders>
            <w:shd w:val="clear" w:color="auto" w:fill="auto"/>
            <w:noWrap/>
            <w:vAlign w:val="center"/>
            <w:hideMark/>
          </w:tcPr>
          <w:p w14:paraId="4DBA51C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153</w:t>
            </w:r>
          </w:p>
        </w:tc>
        <w:tc>
          <w:tcPr>
            <w:tcW w:w="0" w:type="auto"/>
            <w:tcBorders>
              <w:top w:val="nil"/>
              <w:left w:val="nil"/>
              <w:bottom w:val="single" w:sz="4" w:space="0" w:color="auto"/>
              <w:right w:val="single" w:sz="4" w:space="0" w:color="auto"/>
            </w:tcBorders>
            <w:shd w:val="clear" w:color="auto" w:fill="auto"/>
            <w:noWrap/>
            <w:vAlign w:val="center"/>
            <w:hideMark/>
          </w:tcPr>
          <w:p w14:paraId="7FDF098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2A7CF3D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16A2F4F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49D7A1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86242B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CA719D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1197040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69825FD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9A409D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351A0FD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43DE6E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473AF0A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r>
      <w:tr w:rsidR="000057E4" w:rsidRPr="000843DA" w14:paraId="39BC2789"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08D2471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noWrap/>
            <w:vAlign w:val="center"/>
            <w:hideMark/>
          </w:tcPr>
          <w:p w14:paraId="05FE24D6"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Cartago</w:t>
            </w:r>
          </w:p>
        </w:tc>
        <w:tc>
          <w:tcPr>
            <w:tcW w:w="0" w:type="auto"/>
            <w:tcBorders>
              <w:top w:val="nil"/>
              <w:left w:val="nil"/>
              <w:bottom w:val="single" w:sz="4" w:space="0" w:color="auto"/>
              <w:right w:val="single" w:sz="4" w:space="0" w:color="auto"/>
            </w:tcBorders>
            <w:shd w:val="clear" w:color="000000" w:fill="FFFFFF"/>
            <w:noWrap/>
            <w:vAlign w:val="center"/>
            <w:hideMark/>
          </w:tcPr>
          <w:p w14:paraId="01D7D34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195</w:t>
            </w:r>
          </w:p>
        </w:tc>
        <w:tc>
          <w:tcPr>
            <w:tcW w:w="0" w:type="auto"/>
            <w:tcBorders>
              <w:top w:val="nil"/>
              <w:left w:val="nil"/>
              <w:bottom w:val="single" w:sz="4" w:space="0" w:color="auto"/>
              <w:right w:val="single" w:sz="4" w:space="0" w:color="auto"/>
            </w:tcBorders>
            <w:shd w:val="clear" w:color="auto" w:fill="auto"/>
            <w:noWrap/>
            <w:vAlign w:val="center"/>
            <w:hideMark/>
          </w:tcPr>
          <w:p w14:paraId="4FD1F53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9,3</w:t>
            </w:r>
          </w:p>
        </w:tc>
        <w:tc>
          <w:tcPr>
            <w:tcW w:w="0" w:type="auto"/>
            <w:tcBorders>
              <w:top w:val="nil"/>
              <w:left w:val="nil"/>
              <w:bottom w:val="single" w:sz="4" w:space="0" w:color="auto"/>
              <w:right w:val="single" w:sz="4" w:space="0" w:color="auto"/>
            </w:tcBorders>
            <w:shd w:val="clear" w:color="000000" w:fill="FFFFFF"/>
            <w:noWrap/>
            <w:vAlign w:val="center"/>
            <w:hideMark/>
          </w:tcPr>
          <w:p w14:paraId="44B9C47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25B390A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4C22F8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8A784A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D99A0E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79BEF01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D0DC6A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48B9B5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7AD401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32438C0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645F5E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0C5AD402"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02458F7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noWrap/>
            <w:vAlign w:val="center"/>
            <w:hideMark/>
          </w:tcPr>
          <w:p w14:paraId="419D496E"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Heredia</w:t>
            </w:r>
          </w:p>
        </w:tc>
        <w:tc>
          <w:tcPr>
            <w:tcW w:w="0" w:type="auto"/>
            <w:tcBorders>
              <w:top w:val="nil"/>
              <w:left w:val="nil"/>
              <w:bottom w:val="single" w:sz="4" w:space="0" w:color="auto"/>
              <w:right w:val="single" w:sz="4" w:space="0" w:color="auto"/>
            </w:tcBorders>
            <w:shd w:val="clear" w:color="auto" w:fill="auto"/>
            <w:noWrap/>
            <w:vAlign w:val="center"/>
            <w:hideMark/>
          </w:tcPr>
          <w:p w14:paraId="4A16D7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200</w:t>
            </w:r>
          </w:p>
        </w:tc>
        <w:tc>
          <w:tcPr>
            <w:tcW w:w="0" w:type="auto"/>
            <w:tcBorders>
              <w:top w:val="nil"/>
              <w:left w:val="nil"/>
              <w:bottom w:val="single" w:sz="4" w:space="0" w:color="auto"/>
              <w:right w:val="single" w:sz="4" w:space="0" w:color="auto"/>
            </w:tcBorders>
            <w:shd w:val="clear" w:color="auto" w:fill="auto"/>
            <w:noWrap/>
            <w:vAlign w:val="center"/>
            <w:hideMark/>
          </w:tcPr>
          <w:p w14:paraId="694AD95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9,5</w:t>
            </w:r>
          </w:p>
        </w:tc>
        <w:tc>
          <w:tcPr>
            <w:tcW w:w="0" w:type="auto"/>
            <w:tcBorders>
              <w:top w:val="nil"/>
              <w:left w:val="nil"/>
              <w:bottom w:val="single" w:sz="4" w:space="0" w:color="auto"/>
              <w:right w:val="single" w:sz="4" w:space="0" w:color="auto"/>
            </w:tcBorders>
            <w:shd w:val="clear" w:color="000000" w:fill="FFFFFF"/>
            <w:noWrap/>
            <w:vAlign w:val="center"/>
            <w:hideMark/>
          </w:tcPr>
          <w:p w14:paraId="77814E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4,8</w:t>
            </w:r>
          </w:p>
        </w:tc>
        <w:tc>
          <w:tcPr>
            <w:tcW w:w="0" w:type="auto"/>
            <w:tcBorders>
              <w:top w:val="nil"/>
              <w:left w:val="nil"/>
              <w:bottom w:val="single" w:sz="4" w:space="0" w:color="auto"/>
              <w:right w:val="single" w:sz="4" w:space="0" w:color="auto"/>
            </w:tcBorders>
            <w:shd w:val="clear" w:color="auto" w:fill="auto"/>
            <w:noWrap/>
            <w:vAlign w:val="center"/>
            <w:hideMark/>
          </w:tcPr>
          <w:p w14:paraId="36A89C4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D8137A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141AB6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F5A952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4119764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DB4B9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FF0033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15B7947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3EC78A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081442F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E23F52" w:rsidRPr="000057E4" w14:paraId="579B348C"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383FA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491B2227"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Puntarenas</w:t>
            </w:r>
          </w:p>
        </w:tc>
        <w:tc>
          <w:tcPr>
            <w:tcW w:w="0" w:type="auto"/>
            <w:tcBorders>
              <w:top w:val="nil"/>
              <w:left w:val="nil"/>
              <w:bottom w:val="single" w:sz="4" w:space="0" w:color="auto"/>
              <w:right w:val="single" w:sz="4" w:space="0" w:color="auto"/>
            </w:tcBorders>
            <w:shd w:val="clear" w:color="auto" w:fill="auto"/>
            <w:noWrap/>
            <w:vAlign w:val="center"/>
            <w:hideMark/>
          </w:tcPr>
          <w:p w14:paraId="30F9FC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153</w:t>
            </w:r>
          </w:p>
        </w:tc>
        <w:tc>
          <w:tcPr>
            <w:tcW w:w="0" w:type="auto"/>
            <w:tcBorders>
              <w:top w:val="nil"/>
              <w:left w:val="nil"/>
              <w:bottom w:val="single" w:sz="4" w:space="0" w:color="auto"/>
              <w:right w:val="single" w:sz="4" w:space="0" w:color="auto"/>
            </w:tcBorders>
            <w:shd w:val="clear" w:color="auto" w:fill="auto"/>
            <w:noWrap/>
            <w:vAlign w:val="center"/>
            <w:hideMark/>
          </w:tcPr>
          <w:p w14:paraId="015B55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FFFFFF"/>
            <w:noWrap/>
            <w:vAlign w:val="center"/>
            <w:hideMark/>
          </w:tcPr>
          <w:p w14:paraId="27DA3EF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3,6</w:t>
            </w:r>
          </w:p>
        </w:tc>
        <w:tc>
          <w:tcPr>
            <w:tcW w:w="0" w:type="auto"/>
            <w:tcBorders>
              <w:top w:val="nil"/>
              <w:left w:val="nil"/>
              <w:bottom w:val="single" w:sz="4" w:space="0" w:color="auto"/>
              <w:right w:val="single" w:sz="4" w:space="0" w:color="auto"/>
            </w:tcBorders>
            <w:shd w:val="clear" w:color="auto" w:fill="auto"/>
            <w:noWrap/>
            <w:vAlign w:val="center"/>
            <w:hideMark/>
          </w:tcPr>
          <w:p w14:paraId="7AAE7DD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FA7D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075F06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79402A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543657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3C2B2C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F5138E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0A011A7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6760F6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0DD24B3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1335FC62" w14:textId="77777777" w:rsidTr="000057E4">
        <w:trPr>
          <w:trHeight w:val="170"/>
        </w:trPr>
        <w:tc>
          <w:tcPr>
            <w:tcW w:w="0" w:type="auto"/>
            <w:tcBorders>
              <w:top w:val="nil"/>
              <w:left w:val="single" w:sz="4" w:space="0" w:color="auto"/>
              <w:bottom w:val="single" w:sz="4" w:space="0" w:color="auto"/>
              <w:right w:val="single" w:sz="4" w:space="0" w:color="auto"/>
            </w:tcBorders>
            <w:shd w:val="clear" w:color="000000" w:fill="FFFFFF"/>
            <w:noWrap/>
            <w:hideMark/>
          </w:tcPr>
          <w:p w14:paraId="783BBCF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26CD5554"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 xml:space="preserve">Juzgado Violencia Doméstica I Circ. Jud. Zona Sur (Pérez Zeledón) </w:t>
            </w:r>
          </w:p>
        </w:tc>
        <w:tc>
          <w:tcPr>
            <w:tcW w:w="0" w:type="auto"/>
            <w:tcBorders>
              <w:top w:val="nil"/>
              <w:left w:val="nil"/>
              <w:bottom w:val="single" w:sz="4" w:space="0" w:color="auto"/>
              <w:right w:val="single" w:sz="4" w:space="0" w:color="auto"/>
            </w:tcBorders>
            <w:shd w:val="clear" w:color="000000" w:fill="FFFFFF"/>
            <w:noWrap/>
            <w:vAlign w:val="center"/>
            <w:hideMark/>
          </w:tcPr>
          <w:p w14:paraId="2E4F4C4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209</w:t>
            </w:r>
          </w:p>
        </w:tc>
        <w:tc>
          <w:tcPr>
            <w:tcW w:w="0" w:type="auto"/>
            <w:tcBorders>
              <w:top w:val="nil"/>
              <w:left w:val="nil"/>
              <w:bottom w:val="single" w:sz="4" w:space="0" w:color="auto"/>
              <w:right w:val="single" w:sz="4" w:space="0" w:color="auto"/>
            </w:tcBorders>
            <w:shd w:val="clear" w:color="auto" w:fill="auto"/>
            <w:noWrap/>
            <w:vAlign w:val="center"/>
            <w:hideMark/>
          </w:tcPr>
          <w:p w14:paraId="332D6A8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705C7BC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27049C9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76F821E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2839549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000000" w:fill="FFFFFF"/>
            <w:vAlign w:val="center"/>
            <w:hideMark/>
          </w:tcPr>
          <w:p w14:paraId="3A6FDFC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0E8BFD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2C14802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2986664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240DF45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hideMark/>
          </w:tcPr>
          <w:p w14:paraId="4663FCA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hideMark/>
          </w:tcPr>
          <w:p w14:paraId="04DFA7D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r>
      <w:tr w:rsidR="00E23F52" w:rsidRPr="000057E4" w14:paraId="0E1D4261"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91FEDF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noWrap/>
            <w:vAlign w:val="center"/>
            <w:hideMark/>
          </w:tcPr>
          <w:p w14:paraId="78F885E0"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de Violencia Doméstica del I Circ. Jud. de la Zona Atlántica (Limón)</w:t>
            </w:r>
          </w:p>
        </w:tc>
        <w:tc>
          <w:tcPr>
            <w:tcW w:w="0" w:type="auto"/>
            <w:tcBorders>
              <w:top w:val="nil"/>
              <w:left w:val="nil"/>
              <w:bottom w:val="single" w:sz="4" w:space="0" w:color="auto"/>
              <w:right w:val="single" w:sz="4" w:space="0" w:color="auto"/>
            </w:tcBorders>
            <w:shd w:val="clear" w:color="auto" w:fill="auto"/>
            <w:noWrap/>
            <w:vAlign w:val="center"/>
            <w:hideMark/>
          </w:tcPr>
          <w:p w14:paraId="7134D33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97</w:t>
            </w:r>
          </w:p>
        </w:tc>
        <w:tc>
          <w:tcPr>
            <w:tcW w:w="0" w:type="auto"/>
            <w:tcBorders>
              <w:top w:val="nil"/>
              <w:left w:val="nil"/>
              <w:bottom w:val="single" w:sz="4" w:space="0" w:color="auto"/>
              <w:right w:val="single" w:sz="4" w:space="0" w:color="auto"/>
            </w:tcBorders>
            <w:shd w:val="clear" w:color="auto" w:fill="auto"/>
            <w:noWrap/>
            <w:vAlign w:val="center"/>
            <w:hideMark/>
          </w:tcPr>
          <w:p w14:paraId="1297D41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000000" w:fill="FFFFFF"/>
            <w:noWrap/>
            <w:vAlign w:val="center"/>
            <w:hideMark/>
          </w:tcPr>
          <w:p w14:paraId="65B0AB4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5A8C2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63D692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CF8D32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0C8E63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1634B987" w14:textId="385AECA4"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FBE38F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F9B9200" w14:textId="7A829408"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E3CEE0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2846F3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7DAA6CCF" w14:textId="0B4B84E4"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0</w:t>
            </w:r>
          </w:p>
        </w:tc>
      </w:tr>
      <w:tr w:rsidR="00E23F52" w:rsidRPr="000057E4" w14:paraId="690BC7B0"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3883C6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C825252"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de la Zona Atlántica (Pococí)</w:t>
            </w:r>
          </w:p>
        </w:tc>
        <w:tc>
          <w:tcPr>
            <w:tcW w:w="0" w:type="auto"/>
            <w:tcBorders>
              <w:top w:val="nil"/>
              <w:left w:val="nil"/>
              <w:bottom w:val="single" w:sz="4" w:space="0" w:color="auto"/>
              <w:right w:val="single" w:sz="4" w:space="0" w:color="auto"/>
            </w:tcBorders>
            <w:shd w:val="clear" w:color="auto" w:fill="auto"/>
            <w:noWrap/>
            <w:vAlign w:val="center"/>
            <w:hideMark/>
          </w:tcPr>
          <w:p w14:paraId="5E9D0D3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154</w:t>
            </w:r>
          </w:p>
        </w:tc>
        <w:tc>
          <w:tcPr>
            <w:tcW w:w="0" w:type="auto"/>
            <w:tcBorders>
              <w:top w:val="nil"/>
              <w:left w:val="nil"/>
              <w:bottom w:val="single" w:sz="4" w:space="0" w:color="auto"/>
              <w:right w:val="single" w:sz="4" w:space="0" w:color="auto"/>
            </w:tcBorders>
            <w:shd w:val="clear" w:color="auto" w:fill="auto"/>
            <w:noWrap/>
            <w:vAlign w:val="center"/>
            <w:hideMark/>
          </w:tcPr>
          <w:p w14:paraId="4A1214A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D9E1F2"/>
            <w:noWrap/>
            <w:vAlign w:val="center"/>
            <w:hideMark/>
          </w:tcPr>
          <w:p w14:paraId="32AF6B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0EA947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F1D6C1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6C750F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5779110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5A9028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7678A4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A30EAB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11A919F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F54F384" w14:textId="0F2F9AC6" w:rsidR="00E23F52" w:rsidRPr="00391382" w:rsidRDefault="00E47E43"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190ED4F0" w14:textId="3E41CB33" w:rsidR="00E23F52" w:rsidRPr="00391382" w:rsidRDefault="00E47E43"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w:t>
            </w:r>
          </w:p>
        </w:tc>
      </w:tr>
      <w:tr w:rsidR="000057E4" w:rsidRPr="000843DA" w14:paraId="45B3D543" w14:textId="77777777" w:rsidTr="000057E4">
        <w:trPr>
          <w:trHeight w:val="170"/>
        </w:trPr>
        <w:tc>
          <w:tcPr>
            <w:tcW w:w="0" w:type="auto"/>
            <w:gridSpan w:val="2"/>
            <w:tcBorders>
              <w:top w:val="single" w:sz="4" w:space="0" w:color="auto"/>
              <w:left w:val="single" w:sz="4" w:space="0" w:color="auto"/>
              <w:bottom w:val="single" w:sz="4" w:space="0" w:color="auto"/>
              <w:right w:val="single" w:sz="4" w:space="0" w:color="auto"/>
            </w:tcBorders>
            <w:shd w:val="clear" w:color="auto" w:fill="9CC2E5" w:themeFill="accent5" w:themeFillTint="99"/>
            <w:noWrap/>
            <w:vAlign w:val="center"/>
            <w:hideMark/>
          </w:tcPr>
          <w:p w14:paraId="03F8963D"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Total general</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72A859D4"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220</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3F8B18A5"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10,5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563D4AE1"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5,2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086E8AE2"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3D2BE38"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6D83413"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7F528C8C"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CE6DA49"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27</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5F50ED12"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3EA3C17A"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66</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2B423B6A"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26EE2009" w14:textId="642D0350" w:rsidR="00E23F52" w:rsidRPr="00391382" w:rsidRDefault="00E47E43" w:rsidP="00E23F52">
            <w:pPr>
              <w:spacing w:after="0" w:line="240" w:lineRule="auto"/>
              <w:jc w:val="center"/>
              <w:rPr>
                <w:rFonts w:ascii="Book Antiqua" w:eastAsia="Times New Roman" w:hAnsi="Book Antiqua" w:cs="Calibri"/>
                <w:b/>
                <w:bCs/>
                <w:color w:val="000000" w:themeColor="text1"/>
                <w:sz w:val="18"/>
                <w:szCs w:val="18"/>
                <w:lang w:eastAsia="es-CR"/>
              </w:rPr>
            </w:pPr>
            <w:r>
              <w:rPr>
                <w:rFonts w:ascii="Book Antiqua" w:eastAsia="Times New Roman" w:hAnsi="Book Antiqua" w:cs="Calibri"/>
                <w:b/>
                <w:bCs/>
                <w:color w:val="000000" w:themeColor="text1"/>
                <w:sz w:val="18"/>
                <w:szCs w:val="18"/>
                <w:lang w:eastAsia="es-CR"/>
              </w:rPr>
              <w:t>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84FBA89"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17</w:t>
            </w:r>
          </w:p>
        </w:tc>
      </w:tr>
    </w:tbl>
    <w:p w14:paraId="71AAEB2C" w14:textId="77777777" w:rsidR="00BC0ED8" w:rsidRDefault="00CE7773" w:rsidP="00CE7773">
      <w:pPr>
        <w:spacing w:after="0" w:line="240" w:lineRule="auto"/>
        <w:rPr>
          <w:rFonts w:ascii="Book Antiqua" w:eastAsia="Calibri" w:hAnsi="Book Antiqua" w:cs="Arial"/>
          <w:i/>
          <w:iCs/>
          <w:color w:val="000000" w:themeColor="text1"/>
          <w:sz w:val="20"/>
          <w:szCs w:val="20"/>
          <w:lang w:val="es-ES" w:eastAsia="es-ES"/>
        </w:rPr>
      </w:pPr>
      <w:bookmarkStart w:id="76" w:name="_Hlk128089841"/>
      <w:r w:rsidRPr="00B8406C">
        <w:rPr>
          <w:rFonts w:ascii="Book Antiqua" w:eastAsia="Calibri" w:hAnsi="Book Antiqua" w:cs="Arial"/>
          <w:b/>
          <w:bCs/>
          <w:i/>
          <w:iCs/>
          <w:color w:val="000000" w:themeColor="text1"/>
          <w:sz w:val="20"/>
          <w:szCs w:val="20"/>
          <w:lang w:val="es-ES" w:eastAsia="es-ES"/>
        </w:rPr>
        <w:t>Fuente:</w:t>
      </w:r>
      <w:r w:rsidRPr="00391382">
        <w:rPr>
          <w:rFonts w:ascii="Book Antiqua" w:eastAsia="Calibri" w:hAnsi="Book Antiqua" w:cs="Arial"/>
          <w:i/>
          <w:iCs/>
          <w:color w:val="000000" w:themeColor="text1"/>
          <w:sz w:val="20"/>
          <w:szCs w:val="20"/>
          <w:lang w:val="es-ES" w:eastAsia="es-ES"/>
        </w:rPr>
        <w:t xml:space="preserve"> </w:t>
      </w:r>
      <w:r w:rsidR="00BC0ED8">
        <w:rPr>
          <w:rFonts w:ascii="Book Antiqua" w:eastAsia="Calibri" w:hAnsi="Book Antiqua" w:cs="Arial"/>
          <w:i/>
          <w:iCs/>
          <w:color w:val="000000" w:themeColor="text1"/>
          <w:sz w:val="20"/>
          <w:szCs w:val="20"/>
          <w:lang w:val="es-ES" w:eastAsia="es-ES"/>
        </w:rPr>
        <w:t xml:space="preserve">Subproceso de </w:t>
      </w:r>
      <w:r w:rsidRPr="00391382">
        <w:rPr>
          <w:rFonts w:ascii="Book Antiqua" w:eastAsia="Calibri" w:hAnsi="Book Antiqua" w:cs="Arial"/>
          <w:i/>
          <w:iCs/>
          <w:color w:val="000000" w:themeColor="text1"/>
          <w:sz w:val="20"/>
          <w:szCs w:val="20"/>
          <w:lang w:val="es-ES" w:eastAsia="es-ES"/>
        </w:rPr>
        <w:t>Modernización Institucional</w:t>
      </w:r>
      <w:bookmarkEnd w:id="76"/>
      <w:r w:rsidRPr="00391382">
        <w:rPr>
          <w:rFonts w:ascii="Book Antiqua" w:eastAsia="Calibri" w:hAnsi="Book Antiqua" w:cs="Arial"/>
          <w:i/>
          <w:iCs/>
          <w:color w:val="000000" w:themeColor="text1"/>
          <w:sz w:val="20"/>
          <w:szCs w:val="20"/>
          <w:lang w:val="es-ES" w:eastAsia="es-ES"/>
        </w:rPr>
        <w:t>, en el análisis de respuestas obtenidas de las personas Juzgadoras emitidas mediante formulario expuest</w:t>
      </w:r>
      <w:r w:rsidR="00BC0ED8">
        <w:rPr>
          <w:rFonts w:ascii="Book Antiqua" w:eastAsia="Calibri" w:hAnsi="Book Antiqua" w:cs="Arial"/>
          <w:i/>
          <w:iCs/>
          <w:color w:val="000000" w:themeColor="text1"/>
          <w:sz w:val="20"/>
          <w:szCs w:val="20"/>
          <w:lang w:val="es-ES" w:eastAsia="es-ES"/>
        </w:rPr>
        <w:t>o</w:t>
      </w:r>
    </w:p>
    <w:p w14:paraId="445DA62E" w14:textId="450CE56E" w:rsidR="00E23F52" w:rsidRPr="00391382" w:rsidRDefault="00CE7773"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en los talleres efectuados.</w:t>
      </w:r>
    </w:p>
    <w:p w14:paraId="13547FA8" w14:textId="586D6E4F" w:rsidR="002A73A9" w:rsidRPr="00391382" w:rsidRDefault="002A73A9" w:rsidP="00CE7773">
      <w:pPr>
        <w:spacing w:after="0" w:line="240" w:lineRule="auto"/>
        <w:rPr>
          <w:rFonts w:ascii="Book Antiqua" w:eastAsia="Calibri" w:hAnsi="Book Antiqua" w:cs="Arial"/>
          <w:i/>
          <w:iCs/>
          <w:color w:val="000000" w:themeColor="text1"/>
          <w:sz w:val="20"/>
          <w:szCs w:val="20"/>
          <w:lang w:val="es-ES" w:eastAsia="es-ES"/>
        </w:rPr>
      </w:pPr>
      <w:r w:rsidRPr="00BC0ED8">
        <w:rPr>
          <w:rFonts w:ascii="Book Antiqua" w:eastAsia="Calibri" w:hAnsi="Book Antiqua" w:cs="Arial"/>
          <w:b/>
          <w:bCs/>
          <w:i/>
          <w:iCs/>
          <w:color w:val="000000" w:themeColor="text1"/>
          <w:sz w:val="20"/>
          <w:szCs w:val="20"/>
          <w:lang w:val="es-ES" w:eastAsia="es-ES"/>
        </w:rPr>
        <w:t>Nota*:</w:t>
      </w:r>
      <w:r w:rsidRPr="00391382">
        <w:rPr>
          <w:rFonts w:ascii="Book Antiqua" w:eastAsia="Calibri" w:hAnsi="Book Antiqua" w:cs="Arial"/>
          <w:i/>
          <w:iCs/>
          <w:color w:val="000000" w:themeColor="text1"/>
          <w:sz w:val="20"/>
          <w:szCs w:val="20"/>
          <w:lang w:val="es-ES" w:eastAsia="es-ES"/>
        </w:rPr>
        <w:t xml:space="preserve"> Plaza compartida entre el Juzgado de Violencia y el Juzgado de Niñez y Adolescencia.</w:t>
      </w:r>
    </w:p>
    <w:p w14:paraId="651C44BA" w14:textId="3D74CD24" w:rsidR="002A73A9" w:rsidRPr="00391382" w:rsidRDefault="00BC0ED8" w:rsidP="00CE7773">
      <w:pPr>
        <w:spacing w:after="0" w:line="240" w:lineRule="auto"/>
        <w:rPr>
          <w:rFonts w:ascii="Book Antiqua" w:eastAsia="Calibri" w:hAnsi="Book Antiqua" w:cs="Arial"/>
          <w:i/>
          <w:iCs/>
          <w:color w:val="000000" w:themeColor="text1"/>
          <w:sz w:val="20"/>
          <w:szCs w:val="20"/>
          <w:lang w:val="es-ES" w:eastAsia="es-ES"/>
        </w:rPr>
      </w:pPr>
      <w:r w:rsidRPr="00BC0ED8">
        <w:rPr>
          <w:rFonts w:ascii="Book Antiqua" w:eastAsia="Calibri" w:hAnsi="Book Antiqua" w:cs="Arial"/>
          <w:b/>
          <w:bCs/>
          <w:i/>
          <w:iCs/>
          <w:color w:val="000000" w:themeColor="text1"/>
          <w:sz w:val="20"/>
          <w:szCs w:val="20"/>
          <w:lang w:val="es-ES" w:eastAsia="es-ES"/>
        </w:rPr>
        <w:t>Nota</w:t>
      </w:r>
      <w:r w:rsidR="002A73A9" w:rsidRPr="00BC0ED8">
        <w:rPr>
          <w:rFonts w:ascii="Book Antiqua" w:eastAsia="Calibri" w:hAnsi="Book Antiqua" w:cs="Arial"/>
          <w:b/>
          <w:bCs/>
          <w:i/>
          <w:iCs/>
          <w:color w:val="000000" w:themeColor="text1"/>
          <w:sz w:val="20"/>
          <w:szCs w:val="20"/>
          <w:lang w:val="es-ES" w:eastAsia="es-ES"/>
        </w:rPr>
        <w:t>**</w:t>
      </w:r>
      <w:r w:rsidRPr="00BC0ED8">
        <w:rPr>
          <w:rFonts w:ascii="Book Antiqua" w:eastAsia="Calibri" w:hAnsi="Book Antiqua" w:cs="Arial"/>
          <w:b/>
          <w:bCs/>
          <w:i/>
          <w:iCs/>
          <w:color w:val="000000" w:themeColor="text1"/>
          <w:sz w:val="20"/>
          <w:szCs w:val="20"/>
          <w:lang w:val="es-ES" w:eastAsia="es-ES"/>
        </w:rPr>
        <w:t>:</w:t>
      </w:r>
      <w:r>
        <w:rPr>
          <w:rFonts w:ascii="Book Antiqua" w:eastAsia="Calibri" w:hAnsi="Book Antiqua" w:cs="Arial"/>
          <w:i/>
          <w:iCs/>
          <w:color w:val="000000" w:themeColor="text1"/>
          <w:sz w:val="20"/>
          <w:szCs w:val="20"/>
          <w:lang w:val="es-ES" w:eastAsia="es-ES"/>
        </w:rPr>
        <w:t xml:space="preserve"> </w:t>
      </w:r>
      <w:r w:rsidR="002A73A9" w:rsidRPr="00391382">
        <w:rPr>
          <w:rFonts w:ascii="Book Antiqua" w:eastAsia="Calibri" w:hAnsi="Book Antiqua" w:cs="Arial"/>
          <w:i/>
          <w:iCs/>
          <w:color w:val="000000" w:themeColor="text1"/>
          <w:sz w:val="20"/>
          <w:szCs w:val="20"/>
          <w:lang w:val="es-ES" w:eastAsia="es-ES"/>
        </w:rPr>
        <w:t>Se especializa manifestación</w:t>
      </w:r>
      <w:r w:rsidR="00386E47">
        <w:rPr>
          <w:rFonts w:ascii="Book Antiqua" w:eastAsia="Calibri" w:hAnsi="Book Antiqua" w:cs="Arial"/>
          <w:i/>
          <w:iCs/>
          <w:color w:val="000000" w:themeColor="text1"/>
          <w:sz w:val="20"/>
          <w:szCs w:val="20"/>
          <w:lang w:val="es-ES" w:eastAsia="es-ES"/>
        </w:rPr>
        <w:t>.</w:t>
      </w:r>
    </w:p>
    <w:p w14:paraId="617873F9" w14:textId="40CC597F" w:rsidR="002A73A9" w:rsidRDefault="00BC0ED8" w:rsidP="00CE7773">
      <w:pPr>
        <w:spacing w:after="0" w:line="240" w:lineRule="auto"/>
        <w:rPr>
          <w:rFonts w:ascii="Book Antiqua" w:eastAsia="Calibri" w:hAnsi="Book Antiqua" w:cs="Arial"/>
          <w:i/>
          <w:iCs/>
          <w:color w:val="000000" w:themeColor="text1"/>
          <w:sz w:val="20"/>
          <w:szCs w:val="20"/>
          <w:lang w:val="es-ES" w:eastAsia="es-ES"/>
        </w:rPr>
      </w:pPr>
      <w:r w:rsidRPr="00BC0ED8">
        <w:rPr>
          <w:rFonts w:ascii="Book Antiqua" w:eastAsia="Calibri" w:hAnsi="Book Antiqua" w:cs="Arial"/>
          <w:b/>
          <w:bCs/>
          <w:i/>
          <w:iCs/>
          <w:color w:val="000000" w:themeColor="text1"/>
          <w:sz w:val="20"/>
          <w:szCs w:val="20"/>
          <w:lang w:val="es-ES" w:eastAsia="es-ES"/>
        </w:rPr>
        <w:t>Notas</w:t>
      </w:r>
      <w:r w:rsidR="002A73A9" w:rsidRPr="00BC0ED8">
        <w:rPr>
          <w:rFonts w:ascii="Book Antiqua" w:eastAsia="Calibri" w:hAnsi="Book Antiqua" w:cs="Arial"/>
          <w:b/>
          <w:bCs/>
          <w:i/>
          <w:iCs/>
          <w:color w:val="000000" w:themeColor="text1"/>
          <w:sz w:val="20"/>
          <w:szCs w:val="20"/>
          <w:lang w:val="es-ES" w:eastAsia="es-ES"/>
        </w:rPr>
        <w:t>***</w:t>
      </w:r>
      <w:r w:rsidRPr="00BC0ED8">
        <w:rPr>
          <w:rFonts w:ascii="Book Antiqua" w:eastAsia="Calibri" w:hAnsi="Book Antiqua" w:cs="Arial"/>
          <w:b/>
          <w:bCs/>
          <w:i/>
          <w:iCs/>
          <w:color w:val="000000" w:themeColor="text1"/>
          <w:sz w:val="20"/>
          <w:szCs w:val="20"/>
          <w:lang w:val="es-ES" w:eastAsia="es-ES"/>
        </w:rPr>
        <w:t>:</w:t>
      </w:r>
      <w:r>
        <w:rPr>
          <w:rFonts w:ascii="Book Antiqua" w:eastAsia="Calibri" w:hAnsi="Book Antiqua" w:cs="Arial"/>
          <w:i/>
          <w:iCs/>
          <w:color w:val="000000" w:themeColor="text1"/>
          <w:sz w:val="20"/>
          <w:szCs w:val="20"/>
          <w:lang w:val="es-ES" w:eastAsia="es-ES"/>
        </w:rPr>
        <w:t xml:space="preserve"> </w:t>
      </w:r>
      <w:r w:rsidR="002A73A9" w:rsidRPr="00391382">
        <w:rPr>
          <w:rFonts w:ascii="Book Antiqua" w:eastAsia="Calibri" w:hAnsi="Book Antiqua" w:cs="Arial"/>
          <w:i/>
          <w:iCs/>
          <w:color w:val="000000" w:themeColor="text1"/>
          <w:sz w:val="20"/>
          <w:szCs w:val="20"/>
          <w:lang w:val="es-ES" w:eastAsia="es-ES"/>
        </w:rPr>
        <w:t xml:space="preserve">Se debe solicitar recalificaciones a plazas de Auxiliar de Servicios Generales, </w:t>
      </w:r>
      <w:r w:rsidR="0042161D" w:rsidRPr="00391382">
        <w:rPr>
          <w:rFonts w:ascii="Book Antiqua" w:eastAsia="Calibri" w:hAnsi="Book Antiqua" w:cs="Arial"/>
          <w:i/>
          <w:iCs/>
          <w:color w:val="000000" w:themeColor="text1"/>
          <w:sz w:val="20"/>
          <w:szCs w:val="20"/>
          <w:lang w:val="es-ES" w:eastAsia="es-ES"/>
        </w:rPr>
        <w:t>prever</w:t>
      </w:r>
      <w:r w:rsidR="002A73A9" w:rsidRPr="00391382">
        <w:rPr>
          <w:rFonts w:ascii="Book Antiqua" w:eastAsia="Calibri" w:hAnsi="Book Antiqua" w:cs="Arial"/>
          <w:i/>
          <w:iCs/>
          <w:color w:val="000000" w:themeColor="text1"/>
          <w:sz w:val="20"/>
          <w:szCs w:val="20"/>
          <w:lang w:val="es-ES" w:eastAsia="es-ES"/>
        </w:rPr>
        <w:t xml:space="preserve"> contratos de limpieza por parte de la Administración Regional.</w:t>
      </w:r>
    </w:p>
    <w:p w14:paraId="21445EF6" w14:textId="49A21018" w:rsidR="002F786E" w:rsidRDefault="00F70BFA" w:rsidP="00F56EE2">
      <w:pPr>
        <w:spacing w:after="0" w:line="240" w:lineRule="auto"/>
        <w:jc w:val="both"/>
        <w:rPr>
          <w:rFonts w:ascii="Book Antiqua" w:eastAsia="Calibri" w:hAnsi="Book Antiqua" w:cs="Arial"/>
          <w:i/>
          <w:iCs/>
          <w:color w:val="000000" w:themeColor="text1"/>
          <w:sz w:val="20"/>
          <w:szCs w:val="20"/>
          <w:lang w:val="es-ES" w:eastAsia="es-ES"/>
        </w:rPr>
      </w:pPr>
      <w:r w:rsidRPr="00F70BFA">
        <w:rPr>
          <w:rFonts w:ascii="Book Antiqua" w:eastAsia="Calibri" w:hAnsi="Book Antiqua" w:cs="Arial"/>
          <w:b/>
          <w:bCs/>
          <w:i/>
          <w:iCs/>
          <w:color w:val="000000" w:themeColor="text1"/>
          <w:sz w:val="20"/>
          <w:szCs w:val="20"/>
          <w:lang w:val="es-ES" w:eastAsia="es-ES"/>
        </w:rPr>
        <w:t xml:space="preserve">Nota </w:t>
      </w:r>
      <w:r w:rsidR="002F786E" w:rsidRPr="00F70BFA">
        <w:rPr>
          <w:rFonts w:ascii="Book Antiqua" w:eastAsia="Calibri" w:hAnsi="Book Antiqua" w:cs="Arial"/>
          <w:b/>
          <w:bCs/>
          <w:i/>
          <w:iCs/>
          <w:color w:val="000000" w:themeColor="text1"/>
          <w:sz w:val="20"/>
          <w:szCs w:val="20"/>
          <w:lang w:val="es-ES" w:eastAsia="es-ES"/>
        </w:rPr>
        <w:t>****</w:t>
      </w:r>
      <w:r w:rsidRPr="00F70BFA">
        <w:rPr>
          <w:rFonts w:ascii="Book Antiqua" w:eastAsia="Calibri" w:hAnsi="Book Antiqua" w:cs="Arial"/>
          <w:b/>
          <w:bCs/>
          <w:i/>
          <w:iCs/>
          <w:color w:val="000000" w:themeColor="text1"/>
          <w:sz w:val="20"/>
          <w:szCs w:val="20"/>
          <w:lang w:val="es-ES" w:eastAsia="es-ES"/>
        </w:rPr>
        <w:t>:</w:t>
      </w:r>
      <w:r>
        <w:rPr>
          <w:rFonts w:ascii="Book Antiqua" w:eastAsia="Calibri" w:hAnsi="Book Antiqua" w:cs="Arial"/>
          <w:i/>
          <w:iCs/>
          <w:color w:val="000000" w:themeColor="text1"/>
          <w:sz w:val="20"/>
          <w:szCs w:val="20"/>
          <w:lang w:val="es-ES" w:eastAsia="es-ES"/>
        </w:rPr>
        <w:t xml:space="preserve"> </w:t>
      </w:r>
      <w:r w:rsidR="002F786E">
        <w:rPr>
          <w:rFonts w:ascii="Book Antiqua" w:eastAsia="Calibri" w:hAnsi="Book Antiqua" w:cs="Arial"/>
          <w:i/>
          <w:iCs/>
          <w:color w:val="000000" w:themeColor="text1"/>
          <w:sz w:val="20"/>
          <w:szCs w:val="20"/>
          <w:lang w:val="es-ES" w:eastAsia="es-ES"/>
        </w:rPr>
        <w:t>El análisis parte de que la plaza de Auxiliar de Servicios Generales compartida entre el Juzgado de Niñez y Adolescencia con el Juzgado contra la Violencia Doméstica del Primer Circuito Judicial de San José</w:t>
      </w:r>
      <w:r>
        <w:rPr>
          <w:rFonts w:ascii="Book Antiqua" w:eastAsia="Calibri" w:hAnsi="Book Antiqua" w:cs="Arial"/>
          <w:i/>
          <w:iCs/>
          <w:color w:val="000000" w:themeColor="text1"/>
          <w:sz w:val="20"/>
          <w:szCs w:val="20"/>
          <w:lang w:val="es-ES" w:eastAsia="es-ES"/>
        </w:rPr>
        <w:t>,</w:t>
      </w:r>
      <w:r w:rsidR="002F786E">
        <w:rPr>
          <w:rFonts w:ascii="Book Antiqua" w:eastAsia="Calibri" w:hAnsi="Book Antiqua" w:cs="Arial"/>
          <w:i/>
          <w:iCs/>
          <w:color w:val="000000" w:themeColor="text1"/>
          <w:sz w:val="20"/>
          <w:szCs w:val="20"/>
          <w:lang w:val="es-ES" w:eastAsia="es-ES"/>
        </w:rPr>
        <w:t xml:space="preserve"> sea adscrita a este segundo, caso contrario</w:t>
      </w:r>
      <w:r w:rsidR="00320C4C">
        <w:rPr>
          <w:rFonts w:ascii="Book Antiqua" w:eastAsia="Calibri" w:hAnsi="Book Antiqua" w:cs="Arial"/>
          <w:i/>
          <w:iCs/>
          <w:color w:val="000000" w:themeColor="text1"/>
          <w:sz w:val="20"/>
          <w:szCs w:val="20"/>
          <w:lang w:val="es-ES" w:eastAsia="es-ES"/>
        </w:rPr>
        <w:t>,</w:t>
      </w:r>
      <w:r w:rsidR="002F786E">
        <w:rPr>
          <w:rFonts w:ascii="Book Antiqua" w:eastAsia="Calibri" w:hAnsi="Book Antiqua" w:cs="Arial"/>
          <w:i/>
          <w:iCs/>
          <w:color w:val="000000" w:themeColor="text1"/>
          <w:sz w:val="20"/>
          <w:szCs w:val="20"/>
          <w:lang w:val="es-ES" w:eastAsia="es-ES"/>
        </w:rPr>
        <w:t xml:space="preserve"> sería necesario incluir una plaza adicional de Técnico</w:t>
      </w:r>
      <w:r>
        <w:rPr>
          <w:rFonts w:ascii="Book Antiqua" w:eastAsia="Calibri" w:hAnsi="Book Antiqua" w:cs="Arial"/>
          <w:i/>
          <w:iCs/>
          <w:color w:val="000000" w:themeColor="text1"/>
          <w:sz w:val="20"/>
          <w:szCs w:val="20"/>
          <w:lang w:val="es-ES" w:eastAsia="es-ES"/>
        </w:rPr>
        <w:t xml:space="preserve"> o Técnica</w:t>
      </w:r>
      <w:r w:rsidR="002F786E">
        <w:rPr>
          <w:rFonts w:ascii="Book Antiqua" w:eastAsia="Calibri" w:hAnsi="Book Antiqua" w:cs="Arial"/>
          <w:i/>
          <w:iCs/>
          <w:color w:val="000000" w:themeColor="text1"/>
          <w:sz w:val="20"/>
          <w:szCs w:val="20"/>
          <w:lang w:val="es-ES" w:eastAsia="es-ES"/>
        </w:rPr>
        <w:t xml:space="preserve"> Judicial al cuadro anterior para un total de 18.</w:t>
      </w:r>
    </w:p>
    <w:p w14:paraId="2034BB35" w14:textId="7FA555C3" w:rsidR="00386E47" w:rsidRDefault="00386E47" w:rsidP="00CE7773">
      <w:pPr>
        <w:spacing w:after="0" w:line="240" w:lineRule="auto"/>
        <w:rPr>
          <w:rFonts w:ascii="Book Antiqua" w:eastAsia="Calibri" w:hAnsi="Book Antiqua" w:cs="Arial"/>
          <w:i/>
          <w:iCs/>
          <w:color w:val="000000" w:themeColor="text1"/>
          <w:sz w:val="20"/>
          <w:szCs w:val="20"/>
          <w:lang w:val="es-ES" w:eastAsia="es-ES"/>
        </w:rPr>
      </w:pPr>
    </w:p>
    <w:p w14:paraId="04D8097D" w14:textId="77777777" w:rsidR="002354A9" w:rsidRDefault="002354A9" w:rsidP="00CE7773">
      <w:pPr>
        <w:spacing w:after="0" w:line="240" w:lineRule="auto"/>
        <w:rPr>
          <w:rFonts w:ascii="Book Antiqua" w:eastAsia="Calibri" w:hAnsi="Book Antiqua" w:cs="Arial"/>
          <w:i/>
          <w:iCs/>
          <w:color w:val="000000" w:themeColor="text1"/>
          <w:sz w:val="20"/>
          <w:szCs w:val="20"/>
          <w:lang w:val="es-ES" w:eastAsia="es-ES"/>
        </w:rPr>
      </w:pPr>
    </w:p>
    <w:p w14:paraId="1BCAD95F" w14:textId="77777777" w:rsidR="00440BE7" w:rsidRDefault="00440BE7" w:rsidP="00391382">
      <w:pPr>
        <w:spacing w:after="0" w:line="240" w:lineRule="auto"/>
        <w:rPr>
          <w:lang w:val="es-ES"/>
        </w:rPr>
        <w:sectPr w:rsidR="00440BE7" w:rsidSect="002354A9">
          <w:footerReference w:type="default" r:id="rId26"/>
          <w:pgSz w:w="15840" w:h="12240" w:orient="landscape"/>
          <w:pgMar w:top="1701" w:right="1418" w:bottom="1701" w:left="1418" w:header="709" w:footer="709" w:gutter="0"/>
          <w:cols w:space="708"/>
          <w:docGrid w:linePitch="360"/>
        </w:sectPr>
      </w:pPr>
    </w:p>
    <w:p w14:paraId="0BB6DC1D" w14:textId="165E602B" w:rsidR="000B2A5F" w:rsidRDefault="00684B68" w:rsidP="00391382">
      <w:pPr>
        <w:spacing w:after="0" w:line="276" w:lineRule="auto"/>
        <w:jc w:val="both"/>
        <w:rPr>
          <w:rFonts w:ascii="Book Antiqua" w:eastAsia="Calibri" w:hAnsi="Book Antiqua" w:cs="Arial"/>
          <w:sz w:val="24"/>
          <w:szCs w:val="24"/>
        </w:rPr>
      </w:pPr>
      <w:r w:rsidRPr="00391382">
        <w:rPr>
          <w:rFonts w:ascii="Book Antiqua" w:eastAsia="Calibri" w:hAnsi="Book Antiqua" w:cs="Arial"/>
          <w:sz w:val="24"/>
          <w:szCs w:val="24"/>
        </w:rPr>
        <w:t>El anterior análisis</w:t>
      </w:r>
      <w:r w:rsidR="00C761C7">
        <w:rPr>
          <w:rFonts w:ascii="Book Antiqua" w:eastAsia="Calibri" w:hAnsi="Book Antiqua" w:cs="Arial"/>
          <w:sz w:val="24"/>
          <w:szCs w:val="24"/>
        </w:rPr>
        <w:t xml:space="preserve"> permite estimar un promedio de ingreso diario de 5,2 diligencias por persona Juzgadora, cantidad que se estima razonable en razón de las demás diligencias que debe efectuar ese personal entre las que se destacan </w:t>
      </w:r>
      <w:r w:rsidR="000C650E">
        <w:rPr>
          <w:rFonts w:ascii="Book Antiqua" w:eastAsia="Calibri" w:hAnsi="Book Antiqua" w:cs="Arial"/>
          <w:sz w:val="24"/>
          <w:szCs w:val="24"/>
        </w:rPr>
        <w:t>audiencias y  dictado de sentencias, así como firmado de proveído</w:t>
      </w:r>
      <w:r w:rsidR="005455B0">
        <w:rPr>
          <w:rFonts w:ascii="Book Antiqua" w:eastAsia="Calibri" w:hAnsi="Book Antiqua" w:cs="Arial"/>
          <w:sz w:val="24"/>
          <w:szCs w:val="24"/>
        </w:rPr>
        <w:t xml:space="preserve">; por lo que se visualiza </w:t>
      </w:r>
      <w:r w:rsidRPr="00391382">
        <w:rPr>
          <w:rFonts w:ascii="Book Antiqua" w:eastAsia="Calibri" w:hAnsi="Book Antiqua" w:cs="Arial"/>
          <w:sz w:val="24"/>
          <w:szCs w:val="24"/>
        </w:rPr>
        <w:t xml:space="preserve">la necesidad de </w:t>
      </w:r>
      <w:r w:rsidRPr="00320C4C">
        <w:rPr>
          <w:rFonts w:ascii="Book Antiqua" w:eastAsia="Calibri" w:hAnsi="Book Antiqua" w:cs="Arial"/>
          <w:sz w:val="24"/>
          <w:szCs w:val="24"/>
        </w:rPr>
        <w:t xml:space="preserve">dos </w:t>
      </w:r>
      <w:r w:rsidR="005455B0" w:rsidRPr="00320C4C">
        <w:rPr>
          <w:rFonts w:ascii="Book Antiqua" w:eastAsia="Calibri" w:hAnsi="Book Antiqua" w:cs="Arial"/>
          <w:sz w:val="24"/>
          <w:szCs w:val="24"/>
        </w:rPr>
        <w:t xml:space="preserve">plazas de </w:t>
      </w:r>
      <w:r w:rsidRPr="00320C4C">
        <w:rPr>
          <w:rFonts w:ascii="Book Antiqua" w:eastAsia="Calibri" w:hAnsi="Book Antiqua" w:cs="Arial"/>
          <w:sz w:val="24"/>
          <w:szCs w:val="24"/>
        </w:rPr>
        <w:t xml:space="preserve">personas Juzgadoras, </w:t>
      </w:r>
      <w:r w:rsidR="005455B0" w:rsidRPr="00320C4C">
        <w:rPr>
          <w:rFonts w:ascii="Book Antiqua" w:eastAsia="Calibri" w:hAnsi="Book Antiqua" w:cs="Arial"/>
          <w:sz w:val="24"/>
          <w:szCs w:val="24"/>
        </w:rPr>
        <w:t xml:space="preserve">las cuales </w:t>
      </w:r>
      <w:r w:rsidRPr="00320C4C">
        <w:rPr>
          <w:rFonts w:ascii="Book Antiqua" w:eastAsia="Calibri" w:hAnsi="Book Antiqua" w:cs="Arial"/>
          <w:sz w:val="24"/>
          <w:szCs w:val="24"/>
        </w:rPr>
        <w:t xml:space="preserve">una </w:t>
      </w:r>
      <w:r w:rsidR="005455B0" w:rsidRPr="00320C4C">
        <w:rPr>
          <w:rFonts w:ascii="Book Antiqua" w:eastAsia="Calibri" w:hAnsi="Book Antiqua" w:cs="Arial"/>
          <w:sz w:val="24"/>
          <w:szCs w:val="24"/>
        </w:rPr>
        <w:t xml:space="preserve">deberá </w:t>
      </w:r>
      <w:r w:rsidRPr="00320C4C">
        <w:rPr>
          <w:rFonts w:ascii="Book Antiqua" w:eastAsia="Calibri" w:hAnsi="Book Antiqua" w:cs="Arial"/>
          <w:sz w:val="24"/>
          <w:szCs w:val="24"/>
        </w:rPr>
        <w:t>destaca</w:t>
      </w:r>
      <w:r w:rsidR="005455B0" w:rsidRPr="00320C4C">
        <w:rPr>
          <w:rFonts w:ascii="Book Antiqua" w:eastAsia="Calibri" w:hAnsi="Book Antiqua" w:cs="Arial"/>
          <w:sz w:val="24"/>
          <w:szCs w:val="24"/>
        </w:rPr>
        <w:t>rse</w:t>
      </w:r>
      <w:r w:rsidRPr="00320C4C">
        <w:rPr>
          <w:rFonts w:ascii="Book Antiqua" w:eastAsia="Calibri" w:hAnsi="Book Antiqua" w:cs="Arial"/>
          <w:sz w:val="24"/>
          <w:szCs w:val="24"/>
        </w:rPr>
        <w:t xml:space="preserve"> en San Carlos y otra plaza para Pococí, y en lo que respecta a </w:t>
      </w:r>
      <w:r w:rsidR="009B20FD" w:rsidRPr="00320C4C">
        <w:rPr>
          <w:rFonts w:ascii="Book Antiqua" w:eastAsia="Calibri" w:hAnsi="Book Antiqua" w:cs="Arial"/>
          <w:sz w:val="24"/>
          <w:szCs w:val="24"/>
        </w:rPr>
        <w:t xml:space="preserve">necesidad de personal Técnico Judicial, se </w:t>
      </w:r>
      <w:r w:rsidR="00120BDF" w:rsidRPr="00320C4C">
        <w:rPr>
          <w:rFonts w:ascii="Book Antiqua" w:eastAsia="Calibri" w:hAnsi="Book Antiqua" w:cs="Arial"/>
          <w:sz w:val="24"/>
          <w:szCs w:val="24"/>
        </w:rPr>
        <w:t xml:space="preserve">estima una necesidad de 17 plazas </w:t>
      </w:r>
      <w:r w:rsidR="00F70BFA" w:rsidRPr="00320C4C">
        <w:rPr>
          <w:rFonts w:ascii="Book Antiqua" w:eastAsia="Calibri" w:hAnsi="Book Antiqua" w:cs="Arial"/>
          <w:sz w:val="24"/>
          <w:szCs w:val="24"/>
        </w:rPr>
        <w:t xml:space="preserve">de </w:t>
      </w:r>
      <w:r w:rsidR="00120BDF" w:rsidRPr="00320C4C">
        <w:rPr>
          <w:rFonts w:ascii="Book Antiqua" w:eastAsia="Calibri" w:hAnsi="Book Antiqua" w:cs="Arial"/>
          <w:sz w:val="24"/>
          <w:szCs w:val="24"/>
        </w:rPr>
        <w:t>Técnic</w:t>
      </w:r>
      <w:r w:rsidR="00F70BFA" w:rsidRPr="00320C4C">
        <w:rPr>
          <w:rFonts w:ascii="Book Antiqua" w:eastAsia="Calibri" w:hAnsi="Book Antiqua" w:cs="Arial"/>
          <w:sz w:val="24"/>
          <w:szCs w:val="24"/>
        </w:rPr>
        <w:t>o</w:t>
      </w:r>
      <w:r w:rsidR="00120BDF" w:rsidRPr="00320C4C">
        <w:rPr>
          <w:rFonts w:ascii="Book Antiqua" w:eastAsia="Calibri" w:hAnsi="Book Antiqua" w:cs="Arial"/>
          <w:sz w:val="24"/>
          <w:szCs w:val="24"/>
        </w:rPr>
        <w:t xml:space="preserve">s </w:t>
      </w:r>
      <w:r w:rsidR="00F70BFA" w:rsidRPr="00320C4C">
        <w:rPr>
          <w:rFonts w:ascii="Book Antiqua" w:eastAsia="Calibri" w:hAnsi="Book Antiqua" w:cs="Arial"/>
          <w:sz w:val="24"/>
          <w:szCs w:val="24"/>
        </w:rPr>
        <w:t>y Técnicas</w:t>
      </w:r>
      <w:r w:rsidR="00F70BFA">
        <w:rPr>
          <w:rFonts w:ascii="Book Antiqua" w:eastAsia="Calibri" w:hAnsi="Book Antiqua" w:cs="Arial"/>
          <w:sz w:val="24"/>
          <w:szCs w:val="24"/>
        </w:rPr>
        <w:t xml:space="preserve"> </w:t>
      </w:r>
      <w:r w:rsidR="00120BDF">
        <w:rPr>
          <w:rFonts w:ascii="Book Antiqua" w:eastAsia="Calibri" w:hAnsi="Book Antiqua" w:cs="Arial"/>
          <w:sz w:val="24"/>
          <w:szCs w:val="24"/>
        </w:rPr>
        <w:t xml:space="preserve">Judiciales con el propósito de establecer una figura especializada en la manifestación y relaciones de trabajo con base en el Modelo de tramitación que se implementará para esta materia. </w:t>
      </w:r>
    </w:p>
    <w:p w14:paraId="33FBC500" w14:textId="77777777" w:rsidR="00292F21" w:rsidRDefault="00292F21" w:rsidP="00391382">
      <w:pPr>
        <w:spacing w:after="0" w:line="276" w:lineRule="auto"/>
        <w:jc w:val="both"/>
        <w:rPr>
          <w:lang w:val="es-ES"/>
        </w:rPr>
      </w:pPr>
    </w:p>
    <w:p w14:paraId="46945363" w14:textId="0665134F" w:rsidR="00220CA4" w:rsidRPr="00F3324E" w:rsidRDefault="00220CA4"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 xml:space="preserve">Proceso de Tramitación General </w:t>
      </w:r>
    </w:p>
    <w:p w14:paraId="2113C8C7" w14:textId="77777777" w:rsidR="006A397A" w:rsidRDefault="006A397A" w:rsidP="00220CA4">
      <w:pPr>
        <w:spacing w:after="0" w:line="276" w:lineRule="auto"/>
        <w:jc w:val="both"/>
        <w:rPr>
          <w:rFonts w:ascii="Book Antiqua" w:eastAsia="Calibri" w:hAnsi="Book Antiqua" w:cs="Arial"/>
          <w:b/>
          <w:bCs/>
          <w:i/>
          <w:iCs/>
          <w:sz w:val="24"/>
          <w:szCs w:val="24"/>
        </w:rPr>
      </w:pPr>
    </w:p>
    <w:p w14:paraId="003CF887" w14:textId="5CA67201" w:rsidR="00226EC7" w:rsidRPr="00F3324E" w:rsidRDefault="00226EC7" w:rsidP="00F3324E">
      <w:pPr>
        <w:spacing w:after="0" w:line="276" w:lineRule="auto"/>
        <w:jc w:val="both"/>
        <w:rPr>
          <w:rFonts w:ascii="Book Antiqua" w:eastAsia="Calibri" w:hAnsi="Book Antiqua" w:cs="Arial"/>
          <w:b/>
          <w:bCs/>
          <w:sz w:val="24"/>
          <w:szCs w:val="24"/>
        </w:rPr>
      </w:pPr>
      <w:r w:rsidRPr="00F3324E">
        <w:rPr>
          <w:rFonts w:ascii="Book Antiqua" w:eastAsia="Calibri" w:hAnsi="Book Antiqua" w:cs="Arial"/>
          <w:b/>
          <w:bCs/>
          <w:sz w:val="24"/>
          <w:szCs w:val="24"/>
        </w:rPr>
        <w:t xml:space="preserve">Duración de los procesos </w:t>
      </w:r>
      <w:r w:rsidR="00005309" w:rsidRPr="00F3324E">
        <w:rPr>
          <w:rFonts w:ascii="Book Antiqua" w:eastAsia="Calibri" w:hAnsi="Book Antiqua" w:cs="Arial"/>
          <w:b/>
          <w:bCs/>
          <w:sz w:val="24"/>
          <w:szCs w:val="24"/>
        </w:rPr>
        <w:t>Violencia Doméstica</w:t>
      </w:r>
    </w:p>
    <w:p w14:paraId="064C0B17" w14:textId="77777777" w:rsidR="006A397A" w:rsidRPr="00220CA4" w:rsidRDefault="006A397A" w:rsidP="00220CA4">
      <w:pPr>
        <w:spacing w:after="0" w:line="276" w:lineRule="auto"/>
        <w:jc w:val="both"/>
        <w:rPr>
          <w:rFonts w:ascii="Book Antiqua" w:eastAsia="Calibri" w:hAnsi="Book Antiqua" w:cs="Arial"/>
          <w:b/>
          <w:bCs/>
          <w:i/>
          <w:iCs/>
          <w:sz w:val="24"/>
          <w:szCs w:val="24"/>
        </w:rPr>
      </w:pPr>
    </w:p>
    <w:p w14:paraId="5882DF2A" w14:textId="2E91F77E" w:rsidR="00226EC7" w:rsidRPr="00320C4C" w:rsidRDefault="00CC6976" w:rsidP="00220CA4">
      <w:pPr>
        <w:spacing w:after="0" w:line="276" w:lineRule="auto"/>
        <w:jc w:val="both"/>
        <w:rPr>
          <w:rFonts w:ascii="Book Antiqua" w:eastAsia="Calibri" w:hAnsi="Book Antiqua" w:cs="Arial"/>
          <w:sz w:val="24"/>
          <w:szCs w:val="24"/>
        </w:rPr>
      </w:pPr>
      <w:r w:rsidRPr="00CC6976">
        <w:rPr>
          <w:rFonts w:ascii="Book Antiqua" w:eastAsia="Calibri" w:hAnsi="Book Antiqua" w:cs="Arial"/>
          <w:sz w:val="24"/>
          <w:szCs w:val="24"/>
        </w:rPr>
        <w:t>La duración de los procesos de Violencia Doméstica, c</w:t>
      </w:r>
      <w:r w:rsidR="00FE5950" w:rsidRPr="00CC6976">
        <w:rPr>
          <w:rFonts w:ascii="Book Antiqua" w:eastAsia="Calibri" w:hAnsi="Book Antiqua" w:cs="Arial"/>
          <w:sz w:val="24"/>
          <w:szCs w:val="24"/>
        </w:rPr>
        <w:t>onsta en el inf</w:t>
      </w:r>
      <w:r w:rsidR="00320C4C" w:rsidRPr="00CC6976">
        <w:rPr>
          <w:rFonts w:ascii="Book Antiqua" w:eastAsia="Calibri" w:hAnsi="Book Antiqua" w:cs="Arial"/>
          <w:sz w:val="24"/>
          <w:szCs w:val="24"/>
        </w:rPr>
        <w:t>o</w:t>
      </w:r>
      <w:r w:rsidR="00FE5950" w:rsidRPr="00CC6976">
        <w:rPr>
          <w:rFonts w:ascii="Book Antiqua" w:eastAsia="Calibri" w:hAnsi="Book Antiqua" w:cs="Arial"/>
          <w:sz w:val="24"/>
          <w:szCs w:val="24"/>
        </w:rPr>
        <w:t xml:space="preserve">rme </w:t>
      </w:r>
      <w:r w:rsidRPr="00CC6976">
        <w:rPr>
          <w:rFonts w:ascii="Book Antiqua" w:eastAsia="Calibri" w:hAnsi="Book Antiqua" w:cs="Arial"/>
          <w:sz w:val="24"/>
          <w:szCs w:val="24"/>
        </w:rPr>
        <w:t xml:space="preserve">de </w:t>
      </w:r>
      <w:r w:rsidR="00FE5950" w:rsidRPr="00CC6976">
        <w:rPr>
          <w:rFonts w:ascii="Book Antiqua" w:eastAsia="Calibri" w:hAnsi="Book Antiqua" w:cs="Arial"/>
          <w:sz w:val="24"/>
          <w:szCs w:val="24"/>
        </w:rPr>
        <w:t>M</w:t>
      </w:r>
      <w:r w:rsidR="00320C4C" w:rsidRPr="00CC6976">
        <w:rPr>
          <w:rFonts w:ascii="Book Antiqua" w:eastAsia="Calibri" w:hAnsi="Book Antiqua" w:cs="Arial"/>
          <w:sz w:val="24"/>
          <w:szCs w:val="24"/>
        </w:rPr>
        <w:t>o</w:t>
      </w:r>
      <w:r w:rsidR="00FE5950" w:rsidRPr="00CC6976">
        <w:rPr>
          <w:rFonts w:ascii="Book Antiqua" w:eastAsia="Calibri" w:hAnsi="Book Antiqua" w:cs="Arial"/>
          <w:sz w:val="24"/>
          <w:szCs w:val="24"/>
        </w:rPr>
        <w:t>d</w:t>
      </w:r>
      <w:r w:rsidR="00320C4C" w:rsidRPr="00CC6976">
        <w:rPr>
          <w:rFonts w:ascii="Book Antiqua" w:eastAsia="Calibri" w:hAnsi="Book Antiqua" w:cs="Arial"/>
          <w:sz w:val="24"/>
          <w:szCs w:val="24"/>
        </w:rPr>
        <w:t>e</w:t>
      </w:r>
      <w:r w:rsidR="00FE5950" w:rsidRPr="00CC6976">
        <w:rPr>
          <w:rFonts w:ascii="Book Antiqua" w:eastAsia="Calibri" w:hAnsi="Book Antiqua" w:cs="Arial"/>
          <w:sz w:val="24"/>
          <w:szCs w:val="24"/>
        </w:rPr>
        <w:t>lo</w:t>
      </w:r>
      <w:r w:rsidRPr="00CC6976">
        <w:rPr>
          <w:rFonts w:ascii="Book Antiqua" w:eastAsia="Calibri" w:hAnsi="Book Antiqua" w:cs="Arial"/>
          <w:sz w:val="24"/>
          <w:szCs w:val="24"/>
        </w:rPr>
        <w:t xml:space="preserve"> de Tramitación de los Juzgados de Violencia Doméstica</w:t>
      </w:r>
      <w:r w:rsidR="00320C4C" w:rsidRPr="00CC6976">
        <w:rPr>
          <w:rFonts w:ascii="Book Antiqua" w:eastAsia="Calibri" w:hAnsi="Book Antiqua" w:cs="Arial"/>
          <w:sz w:val="24"/>
          <w:szCs w:val="24"/>
        </w:rPr>
        <w:t xml:space="preserve"> 1170-PLA-MI(NPL)-2022</w:t>
      </w:r>
      <w:r w:rsidR="00C61013">
        <w:rPr>
          <w:rFonts w:ascii="Book Antiqua" w:eastAsia="Calibri" w:hAnsi="Book Antiqua" w:cs="Arial"/>
          <w:sz w:val="24"/>
          <w:szCs w:val="24"/>
        </w:rPr>
        <w:t xml:space="preserve">, aprobado por el Consejo Superior en la sesión </w:t>
      </w:r>
      <w:r w:rsidR="00160BEA">
        <w:rPr>
          <w:rFonts w:ascii="Book Antiqua" w:eastAsia="Calibri" w:hAnsi="Book Antiqua" w:cs="Arial"/>
          <w:sz w:val="24"/>
          <w:szCs w:val="24"/>
        </w:rPr>
        <w:t>15-2023 celebrada el 23 de febrero de 2023, artículo XXX</w:t>
      </w:r>
      <w:r w:rsidRPr="00CC6976">
        <w:rPr>
          <w:rFonts w:ascii="Book Antiqua" w:eastAsia="Calibri" w:hAnsi="Book Antiqua" w:cs="Arial"/>
          <w:sz w:val="24"/>
          <w:szCs w:val="24"/>
        </w:rPr>
        <w:t>.</w:t>
      </w:r>
      <w:r w:rsidR="00320C4C">
        <w:rPr>
          <w:rFonts w:ascii="Book Antiqua" w:eastAsia="Calibri" w:hAnsi="Book Antiqua" w:cs="Arial"/>
          <w:sz w:val="24"/>
          <w:szCs w:val="24"/>
        </w:rPr>
        <w:t xml:space="preserve"> </w:t>
      </w:r>
    </w:p>
    <w:p w14:paraId="28A332F5" w14:textId="77777777" w:rsidR="00FE5950" w:rsidRDefault="00FE5950" w:rsidP="00220CA4">
      <w:pPr>
        <w:spacing w:after="0" w:line="276" w:lineRule="auto"/>
        <w:jc w:val="both"/>
        <w:rPr>
          <w:rFonts w:ascii="Book Antiqua" w:eastAsia="Calibri" w:hAnsi="Book Antiqua" w:cs="Arial"/>
          <w:b/>
          <w:bCs/>
          <w:i/>
          <w:iCs/>
          <w:sz w:val="24"/>
          <w:szCs w:val="24"/>
        </w:rPr>
      </w:pPr>
    </w:p>
    <w:p w14:paraId="2FB828D9" w14:textId="4ECB9AC4" w:rsidR="00226EC7" w:rsidRPr="00F3324E" w:rsidRDefault="00226EC7" w:rsidP="00F3324E">
      <w:pPr>
        <w:spacing w:after="0" w:line="276" w:lineRule="auto"/>
        <w:jc w:val="both"/>
        <w:rPr>
          <w:rFonts w:ascii="Book Antiqua" w:eastAsia="Calibri" w:hAnsi="Book Antiqua" w:cs="Arial"/>
          <w:b/>
          <w:bCs/>
          <w:sz w:val="24"/>
          <w:szCs w:val="24"/>
        </w:rPr>
      </w:pPr>
      <w:r w:rsidRPr="00F3324E">
        <w:rPr>
          <w:rFonts w:ascii="Book Antiqua" w:eastAsia="Calibri" w:hAnsi="Book Antiqua" w:cs="Arial"/>
          <w:b/>
          <w:bCs/>
          <w:sz w:val="24"/>
          <w:szCs w:val="24"/>
        </w:rPr>
        <w:t xml:space="preserve">Reparto de los procesos </w:t>
      </w:r>
      <w:r w:rsidR="00005309" w:rsidRPr="00F3324E">
        <w:rPr>
          <w:rFonts w:ascii="Book Antiqua" w:eastAsia="Calibri" w:hAnsi="Book Antiqua" w:cs="Arial"/>
          <w:b/>
          <w:bCs/>
          <w:sz w:val="24"/>
          <w:szCs w:val="24"/>
        </w:rPr>
        <w:t>Violencia Doméstica</w:t>
      </w:r>
    </w:p>
    <w:p w14:paraId="153168BE" w14:textId="77777777" w:rsidR="006A397A" w:rsidRPr="00220CA4" w:rsidRDefault="006A397A" w:rsidP="00220CA4">
      <w:pPr>
        <w:spacing w:after="0" w:line="276" w:lineRule="auto"/>
        <w:jc w:val="both"/>
        <w:rPr>
          <w:rFonts w:ascii="Book Antiqua" w:eastAsia="Calibri" w:hAnsi="Book Antiqua" w:cs="Arial"/>
          <w:b/>
          <w:bCs/>
          <w:i/>
          <w:iCs/>
          <w:sz w:val="24"/>
          <w:szCs w:val="24"/>
        </w:rPr>
      </w:pPr>
    </w:p>
    <w:p w14:paraId="5E0BEB45" w14:textId="07FEBD90" w:rsidR="00220CA4" w:rsidRP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Para esta materia</w:t>
      </w:r>
      <w:r w:rsidRPr="006E41C2">
        <w:rPr>
          <w:rFonts w:ascii="Book Antiqua" w:eastAsia="Calibri" w:hAnsi="Book Antiqua" w:cs="Arial"/>
          <w:sz w:val="24"/>
          <w:szCs w:val="24"/>
        </w:rPr>
        <w:t xml:space="preserve">, se </w:t>
      </w:r>
      <w:r w:rsidR="00AA411E">
        <w:rPr>
          <w:rFonts w:ascii="Book Antiqua" w:eastAsia="Calibri" w:hAnsi="Book Antiqua" w:cs="Arial"/>
          <w:sz w:val="24"/>
          <w:szCs w:val="24"/>
        </w:rPr>
        <w:t xml:space="preserve">realizó </w:t>
      </w:r>
      <w:r w:rsidRPr="006E41C2">
        <w:rPr>
          <w:rFonts w:ascii="Book Antiqua" w:eastAsia="Calibri" w:hAnsi="Book Antiqua" w:cs="Arial"/>
          <w:sz w:val="24"/>
          <w:szCs w:val="24"/>
        </w:rPr>
        <w:t xml:space="preserve">la configuración del reparto automático por </w:t>
      </w:r>
      <w:r w:rsidRPr="006E41C2">
        <w:rPr>
          <w:rFonts w:ascii="Book Antiqua" w:eastAsia="Calibri" w:hAnsi="Book Antiqua" w:cs="Arial"/>
          <w:b/>
          <w:bCs/>
          <w:i/>
          <w:iCs/>
          <w:sz w:val="24"/>
          <w:szCs w:val="24"/>
        </w:rPr>
        <w:t xml:space="preserve">“clase de asunto” </w:t>
      </w:r>
      <w:r w:rsidRPr="006E41C2">
        <w:rPr>
          <w:rFonts w:ascii="Book Antiqua" w:eastAsia="Calibri" w:hAnsi="Book Antiqua" w:cs="Arial"/>
          <w:sz w:val="24"/>
          <w:szCs w:val="24"/>
        </w:rPr>
        <w:t>que es</w:t>
      </w:r>
      <w:r w:rsidRPr="00220CA4">
        <w:rPr>
          <w:rFonts w:ascii="Book Antiqua" w:eastAsia="Calibri" w:hAnsi="Book Antiqua" w:cs="Arial"/>
          <w:sz w:val="24"/>
          <w:szCs w:val="24"/>
        </w:rPr>
        <w:t xml:space="preserve"> el tipo de reparto existente actualmente, y además considerando que en Violencia Doméstica por el momento solo existe un tipo de procedimiento.  </w:t>
      </w:r>
    </w:p>
    <w:p w14:paraId="60AFB9BF" w14:textId="53AE2C81" w:rsidR="00220CA4" w:rsidRDefault="00220CA4" w:rsidP="00220CA4">
      <w:pPr>
        <w:spacing w:after="0" w:line="276" w:lineRule="auto"/>
        <w:jc w:val="both"/>
        <w:rPr>
          <w:rFonts w:ascii="Book Antiqua" w:eastAsia="Calibri" w:hAnsi="Book Antiqua" w:cs="Arial"/>
          <w:sz w:val="24"/>
          <w:szCs w:val="24"/>
        </w:rPr>
      </w:pPr>
      <w:r w:rsidRPr="00FE5950">
        <w:rPr>
          <w:rFonts w:ascii="Book Antiqua" w:eastAsia="Calibri" w:hAnsi="Book Antiqua" w:cs="Arial"/>
          <w:sz w:val="24"/>
          <w:szCs w:val="24"/>
        </w:rPr>
        <w:t>Sin embargo, a partir de 202</w:t>
      </w:r>
      <w:r w:rsidR="00FE5950" w:rsidRPr="00FE5950">
        <w:rPr>
          <w:rFonts w:ascii="Book Antiqua" w:eastAsia="Calibri" w:hAnsi="Book Antiqua" w:cs="Arial"/>
          <w:sz w:val="24"/>
          <w:szCs w:val="24"/>
        </w:rPr>
        <w:t>4</w:t>
      </w:r>
      <w:r w:rsidRPr="00FE5950">
        <w:rPr>
          <w:rFonts w:ascii="Book Antiqua" w:eastAsia="Calibri" w:hAnsi="Book Antiqua" w:cs="Arial"/>
          <w:sz w:val="24"/>
          <w:szCs w:val="24"/>
        </w:rPr>
        <w:t xml:space="preserve"> con la entrada en vigencia del nuevo Código Procesal de Familia y al ampliarse la cantidad de procedimientos por la inclusión de los asuntos de protección cautelar, se coordinará con la Dirección de Tecnología de la Información para la aplicación del reparto por “</w:t>
      </w:r>
      <w:r w:rsidRPr="00FE5950">
        <w:rPr>
          <w:rFonts w:ascii="Book Antiqua" w:eastAsia="Calibri" w:hAnsi="Book Antiqua" w:cs="Arial"/>
          <w:b/>
          <w:bCs/>
          <w:i/>
          <w:iCs/>
          <w:sz w:val="24"/>
          <w:szCs w:val="24"/>
        </w:rPr>
        <w:t>procedimiento</w:t>
      </w:r>
      <w:r w:rsidRPr="00FE5950">
        <w:rPr>
          <w:rFonts w:ascii="Book Antiqua" w:eastAsia="Calibri" w:hAnsi="Book Antiqua" w:cs="Arial"/>
          <w:sz w:val="24"/>
          <w:szCs w:val="24"/>
        </w:rPr>
        <w:t>”.</w:t>
      </w:r>
      <w:r w:rsidRPr="00220CA4">
        <w:rPr>
          <w:rFonts w:ascii="Book Antiqua" w:eastAsia="Calibri" w:hAnsi="Book Antiqua" w:cs="Arial"/>
          <w:sz w:val="24"/>
          <w:szCs w:val="24"/>
        </w:rPr>
        <w:t xml:space="preserve">  </w:t>
      </w:r>
    </w:p>
    <w:p w14:paraId="07BD979D" w14:textId="77777777" w:rsidR="00FE5950" w:rsidRDefault="00FE5950" w:rsidP="00220CA4">
      <w:pPr>
        <w:spacing w:after="0" w:line="276" w:lineRule="auto"/>
        <w:jc w:val="both"/>
        <w:rPr>
          <w:rFonts w:ascii="Book Antiqua" w:eastAsia="Calibri" w:hAnsi="Book Antiqua" w:cs="Arial"/>
          <w:sz w:val="24"/>
          <w:szCs w:val="24"/>
        </w:rPr>
      </w:pPr>
    </w:p>
    <w:p w14:paraId="1F86C03D" w14:textId="0F6E0E9F" w:rsidR="00D72349" w:rsidRDefault="00D72349" w:rsidP="00220CA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utilización del reparto automático es de carácter obligatorio según circular 168-2021.</w:t>
      </w:r>
    </w:p>
    <w:p w14:paraId="605052C5" w14:textId="77777777" w:rsidR="00BA47BD" w:rsidRDefault="00BA47BD" w:rsidP="00220CA4">
      <w:pPr>
        <w:spacing w:after="0" w:line="276" w:lineRule="auto"/>
        <w:jc w:val="both"/>
        <w:rPr>
          <w:rFonts w:ascii="Book Antiqua" w:eastAsia="Calibri" w:hAnsi="Book Antiqua" w:cs="Arial"/>
          <w:sz w:val="24"/>
          <w:szCs w:val="24"/>
        </w:rPr>
      </w:pPr>
    </w:p>
    <w:p w14:paraId="0C33A02A" w14:textId="77777777" w:rsidR="00FE5950" w:rsidRDefault="00FE5950" w:rsidP="00220CA4">
      <w:pPr>
        <w:spacing w:after="0" w:line="276" w:lineRule="auto"/>
        <w:jc w:val="both"/>
        <w:rPr>
          <w:rFonts w:ascii="Book Antiqua" w:eastAsia="Calibri" w:hAnsi="Book Antiqua" w:cs="Arial"/>
          <w:sz w:val="24"/>
          <w:szCs w:val="24"/>
        </w:rPr>
      </w:pPr>
    </w:p>
    <w:p w14:paraId="4A41EF1C" w14:textId="27A05953" w:rsidR="006A551F" w:rsidRPr="00F3324E" w:rsidRDefault="006A551F"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 xml:space="preserve">Estructura Organizacional y Funciones </w:t>
      </w:r>
    </w:p>
    <w:p w14:paraId="17E1FE52" w14:textId="77777777" w:rsidR="00F3324E" w:rsidRDefault="00F3324E" w:rsidP="006A551F">
      <w:pPr>
        <w:spacing w:after="0" w:line="276" w:lineRule="auto"/>
        <w:jc w:val="both"/>
        <w:rPr>
          <w:rFonts w:ascii="Book Antiqua" w:eastAsia="Calibri" w:hAnsi="Book Antiqua" w:cs="Arial"/>
          <w:sz w:val="24"/>
          <w:szCs w:val="24"/>
        </w:rPr>
      </w:pPr>
    </w:p>
    <w:p w14:paraId="24BB9B6C" w14:textId="4D8F9207" w:rsidR="006A551F" w:rsidRPr="006A551F" w:rsidRDefault="006A551F" w:rsidP="006A551F">
      <w:pPr>
        <w:spacing w:after="0" w:line="276" w:lineRule="auto"/>
        <w:jc w:val="both"/>
        <w:rPr>
          <w:rFonts w:ascii="Book Antiqua" w:eastAsia="Calibri" w:hAnsi="Book Antiqua" w:cs="Arial"/>
          <w:sz w:val="24"/>
          <w:szCs w:val="24"/>
        </w:rPr>
      </w:pPr>
      <w:r w:rsidRPr="006A551F">
        <w:rPr>
          <w:rFonts w:ascii="Book Antiqua" w:eastAsia="Calibri" w:hAnsi="Book Antiqua" w:cs="Arial"/>
          <w:sz w:val="24"/>
          <w:szCs w:val="24"/>
        </w:rPr>
        <w:t>Los despachos especializados en la materia de Violencia Doméstica cuentan con una estructura funcional similar, con al menos dos técnicas o técnicos judiciales por cada Jueza o Juez en los despachos, y una persona Coordinadora Judicial, como se muestra en la tabla siguiente.</w:t>
      </w:r>
    </w:p>
    <w:p w14:paraId="52708E47" w14:textId="06CAA5F0" w:rsidR="00220CA4" w:rsidRDefault="00220CA4" w:rsidP="00A65874">
      <w:pPr>
        <w:rPr>
          <w:lang w:val="es-ES"/>
        </w:rPr>
      </w:pPr>
    </w:p>
    <w:p w14:paraId="157CDBEE" w14:textId="2156F79D" w:rsidR="006A551F" w:rsidRPr="006A551F" w:rsidRDefault="006A551F" w:rsidP="006A55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 xml:space="preserve">Cuadro </w:t>
      </w:r>
      <w:r w:rsidRPr="006A551F">
        <w:rPr>
          <w:rFonts w:ascii="Book Antiqua" w:eastAsia="Calibri" w:hAnsi="Book Antiqua" w:cs="Arial"/>
          <w:b/>
          <w:bCs/>
          <w:color w:val="1F497D"/>
          <w:szCs w:val="24"/>
          <w:lang w:val="es-ES" w:eastAsia="es-ES"/>
        </w:rPr>
        <w:fldChar w:fldCharType="begin"/>
      </w:r>
      <w:r w:rsidRPr="006A551F">
        <w:rPr>
          <w:rFonts w:ascii="Book Antiqua" w:eastAsia="Calibri" w:hAnsi="Book Antiqua" w:cs="Arial"/>
          <w:b/>
          <w:bCs/>
          <w:color w:val="1F497D"/>
          <w:szCs w:val="24"/>
          <w:lang w:val="es-ES" w:eastAsia="es-ES"/>
        </w:rPr>
        <w:instrText xml:space="preserve"> SEQ Cuadro \* ARABIC </w:instrText>
      </w:r>
      <w:r w:rsidRPr="006A551F">
        <w:rPr>
          <w:rFonts w:ascii="Book Antiqua" w:eastAsia="Calibri" w:hAnsi="Book Antiqua" w:cs="Arial"/>
          <w:b/>
          <w:bCs/>
          <w:color w:val="1F497D"/>
          <w:szCs w:val="24"/>
          <w:lang w:val="es-ES" w:eastAsia="es-ES"/>
        </w:rPr>
        <w:fldChar w:fldCharType="separate"/>
      </w:r>
      <w:r w:rsidR="00F70BFA">
        <w:rPr>
          <w:rFonts w:ascii="Book Antiqua" w:eastAsia="Calibri" w:hAnsi="Book Antiqua" w:cs="Arial"/>
          <w:b/>
          <w:bCs/>
          <w:noProof/>
          <w:color w:val="1F497D"/>
          <w:szCs w:val="24"/>
          <w:lang w:val="es-ES" w:eastAsia="es-ES"/>
        </w:rPr>
        <w:t>63</w:t>
      </w:r>
      <w:r w:rsidRPr="006A551F">
        <w:rPr>
          <w:rFonts w:ascii="Book Antiqua" w:eastAsia="Calibri" w:hAnsi="Book Antiqua" w:cs="Arial"/>
          <w:b/>
          <w:bCs/>
          <w:color w:val="1F497D"/>
          <w:szCs w:val="24"/>
          <w:lang w:val="es-ES" w:eastAsia="es-ES"/>
        </w:rPr>
        <w:fldChar w:fldCharType="end"/>
      </w:r>
      <w:r w:rsidRPr="006A551F">
        <w:rPr>
          <w:rFonts w:ascii="Book Antiqua" w:eastAsia="Calibri" w:hAnsi="Book Antiqua" w:cs="Arial"/>
          <w:b/>
          <w:bCs/>
          <w:color w:val="1F497D"/>
          <w:szCs w:val="24"/>
          <w:lang w:val="es-ES" w:eastAsia="es-ES"/>
        </w:rPr>
        <w:t xml:space="preserve"> </w:t>
      </w:r>
    </w:p>
    <w:p w14:paraId="720E086F" w14:textId="77777777" w:rsidR="006A551F" w:rsidRPr="006A551F" w:rsidRDefault="006A551F" w:rsidP="006A55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Cantidad de personas en los juzgados especializados de Violencia Doméstica</w:t>
      </w:r>
    </w:p>
    <w:tbl>
      <w:tblPr>
        <w:tblW w:w="5135" w:type="pct"/>
        <w:tblLayout w:type="fixed"/>
        <w:tblCellMar>
          <w:left w:w="70" w:type="dxa"/>
          <w:right w:w="70" w:type="dxa"/>
        </w:tblCellMar>
        <w:tblLook w:val="04A0" w:firstRow="1" w:lastRow="0" w:firstColumn="1" w:lastColumn="0" w:noHBand="0" w:noVBand="1"/>
      </w:tblPr>
      <w:tblGrid>
        <w:gridCol w:w="4812"/>
        <w:gridCol w:w="285"/>
        <w:gridCol w:w="568"/>
        <w:gridCol w:w="1418"/>
        <w:gridCol w:w="54"/>
        <w:gridCol w:w="939"/>
        <w:gridCol w:w="990"/>
      </w:tblGrid>
      <w:tr w:rsidR="008A244F" w:rsidRPr="006A551F" w14:paraId="57B94429" w14:textId="77777777" w:rsidTr="008A244F">
        <w:trPr>
          <w:trHeight w:val="20"/>
          <w:tblHeader/>
        </w:trPr>
        <w:tc>
          <w:tcPr>
            <w:tcW w:w="265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A714276" w14:textId="77777777" w:rsidR="006A551F" w:rsidRPr="008A244F"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8A244F">
              <w:rPr>
                <w:rFonts w:ascii="Book Antiqua" w:eastAsia="Times New Roman" w:hAnsi="Book Antiqua" w:cs="Times New Roman"/>
                <w:b/>
                <w:bCs/>
                <w:color w:val="FFFFFF"/>
                <w:sz w:val="18"/>
                <w:szCs w:val="18"/>
                <w:lang w:val="es-ES" w:eastAsia="es-ES"/>
              </w:rPr>
              <w:t>Despacho</w:t>
            </w:r>
          </w:p>
        </w:tc>
        <w:tc>
          <w:tcPr>
            <w:tcW w:w="469" w:type="pct"/>
            <w:gridSpan w:val="2"/>
            <w:tcBorders>
              <w:top w:val="single" w:sz="4" w:space="0" w:color="auto"/>
              <w:left w:val="nil"/>
              <w:bottom w:val="single" w:sz="4" w:space="0" w:color="auto"/>
              <w:right w:val="single" w:sz="4" w:space="0" w:color="auto"/>
            </w:tcBorders>
            <w:shd w:val="clear" w:color="000000" w:fill="002060"/>
            <w:vAlign w:val="center"/>
            <w:hideMark/>
          </w:tcPr>
          <w:p w14:paraId="260F6F27" w14:textId="77777777" w:rsidR="006A551F" w:rsidRPr="008A244F"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8A244F">
              <w:rPr>
                <w:rFonts w:ascii="Book Antiqua" w:eastAsia="Times New Roman" w:hAnsi="Book Antiqua" w:cs="Times New Roman"/>
                <w:b/>
                <w:bCs/>
                <w:color w:val="FFFFFF"/>
                <w:sz w:val="18"/>
                <w:szCs w:val="18"/>
                <w:lang w:val="es-ES" w:eastAsia="es-ES"/>
              </w:rPr>
              <w:t>Jueza o Juez</w:t>
            </w:r>
          </w:p>
        </w:tc>
        <w:tc>
          <w:tcPr>
            <w:tcW w:w="782" w:type="pct"/>
            <w:tcBorders>
              <w:top w:val="single" w:sz="4" w:space="0" w:color="auto"/>
              <w:left w:val="nil"/>
              <w:bottom w:val="single" w:sz="4" w:space="0" w:color="auto"/>
              <w:right w:val="single" w:sz="4" w:space="0" w:color="auto"/>
            </w:tcBorders>
            <w:shd w:val="clear" w:color="000000" w:fill="002060"/>
            <w:vAlign w:val="center"/>
            <w:hideMark/>
          </w:tcPr>
          <w:p w14:paraId="3927ED2E" w14:textId="77777777" w:rsidR="006A551F" w:rsidRPr="008A244F"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8A244F">
              <w:rPr>
                <w:rFonts w:ascii="Book Antiqua" w:eastAsia="Times New Roman" w:hAnsi="Book Antiqua" w:cs="Times New Roman"/>
                <w:b/>
                <w:bCs/>
                <w:color w:val="FFFFFF"/>
                <w:sz w:val="18"/>
                <w:szCs w:val="18"/>
                <w:lang w:val="es-ES" w:eastAsia="es-ES"/>
              </w:rPr>
              <w:t>Coordinadoras o Coordinadores judiciales</w:t>
            </w:r>
          </w:p>
        </w:tc>
        <w:tc>
          <w:tcPr>
            <w:tcW w:w="548" w:type="pct"/>
            <w:gridSpan w:val="2"/>
            <w:tcBorders>
              <w:top w:val="single" w:sz="4" w:space="0" w:color="auto"/>
              <w:left w:val="nil"/>
              <w:bottom w:val="single" w:sz="4" w:space="0" w:color="auto"/>
              <w:right w:val="single" w:sz="4" w:space="0" w:color="auto"/>
            </w:tcBorders>
            <w:shd w:val="clear" w:color="000000" w:fill="002060"/>
            <w:vAlign w:val="center"/>
            <w:hideMark/>
          </w:tcPr>
          <w:p w14:paraId="4BC2D886" w14:textId="77777777" w:rsidR="006A551F" w:rsidRPr="008A244F"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8A244F">
              <w:rPr>
                <w:rFonts w:ascii="Book Antiqua" w:eastAsia="Times New Roman" w:hAnsi="Book Antiqua" w:cs="Times New Roman"/>
                <w:b/>
                <w:bCs/>
                <w:color w:val="FFFFFF"/>
                <w:sz w:val="18"/>
                <w:szCs w:val="18"/>
                <w:lang w:val="es-ES" w:eastAsia="es-ES"/>
              </w:rPr>
              <w:t>Técnicas o Técnicos Judiciales totales</w:t>
            </w:r>
          </w:p>
        </w:tc>
        <w:tc>
          <w:tcPr>
            <w:tcW w:w="547" w:type="pct"/>
            <w:tcBorders>
              <w:top w:val="single" w:sz="4" w:space="0" w:color="auto"/>
              <w:left w:val="nil"/>
              <w:bottom w:val="single" w:sz="4" w:space="0" w:color="auto"/>
              <w:right w:val="single" w:sz="4" w:space="0" w:color="auto"/>
            </w:tcBorders>
            <w:shd w:val="clear" w:color="000000" w:fill="002060"/>
            <w:vAlign w:val="center"/>
            <w:hideMark/>
          </w:tcPr>
          <w:p w14:paraId="0CF96C37" w14:textId="77777777" w:rsidR="006A551F" w:rsidRPr="008A244F"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8A244F">
              <w:rPr>
                <w:rFonts w:ascii="Book Antiqua" w:eastAsia="Times New Roman" w:hAnsi="Book Antiqua" w:cs="Times New Roman"/>
                <w:b/>
                <w:bCs/>
                <w:color w:val="FFFFFF"/>
                <w:sz w:val="18"/>
                <w:szCs w:val="18"/>
                <w:lang w:val="es-ES" w:eastAsia="es-ES"/>
              </w:rPr>
              <w:t>Auxiliar de Servicios Generales</w:t>
            </w:r>
          </w:p>
        </w:tc>
      </w:tr>
      <w:tr w:rsidR="006A551F" w:rsidRPr="006A551F" w14:paraId="392FF78C"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7978ABFD" w14:textId="692FC7B1" w:rsidR="006A551F" w:rsidRPr="008A244F" w:rsidRDefault="006A551F" w:rsidP="001D0C10">
            <w:pPr>
              <w:spacing w:after="0" w:line="276" w:lineRule="auto"/>
              <w:jc w:val="both"/>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 xml:space="preserve">Juzgado de Violencia Doméstica del I Circ. Jud. </w:t>
            </w:r>
            <w:r w:rsidR="00E85731" w:rsidRPr="008A244F">
              <w:rPr>
                <w:rFonts w:ascii="Book Antiqua" w:eastAsia="Times New Roman" w:hAnsi="Book Antiqua" w:cs="Times New Roman"/>
                <w:color w:val="000000"/>
                <w:sz w:val="18"/>
                <w:szCs w:val="18"/>
                <w:lang w:val="es-ES" w:eastAsia="es-ES"/>
              </w:rPr>
              <w:t>D</w:t>
            </w:r>
            <w:r w:rsidRPr="008A244F">
              <w:rPr>
                <w:rFonts w:ascii="Book Antiqua" w:eastAsia="Times New Roman" w:hAnsi="Book Antiqua" w:cs="Times New Roman"/>
                <w:color w:val="000000"/>
                <w:sz w:val="18"/>
                <w:szCs w:val="18"/>
                <w:lang w:val="es-ES" w:eastAsia="es-ES"/>
              </w:rPr>
              <w:t>e la Zona Atlántica (Limón)</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256AF39C"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812" w:type="pct"/>
            <w:gridSpan w:val="2"/>
            <w:tcBorders>
              <w:top w:val="nil"/>
              <w:left w:val="nil"/>
              <w:bottom w:val="single" w:sz="4" w:space="0" w:color="auto"/>
              <w:right w:val="single" w:sz="4" w:space="0" w:color="auto"/>
            </w:tcBorders>
            <w:shd w:val="clear" w:color="auto" w:fill="auto"/>
            <w:vAlign w:val="center"/>
            <w:hideMark/>
          </w:tcPr>
          <w:p w14:paraId="13107454"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794B6705"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3</w:t>
            </w:r>
          </w:p>
        </w:tc>
        <w:tc>
          <w:tcPr>
            <w:tcW w:w="547" w:type="pct"/>
            <w:tcBorders>
              <w:top w:val="nil"/>
              <w:left w:val="nil"/>
              <w:bottom w:val="single" w:sz="4" w:space="0" w:color="auto"/>
              <w:right w:val="single" w:sz="4" w:space="0" w:color="auto"/>
            </w:tcBorders>
            <w:shd w:val="clear" w:color="auto" w:fill="auto"/>
            <w:vAlign w:val="center"/>
            <w:hideMark/>
          </w:tcPr>
          <w:p w14:paraId="5CBC26F9"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0</w:t>
            </w:r>
          </w:p>
        </w:tc>
      </w:tr>
      <w:tr w:rsidR="008A244F" w:rsidRPr="006A551F" w14:paraId="152A56AE" w14:textId="77777777" w:rsidTr="008A244F">
        <w:trPr>
          <w:trHeight w:val="20"/>
        </w:trPr>
        <w:tc>
          <w:tcPr>
            <w:tcW w:w="2654" w:type="pct"/>
            <w:tcBorders>
              <w:top w:val="nil"/>
              <w:left w:val="single" w:sz="4" w:space="0" w:color="auto"/>
              <w:bottom w:val="single" w:sz="4" w:space="0" w:color="auto"/>
              <w:right w:val="single" w:sz="4" w:space="0" w:color="auto"/>
            </w:tcBorders>
            <w:shd w:val="clear" w:color="000000" w:fill="FFFFFF"/>
            <w:noWrap/>
            <w:vAlign w:val="center"/>
            <w:hideMark/>
          </w:tcPr>
          <w:p w14:paraId="00388E94" w14:textId="77777777" w:rsidR="006A551F" w:rsidRPr="008A244F" w:rsidRDefault="006A551F" w:rsidP="006A551F">
            <w:pPr>
              <w:spacing w:after="0" w:line="276" w:lineRule="auto"/>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Juzgado Violencia Doméstica Cartago</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14C279A4"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2</w:t>
            </w:r>
          </w:p>
        </w:tc>
        <w:tc>
          <w:tcPr>
            <w:tcW w:w="812" w:type="pct"/>
            <w:gridSpan w:val="2"/>
            <w:tcBorders>
              <w:top w:val="nil"/>
              <w:left w:val="nil"/>
              <w:bottom w:val="single" w:sz="4" w:space="0" w:color="auto"/>
              <w:right w:val="single" w:sz="4" w:space="0" w:color="auto"/>
            </w:tcBorders>
            <w:shd w:val="clear" w:color="auto" w:fill="auto"/>
            <w:vAlign w:val="center"/>
            <w:hideMark/>
          </w:tcPr>
          <w:p w14:paraId="03C15310"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2A9C3D6D"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4</w:t>
            </w:r>
          </w:p>
        </w:tc>
        <w:tc>
          <w:tcPr>
            <w:tcW w:w="547" w:type="pct"/>
            <w:tcBorders>
              <w:top w:val="nil"/>
              <w:left w:val="nil"/>
              <w:bottom w:val="single" w:sz="4" w:space="0" w:color="auto"/>
              <w:right w:val="single" w:sz="4" w:space="0" w:color="auto"/>
            </w:tcBorders>
            <w:shd w:val="clear" w:color="auto" w:fill="auto"/>
            <w:vAlign w:val="center"/>
            <w:hideMark/>
          </w:tcPr>
          <w:p w14:paraId="46ED3580"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0</w:t>
            </w:r>
          </w:p>
        </w:tc>
      </w:tr>
      <w:tr w:rsidR="006A551F" w:rsidRPr="006A551F" w14:paraId="1B2B7D3D"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144C0943" w14:textId="2BA0159B" w:rsidR="006A551F" w:rsidRPr="008A244F" w:rsidRDefault="006A551F" w:rsidP="001D0C10">
            <w:pPr>
              <w:spacing w:after="0" w:line="276" w:lineRule="auto"/>
              <w:jc w:val="both"/>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 xml:space="preserve">Juzgado Violencia Doméstica Hatillo, San Sebas. </w:t>
            </w:r>
            <w:r w:rsidR="00E85731" w:rsidRPr="008A244F">
              <w:rPr>
                <w:rFonts w:ascii="Book Antiqua" w:eastAsia="Times New Roman" w:hAnsi="Book Antiqua" w:cs="Times New Roman"/>
                <w:color w:val="000000"/>
                <w:sz w:val="18"/>
                <w:szCs w:val="18"/>
                <w:lang w:val="es-ES" w:eastAsia="es-ES"/>
              </w:rPr>
              <w:t>Y</w:t>
            </w:r>
            <w:r w:rsidRPr="008A244F">
              <w:rPr>
                <w:rFonts w:ascii="Book Antiqua" w:eastAsia="Times New Roman" w:hAnsi="Book Antiqua" w:cs="Times New Roman"/>
                <w:color w:val="000000"/>
                <w:sz w:val="18"/>
                <w:szCs w:val="18"/>
                <w:lang w:val="es-ES" w:eastAsia="es-ES"/>
              </w:rPr>
              <w:t xml:space="preserve"> Alajuelita</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440BFDB8"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2</w:t>
            </w:r>
          </w:p>
        </w:tc>
        <w:tc>
          <w:tcPr>
            <w:tcW w:w="812" w:type="pct"/>
            <w:gridSpan w:val="2"/>
            <w:tcBorders>
              <w:top w:val="nil"/>
              <w:left w:val="nil"/>
              <w:bottom w:val="single" w:sz="4" w:space="0" w:color="auto"/>
              <w:right w:val="single" w:sz="4" w:space="0" w:color="auto"/>
            </w:tcBorders>
            <w:shd w:val="clear" w:color="auto" w:fill="auto"/>
            <w:vAlign w:val="center"/>
            <w:hideMark/>
          </w:tcPr>
          <w:p w14:paraId="1B116665"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0591EF69"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3</w:t>
            </w:r>
          </w:p>
        </w:tc>
        <w:tc>
          <w:tcPr>
            <w:tcW w:w="547" w:type="pct"/>
            <w:tcBorders>
              <w:top w:val="nil"/>
              <w:left w:val="nil"/>
              <w:bottom w:val="single" w:sz="4" w:space="0" w:color="auto"/>
              <w:right w:val="single" w:sz="4" w:space="0" w:color="auto"/>
            </w:tcBorders>
            <w:shd w:val="clear" w:color="auto" w:fill="auto"/>
            <w:vAlign w:val="center"/>
            <w:hideMark/>
          </w:tcPr>
          <w:p w14:paraId="4A9A43E5"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r>
      <w:tr w:rsidR="006A551F" w:rsidRPr="006A551F" w14:paraId="58FD8158"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6E7046DA" w14:textId="77777777" w:rsidR="006A551F" w:rsidRPr="008A244F" w:rsidRDefault="006A551F" w:rsidP="006A551F">
            <w:pPr>
              <w:spacing w:after="0" w:line="276" w:lineRule="auto"/>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Juzgado Violencia Doméstica Heredia</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645B1427"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2</w:t>
            </w:r>
          </w:p>
        </w:tc>
        <w:tc>
          <w:tcPr>
            <w:tcW w:w="812" w:type="pct"/>
            <w:gridSpan w:val="2"/>
            <w:tcBorders>
              <w:top w:val="nil"/>
              <w:left w:val="nil"/>
              <w:bottom w:val="single" w:sz="4" w:space="0" w:color="auto"/>
              <w:right w:val="single" w:sz="4" w:space="0" w:color="auto"/>
            </w:tcBorders>
            <w:shd w:val="clear" w:color="auto" w:fill="auto"/>
            <w:vAlign w:val="center"/>
            <w:hideMark/>
          </w:tcPr>
          <w:p w14:paraId="1520F8DB"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2CF7B77C"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4</w:t>
            </w:r>
          </w:p>
        </w:tc>
        <w:tc>
          <w:tcPr>
            <w:tcW w:w="547" w:type="pct"/>
            <w:tcBorders>
              <w:top w:val="nil"/>
              <w:left w:val="nil"/>
              <w:bottom w:val="single" w:sz="4" w:space="0" w:color="auto"/>
              <w:right w:val="single" w:sz="4" w:space="0" w:color="auto"/>
            </w:tcBorders>
            <w:shd w:val="clear" w:color="auto" w:fill="auto"/>
            <w:vAlign w:val="center"/>
            <w:hideMark/>
          </w:tcPr>
          <w:p w14:paraId="3646E64A"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0</w:t>
            </w:r>
          </w:p>
        </w:tc>
      </w:tr>
      <w:tr w:rsidR="006A551F" w:rsidRPr="006A551F" w14:paraId="697DFDB7"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1057EC5B" w14:textId="77777777" w:rsidR="006A551F" w:rsidRPr="008A244F" w:rsidRDefault="006A551F" w:rsidP="006A551F">
            <w:pPr>
              <w:spacing w:after="0" w:line="276" w:lineRule="auto"/>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Juzgado Violencia Doméstica I Circ. Jud. Alajuela</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18131B4E"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3</w:t>
            </w:r>
          </w:p>
        </w:tc>
        <w:tc>
          <w:tcPr>
            <w:tcW w:w="812" w:type="pct"/>
            <w:gridSpan w:val="2"/>
            <w:tcBorders>
              <w:top w:val="nil"/>
              <w:left w:val="nil"/>
              <w:bottom w:val="single" w:sz="4" w:space="0" w:color="auto"/>
              <w:right w:val="single" w:sz="4" w:space="0" w:color="auto"/>
            </w:tcBorders>
            <w:shd w:val="clear" w:color="auto" w:fill="auto"/>
            <w:vAlign w:val="center"/>
            <w:hideMark/>
          </w:tcPr>
          <w:p w14:paraId="300B3450"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38E2A4A6"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6</w:t>
            </w:r>
          </w:p>
        </w:tc>
        <w:tc>
          <w:tcPr>
            <w:tcW w:w="547" w:type="pct"/>
            <w:tcBorders>
              <w:top w:val="nil"/>
              <w:left w:val="nil"/>
              <w:bottom w:val="single" w:sz="4" w:space="0" w:color="auto"/>
              <w:right w:val="single" w:sz="4" w:space="0" w:color="auto"/>
            </w:tcBorders>
            <w:shd w:val="clear" w:color="auto" w:fill="auto"/>
            <w:vAlign w:val="center"/>
            <w:hideMark/>
          </w:tcPr>
          <w:p w14:paraId="69D347FF"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0</w:t>
            </w:r>
          </w:p>
        </w:tc>
      </w:tr>
      <w:tr w:rsidR="006A551F" w:rsidRPr="006A551F" w14:paraId="31DD9DBF"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217B4DE4" w14:textId="77777777" w:rsidR="006A551F" w:rsidRPr="008A244F" w:rsidRDefault="006A551F" w:rsidP="006A551F">
            <w:pPr>
              <w:spacing w:after="0" w:line="276" w:lineRule="auto"/>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Juzgado Violencia Doméstica I Circ. Jud. San José</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1267F9B3"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2</w:t>
            </w:r>
          </w:p>
        </w:tc>
        <w:tc>
          <w:tcPr>
            <w:tcW w:w="812" w:type="pct"/>
            <w:gridSpan w:val="2"/>
            <w:tcBorders>
              <w:top w:val="nil"/>
              <w:left w:val="nil"/>
              <w:bottom w:val="single" w:sz="4" w:space="0" w:color="auto"/>
              <w:right w:val="single" w:sz="4" w:space="0" w:color="auto"/>
            </w:tcBorders>
            <w:shd w:val="clear" w:color="auto" w:fill="auto"/>
            <w:vAlign w:val="center"/>
            <w:hideMark/>
          </w:tcPr>
          <w:p w14:paraId="39E301A6"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54C30AEE"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3</w:t>
            </w:r>
          </w:p>
        </w:tc>
        <w:tc>
          <w:tcPr>
            <w:tcW w:w="547" w:type="pct"/>
            <w:tcBorders>
              <w:top w:val="nil"/>
              <w:left w:val="nil"/>
              <w:bottom w:val="single" w:sz="4" w:space="0" w:color="auto"/>
              <w:right w:val="single" w:sz="4" w:space="0" w:color="auto"/>
            </w:tcBorders>
            <w:shd w:val="clear" w:color="auto" w:fill="auto"/>
            <w:vAlign w:val="center"/>
            <w:hideMark/>
          </w:tcPr>
          <w:p w14:paraId="59872D31"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r>
      <w:tr w:rsidR="006A551F" w:rsidRPr="006A551F" w14:paraId="5BFA39A5"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1DF98646" w14:textId="77777777" w:rsidR="006A551F" w:rsidRPr="008A244F" w:rsidRDefault="006A551F" w:rsidP="001D0C10">
            <w:pPr>
              <w:spacing w:after="0" w:line="276" w:lineRule="auto"/>
              <w:jc w:val="both"/>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 xml:space="preserve">Juzgado Violencia Doméstica I Circ. Jud. Zona Sur (Pérez Zeledón) </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08A0F5C3"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2</w:t>
            </w:r>
          </w:p>
        </w:tc>
        <w:tc>
          <w:tcPr>
            <w:tcW w:w="812" w:type="pct"/>
            <w:gridSpan w:val="2"/>
            <w:tcBorders>
              <w:top w:val="nil"/>
              <w:left w:val="nil"/>
              <w:bottom w:val="single" w:sz="4" w:space="0" w:color="auto"/>
              <w:right w:val="single" w:sz="4" w:space="0" w:color="auto"/>
            </w:tcBorders>
            <w:shd w:val="clear" w:color="auto" w:fill="auto"/>
            <w:vAlign w:val="center"/>
            <w:hideMark/>
          </w:tcPr>
          <w:p w14:paraId="2200F483"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19B101AF"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3</w:t>
            </w:r>
          </w:p>
        </w:tc>
        <w:tc>
          <w:tcPr>
            <w:tcW w:w="547" w:type="pct"/>
            <w:tcBorders>
              <w:top w:val="nil"/>
              <w:left w:val="nil"/>
              <w:bottom w:val="single" w:sz="4" w:space="0" w:color="auto"/>
              <w:right w:val="single" w:sz="4" w:space="0" w:color="auto"/>
            </w:tcBorders>
            <w:shd w:val="clear" w:color="auto" w:fill="auto"/>
            <w:vAlign w:val="center"/>
            <w:hideMark/>
          </w:tcPr>
          <w:p w14:paraId="369A63FA"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0</w:t>
            </w:r>
          </w:p>
        </w:tc>
      </w:tr>
      <w:tr w:rsidR="006A551F" w:rsidRPr="006A551F" w14:paraId="0021FADF"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29826841" w14:textId="77777777" w:rsidR="006A551F" w:rsidRPr="008A244F" w:rsidRDefault="006A551F" w:rsidP="001D0C10">
            <w:pPr>
              <w:spacing w:after="0" w:line="276" w:lineRule="auto"/>
              <w:jc w:val="both"/>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Juzgado Violencia Doméstica II Circ. Jud. Alajuela (San Carlos)</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0AE63C04"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812" w:type="pct"/>
            <w:gridSpan w:val="2"/>
            <w:tcBorders>
              <w:top w:val="nil"/>
              <w:left w:val="nil"/>
              <w:bottom w:val="single" w:sz="4" w:space="0" w:color="auto"/>
              <w:right w:val="single" w:sz="4" w:space="0" w:color="auto"/>
            </w:tcBorders>
            <w:shd w:val="clear" w:color="auto" w:fill="auto"/>
            <w:vAlign w:val="center"/>
            <w:hideMark/>
          </w:tcPr>
          <w:p w14:paraId="3D9913FC"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34A07CAB"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2</w:t>
            </w:r>
          </w:p>
        </w:tc>
        <w:tc>
          <w:tcPr>
            <w:tcW w:w="547" w:type="pct"/>
            <w:tcBorders>
              <w:top w:val="nil"/>
              <w:left w:val="nil"/>
              <w:bottom w:val="single" w:sz="4" w:space="0" w:color="auto"/>
              <w:right w:val="single" w:sz="4" w:space="0" w:color="auto"/>
            </w:tcBorders>
            <w:shd w:val="clear" w:color="auto" w:fill="auto"/>
            <w:vAlign w:val="center"/>
            <w:hideMark/>
          </w:tcPr>
          <w:p w14:paraId="0BDB88F6"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r>
      <w:tr w:rsidR="006A551F" w:rsidRPr="006A551F" w14:paraId="25FE002F"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32A1E4A6" w14:textId="6BA817E0" w:rsidR="006A551F" w:rsidRPr="008A244F" w:rsidRDefault="006A551F" w:rsidP="006A551F">
            <w:pPr>
              <w:spacing w:after="0" w:line="276" w:lineRule="auto"/>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 xml:space="preserve">Juzgado Violencia Doméstica II Circ. Jud. </w:t>
            </w:r>
            <w:r w:rsidR="00E85731" w:rsidRPr="008A244F">
              <w:rPr>
                <w:rFonts w:ascii="Book Antiqua" w:eastAsia="Times New Roman" w:hAnsi="Book Antiqua" w:cs="Times New Roman"/>
                <w:color w:val="000000"/>
                <w:sz w:val="18"/>
                <w:szCs w:val="18"/>
                <w:lang w:val="es-ES" w:eastAsia="es-ES"/>
              </w:rPr>
              <w:t>D</w:t>
            </w:r>
            <w:r w:rsidRPr="008A244F">
              <w:rPr>
                <w:rFonts w:ascii="Book Antiqua" w:eastAsia="Times New Roman" w:hAnsi="Book Antiqua" w:cs="Times New Roman"/>
                <w:color w:val="000000"/>
                <w:sz w:val="18"/>
                <w:szCs w:val="18"/>
                <w:lang w:val="es-ES" w:eastAsia="es-ES"/>
              </w:rPr>
              <w:t>e la Zona Atlántica (Pococí)</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07CD9185"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812" w:type="pct"/>
            <w:gridSpan w:val="2"/>
            <w:tcBorders>
              <w:top w:val="nil"/>
              <w:left w:val="nil"/>
              <w:bottom w:val="single" w:sz="4" w:space="0" w:color="auto"/>
              <w:right w:val="single" w:sz="4" w:space="0" w:color="auto"/>
            </w:tcBorders>
            <w:shd w:val="clear" w:color="auto" w:fill="auto"/>
            <w:vAlign w:val="center"/>
            <w:hideMark/>
          </w:tcPr>
          <w:p w14:paraId="74545BAD"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634DFD2C"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3</w:t>
            </w:r>
          </w:p>
        </w:tc>
        <w:tc>
          <w:tcPr>
            <w:tcW w:w="547" w:type="pct"/>
            <w:tcBorders>
              <w:top w:val="nil"/>
              <w:left w:val="nil"/>
              <w:bottom w:val="single" w:sz="4" w:space="0" w:color="auto"/>
              <w:right w:val="single" w:sz="4" w:space="0" w:color="auto"/>
            </w:tcBorders>
            <w:shd w:val="clear" w:color="auto" w:fill="auto"/>
            <w:vAlign w:val="center"/>
            <w:hideMark/>
          </w:tcPr>
          <w:p w14:paraId="41F66E9B"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0</w:t>
            </w:r>
          </w:p>
        </w:tc>
      </w:tr>
      <w:tr w:rsidR="006A551F" w:rsidRPr="006A551F" w14:paraId="65DCD127"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1C59D6AE" w14:textId="77777777" w:rsidR="006A551F" w:rsidRPr="008A244F" w:rsidRDefault="006A551F" w:rsidP="006A551F">
            <w:pPr>
              <w:spacing w:after="0" w:line="276" w:lineRule="auto"/>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Juzgado Violencia Doméstica II Circ. Jud. San José</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3D8D8F41"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5</w:t>
            </w:r>
          </w:p>
        </w:tc>
        <w:tc>
          <w:tcPr>
            <w:tcW w:w="812" w:type="pct"/>
            <w:gridSpan w:val="2"/>
            <w:tcBorders>
              <w:top w:val="nil"/>
              <w:left w:val="nil"/>
              <w:bottom w:val="single" w:sz="4" w:space="0" w:color="auto"/>
              <w:right w:val="single" w:sz="4" w:space="0" w:color="auto"/>
            </w:tcBorders>
            <w:shd w:val="clear" w:color="auto" w:fill="auto"/>
            <w:vAlign w:val="center"/>
            <w:hideMark/>
          </w:tcPr>
          <w:p w14:paraId="7ABD735F"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50FFFDA5"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7</w:t>
            </w:r>
          </w:p>
        </w:tc>
        <w:tc>
          <w:tcPr>
            <w:tcW w:w="547" w:type="pct"/>
            <w:tcBorders>
              <w:top w:val="nil"/>
              <w:left w:val="nil"/>
              <w:bottom w:val="single" w:sz="4" w:space="0" w:color="auto"/>
              <w:right w:val="single" w:sz="4" w:space="0" w:color="auto"/>
            </w:tcBorders>
            <w:shd w:val="clear" w:color="auto" w:fill="auto"/>
            <w:vAlign w:val="center"/>
            <w:hideMark/>
          </w:tcPr>
          <w:p w14:paraId="07B27FC8"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0</w:t>
            </w:r>
          </w:p>
        </w:tc>
      </w:tr>
      <w:tr w:rsidR="006A551F" w:rsidRPr="006A551F" w14:paraId="368EE68E"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6350B988" w14:textId="77777777" w:rsidR="006A551F" w:rsidRPr="008A244F" w:rsidRDefault="006A551F" w:rsidP="001D0C10">
            <w:pPr>
              <w:spacing w:after="0" w:line="276" w:lineRule="auto"/>
              <w:jc w:val="both"/>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Juzgado Violencia Doméstica III Circ. Jud. San José (Desamparados)</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2AEA739E"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2</w:t>
            </w:r>
          </w:p>
        </w:tc>
        <w:tc>
          <w:tcPr>
            <w:tcW w:w="812" w:type="pct"/>
            <w:gridSpan w:val="2"/>
            <w:tcBorders>
              <w:top w:val="nil"/>
              <w:left w:val="nil"/>
              <w:bottom w:val="single" w:sz="4" w:space="0" w:color="auto"/>
              <w:right w:val="single" w:sz="4" w:space="0" w:color="auto"/>
            </w:tcBorders>
            <w:shd w:val="clear" w:color="auto" w:fill="auto"/>
            <w:vAlign w:val="center"/>
            <w:hideMark/>
          </w:tcPr>
          <w:p w14:paraId="7F624CBC"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7926CE6A"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3</w:t>
            </w:r>
          </w:p>
        </w:tc>
        <w:tc>
          <w:tcPr>
            <w:tcW w:w="547" w:type="pct"/>
            <w:tcBorders>
              <w:top w:val="nil"/>
              <w:left w:val="nil"/>
              <w:bottom w:val="single" w:sz="4" w:space="0" w:color="auto"/>
              <w:right w:val="single" w:sz="4" w:space="0" w:color="auto"/>
            </w:tcBorders>
            <w:shd w:val="clear" w:color="auto" w:fill="auto"/>
            <w:vAlign w:val="center"/>
            <w:hideMark/>
          </w:tcPr>
          <w:p w14:paraId="60C9BE1A"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r>
      <w:tr w:rsidR="006A551F" w:rsidRPr="006A551F" w14:paraId="22F9E0F5" w14:textId="77777777" w:rsidTr="008A244F">
        <w:trPr>
          <w:trHeight w:val="20"/>
        </w:trPr>
        <w:tc>
          <w:tcPr>
            <w:tcW w:w="2654" w:type="pct"/>
            <w:tcBorders>
              <w:top w:val="nil"/>
              <w:left w:val="single" w:sz="4" w:space="0" w:color="auto"/>
              <w:bottom w:val="single" w:sz="4" w:space="0" w:color="auto"/>
              <w:right w:val="single" w:sz="4" w:space="0" w:color="auto"/>
            </w:tcBorders>
            <w:shd w:val="clear" w:color="auto" w:fill="auto"/>
            <w:noWrap/>
            <w:vAlign w:val="center"/>
            <w:hideMark/>
          </w:tcPr>
          <w:p w14:paraId="232F99C6" w14:textId="77777777" w:rsidR="006A551F" w:rsidRPr="008A244F" w:rsidRDefault="006A551F" w:rsidP="006A551F">
            <w:pPr>
              <w:spacing w:after="0" w:line="276" w:lineRule="auto"/>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Juzgado Violencia Doméstica Puntarenas</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742AFFA4"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2</w:t>
            </w:r>
          </w:p>
        </w:tc>
        <w:tc>
          <w:tcPr>
            <w:tcW w:w="812" w:type="pct"/>
            <w:gridSpan w:val="2"/>
            <w:tcBorders>
              <w:top w:val="nil"/>
              <w:left w:val="nil"/>
              <w:bottom w:val="single" w:sz="4" w:space="0" w:color="auto"/>
              <w:right w:val="single" w:sz="4" w:space="0" w:color="auto"/>
            </w:tcBorders>
            <w:shd w:val="clear" w:color="auto" w:fill="auto"/>
            <w:vAlign w:val="center"/>
            <w:hideMark/>
          </w:tcPr>
          <w:p w14:paraId="309E380E"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1</w:t>
            </w:r>
          </w:p>
        </w:tc>
        <w:tc>
          <w:tcPr>
            <w:tcW w:w="518" w:type="pct"/>
            <w:tcBorders>
              <w:top w:val="nil"/>
              <w:left w:val="nil"/>
              <w:bottom w:val="single" w:sz="4" w:space="0" w:color="auto"/>
              <w:right w:val="single" w:sz="4" w:space="0" w:color="auto"/>
            </w:tcBorders>
            <w:shd w:val="clear" w:color="auto" w:fill="auto"/>
            <w:vAlign w:val="center"/>
            <w:hideMark/>
          </w:tcPr>
          <w:p w14:paraId="40D94621"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4</w:t>
            </w:r>
          </w:p>
        </w:tc>
        <w:tc>
          <w:tcPr>
            <w:tcW w:w="547" w:type="pct"/>
            <w:tcBorders>
              <w:top w:val="nil"/>
              <w:left w:val="nil"/>
              <w:bottom w:val="single" w:sz="4" w:space="0" w:color="auto"/>
              <w:right w:val="single" w:sz="4" w:space="0" w:color="auto"/>
            </w:tcBorders>
            <w:shd w:val="clear" w:color="auto" w:fill="auto"/>
            <w:vAlign w:val="center"/>
            <w:hideMark/>
          </w:tcPr>
          <w:p w14:paraId="6A64400B" w14:textId="77777777" w:rsidR="006A551F" w:rsidRPr="008A244F" w:rsidRDefault="006A551F" w:rsidP="006A551F">
            <w:pPr>
              <w:spacing w:after="0" w:line="276" w:lineRule="auto"/>
              <w:jc w:val="center"/>
              <w:rPr>
                <w:rFonts w:ascii="Book Antiqua" w:eastAsia="Times New Roman" w:hAnsi="Book Antiqua" w:cs="Times New Roman"/>
                <w:color w:val="000000"/>
                <w:sz w:val="18"/>
                <w:szCs w:val="18"/>
                <w:lang w:val="es-ES" w:eastAsia="es-ES"/>
              </w:rPr>
            </w:pPr>
            <w:r w:rsidRPr="008A244F">
              <w:rPr>
                <w:rFonts w:ascii="Book Antiqua" w:eastAsia="Times New Roman" w:hAnsi="Book Antiqua" w:cs="Times New Roman"/>
                <w:color w:val="000000"/>
                <w:sz w:val="18"/>
                <w:szCs w:val="18"/>
                <w:lang w:val="es-ES" w:eastAsia="es-ES"/>
              </w:rPr>
              <w:t>0</w:t>
            </w:r>
          </w:p>
        </w:tc>
      </w:tr>
      <w:tr w:rsidR="008A244F" w:rsidRPr="006A551F" w14:paraId="36194849" w14:textId="77777777" w:rsidTr="008A244F">
        <w:trPr>
          <w:trHeight w:val="20"/>
        </w:trPr>
        <w:tc>
          <w:tcPr>
            <w:tcW w:w="2811" w:type="pct"/>
            <w:gridSpan w:val="2"/>
            <w:tcBorders>
              <w:top w:val="nil"/>
              <w:left w:val="single" w:sz="4" w:space="0" w:color="auto"/>
              <w:bottom w:val="single" w:sz="4" w:space="0" w:color="auto"/>
              <w:right w:val="single" w:sz="4" w:space="0" w:color="auto"/>
            </w:tcBorders>
            <w:shd w:val="clear" w:color="000000" w:fill="808080"/>
            <w:noWrap/>
            <w:vAlign w:val="center"/>
            <w:hideMark/>
          </w:tcPr>
          <w:p w14:paraId="6737CD40" w14:textId="77777777" w:rsidR="006A551F" w:rsidRPr="008A244F" w:rsidRDefault="006A551F" w:rsidP="006A551F">
            <w:pPr>
              <w:spacing w:after="0" w:line="276" w:lineRule="auto"/>
              <w:jc w:val="right"/>
              <w:rPr>
                <w:rFonts w:ascii="Book Antiqua" w:eastAsia="Times New Roman" w:hAnsi="Book Antiqua" w:cs="Times New Roman"/>
                <w:b/>
                <w:bCs/>
                <w:color w:val="FFFFFF"/>
                <w:sz w:val="20"/>
                <w:szCs w:val="20"/>
                <w:lang w:val="es-ES" w:eastAsia="es-ES"/>
              </w:rPr>
            </w:pPr>
            <w:r w:rsidRPr="008A244F">
              <w:rPr>
                <w:rFonts w:ascii="Book Antiqua" w:eastAsia="Times New Roman" w:hAnsi="Book Antiqua" w:cs="Times New Roman"/>
                <w:b/>
                <w:bCs/>
                <w:color w:val="FFFFFF"/>
                <w:sz w:val="20"/>
                <w:szCs w:val="20"/>
                <w:lang w:val="es-ES" w:eastAsia="es-ES"/>
              </w:rPr>
              <w:t>Total general</w:t>
            </w:r>
          </w:p>
        </w:tc>
        <w:tc>
          <w:tcPr>
            <w:tcW w:w="313" w:type="pct"/>
            <w:tcBorders>
              <w:top w:val="nil"/>
              <w:left w:val="nil"/>
              <w:bottom w:val="single" w:sz="4" w:space="0" w:color="auto"/>
              <w:right w:val="single" w:sz="4" w:space="0" w:color="auto"/>
            </w:tcBorders>
            <w:shd w:val="clear" w:color="000000" w:fill="808080"/>
            <w:noWrap/>
            <w:vAlign w:val="center"/>
            <w:hideMark/>
          </w:tcPr>
          <w:p w14:paraId="62C9FD92" w14:textId="77777777" w:rsidR="006A551F" w:rsidRPr="008A244F" w:rsidRDefault="006A551F" w:rsidP="006A551F">
            <w:pPr>
              <w:spacing w:after="0" w:line="276" w:lineRule="auto"/>
              <w:jc w:val="center"/>
              <w:rPr>
                <w:rFonts w:ascii="Book Antiqua" w:eastAsia="Times New Roman" w:hAnsi="Book Antiqua" w:cs="Times New Roman"/>
                <w:b/>
                <w:bCs/>
                <w:color w:val="FFFFFF"/>
                <w:sz w:val="20"/>
                <w:szCs w:val="20"/>
                <w:lang w:val="es-ES" w:eastAsia="es-ES"/>
              </w:rPr>
            </w:pPr>
            <w:r w:rsidRPr="008A244F">
              <w:rPr>
                <w:rFonts w:ascii="Book Antiqua" w:eastAsia="Times New Roman" w:hAnsi="Book Antiqua" w:cs="Times New Roman"/>
                <w:b/>
                <w:bCs/>
                <w:color w:val="FFFFFF"/>
                <w:sz w:val="20"/>
                <w:szCs w:val="20"/>
                <w:lang w:val="es-ES" w:eastAsia="es-ES"/>
              </w:rPr>
              <w:t>25</w:t>
            </w:r>
          </w:p>
        </w:tc>
        <w:tc>
          <w:tcPr>
            <w:tcW w:w="812" w:type="pct"/>
            <w:gridSpan w:val="2"/>
            <w:tcBorders>
              <w:top w:val="nil"/>
              <w:left w:val="nil"/>
              <w:bottom w:val="single" w:sz="4" w:space="0" w:color="auto"/>
              <w:right w:val="single" w:sz="4" w:space="0" w:color="auto"/>
            </w:tcBorders>
            <w:shd w:val="clear" w:color="000000" w:fill="808080"/>
            <w:noWrap/>
            <w:vAlign w:val="center"/>
            <w:hideMark/>
          </w:tcPr>
          <w:p w14:paraId="7A11A466" w14:textId="77777777" w:rsidR="006A551F" w:rsidRPr="008A244F" w:rsidRDefault="006A551F" w:rsidP="006A551F">
            <w:pPr>
              <w:spacing w:after="0" w:line="276" w:lineRule="auto"/>
              <w:jc w:val="center"/>
              <w:rPr>
                <w:rFonts w:ascii="Book Antiqua" w:eastAsia="Times New Roman" w:hAnsi="Book Antiqua" w:cs="Times New Roman"/>
                <w:b/>
                <w:bCs/>
                <w:color w:val="FFFFFF"/>
                <w:sz w:val="20"/>
                <w:szCs w:val="20"/>
                <w:lang w:val="es-ES" w:eastAsia="es-ES"/>
              </w:rPr>
            </w:pPr>
            <w:r w:rsidRPr="008A244F">
              <w:rPr>
                <w:rFonts w:ascii="Book Antiqua" w:eastAsia="Times New Roman" w:hAnsi="Book Antiqua" w:cs="Times New Roman"/>
                <w:b/>
                <w:bCs/>
                <w:color w:val="FFFFFF"/>
                <w:sz w:val="20"/>
                <w:szCs w:val="20"/>
                <w:lang w:val="es-ES" w:eastAsia="es-ES"/>
              </w:rPr>
              <w:t>12</w:t>
            </w:r>
          </w:p>
        </w:tc>
        <w:tc>
          <w:tcPr>
            <w:tcW w:w="518" w:type="pct"/>
            <w:tcBorders>
              <w:top w:val="nil"/>
              <w:left w:val="nil"/>
              <w:bottom w:val="single" w:sz="4" w:space="0" w:color="auto"/>
              <w:right w:val="single" w:sz="4" w:space="0" w:color="auto"/>
            </w:tcBorders>
            <w:shd w:val="clear" w:color="000000" w:fill="808080"/>
            <w:noWrap/>
            <w:vAlign w:val="center"/>
            <w:hideMark/>
          </w:tcPr>
          <w:p w14:paraId="11DCDF82" w14:textId="77777777" w:rsidR="006A551F" w:rsidRPr="008A244F" w:rsidRDefault="006A551F" w:rsidP="006A551F">
            <w:pPr>
              <w:spacing w:after="0" w:line="276" w:lineRule="auto"/>
              <w:jc w:val="center"/>
              <w:rPr>
                <w:rFonts w:ascii="Book Antiqua" w:eastAsia="Times New Roman" w:hAnsi="Book Antiqua" w:cs="Times New Roman"/>
                <w:b/>
                <w:bCs/>
                <w:color w:val="FFFFFF"/>
                <w:sz w:val="20"/>
                <w:szCs w:val="20"/>
                <w:lang w:val="es-ES" w:eastAsia="es-ES"/>
              </w:rPr>
            </w:pPr>
            <w:r w:rsidRPr="008A244F">
              <w:rPr>
                <w:rFonts w:ascii="Book Antiqua" w:eastAsia="Times New Roman" w:hAnsi="Book Antiqua" w:cs="Times New Roman"/>
                <w:b/>
                <w:bCs/>
                <w:color w:val="FFFFFF"/>
                <w:sz w:val="20"/>
                <w:szCs w:val="20"/>
                <w:lang w:val="es-ES" w:eastAsia="es-ES"/>
              </w:rPr>
              <w:t>45</w:t>
            </w:r>
          </w:p>
        </w:tc>
        <w:tc>
          <w:tcPr>
            <w:tcW w:w="547" w:type="pct"/>
            <w:tcBorders>
              <w:top w:val="nil"/>
              <w:left w:val="nil"/>
              <w:bottom w:val="single" w:sz="4" w:space="0" w:color="auto"/>
              <w:right w:val="single" w:sz="4" w:space="0" w:color="auto"/>
            </w:tcBorders>
            <w:shd w:val="clear" w:color="000000" w:fill="808080"/>
            <w:noWrap/>
            <w:vAlign w:val="center"/>
            <w:hideMark/>
          </w:tcPr>
          <w:p w14:paraId="61773AD8" w14:textId="77777777" w:rsidR="006A551F" w:rsidRPr="008A244F" w:rsidRDefault="006A551F" w:rsidP="006A551F">
            <w:pPr>
              <w:spacing w:after="0" w:line="276" w:lineRule="auto"/>
              <w:jc w:val="center"/>
              <w:rPr>
                <w:rFonts w:ascii="Book Antiqua" w:eastAsia="Times New Roman" w:hAnsi="Book Antiqua" w:cs="Times New Roman"/>
                <w:b/>
                <w:bCs/>
                <w:color w:val="FFFFFF"/>
                <w:sz w:val="20"/>
                <w:szCs w:val="20"/>
                <w:lang w:val="es-ES" w:eastAsia="es-ES"/>
              </w:rPr>
            </w:pPr>
            <w:r w:rsidRPr="008A244F">
              <w:rPr>
                <w:rFonts w:ascii="Book Antiqua" w:eastAsia="Times New Roman" w:hAnsi="Book Antiqua" w:cs="Times New Roman"/>
                <w:b/>
                <w:bCs/>
                <w:color w:val="FFFFFF"/>
                <w:sz w:val="20"/>
                <w:szCs w:val="20"/>
                <w:lang w:val="es-ES" w:eastAsia="es-ES"/>
              </w:rPr>
              <w:t>4</w:t>
            </w:r>
          </w:p>
        </w:tc>
      </w:tr>
    </w:tbl>
    <w:p w14:paraId="1906B8ED" w14:textId="05607C2E" w:rsidR="006A551F" w:rsidRDefault="006A551F" w:rsidP="008A244F">
      <w:pPr>
        <w:spacing w:after="0" w:line="240" w:lineRule="auto"/>
        <w:rPr>
          <w:rFonts w:ascii="Book Antiqua" w:hAnsi="Book Antiqua"/>
          <w:i/>
          <w:iCs/>
          <w:sz w:val="20"/>
          <w:szCs w:val="20"/>
          <w:lang w:val="es-ES"/>
        </w:rPr>
      </w:pPr>
      <w:r w:rsidRPr="00B8406C">
        <w:rPr>
          <w:rFonts w:ascii="Book Antiqua" w:hAnsi="Book Antiqua"/>
          <w:b/>
          <w:bCs/>
          <w:i/>
          <w:iCs/>
          <w:sz w:val="20"/>
          <w:szCs w:val="20"/>
          <w:lang w:val="es-ES"/>
        </w:rPr>
        <w:t>Fuente:</w:t>
      </w:r>
      <w:r w:rsidRPr="006A551F">
        <w:rPr>
          <w:rFonts w:ascii="Book Antiqua" w:hAnsi="Book Antiqua"/>
          <w:i/>
          <w:iCs/>
          <w:sz w:val="20"/>
          <w:szCs w:val="20"/>
          <w:lang w:val="es-ES"/>
        </w:rPr>
        <w:t xml:space="preserve"> </w:t>
      </w:r>
      <w:r w:rsidR="008A244F">
        <w:rPr>
          <w:rFonts w:ascii="Book Antiqua" w:hAnsi="Book Antiqua"/>
          <w:i/>
          <w:iCs/>
          <w:sz w:val="20"/>
          <w:szCs w:val="20"/>
          <w:lang w:val="es-ES"/>
        </w:rPr>
        <w:t xml:space="preserve">Subproceso de </w:t>
      </w:r>
      <w:r w:rsidRPr="006A551F">
        <w:rPr>
          <w:rFonts w:ascii="Book Antiqua" w:hAnsi="Book Antiqua"/>
          <w:i/>
          <w:iCs/>
          <w:sz w:val="20"/>
          <w:szCs w:val="20"/>
          <w:lang w:val="es-ES"/>
        </w:rPr>
        <w:t xml:space="preserve">Modernización Institucional </w:t>
      </w:r>
      <w:r>
        <w:rPr>
          <w:rFonts w:ascii="Book Antiqua" w:hAnsi="Book Antiqua"/>
          <w:i/>
          <w:iCs/>
          <w:sz w:val="20"/>
          <w:szCs w:val="20"/>
          <w:lang w:val="es-ES"/>
        </w:rPr>
        <w:t>con</w:t>
      </w:r>
      <w:r w:rsidRPr="006A551F">
        <w:rPr>
          <w:rFonts w:ascii="Book Antiqua" w:hAnsi="Book Antiqua"/>
          <w:i/>
          <w:iCs/>
          <w:sz w:val="20"/>
          <w:szCs w:val="20"/>
          <w:lang w:val="es-ES"/>
        </w:rPr>
        <w:t xml:space="preserve"> base </w:t>
      </w:r>
      <w:r>
        <w:rPr>
          <w:rFonts w:ascii="Book Antiqua" w:hAnsi="Book Antiqua"/>
          <w:i/>
          <w:iCs/>
          <w:sz w:val="20"/>
          <w:szCs w:val="20"/>
          <w:lang w:val="es-ES"/>
        </w:rPr>
        <w:t>en</w:t>
      </w:r>
      <w:r w:rsidRPr="006A551F">
        <w:rPr>
          <w:rFonts w:ascii="Book Antiqua" w:hAnsi="Book Antiqua"/>
          <w:i/>
          <w:iCs/>
          <w:sz w:val="20"/>
          <w:szCs w:val="20"/>
          <w:lang w:val="es-ES"/>
        </w:rPr>
        <w:t xml:space="preserve"> consultas a los despachos especializados en materia Violencia Doméstica.</w:t>
      </w:r>
    </w:p>
    <w:p w14:paraId="274CA362" w14:textId="40819F79" w:rsidR="006A551F" w:rsidRPr="006A551F" w:rsidRDefault="006A551F" w:rsidP="008A244F">
      <w:pPr>
        <w:spacing w:after="0" w:line="240" w:lineRule="auto"/>
        <w:rPr>
          <w:rFonts w:ascii="Book Antiqua" w:hAnsi="Book Antiqua"/>
          <w:i/>
          <w:iCs/>
          <w:sz w:val="20"/>
          <w:szCs w:val="20"/>
          <w:lang w:val="es-ES"/>
        </w:rPr>
      </w:pPr>
      <w:r w:rsidRPr="008A244F">
        <w:rPr>
          <w:rFonts w:ascii="Book Antiqua" w:hAnsi="Book Antiqua"/>
          <w:b/>
          <w:bCs/>
          <w:i/>
          <w:iCs/>
          <w:sz w:val="20"/>
          <w:szCs w:val="20"/>
          <w:lang w:val="es-ES"/>
        </w:rPr>
        <w:t>Nota *:</w:t>
      </w:r>
      <w:r w:rsidRPr="006A551F">
        <w:rPr>
          <w:rFonts w:ascii="Book Antiqua" w:hAnsi="Book Antiqua"/>
          <w:i/>
          <w:iCs/>
          <w:sz w:val="20"/>
          <w:szCs w:val="20"/>
          <w:lang w:val="es-ES"/>
        </w:rPr>
        <w:t xml:space="preserve"> Plaza compartida entre el Juzgado de Violencia </w:t>
      </w:r>
      <w:r w:rsidR="008A244F">
        <w:rPr>
          <w:rFonts w:ascii="Book Antiqua" w:hAnsi="Book Antiqua"/>
          <w:i/>
          <w:iCs/>
          <w:sz w:val="20"/>
          <w:szCs w:val="20"/>
          <w:lang w:val="es-ES"/>
        </w:rPr>
        <w:t xml:space="preserve">Doméstica del Primer Circuito Judicial de San José </w:t>
      </w:r>
      <w:r w:rsidRPr="006A551F">
        <w:rPr>
          <w:rFonts w:ascii="Book Antiqua" w:hAnsi="Book Antiqua"/>
          <w:i/>
          <w:iCs/>
          <w:sz w:val="20"/>
          <w:szCs w:val="20"/>
          <w:lang w:val="es-ES"/>
        </w:rPr>
        <w:t>y el Juzgado de Niñez y Adolescencia.</w:t>
      </w:r>
    </w:p>
    <w:p w14:paraId="65104D6F" w14:textId="77777777" w:rsidR="008A244F" w:rsidRDefault="008A244F" w:rsidP="001D0C10">
      <w:pPr>
        <w:jc w:val="both"/>
        <w:rPr>
          <w:rFonts w:ascii="Book Antiqua" w:hAnsi="Book Antiqua"/>
          <w:sz w:val="24"/>
          <w:szCs w:val="24"/>
          <w:lang w:val="es-ES"/>
        </w:rPr>
      </w:pPr>
    </w:p>
    <w:p w14:paraId="1411E217" w14:textId="09ED8C87" w:rsidR="006A551F" w:rsidRDefault="00FE5950" w:rsidP="001D0C10">
      <w:pPr>
        <w:jc w:val="both"/>
        <w:rPr>
          <w:rFonts w:ascii="Book Antiqua" w:hAnsi="Book Antiqua"/>
          <w:sz w:val="24"/>
          <w:szCs w:val="24"/>
          <w:lang w:val="es-ES"/>
        </w:rPr>
      </w:pPr>
      <w:r>
        <w:rPr>
          <w:rFonts w:ascii="Book Antiqua" w:hAnsi="Book Antiqua"/>
          <w:sz w:val="24"/>
          <w:szCs w:val="24"/>
          <w:lang w:val="es-ES"/>
        </w:rPr>
        <w:t xml:space="preserve">Con </w:t>
      </w:r>
      <w:r w:rsidR="005F285B">
        <w:rPr>
          <w:rFonts w:ascii="Book Antiqua" w:hAnsi="Book Antiqua"/>
          <w:sz w:val="24"/>
          <w:szCs w:val="24"/>
          <w:lang w:val="es-ES"/>
        </w:rPr>
        <w:t>la construcción de</w:t>
      </w:r>
      <w:r>
        <w:rPr>
          <w:rFonts w:ascii="Book Antiqua" w:hAnsi="Book Antiqua"/>
          <w:sz w:val="24"/>
          <w:szCs w:val="24"/>
          <w:lang w:val="es-ES"/>
        </w:rPr>
        <w:t xml:space="preserve">l Modelo de </w:t>
      </w:r>
      <w:r w:rsidR="005F285B">
        <w:rPr>
          <w:rFonts w:ascii="Book Antiqua" w:hAnsi="Book Antiqua"/>
          <w:sz w:val="24"/>
          <w:szCs w:val="24"/>
          <w:lang w:val="es-ES"/>
        </w:rPr>
        <w:t>tramitación de los Juzgados de Violencia Doméstica</w:t>
      </w:r>
      <w:r>
        <w:rPr>
          <w:rFonts w:ascii="Book Antiqua" w:hAnsi="Book Antiqua"/>
          <w:sz w:val="24"/>
          <w:szCs w:val="24"/>
          <w:lang w:val="es-ES"/>
        </w:rPr>
        <w:t xml:space="preserve">, se definió </w:t>
      </w:r>
      <w:r w:rsidR="00F70A7A" w:rsidRPr="001D0C10">
        <w:rPr>
          <w:rFonts w:ascii="Book Antiqua" w:hAnsi="Book Antiqua"/>
          <w:sz w:val="24"/>
          <w:szCs w:val="24"/>
          <w:lang w:val="es-ES"/>
        </w:rPr>
        <w:t xml:space="preserve">la estructura </w:t>
      </w:r>
      <w:r w:rsidR="00A46B83">
        <w:rPr>
          <w:rFonts w:ascii="Book Antiqua" w:hAnsi="Book Antiqua"/>
          <w:sz w:val="24"/>
          <w:szCs w:val="24"/>
          <w:lang w:val="es-ES"/>
        </w:rPr>
        <w:t>ó</w:t>
      </w:r>
      <w:r w:rsidR="00F70A7A" w:rsidRPr="001D0C10">
        <w:rPr>
          <w:rFonts w:ascii="Book Antiqua" w:hAnsi="Book Antiqua"/>
          <w:sz w:val="24"/>
          <w:szCs w:val="24"/>
          <w:lang w:val="es-ES"/>
        </w:rPr>
        <w:t xml:space="preserve">ptima o ideal para estos despachos. </w:t>
      </w:r>
    </w:p>
    <w:p w14:paraId="6359BEFC" w14:textId="2F4901E7" w:rsidR="003A1A2A" w:rsidRDefault="003A1A2A" w:rsidP="001D0C10">
      <w:pPr>
        <w:jc w:val="both"/>
        <w:rPr>
          <w:rFonts w:ascii="Book Antiqua" w:hAnsi="Book Antiqua"/>
          <w:sz w:val="24"/>
          <w:szCs w:val="24"/>
          <w:lang w:val="es-ES"/>
        </w:rPr>
      </w:pPr>
    </w:p>
    <w:p w14:paraId="625B666B" w14:textId="40745CE3" w:rsidR="00F75CD7" w:rsidRPr="00F3324E" w:rsidRDefault="00F75CD7"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77" w:name="_Hlk96998889"/>
      <w:r w:rsidRPr="00F3324E">
        <w:rPr>
          <w:rFonts w:ascii="Book Antiqua" w:eastAsiaTheme="majorEastAsia" w:hAnsi="Book Antiqua" w:cstheme="majorBidi"/>
          <w:b/>
          <w:color w:val="1F3864" w:themeColor="accent1" w:themeShade="80"/>
          <w:sz w:val="24"/>
          <w:lang w:val="es-ES"/>
        </w:rPr>
        <w:t>Coordinación con otras Instancias</w:t>
      </w:r>
    </w:p>
    <w:bookmarkEnd w:id="77"/>
    <w:p w14:paraId="30C24396" w14:textId="77777777" w:rsidR="003A1A2A" w:rsidRDefault="003A1A2A" w:rsidP="00F75CD7">
      <w:pPr>
        <w:spacing w:after="0" w:line="276" w:lineRule="auto"/>
        <w:jc w:val="both"/>
        <w:rPr>
          <w:rFonts w:ascii="Book Antiqua" w:eastAsia="Calibri" w:hAnsi="Book Antiqua" w:cs="Arial"/>
          <w:sz w:val="24"/>
          <w:szCs w:val="24"/>
          <w:lang w:val="es-ES_tradnl"/>
        </w:rPr>
      </w:pPr>
    </w:p>
    <w:p w14:paraId="72DCD988" w14:textId="003C9F92" w:rsidR="00F75CD7" w:rsidRDefault="00F75CD7" w:rsidP="00F75CD7">
      <w:pPr>
        <w:spacing w:after="0" w:line="276" w:lineRule="auto"/>
        <w:jc w:val="both"/>
        <w:rPr>
          <w:rFonts w:ascii="Book Antiqua" w:eastAsia="Calibri" w:hAnsi="Book Antiqua" w:cs="Arial"/>
          <w:sz w:val="24"/>
          <w:szCs w:val="24"/>
          <w:lang w:val="es-ES_tradnl"/>
        </w:rPr>
      </w:pPr>
      <w:r w:rsidRPr="00F75CD7">
        <w:rPr>
          <w:rFonts w:ascii="Book Antiqua" w:eastAsia="Calibri" w:hAnsi="Book Antiqua" w:cs="Arial"/>
          <w:sz w:val="24"/>
          <w:szCs w:val="24"/>
          <w:lang w:val="es-ES_tradnl"/>
        </w:rPr>
        <w:t>A nivel de los Juzgados competentes en materia de Violencia Doméstica existe coordinación con:</w:t>
      </w:r>
    </w:p>
    <w:p w14:paraId="5339389D" w14:textId="77777777" w:rsidR="00F75CD7" w:rsidRPr="00F75CD7" w:rsidRDefault="00F75CD7" w:rsidP="00F75CD7">
      <w:pPr>
        <w:spacing w:after="0" w:line="276" w:lineRule="auto"/>
        <w:jc w:val="both"/>
        <w:rPr>
          <w:rFonts w:ascii="Book Antiqua" w:eastAsia="Calibri" w:hAnsi="Book Antiqua" w:cs="Arial"/>
          <w:sz w:val="24"/>
          <w:szCs w:val="24"/>
          <w:lang w:val="es-ES_tradnl"/>
        </w:rPr>
      </w:pPr>
    </w:p>
    <w:p w14:paraId="6A3DE7DC" w14:textId="77777777" w:rsidR="00F75CD7" w:rsidRPr="00F75CD7" w:rsidRDefault="00F75CD7">
      <w:pPr>
        <w:numPr>
          <w:ilvl w:val="0"/>
          <w:numId w:val="24"/>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Departamento de Trabajo Social y Psicología (valoraciones en caso de personas adultas mayores que no se pueden presentar al Juzgado, soporte en audiencias complejas con estudios sociales, psicológicos para conocer la dinámica entre las partes, entre otros; atención en crisis de las presuntas víctimas). Acompañamiento en visitas domiciliarias. Seguimiento a las medidas de protección dictadas en causas donde figura una persona adulta mayor.  </w:t>
      </w:r>
    </w:p>
    <w:p w14:paraId="63F4E080" w14:textId="77777777" w:rsidR="00F75CD7" w:rsidRPr="00F75CD7" w:rsidRDefault="00F75CD7">
      <w:pPr>
        <w:numPr>
          <w:ilvl w:val="0"/>
          <w:numId w:val="24"/>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Oficinas de Atención y Protección a Víctimas y Testigos. En casos muy específicos en que existe un riesgo alto para la vida de la persona víctima. </w:t>
      </w:r>
    </w:p>
    <w:p w14:paraId="445578D3" w14:textId="77777777" w:rsidR="00F75CD7" w:rsidRPr="00F75CD7" w:rsidRDefault="00F75CD7">
      <w:pPr>
        <w:numPr>
          <w:ilvl w:val="0"/>
          <w:numId w:val="24"/>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Patronato Nacional de la Infancia (cuando haya menores de edad involucrados). Seguimiento a las medidas de protección dictadas en causas donde figura una persona menor de edad. </w:t>
      </w:r>
    </w:p>
    <w:p w14:paraId="1E0906D4" w14:textId="77777777" w:rsidR="00F75CD7" w:rsidRPr="00F75CD7" w:rsidRDefault="00F75CD7">
      <w:pPr>
        <w:numPr>
          <w:ilvl w:val="0"/>
          <w:numId w:val="24"/>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Medicatura Forense (solicitudes de valoración médica a las presuntas víctimas por la posible comisión de un delito).  También pericias psicológicas o psiquiátricas para determinar capacidad persona para ser parte del proceso. </w:t>
      </w:r>
    </w:p>
    <w:p w14:paraId="5B57B421" w14:textId="77777777" w:rsidR="00F75CD7" w:rsidRPr="00F75CD7" w:rsidRDefault="00F75CD7">
      <w:pPr>
        <w:numPr>
          <w:ilvl w:val="0"/>
          <w:numId w:val="24"/>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Ministerio de Seguridad Pública (notificaciones, para acompañamientos de retiro de enseres personales, desalojos, decomiso de armas, realizar citaciones). Apoyo en situaciones de emergencia. </w:t>
      </w:r>
    </w:p>
    <w:p w14:paraId="4EA629E8" w14:textId="77777777" w:rsidR="00F75CD7" w:rsidRPr="00F75CD7" w:rsidRDefault="00F75CD7">
      <w:pPr>
        <w:numPr>
          <w:ilvl w:val="0"/>
          <w:numId w:val="24"/>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Organismo de Investigación Judicial (localización de presuntos agresores, cuando ya se cuenta con actas de notificación de Fuerza Pública negativas o cuando la persona solicitante desconoce donde se ubica el presunto agresor).</w:t>
      </w:r>
    </w:p>
    <w:p w14:paraId="57A293E7" w14:textId="77777777" w:rsidR="00F75CD7" w:rsidRPr="00F75CD7" w:rsidRDefault="00F75CD7">
      <w:pPr>
        <w:numPr>
          <w:ilvl w:val="0"/>
          <w:numId w:val="24"/>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Caja Costarricense del Seguro Social (con la oficina de Trabajo Social, que remiten al Juzgado la referencia para que inicie la causa a nivel judicial).</w:t>
      </w:r>
    </w:p>
    <w:p w14:paraId="1310F0F8" w14:textId="77777777" w:rsidR="00F75CD7" w:rsidRPr="00F75CD7" w:rsidRDefault="00F75CD7">
      <w:pPr>
        <w:numPr>
          <w:ilvl w:val="0"/>
          <w:numId w:val="24"/>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Juzgados de Pensiones Alimentarias: cuando deben realizar un testimonio de piezas o coordinación para otorgar una pensión alimentaria provisional.</w:t>
      </w:r>
    </w:p>
    <w:p w14:paraId="6D77717E" w14:textId="1A49D4C1" w:rsidR="006A551F" w:rsidRDefault="006A551F" w:rsidP="00A65874">
      <w:pPr>
        <w:rPr>
          <w:lang w:val="es-ES"/>
        </w:rPr>
      </w:pPr>
    </w:p>
    <w:p w14:paraId="491F0708" w14:textId="62D3BBF2" w:rsidR="00D87E50" w:rsidRDefault="00D87E50" w:rsidP="001D0C10">
      <w:pPr>
        <w:jc w:val="both"/>
        <w:rPr>
          <w:rFonts w:ascii="Book Antiqua" w:eastAsia="Calibri" w:hAnsi="Book Antiqua" w:cs="Arial"/>
          <w:sz w:val="24"/>
          <w:szCs w:val="24"/>
          <w:lang w:val="es-ES_tradnl" w:eastAsia="es-CR"/>
        </w:rPr>
      </w:pPr>
      <w:r w:rsidRPr="00FE5950">
        <w:rPr>
          <w:rFonts w:ascii="Book Antiqua" w:eastAsia="Calibri" w:hAnsi="Book Antiqua" w:cs="Arial"/>
          <w:sz w:val="24"/>
          <w:szCs w:val="24"/>
          <w:lang w:val="es-ES_tradnl" w:eastAsia="es-CR"/>
        </w:rPr>
        <w:t xml:space="preserve">Como parte del modelo de tramitación se </w:t>
      </w:r>
      <w:r w:rsidR="00FE5950" w:rsidRPr="00FE5950">
        <w:rPr>
          <w:rFonts w:ascii="Book Antiqua" w:eastAsia="Calibri" w:hAnsi="Book Antiqua" w:cs="Arial"/>
          <w:sz w:val="24"/>
          <w:szCs w:val="24"/>
          <w:lang w:val="es-ES_tradnl" w:eastAsia="es-CR"/>
        </w:rPr>
        <w:t xml:space="preserve">establecieron oportunidades de mejora para estas coordinaciones. </w:t>
      </w:r>
    </w:p>
    <w:p w14:paraId="1B0FBD38" w14:textId="31A4198E" w:rsidR="00F75CD7" w:rsidRPr="003A1A2A" w:rsidRDefault="00F75CD7"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A1A2A">
        <w:rPr>
          <w:rFonts w:ascii="Book Antiqua" w:eastAsiaTheme="majorEastAsia" w:hAnsi="Book Antiqua" w:cstheme="majorBidi"/>
          <w:b/>
          <w:color w:val="1F3864" w:themeColor="accent1" w:themeShade="80"/>
          <w:sz w:val="24"/>
          <w:lang w:val="es-ES"/>
        </w:rPr>
        <w:t>Sistemas Informáticos</w:t>
      </w:r>
    </w:p>
    <w:p w14:paraId="4D8AD2B8" w14:textId="77777777" w:rsidR="003A1A2A" w:rsidRDefault="003A1A2A" w:rsidP="00F75CD7">
      <w:pPr>
        <w:spacing w:after="0" w:line="276" w:lineRule="auto"/>
        <w:jc w:val="both"/>
        <w:rPr>
          <w:rFonts w:ascii="Book Antiqua" w:eastAsia="Calibri" w:hAnsi="Book Antiqua" w:cs="Arial"/>
          <w:sz w:val="24"/>
          <w:szCs w:val="24"/>
        </w:rPr>
      </w:pPr>
    </w:p>
    <w:p w14:paraId="795E0678" w14:textId="7F752EA1" w:rsidR="00F75CD7" w:rsidRPr="00F75CD7" w:rsidRDefault="00F75CD7" w:rsidP="00F75CD7">
      <w:pPr>
        <w:spacing w:after="0" w:line="276" w:lineRule="auto"/>
        <w:jc w:val="both"/>
        <w:rPr>
          <w:rFonts w:ascii="Book Antiqua" w:eastAsia="Calibri" w:hAnsi="Book Antiqua" w:cs="Arial"/>
          <w:sz w:val="24"/>
          <w:szCs w:val="24"/>
        </w:rPr>
      </w:pPr>
      <w:r w:rsidRPr="00F75CD7">
        <w:rPr>
          <w:rFonts w:ascii="Book Antiqua" w:eastAsia="Calibri" w:hAnsi="Book Antiqua" w:cs="Arial"/>
          <w:sz w:val="24"/>
          <w:szCs w:val="24"/>
        </w:rPr>
        <w:t>En todos los Juzgados competentes en materia de Violencia Doméstica están implementados los siguientes sistemas:</w:t>
      </w:r>
    </w:p>
    <w:p w14:paraId="272B1199" w14:textId="77777777" w:rsidR="00F75CD7" w:rsidRPr="00F75CD7" w:rsidRDefault="00F75CD7" w:rsidP="00F75CD7">
      <w:pPr>
        <w:spacing w:after="0" w:line="276" w:lineRule="auto"/>
        <w:jc w:val="both"/>
        <w:rPr>
          <w:rFonts w:ascii="Book Antiqua" w:eastAsia="Calibri" w:hAnsi="Book Antiqua" w:cs="Arial"/>
          <w:sz w:val="24"/>
          <w:szCs w:val="24"/>
        </w:rPr>
      </w:pPr>
    </w:p>
    <w:p w14:paraId="3A4ED28E" w14:textId="3D7799F4"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Gestión en Línea</w:t>
      </w:r>
      <w:r w:rsidR="008A244F">
        <w:rPr>
          <w:rFonts w:ascii="Book Antiqua" w:eastAsia="Calibri" w:hAnsi="Book Antiqua" w:cs="Arial"/>
          <w:sz w:val="24"/>
          <w:szCs w:val="24"/>
          <w:lang w:eastAsia="es-CR"/>
        </w:rPr>
        <w:t>.</w:t>
      </w:r>
      <w:r w:rsidRPr="00F75CD7">
        <w:rPr>
          <w:rFonts w:ascii="Book Antiqua" w:eastAsia="Calibri" w:hAnsi="Book Antiqua" w:cs="Arial"/>
          <w:sz w:val="24"/>
          <w:szCs w:val="24"/>
          <w:lang w:eastAsia="es-CR"/>
        </w:rPr>
        <w:t xml:space="preserve"> </w:t>
      </w:r>
    </w:p>
    <w:p w14:paraId="7CF05F5C"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2C873B18" w14:textId="3059FE6F"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Gestión de despachos judiciales</w:t>
      </w:r>
      <w:r w:rsidR="008A244F">
        <w:rPr>
          <w:rFonts w:ascii="Book Antiqua" w:eastAsia="Calibri" w:hAnsi="Book Antiqua" w:cs="Arial"/>
          <w:sz w:val="24"/>
          <w:szCs w:val="24"/>
          <w:lang w:eastAsia="es-CR"/>
        </w:rPr>
        <w:t>.</w:t>
      </w:r>
    </w:p>
    <w:p w14:paraId="5AF2C622" w14:textId="0782A52B"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Itineraciones</w:t>
      </w:r>
      <w:r w:rsidR="008A244F">
        <w:rPr>
          <w:rFonts w:ascii="Book Antiqua" w:eastAsia="Calibri" w:hAnsi="Book Antiqua" w:cs="Arial"/>
          <w:sz w:val="24"/>
          <w:szCs w:val="24"/>
          <w:lang w:eastAsia="es-CR"/>
        </w:rPr>
        <w:t>.</w:t>
      </w:r>
    </w:p>
    <w:p w14:paraId="2EA7EBF5" w14:textId="3A0728FB"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Rol de Peritos</w:t>
      </w:r>
      <w:r w:rsidR="008A244F">
        <w:rPr>
          <w:rFonts w:ascii="Book Antiqua" w:eastAsia="Calibri" w:hAnsi="Book Antiqua" w:cs="Arial"/>
          <w:sz w:val="24"/>
          <w:szCs w:val="24"/>
          <w:lang w:eastAsia="es-CR"/>
        </w:rPr>
        <w:t>.</w:t>
      </w:r>
    </w:p>
    <w:p w14:paraId="5BCB475E" w14:textId="3FBBEE2A"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Agenda Cronos</w:t>
      </w:r>
      <w:r w:rsidR="008A244F">
        <w:rPr>
          <w:rFonts w:ascii="Book Antiqua" w:eastAsia="Calibri" w:hAnsi="Book Antiqua" w:cs="Arial"/>
          <w:sz w:val="24"/>
          <w:szCs w:val="24"/>
          <w:lang w:eastAsia="es-CR"/>
        </w:rPr>
        <w:t>.</w:t>
      </w:r>
    </w:p>
    <w:p w14:paraId="207DCBC6" w14:textId="27AC97F4"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Sistema de Mensajería Masiva CEMSMS</w:t>
      </w:r>
      <w:r w:rsidR="008A244F">
        <w:rPr>
          <w:rFonts w:ascii="Book Antiqua" w:eastAsia="Calibri" w:hAnsi="Book Antiqua" w:cs="Arial"/>
          <w:sz w:val="24"/>
          <w:szCs w:val="24"/>
          <w:lang w:eastAsia="es-CR"/>
        </w:rPr>
        <w:t>.</w:t>
      </w:r>
    </w:p>
    <w:p w14:paraId="14FF309E" w14:textId="234E2530"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Sistema de Registro de Personas Agresoras</w:t>
      </w:r>
      <w:r w:rsidR="008A244F">
        <w:rPr>
          <w:rFonts w:ascii="Book Antiqua" w:eastAsia="Calibri" w:hAnsi="Book Antiqua" w:cs="Arial"/>
          <w:sz w:val="24"/>
          <w:szCs w:val="24"/>
          <w:lang w:eastAsia="es-CR"/>
        </w:rPr>
        <w:t>.</w:t>
      </w:r>
    </w:p>
    <w:p w14:paraId="0F16A98D" w14:textId="1CC40E78" w:rsidR="00F75CD7" w:rsidRDefault="00F75CD7" w:rsidP="00A65874">
      <w:pPr>
        <w:rPr>
          <w:lang w:val="es-ES"/>
        </w:rPr>
      </w:pPr>
    </w:p>
    <w:p w14:paraId="04BF42FC" w14:textId="53B0DC56" w:rsidR="00695918" w:rsidRDefault="00695918" w:rsidP="00695918">
      <w:pPr>
        <w:spacing w:after="0" w:line="276" w:lineRule="auto"/>
        <w:jc w:val="both"/>
        <w:rPr>
          <w:rFonts w:ascii="Book Antiqua" w:eastAsia="Calibri" w:hAnsi="Book Antiqua" w:cs="Arial"/>
          <w:b/>
          <w:bCs/>
          <w:i/>
          <w:iCs/>
          <w:sz w:val="24"/>
          <w:szCs w:val="24"/>
        </w:rPr>
      </w:pPr>
      <w:r w:rsidRPr="00695918">
        <w:rPr>
          <w:rFonts w:ascii="Book Antiqua" w:eastAsia="Calibri" w:hAnsi="Book Antiqua" w:cs="Arial"/>
          <w:sz w:val="24"/>
          <w:szCs w:val="24"/>
        </w:rPr>
        <w:t>Al finalizar 2020 todos Juzgados de Violencia Doméstica cuentan con los sistemas debidamente implementados por parte de la Dirección de Tecnología de la Información</w:t>
      </w:r>
      <w:r w:rsidR="008A244F">
        <w:rPr>
          <w:rFonts w:ascii="Book Antiqua" w:eastAsia="Calibri" w:hAnsi="Book Antiqua" w:cs="Arial"/>
          <w:sz w:val="24"/>
          <w:szCs w:val="24"/>
        </w:rPr>
        <w:t xml:space="preserve"> y Comunicaciones</w:t>
      </w:r>
      <w:r w:rsidRPr="00695918">
        <w:rPr>
          <w:rFonts w:ascii="Book Antiqua" w:eastAsia="Calibri" w:hAnsi="Book Antiqua" w:cs="Arial"/>
          <w:sz w:val="24"/>
          <w:szCs w:val="24"/>
        </w:rPr>
        <w:t xml:space="preserve">. La información se certificó como entregable dentro del Proyecto de implementación del CPF, </w:t>
      </w:r>
      <w:r w:rsidRPr="00AA411E">
        <w:rPr>
          <w:rFonts w:ascii="Book Antiqua" w:eastAsia="Calibri" w:hAnsi="Book Antiqua" w:cs="Arial"/>
          <w:b/>
          <w:bCs/>
          <w:i/>
          <w:iCs/>
          <w:sz w:val="24"/>
          <w:szCs w:val="24"/>
        </w:rPr>
        <w:t xml:space="preserve">anexo </w:t>
      </w:r>
      <w:r w:rsidR="00826A36">
        <w:rPr>
          <w:rFonts w:ascii="Book Antiqua" w:eastAsia="Calibri" w:hAnsi="Book Antiqua" w:cs="Arial"/>
          <w:b/>
          <w:bCs/>
          <w:i/>
          <w:iCs/>
          <w:sz w:val="24"/>
          <w:szCs w:val="24"/>
        </w:rPr>
        <w:t>10</w:t>
      </w:r>
      <w:r w:rsidRPr="00AA411E">
        <w:rPr>
          <w:rFonts w:ascii="Book Antiqua" w:eastAsia="Calibri" w:hAnsi="Book Antiqua" w:cs="Arial"/>
          <w:b/>
          <w:bCs/>
          <w:i/>
          <w:iCs/>
          <w:sz w:val="24"/>
          <w:szCs w:val="24"/>
        </w:rPr>
        <w:t>.</w:t>
      </w:r>
    </w:p>
    <w:p w14:paraId="0B6CC1AA" w14:textId="77777777" w:rsidR="00040602" w:rsidRDefault="00040602" w:rsidP="00695918">
      <w:pPr>
        <w:spacing w:after="0" w:line="276" w:lineRule="auto"/>
        <w:jc w:val="both"/>
        <w:rPr>
          <w:rFonts w:ascii="Book Antiqua" w:eastAsia="Calibri" w:hAnsi="Book Antiqua" w:cs="Arial"/>
          <w:b/>
          <w:bCs/>
          <w:i/>
          <w:iCs/>
          <w:sz w:val="24"/>
          <w:szCs w:val="24"/>
        </w:rPr>
      </w:pPr>
    </w:p>
    <w:p w14:paraId="63D3595B" w14:textId="34723D43" w:rsidR="00040602" w:rsidRPr="00040602" w:rsidRDefault="00040602" w:rsidP="00695918">
      <w:pPr>
        <w:spacing w:after="0" w:line="276" w:lineRule="auto"/>
        <w:jc w:val="both"/>
        <w:rPr>
          <w:rFonts w:ascii="Book Antiqua" w:eastAsia="Calibri" w:hAnsi="Book Antiqua" w:cs="Arial"/>
          <w:sz w:val="24"/>
          <w:szCs w:val="24"/>
          <w:highlight w:val="yellow"/>
        </w:rPr>
      </w:pPr>
      <w:r>
        <w:rPr>
          <w:rFonts w:ascii="Book Antiqua" w:eastAsia="Calibri" w:hAnsi="Book Antiqua" w:cs="Arial"/>
          <w:sz w:val="24"/>
          <w:szCs w:val="24"/>
        </w:rPr>
        <w:t xml:space="preserve">Adicionalmente como parte del proyecto de despacho modelo de </w:t>
      </w:r>
      <w:r w:rsidR="00A46B83">
        <w:rPr>
          <w:rFonts w:ascii="Book Antiqua" w:eastAsia="Calibri" w:hAnsi="Book Antiqua" w:cs="Arial"/>
          <w:sz w:val="24"/>
          <w:szCs w:val="24"/>
        </w:rPr>
        <w:t>V</w:t>
      </w:r>
      <w:r>
        <w:rPr>
          <w:rFonts w:ascii="Book Antiqua" w:eastAsia="Calibri" w:hAnsi="Book Antiqua" w:cs="Arial"/>
          <w:sz w:val="24"/>
          <w:szCs w:val="24"/>
        </w:rPr>
        <w:t xml:space="preserve">iolencia </w:t>
      </w:r>
      <w:r w:rsidR="00A46B83">
        <w:rPr>
          <w:rFonts w:ascii="Book Antiqua" w:eastAsia="Calibri" w:hAnsi="Book Antiqua" w:cs="Arial"/>
          <w:sz w:val="24"/>
          <w:szCs w:val="24"/>
        </w:rPr>
        <w:t>D</w:t>
      </w:r>
      <w:r>
        <w:rPr>
          <w:rFonts w:ascii="Book Antiqua" w:eastAsia="Calibri" w:hAnsi="Book Antiqua" w:cs="Arial"/>
          <w:sz w:val="24"/>
          <w:szCs w:val="24"/>
        </w:rPr>
        <w:t xml:space="preserve">oméstica se han recopilado una serie de </w:t>
      </w:r>
      <w:r w:rsidR="00753055">
        <w:rPr>
          <w:rFonts w:ascii="Book Antiqua" w:eastAsia="Calibri" w:hAnsi="Book Antiqua" w:cs="Arial"/>
          <w:sz w:val="24"/>
          <w:szCs w:val="24"/>
        </w:rPr>
        <w:t xml:space="preserve">mejoras tecnológicas que </w:t>
      </w:r>
      <w:r w:rsidR="00653AE1">
        <w:rPr>
          <w:rFonts w:ascii="Book Antiqua" w:eastAsia="Calibri" w:hAnsi="Book Antiqua" w:cs="Arial"/>
          <w:sz w:val="24"/>
          <w:szCs w:val="24"/>
        </w:rPr>
        <w:t>promuev</w:t>
      </w:r>
      <w:r w:rsidR="008A244F">
        <w:rPr>
          <w:rFonts w:ascii="Book Antiqua" w:eastAsia="Calibri" w:hAnsi="Book Antiqua" w:cs="Arial"/>
          <w:sz w:val="24"/>
          <w:szCs w:val="24"/>
        </w:rPr>
        <w:t>e</w:t>
      </w:r>
      <w:r w:rsidR="00653AE1">
        <w:rPr>
          <w:rFonts w:ascii="Book Antiqua" w:eastAsia="Calibri" w:hAnsi="Book Antiqua" w:cs="Arial"/>
          <w:sz w:val="24"/>
          <w:szCs w:val="24"/>
        </w:rPr>
        <w:t>n la automatización y simplificación de trámites.</w:t>
      </w:r>
    </w:p>
    <w:p w14:paraId="286BD614" w14:textId="77777777" w:rsidR="00695918" w:rsidRDefault="00695918" w:rsidP="00A65874">
      <w:pPr>
        <w:rPr>
          <w:lang w:val="es-ES"/>
        </w:rPr>
      </w:pPr>
    </w:p>
    <w:p w14:paraId="25595FF9" w14:textId="36AC6A00" w:rsidR="00695918" w:rsidRPr="003A1A2A" w:rsidRDefault="00695918"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A1A2A">
        <w:rPr>
          <w:rFonts w:ascii="Book Antiqua" w:eastAsiaTheme="majorEastAsia" w:hAnsi="Book Antiqua" w:cstheme="majorBidi"/>
          <w:b/>
          <w:color w:val="1F3864" w:themeColor="accent1" w:themeShade="80"/>
          <w:sz w:val="24"/>
          <w:lang w:val="es-ES"/>
        </w:rPr>
        <w:t>Libros de Control</w:t>
      </w:r>
    </w:p>
    <w:p w14:paraId="38FAD60D" w14:textId="77777777" w:rsidR="003A1A2A" w:rsidRDefault="003A1A2A" w:rsidP="00695918">
      <w:pPr>
        <w:spacing w:after="0" w:line="276" w:lineRule="auto"/>
        <w:jc w:val="both"/>
        <w:rPr>
          <w:rFonts w:ascii="Book Antiqua" w:eastAsia="Calibri" w:hAnsi="Book Antiqua" w:cs="Arial"/>
          <w:sz w:val="24"/>
          <w:szCs w:val="24"/>
        </w:rPr>
      </w:pPr>
    </w:p>
    <w:p w14:paraId="57636C7B" w14:textId="10D71D95" w:rsidR="00695918" w:rsidRDefault="00A973AD" w:rsidP="0069591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los </w:t>
      </w:r>
      <w:r w:rsidR="00695918" w:rsidRPr="00695918">
        <w:rPr>
          <w:rFonts w:ascii="Book Antiqua" w:eastAsia="Calibri" w:hAnsi="Book Antiqua" w:cs="Arial"/>
          <w:sz w:val="24"/>
          <w:szCs w:val="24"/>
        </w:rPr>
        <w:t xml:space="preserve">Juzgados de Violencia Doméstica </w:t>
      </w:r>
      <w:r>
        <w:rPr>
          <w:rFonts w:ascii="Book Antiqua" w:eastAsia="Calibri" w:hAnsi="Book Antiqua" w:cs="Arial"/>
          <w:sz w:val="24"/>
          <w:szCs w:val="24"/>
        </w:rPr>
        <w:t xml:space="preserve">se definió un estándar de los libros de control que constan en el informe de </w:t>
      </w:r>
      <w:r w:rsidRPr="003910C3">
        <w:rPr>
          <w:rFonts w:ascii="Book Antiqua" w:eastAsia="Calibri" w:hAnsi="Book Antiqua" w:cs="Arial"/>
          <w:sz w:val="24"/>
          <w:szCs w:val="24"/>
        </w:rPr>
        <w:t xml:space="preserve">oficina </w:t>
      </w:r>
      <w:r w:rsidR="003910C3" w:rsidRPr="003910C3">
        <w:rPr>
          <w:rFonts w:ascii="Book Antiqua" w:eastAsia="Calibri" w:hAnsi="Book Antiqua" w:cs="Arial"/>
          <w:sz w:val="24"/>
          <w:szCs w:val="24"/>
        </w:rPr>
        <w:t>M</w:t>
      </w:r>
      <w:r w:rsidRPr="003910C3">
        <w:rPr>
          <w:rFonts w:ascii="Book Antiqua" w:eastAsia="Calibri" w:hAnsi="Book Antiqua" w:cs="Arial"/>
          <w:sz w:val="24"/>
          <w:szCs w:val="24"/>
        </w:rPr>
        <w:t xml:space="preserve">odelo </w:t>
      </w:r>
      <w:r w:rsidR="003910C3" w:rsidRPr="003910C3">
        <w:rPr>
          <w:rFonts w:ascii="Book Antiqua" w:eastAsia="Calibri" w:hAnsi="Book Antiqua" w:cs="Arial"/>
          <w:sz w:val="24"/>
          <w:szCs w:val="24"/>
        </w:rPr>
        <w:t>1170-PLA-MI(NPL)-2022.</w:t>
      </w:r>
      <w:r>
        <w:rPr>
          <w:rFonts w:ascii="Book Antiqua" w:eastAsia="Calibri" w:hAnsi="Book Antiqua" w:cs="Arial"/>
          <w:sz w:val="24"/>
          <w:szCs w:val="24"/>
        </w:rPr>
        <w:t xml:space="preserve"> </w:t>
      </w:r>
    </w:p>
    <w:p w14:paraId="2C6291DE"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bookmarkStart w:id="78" w:name="_Hlk63412425"/>
    </w:p>
    <w:p w14:paraId="5DDDD31C" w14:textId="1B233C96" w:rsidR="00695918" w:rsidRPr="003A1A2A" w:rsidRDefault="00695918"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79" w:name="_Hlk97001442"/>
      <w:bookmarkEnd w:id="78"/>
      <w:r w:rsidRPr="003A1A2A">
        <w:rPr>
          <w:rFonts w:ascii="Book Antiqua" w:eastAsiaTheme="majorEastAsia" w:hAnsi="Book Antiqua" w:cstheme="majorBidi"/>
          <w:b/>
          <w:color w:val="1F3864" w:themeColor="accent1" w:themeShade="80"/>
          <w:sz w:val="24"/>
          <w:lang w:val="es-ES"/>
        </w:rPr>
        <w:t>Modelo de Sostenibilidad y Seguimiento de los proyectos de rediseño de oficinas en materia de Violencia Doméstica</w:t>
      </w:r>
      <w:bookmarkEnd w:id="79"/>
    </w:p>
    <w:p w14:paraId="465B283B" w14:textId="77777777" w:rsidR="003A1A2A" w:rsidRDefault="003A1A2A" w:rsidP="00695918">
      <w:pPr>
        <w:spacing w:after="0" w:line="276" w:lineRule="auto"/>
        <w:jc w:val="both"/>
        <w:rPr>
          <w:rFonts w:ascii="Book Antiqua" w:eastAsia="Calibri" w:hAnsi="Book Antiqua" w:cs="Arial"/>
          <w:sz w:val="24"/>
          <w:szCs w:val="24"/>
        </w:rPr>
      </w:pPr>
    </w:p>
    <w:p w14:paraId="3E15461A" w14:textId="362F1BCF" w:rsid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El diseño de la matriz de indicadores de gestión para los despachos competentes en materia de Violencia Doméstica tom</w:t>
      </w:r>
      <w:r w:rsidR="008A244F">
        <w:rPr>
          <w:rFonts w:ascii="Book Antiqua" w:eastAsia="Calibri" w:hAnsi="Book Antiqua" w:cs="Arial"/>
          <w:sz w:val="24"/>
          <w:szCs w:val="24"/>
        </w:rPr>
        <w:t>ó</w:t>
      </w:r>
      <w:r w:rsidRPr="00695918">
        <w:rPr>
          <w:rFonts w:ascii="Book Antiqua" w:eastAsia="Calibri" w:hAnsi="Book Antiqua" w:cs="Arial"/>
          <w:sz w:val="24"/>
          <w:szCs w:val="24"/>
        </w:rPr>
        <w:t xml:space="preserve"> en consideración Rediseños en los Juzgados de Familia del Segundo Circuito Judicial de Alajuela y Cartago y fueron debidamente validados con el equipo gestor, en donde los indicadores se categorizan de la siguiente manera: </w:t>
      </w:r>
    </w:p>
    <w:p w14:paraId="6A9BA92B" w14:textId="77777777" w:rsidR="00404722" w:rsidRPr="00695918" w:rsidRDefault="00404722" w:rsidP="00695918">
      <w:pPr>
        <w:spacing w:after="0" w:line="276" w:lineRule="auto"/>
        <w:jc w:val="both"/>
        <w:rPr>
          <w:rFonts w:ascii="Book Antiqua" w:eastAsia="Calibri" w:hAnsi="Book Antiqua" w:cs="Arial"/>
          <w:sz w:val="24"/>
          <w:szCs w:val="24"/>
        </w:rPr>
      </w:pPr>
    </w:p>
    <w:p w14:paraId="512F256B" w14:textId="77777777" w:rsidR="00695918" w:rsidRPr="00695918" w:rsidRDefault="00695918" w:rsidP="00695918">
      <w:pPr>
        <w:spacing w:after="0" w:line="276" w:lineRule="auto"/>
        <w:jc w:val="both"/>
        <w:rPr>
          <w:rFonts w:ascii="Book Antiqua" w:eastAsia="Calibri" w:hAnsi="Book Antiqua" w:cs="Arial"/>
          <w:sz w:val="24"/>
        </w:rPr>
      </w:pPr>
      <w:r w:rsidRPr="00695918">
        <w:rPr>
          <w:rFonts w:ascii="Book Antiqua" w:eastAsia="Calibri" w:hAnsi="Book Antiqua" w:cs="Arial"/>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8BB48C6"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63E391AB"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2C5840BD"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50B8508D"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49F70C69" w14:textId="77777777" w:rsidR="00695918" w:rsidRPr="00695918" w:rsidRDefault="00695918" w:rsidP="00695918">
      <w:pPr>
        <w:spacing w:after="0" w:line="276" w:lineRule="auto"/>
        <w:jc w:val="both"/>
        <w:rPr>
          <w:rFonts w:ascii="Book Antiqua" w:eastAsia="Calibri" w:hAnsi="Book Antiqua" w:cs="Arial"/>
          <w:sz w:val="24"/>
          <w:szCs w:val="24"/>
        </w:rPr>
      </w:pPr>
    </w:p>
    <w:p w14:paraId="73B8AFBA" w14:textId="77777777" w:rsidR="00A973AD"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Respecto a los indicadores y parámetros de estos, fueron sometidos a aprobación de Consejo Superior y Corte Plena mediante informe 656-PLA-RH-MI-2020 y aprobados por ambas instancias en sesiones 45-2020 celebrada el 8 de mayo de 2020, artículo XIX y sesión 31-2020 del dos de junio del 2020, artículo I, respectivamente.</w:t>
      </w:r>
    </w:p>
    <w:p w14:paraId="4DC564F5" w14:textId="77777777" w:rsidR="00A973AD" w:rsidRDefault="00A973AD" w:rsidP="00695918">
      <w:pPr>
        <w:spacing w:after="0" w:line="276" w:lineRule="auto"/>
        <w:jc w:val="both"/>
        <w:rPr>
          <w:rFonts w:ascii="Book Antiqua" w:eastAsia="Calibri" w:hAnsi="Book Antiqua" w:cs="Arial"/>
          <w:sz w:val="24"/>
          <w:szCs w:val="24"/>
        </w:rPr>
      </w:pPr>
    </w:p>
    <w:p w14:paraId="25A3F429" w14:textId="760603C9" w:rsidR="00695918" w:rsidRPr="00695918" w:rsidRDefault="00A973AD" w:rsidP="0069591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matriz fue actualizada como parte del diseño del Modelo de oficina, una vez aprobada por el Consejo Superior se aplicará a nivel nacional.</w:t>
      </w:r>
      <w:r w:rsidR="00695918" w:rsidRPr="00695918">
        <w:rPr>
          <w:rFonts w:ascii="Book Antiqua" w:eastAsia="Calibri" w:hAnsi="Book Antiqua" w:cs="Arial"/>
          <w:sz w:val="24"/>
          <w:szCs w:val="24"/>
        </w:rPr>
        <w:t xml:space="preserve"> </w:t>
      </w:r>
    </w:p>
    <w:p w14:paraId="1DDA7E78" w14:textId="77777777" w:rsidR="00695918" w:rsidRPr="00695918" w:rsidRDefault="00695918" w:rsidP="00695918">
      <w:pPr>
        <w:spacing w:after="0" w:line="276" w:lineRule="auto"/>
        <w:jc w:val="both"/>
        <w:rPr>
          <w:rFonts w:ascii="Book Antiqua" w:eastAsia="Calibri" w:hAnsi="Book Antiqua" w:cs="Arial"/>
          <w:sz w:val="24"/>
          <w:szCs w:val="24"/>
        </w:rPr>
      </w:pPr>
    </w:p>
    <w:p w14:paraId="343DA06C"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53DEAEBB" w14:textId="45CC43FF" w:rsidR="00272183" w:rsidRPr="00D54B9F" w:rsidRDefault="008A5896" w:rsidP="00D54B9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80" w:name="_Hlk97083534"/>
      <w:r w:rsidRPr="00D54B9F">
        <w:rPr>
          <w:rFonts w:ascii="Book Antiqua" w:eastAsiaTheme="majorEastAsia" w:hAnsi="Book Antiqua" w:cstheme="majorBidi"/>
          <w:b/>
          <w:color w:val="1F3864" w:themeColor="accent1" w:themeShade="80"/>
          <w:sz w:val="24"/>
          <w:lang w:val="es-ES"/>
        </w:rPr>
        <w:t xml:space="preserve"> Impacto del Código Procesal de Familia a partir del 1 de octubre de 202</w:t>
      </w:r>
      <w:r w:rsidR="004C3088">
        <w:rPr>
          <w:rFonts w:ascii="Book Antiqua" w:eastAsiaTheme="majorEastAsia" w:hAnsi="Book Antiqua" w:cstheme="majorBidi"/>
          <w:b/>
          <w:color w:val="1F3864" w:themeColor="accent1" w:themeShade="80"/>
          <w:sz w:val="24"/>
          <w:lang w:val="es-ES"/>
        </w:rPr>
        <w:t>4</w:t>
      </w:r>
      <w:r w:rsidRPr="00D54B9F">
        <w:rPr>
          <w:rFonts w:ascii="Book Antiqua" w:eastAsiaTheme="majorEastAsia" w:hAnsi="Book Antiqua" w:cstheme="majorBidi"/>
          <w:b/>
          <w:color w:val="1F3864" w:themeColor="accent1" w:themeShade="80"/>
          <w:sz w:val="24"/>
          <w:lang w:val="es-ES"/>
        </w:rPr>
        <w:t xml:space="preserve"> en materia de Violencia Doméstica</w:t>
      </w:r>
    </w:p>
    <w:bookmarkEnd w:id="80"/>
    <w:p w14:paraId="1D757294" w14:textId="3DB94B2B" w:rsidR="00272183" w:rsidRDefault="00272183" w:rsidP="00695918">
      <w:pPr>
        <w:rPr>
          <w:rFonts w:ascii="Book Antiqua" w:hAnsi="Book Antiqua"/>
          <w:i/>
          <w:iCs/>
          <w:lang w:val="es-ES"/>
        </w:rPr>
      </w:pPr>
    </w:p>
    <w:p w14:paraId="1888B74C" w14:textId="7FD92715" w:rsidR="00272183" w:rsidRPr="00661A24" w:rsidRDefault="00272183" w:rsidP="00661A24">
      <w:pPr>
        <w:spacing w:after="0" w:line="276" w:lineRule="auto"/>
        <w:jc w:val="both"/>
        <w:rPr>
          <w:rFonts w:ascii="Book Antiqua" w:eastAsia="Calibri" w:hAnsi="Book Antiqua" w:cs="Arial"/>
          <w:b/>
          <w:bCs/>
          <w:sz w:val="24"/>
          <w:szCs w:val="24"/>
        </w:rPr>
      </w:pPr>
      <w:r w:rsidRPr="00661A24">
        <w:rPr>
          <w:rFonts w:ascii="Book Antiqua" w:eastAsia="Calibri" w:hAnsi="Book Antiqua" w:cs="Arial"/>
          <w:b/>
          <w:bCs/>
          <w:sz w:val="24"/>
          <w:szCs w:val="24"/>
        </w:rPr>
        <w:t>Análisis de cargas de trabajo actual y proyectada</w:t>
      </w:r>
      <w:r w:rsidR="00226EC7" w:rsidRPr="00661A24">
        <w:rPr>
          <w:rFonts w:ascii="Book Antiqua" w:eastAsia="Calibri" w:hAnsi="Book Antiqua" w:cs="Arial"/>
          <w:b/>
          <w:bCs/>
          <w:sz w:val="24"/>
          <w:szCs w:val="24"/>
        </w:rPr>
        <w:t xml:space="preserve"> en Violencia Doméstica</w:t>
      </w:r>
    </w:p>
    <w:p w14:paraId="08857B54" w14:textId="03D8FCAB" w:rsidR="00272183" w:rsidRDefault="00272183" w:rsidP="00695918">
      <w:pPr>
        <w:rPr>
          <w:rFonts w:ascii="Book Antiqua" w:hAnsi="Book Antiqua"/>
          <w:i/>
          <w:iCs/>
          <w:lang w:val="es-ES"/>
        </w:rPr>
      </w:pPr>
    </w:p>
    <w:p w14:paraId="03A7D5DF" w14:textId="2A30F5FE" w:rsidR="00272183" w:rsidRPr="00272183" w:rsidRDefault="00272183" w:rsidP="00272183">
      <w:pPr>
        <w:spacing w:after="0" w:line="276" w:lineRule="auto"/>
        <w:jc w:val="both"/>
        <w:rPr>
          <w:rFonts w:ascii="Book Antiqua" w:eastAsia="Calibri" w:hAnsi="Book Antiqua" w:cs="Arial"/>
          <w:sz w:val="24"/>
          <w:szCs w:val="24"/>
        </w:rPr>
      </w:pPr>
      <w:r w:rsidRPr="00272183">
        <w:rPr>
          <w:rFonts w:ascii="Book Antiqua" w:eastAsia="Calibri" w:hAnsi="Book Antiqua" w:cs="Arial"/>
          <w:sz w:val="24"/>
          <w:szCs w:val="24"/>
        </w:rPr>
        <w:t>De igual modo y con la finalidad de conocer el estado actual de los juzgados que atienden la materia de Violencia Doméstica, se analiza la carga de trabajo de los 12 despachos especializados que conocen esta materia en el país, en relación con la cantidad de casos entrados de 2017 a 20</w:t>
      </w:r>
      <w:r>
        <w:rPr>
          <w:rFonts w:ascii="Book Antiqua" w:eastAsia="Calibri" w:hAnsi="Book Antiqua" w:cs="Arial"/>
          <w:sz w:val="24"/>
          <w:szCs w:val="24"/>
        </w:rPr>
        <w:t>2</w:t>
      </w:r>
      <w:r w:rsidR="004C3088">
        <w:rPr>
          <w:rFonts w:ascii="Book Antiqua" w:eastAsia="Calibri" w:hAnsi="Book Antiqua" w:cs="Arial"/>
          <w:sz w:val="24"/>
          <w:szCs w:val="24"/>
        </w:rPr>
        <w:t>2</w:t>
      </w:r>
      <w:r w:rsidRPr="00272183">
        <w:rPr>
          <w:rFonts w:ascii="Book Antiqua" w:eastAsia="Calibri" w:hAnsi="Book Antiqua" w:cs="Arial"/>
          <w:sz w:val="24"/>
          <w:szCs w:val="24"/>
        </w:rPr>
        <w:t>, a fin de establecer los valores promedio mensual de asuntos entrados por cada persona juzgadora y técnica o técnico judicial, obteniendo el siguiente resultado:</w:t>
      </w:r>
    </w:p>
    <w:p w14:paraId="3661D39C" w14:textId="2ABF1037" w:rsidR="00272183" w:rsidRDefault="00272183" w:rsidP="00695918">
      <w:pPr>
        <w:rPr>
          <w:rFonts w:ascii="Book Antiqua" w:hAnsi="Book Antiqua"/>
          <w:i/>
          <w:iCs/>
          <w:lang w:val="es-ES"/>
        </w:rPr>
      </w:pPr>
    </w:p>
    <w:p w14:paraId="18D3449C" w14:textId="076DA367"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 xml:space="preserve">Cuadro </w:t>
      </w:r>
      <w:r w:rsidRPr="00272183">
        <w:rPr>
          <w:rFonts w:ascii="Book Antiqua" w:eastAsia="Calibri" w:hAnsi="Book Antiqua" w:cs="Arial"/>
          <w:b/>
          <w:bCs/>
          <w:color w:val="1F497D"/>
          <w:szCs w:val="24"/>
          <w:lang w:val="es-ES" w:eastAsia="es-ES"/>
        </w:rPr>
        <w:fldChar w:fldCharType="begin"/>
      </w:r>
      <w:r w:rsidRPr="00272183">
        <w:rPr>
          <w:rFonts w:ascii="Book Antiqua" w:eastAsia="Calibri" w:hAnsi="Book Antiqua" w:cs="Arial"/>
          <w:b/>
          <w:bCs/>
          <w:color w:val="1F497D"/>
          <w:szCs w:val="24"/>
          <w:lang w:val="es-ES" w:eastAsia="es-ES"/>
        </w:rPr>
        <w:instrText xml:space="preserve"> SEQ Cuadro \* ARABIC </w:instrText>
      </w:r>
      <w:r w:rsidRPr="00272183">
        <w:rPr>
          <w:rFonts w:ascii="Book Antiqua" w:eastAsia="Calibri" w:hAnsi="Book Antiqua" w:cs="Arial"/>
          <w:b/>
          <w:bCs/>
          <w:color w:val="1F497D"/>
          <w:szCs w:val="24"/>
          <w:lang w:val="es-ES" w:eastAsia="es-ES"/>
        </w:rPr>
        <w:fldChar w:fldCharType="separate"/>
      </w:r>
      <w:r w:rsidR="00950574">
        <w:rPr>
          <w:rFonts w:ascii="Book Antiqua" w:eastAsia="Calibri" w:hAnsi="Book Antiqua" w:cs="Arial"/>
          <w:b/>
          <w:bCs/>
          <w:noProof/>
          <w:color w:val="1F497D"/>
          <w:szCs w:val="24"/>
          <w:lang w:val="es-ES" w:eastAsia="es-ES"/>
        </w:rPr>
        <w:t>64</w:t>
      </w:r>
      <w:r w:rsidRPr="00272183">
        <w:rPr>
          <w:rFonts w:ascii="Book Antiqua" w:eastAsia="Calibri" w:hAnsi="Book Antiqua" w:cs="Arial"/>
          <w:b/>
          <w:bCs/>
          <w:color w:val="1F497D"/>
          <w:szCs w:val="24"/>
          <w:lang w:val="es-ES" w:eastAsia="es-ES"/>
        </w:rPr>
        <w:fldChar w:fldCharType="end"/>
      </w:r>
      <w:r w:rsidRPr="00272183">
        <w:rPr>
          <w:rFonts w:ascii="Book Antiqua" w:eastAsia="Calibri" w:hAnsi="Book Antiqua" w:cs="Arial"/>
          <w:b/>
          <w:bCs/>
          <w:color w:val="1F497D"/>
          <w:szCs w:val="24"/>
          <w:lang w:val="es-ES" w:eastAsia="es-ES"/>
        </w:rPr>
        <w:t xml:space="preserve"> </w:t>
      </w:r>
    </w:p>
    <w:p w14:paraId="7BFBD628" w14:textId="77777777" w:rsidR="00272183" w:rsidRPr="00272183" w:rsidRDefault="00272183" w:rsidP="004C3088">
      <w:pPr>
        <w:keepNext/>
        <w:numPr>
          <w:ilvl w:val="12"/>
          <w:numId w:val="0"/>
        </w:numPr>
        <w:spacing w:after="0" w:line="240"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 xml:space="preserve">Movimiento histórico de los asuntos en los Juzgados </w:t>
      </w:r>
    </w:p>
    <w:p w14:paraId="0753B34C" w14:textId="051F321D" w:rsidR="00272183" w:rsidRDefault="00272183" w:rsidP="004C3088">
      <w:pPr>
        <w:keepNext/>
        <w:numPr>
          <w:ilvl w:val="12"/>
          <w:numId w:val="0"/>
        </w:numPr>
        <w:spacing w:after="0" w:line="240"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Especializados de la materia de Violencia Doméstica, del 2017 al 20</w:t>
      </w:r>
      <w:r>
        <w:rPr>
          <w:rFonts w:ascii="Book Antiqua" w:eastAsia="Calibri" w:hAnsi="Book Antiqua" w:cs="Arial"/>
          <w:b/>
          <w:bCs/>
          <w:color w:val="1F497D"/>
          <w:szCs w:val="24"/>
          <w:lang w:val="es-ES" w:eastAsia="es-ES"/>
        </w:rPr>
        <w:t>2</w:t>
      </w:r>
      <w:r w:rsidR="004C3088">
        <w:rPr>
          <w:rFonts w:ascii="Book Antiqua" w:eastAsia="Calibri" w:hAnsi="Book Antiqua" w:cs="Arial"/>
          <w:b/>
          <w:bCs/>
          <w:color w:val="1F497D"/>
          <w:szCs w:val="24"/>
          <w:lang w:val="es-ES" w:eastAsia="es-ES"/>
        </w:rPr>
        <w:t>2</w:t>
      </w:r>
    </w:p>
    <w:tbl>
      <w:tblPr>
        <w:tblW w:w="11640" w:type="dxa"/>
        <w:jc w:val="center"/>
        <w:tblCellMar>
          <w:left w:w="70" w:type="dxa"/>
          <w:right w:w="70" w:type="dxa"/>
        </w:tblCellMar>
        <w:tblLook w:val="04A0" w:firstRow="1" w:lastRow="0" w:firstColumn="1" w:lastColumn="0" w:noHBand="0" w:noVBand="1"/>
      </w:tblPr>
      <w:tblGrid>
        <w:gridCol w:w="3720"/>
        <w:gridCol w:w="1040"/>
        <w:gridCol w:w="1540"/>
        <w:gridCol w:w="1180"/>
        <w:gridCol w:w="1060"/>
        <w:gridCol w:w="1000"/>
        <w:gridCol w:w="1060"/>
        <w:gridCol w:w="1040"/>
      </w:tblGrid>
      <w:tr w:rsidR="003B428D" w:rsidRPr="003B428D" w14:paraId="60603025" w14:textId="77777777" w:rsidTr="003B428D">
        <w:trPr>
          <w:trHeight w:val="780"/>
          <w:jc w:val="center"/>
        </w:trPr>
        <w:tc>
          <w:tcPr>
            <w:tcW w:w="372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7F02546"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Despacho</w:t>
            </w:r>
          </w:p>
        </w:tc>
        <w:tc>
          <w:tcPr>
            <w:tcW w:w="2580" w:type="dxa"/>
            <w:gridSpan w:val="2"/>
            <w:tcBorders>
              <w:top w:val="single" w:sz="8" w:space="0" w:color="auto"/>
              <w:left w:val="nil"/>
              <w:bottom w:val="single" w:sz="8" w:space="0" w:color="auto"/>
              <w:right w:val="single" w:sz="8" w:space="0" w:color="000000"/>
            </w:tcBorders>
            <w:shd w:val="clear" w:color="000000" w:fill="002060"/>
            <w:vAlign w:val="center"/>
            <w:hideMark/>
          </w:tcPr>
          <w:p w14:paraId="62D2BFF3"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 xml:space="preserve">Promedio mensual </w:t>
            </w:r>
            <w:r w:rsidRPr="003B428D">
              <w:rPr>
                <w:rFonts w:ascii="Book Antiqua" w:eastAsia="Times New Roman" w:hAnsi="Book Antiqua" w:cs="Calibri"/>
                <w:b/>
                <w:bCs/>
                <w:color w:val="FFFFFF"/>
                <w:sz w:val="18"/>
                <w:szCs w:val="18"/>
                <w:lang w:eastAsia="es-CR"/>
              </w:rPr>
              <w:br/>
              <w:t>2017-2022</w:t>
            </w:r>
          </w:p>
        </w:tc>
        <w:tc>
          <w:tcPr>
            <w:tcW w:w="11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A1ABF18"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Relación terminados / entrados totales</w:t>
            </w:r>
          </w:p>
        </w:tc>
        <w:tc>
          <w:tcPr>
            <w:tcW w:w="2060" w:type="dxa"/>
            <w:gridSpan w:val="2"/>
            <w:tcBorders>
              <w:top w:val="single" w:sz="8" w:space="0" w:color="auto"/>
              <w:left w:val="nil"/>
              <w:bottom w:val="single" w:sz="8" w:space="0" w:color="auto"/>
              <w:right w:val="single" w:sz="8" w:space="0" w:color="000000"/>
            </w:tcBorders>
            <w:shd w:val="clear" w:color="000000" w:fill="002060"/>
            <w:vAlign w:val="center"/>
            <w:hideMark/>
          </w:tcPr>
          <w:p w14:paraId="7F21D22F"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Entrados mensuales</w:t>
            </w:r>
          </w:p>
        </w:tc>
        <w:tc>
          <w:tcPr>
            <w:tcW w:w="2100" w:type="dxa"/>
            <w:gridSpan w:val="2"/>
            <w:tcBorders>
              <w:top w:val="single" w:sz="8" w:space="0" w:color="auto"/>
              <w:left w:val="nil"/>
              <w:bottom w:val="single" w:sz="8" w:space="0" w:color="auto"/>
              <w:right w:val="single" w:sz="8" w:space="0" w:color="000000"/>
            </w:tcBorders>
            <w:shd w:val="clear" w:color="000000" w:fill="002060"/>
            <w:vAlign w:val="center"/>
            <w:hideMark/>
          </w:tcPr>
          <w:p w14:paraId="4F894671"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Terminados mensuales</w:t>
            </w:r>
          </w:p>
        </w:tc>
      </w:tr>
      <w:tr w:rsidR="003B428D" w:rsidRPr="003B428D" w14:paraId="7B7D091B" w14:textId="77777777" w:rsidTr="003B428D">
        <w:trPr>
          <w:trHeight w:val="490"/>
          <w:jc w:val="center"/>
        </w:trPr>
        <w:tc>
          <w:tcPr>
            <w:tcW w:w="3720" w:type="dxa"/>
            <w:vMerge/>
            <w:tcBorders>
              <w:top w:val="single" w:sz="8" w:space="0" w:color="auto"/>
              <w:left w:val="single" w:sz="8" w:space="0" w:color="auto"/>
              <w:bottom w:val="single" w:sz="8" w:space="0" w:color="000000"/>
              <w:right w:val="single" w:sz="8" w:space="0" w:color="auto"/>
            </w:tcBorders>
            <w:vAlign w:val="center"/>
            <w:hideMark/>
          </w:tcPr>
          <w:p w14:paraId="6523E623" w14:textId="77777777" w:rsidR="003B428D" w:rsidRPr="003B428D" w:rsidRDefault="003B428D" w:rsidP="003B428D">
            <w:pPr>
              <w:spacing w:after="0" w:line="240" w:lineRule="auto"/>
              <w:rPr>
                <w:rFonts w:ascii="Book Antiqua" w:eastAsia="Times New Roman" w:hAnsi="Book Antiqua" w:cs="Calibri"/>
                <w:b/>
                <w:bCs/>
                <w:color w:val="FFFFFF"/>
                <w:sz w:val="18"/>
                <w:szCs w:val="18"/>
                <w:lang w:eastAsia="es-CR"/>
              </w:rPr>
            </w:pPr>
          </w:p>
        </w:tc>
        <w:tc>
          <w:tcPr>
            <w:tcW w:w="1040" w:type="dxa"/>
            <w:tcBorders>
              <w:top w:val="nil"/>
              <w:left w:val="nil"/>
              <w:bottom w:val="single" w:sz="8" w:space="0" w:color="auto"/>
              <w:right w:val="single" w:sz="8" w:space="0" w:color="auto"/>
            </w:tcBorders>
            <w:shd w:val="clear" w:color="000000" w:fill="002060"/>
            <w:vAlign w:val="center"/>
            <w:hideMark/>
          </w:tcPr>
          <w:p w14:paraId="2D40BFBB"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Entrados totales</w:t>
            </w:r>
          </w:p>
        </w:tc>
        <w:tc>
          <w:tcPr>
            <w:tcW w:w="1540" w:type="dxa"/>
            <w:tcBorders>
              <w:top w:val="nil"/>
              <w:left w:val="nil"/>
              <w:bottom w:val="single" w:sz="8" w:space="0" w:color="auto"/>
              <w:right w:val="single" w:sz="8" w:space="0" w:color="auto"/>
            </w:tcBorders>
            <w:shd w:val="clear" w:color="000000" w:fill="002060"/>
            <w:vAlign w:val="center"/>
            <w:hideMark/>
          </w:tcPr>
          <w:p w14:paraId="28083BCE"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Terminados</w:t>
            </w:r>
          </w:p>
        </w:tc>
        <w:tc>
          <w:tcPr>
            <w:tcW w:w="1180" w:type="dxa"/>
            <w:vMerge/>
            <w:tcBorders>
              <w:top w:val="single" w:sz="8" w:space="0" w:color="auto"/>
              <w:left w:val="single" w:sz="8" w:space="0" w:color="auto"/>
              <w:bottom w:val="single" w:sz="8" w:space="0" w:color="000000"/>
              <w:right w:val="single" w:sz="8" w:space="0" w:color="auto"/>
            </w:tcBorders>
            <w:vAlign w:val="center"/>
            <w:hideMark/>
          </w:tcPr>
          <w:p w14:paraId="5EEB23A1" w14:textId="77777777" w:rsidR="003B428D" w:rsidRPr="003B428D" w:rsidRDefault="003B428D" w:rsidP="003B428D">
            <w:pPr>
              <w:spacing w:after="0" w:line="240" w:lineRule="auto"/>
              <w:rPr>
                <w:rFonts w:ascii="Book Antiqua" w:eastAsia="Times New Roman" w:hAnsi="Book Antiqua" w:cs="Calibri"/>
                <w:b/>
                <w:bCs/>
                <w:color w:val="FFFFFF"/>
                <w:sz w:val="18"/>
                <w:szCs w:val="18"/>
                <w:lang w:eastAsia="es-CR"/>
              </w:rPr>
            </w:pPr>
          </w:p>
        </w:tc>
        <w:tc>
          <w:tcPr>
            <w:tcW w:w="1060" w:type="dxa"/>
            <w:tcBorders>
              <w:top w:val="nil"/>
              <w:left w:val="nil"/>
              <w:bottom w:val="single" w:sz="8" w:space="0" w:color="auto"/>
              <w:right w:val="single" w:sz="8" w:space="0" w:color="auto"/>
            </w:tcBorders>
            <w:shd w:val="clear" w:color="000000" w:fill="002060"/>
            <w:vAlign w:val="center"/>
            <w:hideMark/>
          </w:tcPr>
          <w:p w14:paraId="7DC2B080"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Jueza o Juez</w:t>
            </w:r>
          </w:p>
        </w:tc>
        <w:tc>
          <w:tcPr>
            <w:tcW w:w="1000" w:type="dxa"/>
            <w:tcBorders>
              <w:top w:val="nil"/>
              <w:left w:val="nil"/>
              <w:bottom w:val="single" w:sz="8" w:space="0" w:color="auto"/>
              <w:right w:val="single" w:sz="8" w:space="0" w:color="auto"/>
            </w:tcBorders>
            <w:shd w:val="clear" w:color="000000" w:fill="002060"/>
            <w:vAlign w:val="center"/>
            <w:hideMark/>
          </w:tcPr>
          <w:p w14:paraId="30FA169C"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Téc. Jud.</w:t>
            </w:r>
          </w:p>
        </w:tc>
        <w:tc>
          <w:tcPr>
            <w:tcW w:w="1060" w:type="dxa"/>
            <w:tcBorders>
              <w:top w:val="nil"/>
              <w:left w:val="nil"/>
              <w:bottom w:val="single" w:sz="8" w:space="0" w:color="auto"/>
              <w:right w:val="single" w:sz="8" w:space="0" w:color="auto"/>
            </w:tcBorders>
            <w:shd w:val="clear" w:color="000000" w:fill="002060"/>
            <w:vAlign w:val="center"/>
            <w:hideMark/>
          </w:tcPr>
          <w:p w14:paraId="05423F1C"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Jueza o Juez</w:t>
            </w:r>
          </w:p>
        </w:tc>
        <w:tc>
          <w:tcPr>
            <w:tcW w:w="1040" w:type="dxa"/>
            <w:tcBorders>
              <w:top w:val="nil"/>
              <w:left w:val="nil"/>
              <w:bottom w:val="single" w:sz="8" w:space="0" w:color="auto"/>
              <w:right w:val="single" w:sz="8" w:space="0" w:color="auto"/>
            </w:tcBorders>
            <w:shd w:val="clear" w:color="000000" w:fill="002060"/>
            <w:vAlign w:val="center"/>
            <w:hideMark/>
          </w:tcPr>
          <w:p w14:paraId="597BBFE1"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Téc. Jud.</w:t>
            </w:r>
          </w:p>
        </w:tc>
      </w:tr>
      <w:tr w:rsidR="003B428D" w:rsidRPr="003B428D" w14:paraId="0963D864"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06D34002"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de Violencia Doméstica del I Circ. Jud. de la Zona Atlántica</w:t>
            </w:r>
          </w:p>
        </w:tc>
        <w:tc>
          <w:tcPr>
            <w:tcW w:w="1040" w:type="dxa"/>
            <w:tcBorders>
              <w:top w:val="nil"/>
              <w:left w:val="nil"/>
              <w:bottom w:val="single" w:sz="8" w:space="0" w:color="auto"/>
              <w:right w:val="single" w:sz="8" w:space="0" w:color="auto"/>
            </w:tcBorders>
            <w:shd w:val="clear" w:color="auto" w:fill="auto"/>
            <w:noWrap/>
            <w:vAlign w:val="center"/>
            <w:hideMark/>
          </w:tcPr>
          <w:p w14:paraId="714B2F1E"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90</w:t>
            </w:r>
          </w:p>
        </w:tc>
        <w:tc>
          <w:tcPr>
            <w:tcW w:w="1540" w:type="dxa"/>
            <w:tcBorders>
              <w:top w:val="nil"/>
              <w:left w:val="nil"/>
              <w:bottom w:val="single" w:sz="8" w:space="0" w:color="auto"/>
              <w:right w:val="single" w:sz="8" w:space="0" w:color="auto"/>
            </w:tcBorders>
            <w:shd w:val="clear" w:color="auto" w:fill="auto"/>
            <w:noWrap/>
            <w:vAlign w:val="center"/>
            <w:hideMark/>
          </w:tcPr>
          <w:p w14:paraId="6C5B7A0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93</w:t>
            </w:r>
          </w:p>
        </w:tc>
        <w:tc>
          <w:tcPr>
            <w:tcW w:w="1180" w:type="dxa"/>
            <w:tcBorders>
              <w:top w:val="nil"/>
              <w:left w:val="nil"/>
              <w:bottom w:val="single" w:sz="8" w:space="0" w:color="auto"/>
              <w:right w:val="single" w:sz="8" w:space="0" w:color="auto"/>
            </w:tcBorders>
            <w:shd w:val="clear" w:color="auto" w:fill="auto"/>
            <w:noWrap/>
            <w:vAlign w:val="center"/>
            <w:hideMark/>
          </w:tcPr>
          <w:p w14:paraId="0C660AC9"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103%</w:t>
            </w:r>
          </w:p>
        </w:tc>
        <w:tc>
          <w:tcPr>
            <w:tcW w:w="1060" w:type="dxa"/>
            <w:tcBorders>
              <w:top w:val="nil"/>
              <w:left w:val="nil"/>
              <w:bottom w:val="single" w:sz="8" w:space="0" w:color="auto"/>
              <w:right w:val="single" w:sz="8" w:space="0" w:color="auto"/>
            </w:tcBorders>
            <w:shd w:val="clear" w:color="auto" w:fill="auto"/>
            <w:noWrap/>
            <w:vAlign w:val="center"/>
            <w:hideMark/>
          </w:tcPr>
          <w:p w14:paraId="41B86E34"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90</w:t>
            </w:r>
          </w:p>
        </w:tc>
        <w:tc>
          <w:tcPr>
            <w:tcW w:w="1000" w:type="dxa"/>
            <w:tcBorders>
              <w:top w:val="nil"/>
              <w:left w:val="nil"/>
              <w:bottom w:val="single" w:sz="8" w:space="0" w:color="auto"/>
              <w:right w:val="single" w:sz="8" w:space="0" w:color="auto"/>
            </w:tcBorders>
            <w:shd w:val="clear" w:color="auto" w:fill="auto"/>
            <w:noWrap/>
            <w:vAlign w:val="center"/>
            <w:hideMark/>
          </w:tcPr>
          <w:p w14:paraId="5B6888A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45</w:t>
            </w:r>
          </w:p>
        </w:tc>
        <w:tc>
          <w:tcPr>
            <w:tcW w:w="1060" w:type="dxa"/>
            <w:tcBorders>
              <w:top w:val="nil"/>
              <w:left w:val="nil"/>
              <w:bottom w:val="single" w:sz="8" w:space="0" w:color="auto"/>
              <w:right w:val="single" w:sz="8" w:space="0" w:color="auto"/>
            </w:tcBorders>
            <w:shd w:val="clear" w:color="auto" w:fill="auto"/>
            <w:noWrap/>
            <w:vAlign w:val="center"/>
            <w:hideMark/>
          </w:tcPr>
          <w:p w14:paraId="545008C6"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93</w:t>
            </w:r>
          </w:p>
        </w:tc>
        <w:tc>
          <w:tcPr>
            <w:tcW w:w="1040" w:type="dxa"/>
            <w:tcBorders>
              <w:top w:val="nil"/>
              <w:left w:val="nil"/>
              <w:bottom w:val="single" w:sz="8" w:space="0" w:color="auto"/>
              <w:right w:val="single" w:sz="8" w:space="0" w:color="auto"/>
            </w:tcBorders>
            <w:shd w:val="clear" w:color="auto" w:fill="auto"/>
            <w:noWrap/>
            <w:vAlign w:val="center"/>
            <w:hideMark/>
          </w:tcPr>
          <w:p w14:paraId="1D6D690D"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46</w:t>
            </w:r>
          </w:p>
        </w:tc>
      </w:tr>
      <w:tr w:rsidR="003B428D" w:rsidRPr="003B428D" w14:paraId="280C6841"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56711E70"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Violencia Doméstica Cartago</w:t>
            </w:r>
          </w:p>
        </w:tc>
        <w:tc>
          <w:tcPr>
            <w:tcW w:w="1040" w:type="dxa"/>
            <w:tcBorders>
              <w:top w:val="nil"/>
              <w:left w:val="nil"/>
              <w:bottom w:val="single" w:sz="8" w:space="0" w:color="auto"/>
              <w:right w:val="single" w:sz="8" w:space="0" w:color="auto"/>
            </w:tcBorders>
            <w:shd w:val="clear" w:color="auto" w:fill="auto"/>
            <w:noWrap/>
            <w:vAlign w:val="center"/>
            <w:hideMark/>
          </w:tcPr>
          <w:p w14:paraId="4CA98BA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181</w:t>
            </w:r>
          </w:p>
        </w:tc>
        <w:tc>
          <w:tcPr>
            <w:tcW w:w="1540" w:type="dxa"/>
            <w:tcBorders>
              <w:top w:val="nil"/>
              <w:left w:val="nil"/>
              <w:bottom w:val="single" w:sz="8" w:space="0" w:color="auto"/>
              <w:right w:val="single" w:sz="8" w:space="0" w:color="auto"/>
            </w:tcBorders>
            <w:shd w:val="clear" w:color="auto" w:fill="auto"/>
            <w:noWrap/>
            <w:vAlign w:val="center"/>
            <w:hideMark/>
          </w:tcPr>
          <w:p w14:paraId="1F602F49"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184</w:t>
            </w:r>
          </w:p>
        </w:tc>
        <w:tc>
          <w:tcPr>
            <w:tcW w:w="1180" w:type="dxa"/>
            <w:tcBorders>
              <w:top w:val="nil"/>
              <w:left w:val="nil"/>
              <w:bottom w:val="single" w:sz="8" w:space="0" w:color="auto"/>
              <w:right w:val="single" w:sz="8" w:space="0" w:color="auto"/>
            </w:tcBorders>
            <w:shd w:val="clear" w:color="auto" w:fill="auto"/>
            <w:noWrap/>
            <w:vAlign w:val="center"/>
            <w:hideMark/>
          </w:tcPr>
          <w:p w14:paraId="4802C947"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102%</w:t>
            </w:r>
          </w:p>
        </w:tc>
        <w:tc>
          <w:tcPr>
            <w:tcW w:w="1060" w:type="dxa"/>
            <w:tcBorders>
              <w:top w:val="nil"/>
              <w:left w:val="nil"/>
              <w:bottom w:val="single" w:sz="8" w:space="0" w:color="auto"/>
              <w:right w:val="single" w:sz="8" w:space="0" w:color="auto"/>
            </w:tcBorders>
            <w:shd w:val="clear" w:color="auto" w:fill="auto"/>
            <w:noWrap/>
            <w:vAlign w:val="center"/>
            <w:hideMark/>
          </w:tcPr>
          <w:p w14:paraId="2DF086C1"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90</w:t>
            </w:r>
          </w:p>
        </w:tc>
        <w:tc>
          <w:tcPr>
            <w:tcW w:w="1000" w:type="dxa"/>
            <w:tcBorders>
              <w:top w:val="nil"/>
              <w:left w:val="nil"/>
              <w:bottom w:val="single" w:sz="8" w:space="0" w:color="auto"/>
              <w:right w:val="single" w:sz="8" w:space="0" w:color="auto"/>
            </w:tcBorders>
            <w:shd w:val="clear" w:color="auto" w:fill="auto"/>
            <w:noWrap/>
            <w:vAlign w:val="center"/>
            <w:hideMark/>
          </w:tcPr>
          <w:p w14:paraId="7F6E6B68"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60</w:t>
            </w:r>
          </w:p>
        </w:tc>
        <w:tc>
          <w:tcPr>
            <w:tcW w:w="1060" w:type="dxa"/>
            <w:tcBorders>
              <w:top w:val="nil"/>
              <w:left w:val="nil"/>
              <w:bottom w:val="single" w:sz="8" w:space="0" w:color="auto"/>
              <w:right w:val="single" w:sz="8" w:space="0" w:color="auto"/>
            </w:tcBorders>
            <w:shd w:val="clear" w:color="auto" w:fill="auto"/>
            <w:noWrap/>
            <w:vAlign w:val="center"/>
            <w:hideMark/>
          </w:tcPr>
          <w:p w14:paraId="4A1B780E"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92</w:t>
            </w:r>
          </w:p>
        </w:tc>
        <w:tc>
          <w:tcPr>
            <w:tcW w:w="1040" w:type="dxa"/>
            <w:tcBorders>
              <w:top w:val="nil"/>
              <w:left w:val="nil"/>
              <w:bottom w:val="single" w:sz="8" w:space="0" w:color="auto"/>
              <w:right w:val="single" w:sz="8" w:space="0" w:color="auto"/>
            </w:tcBorders>
            <w:shd w:val="clear" w:color="auto" w:fill="auto"/>
            <w:noWrap/>
            <w:vAlign w:val="center"/>
            <w:hideMark/>
          </w:tcPr>
          <w:p w14:paraId="1AD993EB"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61</w:t>
            </w:r>
          </w:p>
        </w:tc>
      </w:tr>
      <w:tr w:rsidR="003B428D" w:rsidRPr="003B428D" w14:paraId="6EEC38AF"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7F083CD5"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Violencia Doméstica Hatillo, San Sebas. y Alajuelita</w:t>
            </w:r>
          </w:p>
        </w:tc>
        <w:tc>
          <w:tcPr>
            <w:tcW w:w="1040" w:type="dxa"/>
            <w:tcBorders>
              <w:top w:val="nil"/>
              <w:left w:val="nil"/>
              <w:bottom w:val="single" w:sz="8" w:space="0" w:color="auto"/>
              <w:right w:val="single" w:sz="8" w:space="0" w:color="auto"/>
            </w:tcBorders>
            <w:shd w:val="clear" w:color="auto" w:fill="auto"/>
            <w:noWrap/>
            <w:vAlign w:val="center"/>
            <w:hideMark/>
          </w:tcPr>
          <w:p w14:paraId="7A12B28F"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216</w:t>
            </w:r>
          </w:p>
        </w:tc>
        <w:tc>
          <w:tcPr>
            <w:tcW w:w="1540" w:type="dxa"/>
            <w:tcBorders>
              <w:top w:val="nil"/>
              <w:left w:val="nil"/>
              <w:bottom w:val="single" w:sz="8" w:space="0" w:color="auto"/>
              <w:right w:val="single" w:sz="8" w:space="0" w:color="auto"/>
            </w:tcBorders>
            <w:shd w:val="clear" w:color="auto" w:fill="auto"/>
            <w:noWrap/>
            <w:vAlign w:val="center"/>
            <w:hideMark/>
          </w:tcPr>
          <w:p w14:paraId="3A590977"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220</w:t>
            </w:r>
          </w:p>
        </w:tc>
        <w:tc>
          <w:tcPr>
            <w:tcW w:w="1180" w:type="dxa"/>
            <w:tcBorders>
              <w:top w:val="nil"/>
              <w:left w:val="nil"/>
              <w:bottom w:val="single" w:sz="8" w:space="0" w:color="auto"/>
              <w:right w:val="single" w:sz="8" w:space="0" w:color="auto"/>
            </w:tcBorders>
            <w:shd w:val="clear" w:color="auto" w:fill="auto"/>
            <w:noWrap/>
            <w:vAlign w:val="center"/>
            <w:hideMark/>
          </w:tcPr>
          <w:p w14:paraId="04CCFB44"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102%</w:t>
            </w:r>
          </w:p>
        </w:tc>
        <w:tc>
          <w:tcPr>
            <w:tcW w:w="1060" w:type="dxa"/>
            <w:tcBorders>
              <w:top w:val="nil"/>
              <w:left w:val="nil"/>
              <w:bottom w:val="single" w:sz="8" w:space="0" w:color="auto"/>
              <w:right w:val="single" w:sz="8" w:space="0" w:color="auto"/>
            </w:tcBorders>
            <w:shd w:val="clear" w:color="auto" w:fill="auto"/>
            <w:noWrap/>
            <w:vAlign w:val="center"/>
            <w:hideMark/>
          </w:tcPr>
          <w:p w14:paraId="46D01BC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108</w:t>
            </w:r>
          </w:p>
        </w:tc>
        <w:tc>
          <w:tcPr>
            <w:tcW w:w="1000" w:type="dxa"/>
            <w:tcBorders>
              <w:top w:val="nil"/>
              <w:left w:val="nil"/>
              <w:bottom w:val="single" w:sz="8" w:space="0" w:color="auto"/>
              <w:right w:val="single" w:sz="8" w:space="0" w:color="auto"/>
            </w:tcBorders>
            <w:shd w:val="clear" w:color="auto" w:fill="auto"/>
            <w:noWrap/>
            <w:vAlign w:val="center"/>
            <w:hideMark/>
          </w:tcPr>
          <w:p w14:paraId="38C72E83"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108</w:t>
            </w:r>
          </w:p>
        </w:tc>
        <w:tc>
          <w:tcPr>
            <w:tcW w:w="1060" w:type="dxa"/>
            <w:tcBorders>
              <w:top w:val="nil"/>
              <w:left w:val="nil"/>
              <w:bottom w:val="single" w:sz="8" w:space="0" w:color="auto"/>
              <w:right w:val="single" w:sz="8" w:space="0" w:color="auto"/>
            </w:tcBorders>
            <w:shd w:val="clear" w:color="auto" w:fill="auto"/>
            <w:noWrap/>
            <w:vAlign w:val="center"/>
            <w:hideMark/>
          </w:tcPr>
          <w:p w14:paraId="4C50236B"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110</w:t>
            </w:r>
          </w:p>
        </w:tc>
        <w:tc>
          <w:tcPr>
            <w:tcW w:w="1040" w:type="dxa"/>
            <w:tcBorders>
              <w:top w:val="nil"/>
              <w:left w:val="nil"/>
              <w:bottom w:val="single" w:sz="8" w:space="0" w:color="auto"/>
              <w:right w:val="single" w:sz="8" w:space="0" w:color="auto"/>
            </w:tcBorders>
            <w:shd w:val="clear" w:color="auto" w:fill="auto"/>
            <w:noWrap/>
            <w:vAlign w:val="center"/>
            <w:hideMark/>
          </w:tcPr>
          <w:p w14:paraId="396B92D1"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110</w:t>
            </w:r>
          </w:p>
        </w:tc>
      </w:tr>
      <w:tr w:rsidR="003B428D" w:rsidRPr="003B428D" w14:paraId="1A6D8900"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77478CD4"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Violencia Doméstica Heredia</w:t>
            </w:r>
          </w:p>
        </w:tc>
        <w:tc>
          <w:tcPr>
            <w:tcW w:w="1040" w:type="dxa"/>
            <w:tcBorders>
              <w:top w:val="nil"/>
              <w:left w:val="nil"/>
              <w:bottom w:val="single" w:sz="8" w:space="0" w:color="auto"/>
              <w:right w:val="single" w:sz="8" w:space="0" w:color="auto"/>
            </w:tcBorders>
            <w:shd w:val="clear" w:color="auto" w:fill="auto"/>
            <w:noWrap/>
            <w:vAlign w:val="center"/>
            <w:hideMark/>
          </w:tcPr>
          <w:p w14:paraId="0EF29994"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182</w:t>
            </w:r>
          </w:p>
        </w:tc>
        <w:tc>
          <w:tcPr>
            <w:tcW w:w="1540" w:type="dxa"/>
            <w:tcBorders>
              <w:top w:val="nil"/>
              <w:left w:val="nil"/>
              <w:bottom w:val="single" w:sz="8" w:space="0" w:color="auto"/>
              <w:right w:val="single" w:sz="8" w:space="0" w:color="auto"/>
            </w:tcBorders>
            <w:shd w:val="clear" w:color="auto" w:fill="auto"/>
            <w:noWrap/>
            <w:vAlign w:val="center"/>
            <w:hideMark/>
          </w:tcPr>
          <w:p w14:paraId="0BFA8049"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198</w:t>
            </w:r>
          </w:p>
        </w:tc>
        <w:tc>
          <w:tcPr>
            <w:tcW w:w="1180" w:type="dxa"/>
            <w:tcBorders>
              <w:top w:val="nil"/>
              <w:left w:val="nil"/>
              <w:bottom w:val="single" w:sz="8" w:space="0" w:color="auto"/>
              <w:right w:val="single" w:sz="8" w:space="0" w:color="auto"/>
            </w:tcBorders>
            <w:shd w:val="clear" w:color="auto" w:fill="auto"/>
            <w:noWrap/>
            <w:vAlign w:val="center"/>
            <w:hideMark/>
          </w:tcPr>
          <w:p w14:paraId="241828DE"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108%</w:t>
            </w:r>
          </w:p>
        </w:tc>
        <w:tc>
          <w:tcPr>
            <w:tcW w:w="1060" w:type="dxa"/>
            <w:tcBorders>
              <w:top w:val="nil"/>
              <w:left w:val="nil"/>
              <w:bottom w:val="single" w:sz="8" w:space="0" w:color="auto"/>
              <w:right w:val="single" w:sz="8" w:space="0" w:color="auto"/>
            </w:tcBorders>
            <w:shd w:val="clear" w:color="auto" w:fill="auto"/>
            <w:noWrap/>
            <w:vAlign w:val="center"/>
            <w:hideMark/>
          </w:tcPr>
          <w:p w14:paraId="4DE496E7"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91</w:t>
            </w:r>
          </w:p>
        </w:tc>
        <w:tc>
          <w:tcPr>
            <w:tcW w:w="1000" w:type="dxa"/>
            <w:tcBorders>
              <w:top w:val="nil"/>
              <w:left w:val="nil"/>
              <w:bottom w:val="single" w:sz="8" w:space="0" w:color="auto"/>
              <w:right w:val="single" w:sz="8" w:space="0" w:color="auto"/>
            </w:tcBorders>
            <w:shd w:val="clear" w:color="auto" w:fill="auto"/>
            <w:noWrap/>
            <w:vAlign w:val="center"/>
            <w:hideMark/>
          </w:tcPr>
          <w:p w14:paraId="557DF5FB"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61</w:t>
            </w:r>
          </w:p>
        </w:tc>
        <w:tc>
          <w:tcPr>
            <w:tcW w:w="1060" w:type="dxa"/>
            <w:tcBorders>
              <w:top w:val="nil"/>
              <w:left w:val="nil"/>
              <w:bottom w:val="single" w:sz="8" w:space="0" w:color="auto"/>
              <w:right w:val="single" w:sz="8" w:space="0" w:color="auto"/>
            </w:tcBorders>
            <w:shd w:val="clear" w:color="auto" w:fill="auto"/>
            <w:noWrap/>
            <w:vAlign w:val="center"/>
            <w:hideMark/>
          </w:tcPr>
          <w:p w14:paraId="5C5284C2"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99</w:t>
            </w:r>
          </w:p>
        </w:tc>
        <w:tc>
          <w:tcPr>
            <w:tcW w:w="1040" w:type="dxa"/>
            <w:tcBorders>
              <w:top w:val="nil"/>
              <w:left w:val="nil"/>
              <w:bottom w:val="single" w:sz="8" w:space="0" w:color="auto"/>
              <w:right w:val="single" w:sz="8" w:space="0" w:color="auto"/>
            </w:tcBorders>
            <w:shd w:val="clear" w:color="auto" w:fill="auto"/>
            <w:noWrap/>
            <w:vAlign w:val="center"/>
            <w:hideMark/>
          </w:tcPr>
          <w:p w14:paraId="64BBF9DD"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66</w:t>
            </w:r>
          </w:p>
        </w:tc>
      </w:tr>
      <w:tr w:rsidR="003B428D" w:rsidRPr="003B428D" w14:paraId="4D317E4F"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772D862F"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Violencia Doméstica I Circ. Jud. Alajuela</w:t>
            </w:r>
          </w:p>
        </w:tc>
        <w:tc>
          <w:tcPr>
            <w:tcW w:w="1040" w:type="dxa"/>
            <w:tcBorders>
              <w:top w:val="nil"/>
              <w:left w:val="nil"/>
              <w:bottom w:val="single" w:sz="8" w:space="0" w:color="auto"/>
              <w:right w:val="single" w:sz="8" w:space="0" w:color="auto"/>
            </w:tcBorders>
            <w:shd w:val="clear" w:color="auto" w:fill="auto"/>
            <w:noWrap/>
            <w:vAlign w:val="center"/>
            <w:hideMark/>
          </w:tcPr>
          <w:p w14:paraId="2881BA54"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310</w:t>
            </w:r>
          </w:p>
        </w:tc>
        <w:tc>
          <w:tcPr>
            <w:tcW w:w="1540" w:type="dxa"/>
            <w:tcBorders>
              <w:top w:val="nil"/>
              <w:left w:val="nil"/>
              <w:bottom w:val="single" w:sz="8" w:space="0" w:color="auto"/>
              <w:right w:val="single" w:sz="8" w:space="0" w:color="auto"/>
            </w:tcBorders>
            <w:shd w:val="clear" w:color="auto" w:fill="auto"/>
            <w:noWrap/>
            <w:vAlign w:val="center"/>
            <w:hideMark/>
          </w:tcPr>
          <w:p w14:paraId="13D5E8BB"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322</w:t>
            </w:r>
          </w:p>
        </w:tc>
        <w:tc>
          <w:tcPr>
            <w:tcW w:w="1180" w:type="dxa"/>
            <w:tcBorders>
              <w:top w:val="nil"/>
              <w:left w:val="nil"/>
              <w:bottom w:val="single" w:sz="8" w:space="0" w:color="auto"/>
              <w:right w:val="single" w:sz="8" w:space="0" w:color="auto"/>
            </w:tcBorders>
            <w:shd w:val="clear" w:color="auto" w:fill="auto"/>
            <w:noWrap/>
            <w:vAlign w:val="center"/>
            <w:hideMark/>
          </w:tcPr>
          <w:p w14:paraId="104E1AF7"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104%</w:t>
            </w:r>
          </w:p>
        </w:tc>
        <w:tc>
          <w:tcPr>
            <w:tcW w:w="1060" w:type="dxa"/>
            <w:tcBorders>
              <w:top w:val="nil"/>
              <w:left w:val="nil"/>
              <w:bottom w:val="single" w:sz="8" w:space="0" w:color="auto"/>
              <w:right w:val="single" w:sz="8" w:space="0" w:color="auto"/>
            </w:tcBorders>
            <w:shd w:val="clear" w:color="auto" w:fill="auto"/>
            <w:noWrap/>
            <w:vAlign w:val="center"/>
            <w:hideMark/>
          </w:tcPr>
          <w:p w14:paraId="1F6D1EB8"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103</w:t>
            </w:r>
          </w:p>
        </w:tc>
        <w:tc>
          <w:tcPr>
            <w:tcW w:w="1000" w:type="dxa"/>
            <w:tcBorders>
              <w:top w:val="nil"/>
              <w:left w:val="nil"/>
              <w:bottom w:val="single" w:sz="8" w:space="0" w:color="auto"/>
              <w:right w:val="single" w:sz="8" w:space="0" w:color="auto"/>
            </w:tcBorders>
            <w:shd w:val="clear" w:color="auto" w:fill="auto"/>
            <w:noWrap/>
            <w:vAlign w:val="center"/>
            <w:hideMark/>
          </w:tcPr>
          <w:p w14:paraId="38403A08"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62</w:t>
            </w:r>
          </w:p>
        </w:tc>
        <w:tc>
          <w:tcPr>
            <w:tcW w:w="1060" w:type="dxa"/>
            <w:tcBorders>
              <w:top w:val="nil"/>
              <w:left w:val="nil"/>
              <w:bottom w:val="single" w:sz="8" w:space="0" w:color="auto"/>
              <w:right w:val="single" w:sz="8" w:space="0" w:color="auto"/>
            </w:tcBorders>
            <w:shd w:val="clear" w:color="auto" w:fill="auto"/>
            <w:noWrap/>
            <w:vAlign w:val="center"/>
            <w:hideMark/>
          </w:tcPr>
          <w:p w14:paraId="12FF1FC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107</w:t>
            </w:r>
          </w:p>
        </w:tc>
        <w:tc>
          <w:tcPr>
            <w:tcW w:w="1040" w:type="dxa"/>
            <w:tcBorders>
              <w:top w:val="nil"/>
              <w:left w:val="nil"/>
              <w:bottom w:val="single" w:sz="8" w:space="0" w:color="auto"/>
              <w:right w:val="single" w:sz="8" w:space="0" w:color="auto"/>
            </w:tcBorders>
            <w:shd w:val="clear" w:color="auto" w:fill="auto"/>
            <w:noWrap/>
            <w:vAlign w:val="center"/>
            <w:hideMark/>
          </w:tcPr>
          <w:p w14:paraId="6073953F"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64</w:t>
            </w:r>
          </w:p>
        </w:tc>
      </w:tr>
      <w:tr w:rsidR="003B428D" w:rsidRPr="003B428D" w14:paraId="45B7348D"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7EC7702A"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Violencia Doméstica I Circ. Jud. San José</w:t>
            </w:r>
          </w:p>
        </w:tc>
        <w:tc>
          <w:tcPr>
            <w:tcW w:w="1040" w:type="dxa"/>
            <w:tcBorders>
              <w:top w:val="nil"/>
              <w:left w:val="nil"/>
              <w:bottom w:val="single" w:sz="8" w:space="0" w:color="auto"/>
              <w:right w:val="single" w:sz="8" w:space="0" w:color="auto"/>
            </w:tcBorders>
            <w:shd w:val="clear" w:color="auto" w:fill="auto"/>
            <w:noWrap/>
            <w:vAlign w:val="center"/>
            <w:hideMark/>
          </w:tcPr>
          <w:p w14:paraId="442708C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161</w:t>
            </w:r>
          </w:p>
        </w:tc>
        <w:tc>
          <w:tcPr>
            <w:tcW w:w="1540" w:type="dxa"/>
            <w:tcBorders>
              <w:top w:val="nil"/>
              <w:left w:val="nil"/>
              <w:bottom w:val="single" w:sz="8" w:space="0" w:color="auto"/>
              <w:right w:val="single" w:sz="8" w:space="0" w:color="auto"/>
            </w:tcBorders>
            <w:shd w:val="clear" w:color="auto" w:fill="auto"/>
            <w:noWrap/>
            <w:vAlign w:val="center"/>
            <w:hideMark/>
          </w:tcPr>
          <w:p w14:paraId="28895899"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171</w:t>
            </w:r>
          </w:p>
        </w:tc>
        <w:tc>
          <w:tcPr>
            <w:tcW w:w="1180" w:type="dxa"/>
            <w:tcBorders>
              <w:top w:val="nil"/>
              <w:left w:val="nil"/>
              <w:bottom w:val="single" w:sz="8" w:space="0" w:color="auto"/>
              <w:right w:val="single" w:sz="8" w:space="0" w:color="auto"/>
            </w:tcBorders>
            <w:shd w:val="clear" w:color="auto" w:fill="auto"/>
            <w:noWrap/>
            <w:vAlign w:val="center"/>
            <w:hideMark/>
          </w:tcPr>
          <w:p w14:paraId="38189AEF"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106%</w:t>
            </w:r>
          </w:p>
        </w:tc>
        <w:tc>
          <w:tcPr>
            <w:tcW w:w="1060" w:type="dxa"/>
            <w:tcBorders>
              <w:top w:val="nil"/>
              <w:left w:val="nil"/>
              <w:bottom w:val="single" w:sz="8" w:space="0" w:color="auto"/>
              <w:right w:val="single" w:sz="8" w:space="0" w:color="auto"/>
            </w:tcBorders>
            <w:shd w:val="clear" w:color="auto" w:fill="auto"/>
            <w:noWrap/>
            <w:vAlign w:val="center"/>
            <w:hideMark/>
          </w:tcPr>
          <w:p w14:paraId="22FC82E4"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80</w:t>
            </w:r>
          </w:p>
        </w:tc>
        <w:tc>
          <w:tcPr>
            <w:tcW w:w="1000" w:type="dxa"/>
            <w:tcBorders>
              <w:top w:val="nil"/>
              <w:left w:val="nil"/>
              <w:bottom w:val="single" w:sz="8" w:space="0" w:color="auto"/>
              <w:right w:val="single" w:sz="8" w:space="0" w:color="auto"/>
            </w:tcBorders>
            <w:shd w:val="clear" w:color="auto" w:fill="auto"/>
            <w:noWrap/>
            <w:vAlign w:val="center"/>
            <w:hideMark/>
          </w:tcPr>
          <w:p w14:paraId="4C3623EB"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80</w:t>
            </w:r>
          </w:p>
        </w:tc>
        <w:tc>
          <w:tcPr>
            <w:tcW w:w="1060" w:type="dxa"/>
            <w:tcBorders>
              <w:top w:val="nil"/>
              <w:left w:val="nil"/>
              <w:bottom w:val="single" w:sz="8" w:space="0" w:color="auto"/>
              <w:right w:val="single" w:sz="8" w:space="0" w:color="auto"/>
            </w:tcBorders>
            <w:shd w:val="clear" w:color="auto" w:fill="auto"/>
            <w:noWrap/>
            <w:vAlign w:val="center"/>
            <w:hideMark/>
          </w:tcPr>
          <w:p w14:paraId="540CC5F6"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80</w:t>
            </w:r>
          </w:p>
        </w:tc>
        <w:tc>
          <w:tcPr>
            <w:tcW w:w="1040" w:type="dxa"/>
            <w:tcBorders>
              <w:top w:val="nil"/>
              <w:left w:val="nil"/>
              <w:bottom w:val="single" w:sz="8" w:space="0" w:color="auto"/>
              <w:right w:val="single" w:sz="8" w:space="0" w:color="auto"/>
            </w:tcBorders>
            <w:shd w:val="clear" w:color="auto" w:fill="auto"/>
            <w:noWrap/>
            <w:vAlign w:val="center"/>
            <w:hideMark/>
          </w:tcPr>
          <w:p w14:paraId="0913552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86</w:t>
            </w:r>
          </w:p>
        </w:tc>
      </w:tr>
      <w:tr w:rsidR="003B428D" w:rsidRPr="003B428D" w14:paraId="23415DA4"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2067EE93"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Violencia Doméstica I Circ. Jud. Zona Sur</w:t>
            </w:r>
          </w:p>
        </w:tc>
        <w:tc>
          <w:tcPr>
            <w:tcW w:w="1040" w:type="dxa"/>
            <w:tcBorders>
              <w:top w:val="nil"/>
              <w:left w:val="nil"/>
              <w:bottom w:val="single" w:sz="8" w:space="0" w:color="auto"/>
              <w:right w:val="single" w:sz="8" w:space="0" w:color="auto"/>
            </w:tcBorders>
            <w:shd w:val="clear" w:color="auto" w:fill="auto"/>
            <w:noWrap/>
            <w:vAlign w:val="center"/>
            <w:hideMark/>
          </w:tcPr>
          <w:p w14:paraId="4E383FB7"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187</w:t>
            </w:r>
          </w:p>
        </w:tc>
        <w:tc>
          <w:tcPr>
            <w:tcW w:w="1540" w:type="dxa"/>
            <w:tcBorders>
              <w:top w:val="nil"/>
              <w:left w:val="nil"/>
              <w:bottom w:val="single" w:sz="8" w:space="0" w:color="auto"/>
              <w:right w:val="single" w:sz="8" w:space="0" w:color="auto"/>
            </w:tcBorders>
            <w:shd w:val="clear" w:color="auto" w:fill="auto"/>
            <w:noWrap/>
            <w:vAlign w:val="center"/>
            <w:hideMark/>
          </w:tcPr>
          <w:p w14:paraId="5EF11FCD"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199</w:t>
            </w:r>
          </w:p>
        </w:tc>
        <w:tc>
          <w:tcPr>
            <w:tcW w:w="1180" w:type="dxa"/>
            <w:tcBorders>
              <w:top w:val="nil"/>
              <w:left w:val="nil"/>
              <w:bottom w:val="single" w:sz="8" w:space="0" w:color="auto"/>
              <w:right w:val="single" w:sz="8" w:space="0" w:color="auto"/>
            </w:tcBorders>
            <w:shd w:val="clear" w:color="auto" w:fill="auto"/>
            <w:noWrap/>
            <w:vAlign w:val="center"/>
            <w:hideMark/>
          </w:tcPr>
          <w:p w14:paraId="635DF0E2"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107%</w:t>
            </w:r>
          </w:p>
        </w:tc>
        <w:tc>
          <w:tcPr>
            <w:tcW w:w="1060" w:type="dxa"/>
            <w:tcBorders>
              <w:top w:val="nil"/>
              <w:left w:val="nil"/>
              <w:bottom w:val="single" w:sz="8" w:space="0" w:color="auto"/>
              <w:right w:val="single" w:sz="8" w:space="0" w:color="auto"/>
            </w:tcBorders>
            <w:shd w:val="clear" w:color="auto" w:fill="auto"/>
            <w:noWrap/>
            <w:vAlign w:val="center"/>
            <w:hideMark/>
          </w:tcPr>
          <w:p w14:paraId="25EF0025"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94</w:t>
            </w:r>
          </w:p>
        </w:tc>
        <w:tc>
          <w:tcPr>
            <w:tcW w:w="1000" w:type="dxa"/>
            <w:tcBorders>
              <w:top w:val="nil"/>
              <w:left w:val="nil"/>
              <w:bottom w:val="single" w:sz="8" w:space="0" w:color="auto"/>
              <w:right w:val="single" w:sz="8" w:space="0" w:color="auto"/>
            </w:tcBorders>
            <w:shd w:val="clear" w:color="auto" w:fill="auto"/>
            <w:noWrap/>
            <w:vAlign w:val="center"/>
            <w:hideMark/>
          </w:tcPr>
          <w:p w14:paraId="5CE55073"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94</w:t>
            </w:r>
          </w:p>
        </w:tc>
        <w:tc>
          <w:tcPr>
            <w:tcW w:w="1060" w:type="dxa"/>
            <w:tcBorders>
              <w:top w:val="nil"/>
              <w:left w:val="nil"/>
              <w:bottom w:val="single" w:sz="8" w:space="0" w:color="auto"/>
              <w:right w:val="single" w:sz="8" w:space="0" w:color="auto"/>
            </w:tcBorders>
            <w:shd w:val="clear" w:color="auto" w:fill="auto"/>
            <w:noWrap/>
            <w:vAlign w:val="center"/>
            <w:hideMark/>
          </w:tcPr>
          <w:p w14:paraId="644C30C7"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100</w:t>
            </w:r>
          </w:p>
        </w:tc>
        <w:tc>
          <w:tcPr>
            <w:tcW w:w="1040" w:type="dxa"/>
            <w:tcBorders>
              <w:top w:val="nil"/>
              <w:left w:val="nil"/>
              <w:bottom w:val="single" w:sz="8" w:space="0" w:color="auto"/>
              <w:right w:val="single" w:sz="8" w:space="0" w:color="auto"/>
            </w:tcBorders>
            <w:shd w:val="clear" w:color="auto" w:fill="auto"/>
            <w:noWrap/>
            <w:vAlign w:val="center"/>
            <w:hideMark/>
          </w:tcPr>
          <w:p w14:paraId="59F83CCD"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100</w:t>
            </w:r>
          </w:p>
        </w:tc>
      </w:tr>
      <w:tr w:rsidR="003B428D" w:rsidRPr="003B428D" w14:paraId="1C4CB067"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1DB215E7"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 xml:space="preserve">Juzgado Violencia Doméstica II Circ. Jud. Alajuela </w:t>
            </w:r>
          </w:p>
        </w:tc>
        <w:tc>
          <w:tcPr>
            <w:tcW w:w="1040" w:type="dxa"/>
            <w:tcBorders>
              <w:top w:val="nil"/>
              <w:left w:val="nil"/>
              <w:bottom w:val="single" w:sz="8" w:space="0" w:color="auto"/>
              <w:right w:val="single" w:sz="8" w:space="0" w:color="auto"/>
            </w:tcBorders>
            <w:shd w:val="clear" w:color="auto" w:fill="auto"/>
            <w:noWrap/>
            <w:vAlign w:val="center"/>
            <w:hideMark/>
          </w:tcPr>
          <w:p w14:paraId="53FEF0AB"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140</w:t>
            </w:r>
          </w:p>
        </w:tc>
        <w:tc>
          <w:tcPr>
            <w:tcW w:w="1540" w:type="dxa"/>
            <w:tcBorders>
              <w:top w:val="nil"/>
              <w:left w:val="nil"/>
              <w:bottom w:val="single" w:sz="8" w:space="0" w:color="auto"/>
              <w:right w:val="single" w:sz="8" w:space="0" w:color="auto"/>
            </w:tcBorders>
            <w:shd w:val="clear" w:color="auto" w:fill="auto"/>
            <w:noWrap/>
            <w:vAlign w:val="center"/>
            <w:hideMark/>
          </w:tcPr>
          <w:p w14:paraId="7663C156"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139</w:t>
            </w:r>
          </w:p>
        </w:tc>
        <w:tc>
          <w:tcPr>
            <w:tcW w:w="1180" w:type="dxa"/>
            <w:tcBorders>
              <w:top w:val="nil"/>
              <w:left w:val="nil"/>
              <w:bottom w:val="single" w:sz="8" w:space="0" w:color="auto"/>
              <w:right w:val="single" w:sz="8" w:space="0" w:color="auto"/>
            </w:tcBorders>
            <w:shd w:val="clear" w:color="auto" w:fill="auto"/>
            <w:noWrap/>
            <w:vAlign w:val="center"/>
            <w:hideMark/>
          </w:tcPr>
          <w:p w14:paraId="6BFCEBB0"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100%</w:t>
            </w:r>
          </w:p>
        </w:tc>
        <w:tc>
          <w:tcPr>
            <w:tcW w:w="1060" w:type="dxa"/>
            <w:tcBorders>
              <w:top w:val="nil"/>
              <w:left w:val="nil"/>
              <w:bottom w:val="single" w:sz="8" w:space="0" w:color="auto"/>
              <w:right w:val="single" w:sz="8" w:space="0" w:color="auto"/>
            </w:tcBorders>
            <w:shd w:val="clear" w:color="auto" w:fill="auto"/>
            <w:noWrap/>
            <w:vAlign w:val="center"/>
            <w:hideMark/>
          </w:tcPr>
          <w:p w14:paraId="60EAAB0F"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140</w:t>
            </w:r>
          </w:p>
        </w:tc>
        <w:tc>
          <w:tcPr>
            <w:tcW w:w="1000" w:type="dxa"/>
            <w:tcBorders>
              <w:top w:val="nil"/>
              <w:left w:val="nil"/>
              <w:bottom w:val="single" w:sz="8" w:space="0" w:color="auto"/>
              <w:right w:val="single" w:sz="8" w:space="0" w:color="auto"/>
            </w:tcBorders>
            <w:shd w:val="clear" w:color="auto" w:fill="auto"/>
            <w:noWrap/>
            <w:vAlign w:val="center"/>
            <w:hideMark/>
          </w:tcPr>
          <w:p w14:paraId="25B13C7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70</w:t>
            </w:r>
          </w:p>
        </w:tc>
        <w:tc>
          <w:tcPr>
            <w:tcW w:w="1060" w:type="dxa"/>
            <w:tcBorders>
              <w:top w:val="nil"/>
              <w:left w:val="nil"/>
              <w:bottom w:val="single" w:sz="8" w:space="0" w:color="auto"/>
              <w:right w:val="single" w:sz="8" w:space="0" w:color="auto"/>
            </w:tcBorders>
            <w:shd w:val="clear" w:color="auto" w:fill="auto"/>
            <w:noWrap/>
            <w:vAlign w:val="center"/>
            <w:hideMark/>
          </w:tcPr>
          <w:p w14:paraId="1B6A3951"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139</w:t>
            </w:r>
          </w:p>
        </w:tc>
        <w:tc>
          <w:tcPr>
            <w:tcW w:w="1040" w:type="dxa"/>
            <w:tcBorders>
              <w:top w:val="nil"/>
              <w:left w:val="nil"/>
              <w:bottom w:val="single" w:sz="8" w:space="0" w:color="auto"/>
              <w:right w:val="single" w:sz="8" w:space="0" w:color="auto"/>
            </w:tcBorders>
            <w:shd w:val="clear" w:color="auto" w:fill="auto"/>
            <w:noWrap/>
            <w:vAlign w:val="center"/>
            <w:hideMark/>
          </w:tcPr>
          <w:p w14:paraId="55258ADA"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70</w:t>
            </w:r>
          </w:p>
        </w:tc>
      </w:tr>
      <w:tr w:rsidR="003B428D" w:rsidRPr="003B428D" w14:paraId="7A2F137E"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451825C7"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 xml:space="preserve">Juzgado Violencia Doméstica II Circ. Jud. de la Zona Atlántica </w:t>
            </w:r>
          </w:p>
        </w:tc>
        <w:tc>
          <w:tcPr>
            <w:tcW w:w="1040" w:type="dxa"/>
            <w:tcBorders>
              <w:top w:val="nil"/>
              <w:left w:val="nil"/>
              <w:bottom w:val="single" w:sz="8" w:space="0" w:color="auto"/>
              <w:right w:val="single" w:sz="8" w:space="0" w:color="auto"/>
            </w:tcBorders>
            <w:shd w:val="clear" w:color="auto" w:fill="auto"/>
            <w:noWrap/>
            <w:vAlign w:val="center"/>
            <w:hideMark/>
          </w:tcPr>
          <w:p w14:paraId="4A6E0C46"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138</w:t>
            </w:r>
          </w:p>
        </w:tc>
        <w:tc>
          <w:tcPr>
            <w:tcW w:w="1540" w:type="dxa"/>
            <w:tcBorders>
              <w:top w:val="nil"/>
              <w:left w:val="nil"/>
              <w:bottom w:val="single" w:sz="8" w:space="0" w:color="auto"/>
              <w:right w:val="single" w:sz="8" w:space="0" w:color="auto"/>
            </w:tcBorders>
            <w:shd w:val="clear" w:color="auto" w:fill="auto"/>
            <w:noWrap/>
            <w:vAlign w:val="center"/>
            <w:hideMark/>
          </w:tcPr>
          <w:p w14:paraId="7AD9B01E"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149</w:t>
            </w:r>
          </w:p>
        </w:tc>
        <w:tc>
          <w:tcPr>
            <w:tcW w:w="1180" w:type="dxa"/>
            <w:tcBorders>
              <w:top w:val="nil"/>
              <w:left w:val="nil"/>
              <w:bottom w:val="single" w:sz="8" w:space="0" w:color="auto"/>
              <w:right w:val="single" w:sz="8" w:space="0" w:color="auto"/>
            </w:tcBorders>
            <w:shd w:val="clear" w:color="auto" w:fill="auto"/>
            <w:noWrap/>
            <w:vAlign w:val="center"/>
            <w:hideMark/>
          </w:tcPr>
          <w:p w14:paraId="0C46752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108%</w:t>
            </w:r>
          </w:p>
        </w:tc>
        <w:tc>
          <w:tcPr>
            <w:tcW w:w="1060" w:type="dxa"/>
            <w:tcBorders>
              <w:top w:val="nil"/>
              <w:left w:val="nil"/>
              <w:bottom w:val="single" w:sz="8" w:space="0" w:color="auto"/>
              <w:right w:val="single" w:sz="8" w:space="0" w:color="auto"/>
            </w:tcBorders>
            <w:shd w:val="clear" w:color="auto" w:fill="auto"/>
            <w:noWrap/>
            <w:vAlign w:val="center"/>
            <w:hideMark/>
          </w:tcPr>
          <w:p w14:paraId="0609DFA5"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138</w:t>
            </w:r>
          </w:p>
        </w:tc>
        <w:tc>
          <w:tcPr>
            <w:tcW w:w="1000" w:type="dxa"/>
            <w:tcBorders>
              <w:top w:val="nil"/>
              <w:left w:val="nil"/>
              <w:bottom w:val="single" w:sz="8" w:space="0" w:color="auto"/>
              <w:right w:val="single" w:sz="8" w:space="0" w:color="auto"/>
            </w:tcBorders>
            <w:shd w:val="clear" w:color="auto" w:fill="auto"/>
            <w:noWrap/>
            <w:vAlign w:val="center"/>
            <w:hideMark/>
          </w:tcPr>
          <w:p w14:paraId="43D57B6F"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69</w:t>
            </w:r>
          </w:p>
        </w:tc>
        <w:tc>
          <w:tcPr>
            <w:tcW w:w="1060" w:type="dxa"/>
            <w:tcBorders>
              <w:top w:val="nil"/>
              <w:left w:val="nil"/>
              <w:bottom w:val="single" w:sz="8" w:space="0" w:color="auto"/>
              <w:right w:val="single" w:sz="8" w:space="0" w:color="auto"/>
            </w:tcBorders>
            <w:shd w:val="clear" w:color="auto" w:fill="auto"/>
            <w:noWrap/>
            <w:vAlign w:val="center"/>
            <w:hideMark/>
          </w:tcPr>
          <w:p w14:paraId="6FED1788"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149</w:t>
            </w:r>
          </w:p>
        </w:tc>
        <w:tc>
          <w:tcPr>
            <w:tcW w:w="1040" w:type="dxa"/>
            <w:tcBorders>
              <w:top w:val="nil"/>
              <w:left w:val="nil"/>
              <w:bottom w:val="single" w:sz="8" w:space="0" w:color="auto"/>
              <w:right w:val="single" w:sz="8" w:space="0" w:color="auto"/>
            </w:tcBorders>
            <w:shd w:val="clear" w:color="auto" w:fill="auto"/>
            <w:noWrap/>
            <w:vAlign w:val="center"/>
            <w:hideMark/>
          </w:tcPr>
          <w:p w14:paraId="75AC9DCF"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74</w:t>
            </w:r>
          </w:p>
        </w:tc>
      </w:tr>
      <w:tr w:rsidR="003B428D" w:rsidRPr="003B428D" w14:paraId="1477D6EA"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7B0BCE5E"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Violencia Doméstica II Circ. Jud. San José</w:t>
            </w:r>
          </w:p>
        </w:tc>
        <w:tc>
          <w:tcPr>
            <w:tcW w:w="1040" w:type="dxa"/>
            <w:tcBorders>
              <w:top w:val="nil"/>
              <w:left w:val="nil"/>
              <w:bottom w:val="single" w:sz="8" w:space="0" w:color="auto"/>
              <w:right w:val="single" w:sz="8" w:space="0" w:color="auto"/>
            </w:tcBorders>
            <w:shd w:val="clear" w:color="auto" w:fill="auto"/>
            <w:noWrap/>
            <w:vAlign w:val="center"/>
            <w:hideMark/>
          </w:tcPr>
          <w:p w14:paraId="0EF8E742"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446</w:t>
            </w:r>
          </w:p>
        </w:tc>
        <w:tc>
          <w:tcPr>
            <w:tcW w:w="1540" w:type="dxa"/>
            <w:tcBorders>
              <w:top w:val="nil"/>
              <w:left w:val="nil"/>
              <w:bottom w:val="single" w:sz="8" w:space="0" w:color="auto"/>
              <w:right w:val="single" w:sz="8" w:space="0" w:color="auto"/>
            </w:tcBorders>
            <w:shd w:val="clear" w:color="auto" w:fill="auto"/>
            <w:noWrap/>
            <w:vAlign w:val="center"/>
            <w:hideMark/>
          </w:tcPr>
          <w:p w14:paraId="7DCC933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464</w:t>
            </w:r>
          </w:p>
        </w:tc>
        <w:tc>
          <w:tcPr>
            <w:tcW w:w="1180" w:type="dxa"/>
            <w:tcBorders>
              <w:top w:val="nil"/>
              <w:left w:val="nil"/>
              <w:bottom w:val="single" w:sz="8" w:space="0" w:color="auto"/>
              <w:right w:val="single" w:sz="8" w:space="0" w:color="auto"/>
            </w:tcBorders>
            <w:shd w:val="clear" w:color="auto" w:fill="auto"/>
            <w:noWrap/>
            <w:vAlign w:val="center"/>
            <w:hideMark/>
          </w:tcPr>
          <w:p w14:paraId="2C3950D8"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104%</w:t>
            </w:r>
          </w:p>
        </w:tc>
        <w:tc>
          <w:tcPr>
            <w:tcW w:w="1060" w:type="dxa"/>
            <w:tcBorders>
              <w:top w:val="nil"/>
              <w:left w:val="nil"/>
              <w:bottom w:val="single" w:sz="8" w:space="0" w:color="auto"/>
              <w:right w:val="single" w:sz="8" w:space="0" w:color="auto"/>
            </w:tcBorders>
            <w:shd w:val="clear" w:color="auto" w:fill="auto"/>
            <w:noWrap/>
            <w:vAlign w:val="center"/>
            <w:hideMark/>
          </w:tcPr>
          <w:p w14:paraId="2DDF459D"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89</w:t>
            </w:r>
          </w:p>
        </w:tc>
        <w:tc>
          <w:tcPr>
            <w:tcW w:w="1000" w:type="dxa"/>
            <w:tcBorders>
              <w:top w:val="nil"/>
              <w:left w:val="nil"/>
              <w:bottom w:val="single" w:sz="8" w:space="0" w:color="auto"/>
              <w:right w:val="single" w:sz="8" w:space="0" w:color="auto"/>
            </w:tcBorders>
            <w:shd w:val="clear" w:color="auto" w:fill="auto"/>
            <w:noWrap/>
            <w:vAlign w:val="center"/>
            <w:hideMark/>
          </w:tcPr>
          <w:p w14:paraId="697E5506"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74</w:t>
            </w:r>
          </w:p>
        </w:tc>
        <w:tc>
          <w:tcPr>
            <w:tcW w:w="1060" w:type="dxa"/>
            <w:tcBorders>
              <w:top w:val="nil"/>
              <w:left w:val="nil"/>
              <w:bottom w:val="single" w:sz="8" w:space="0" w:color="auto"/>
              <w:right w:val="single" w:sz="8" w:space="0" w:color="auto"/>
            </w:tcBorders>
            <w:shd w:val="clear" w:color="auto" w:fill="auto"/>
            <w:noWrap/>
            <w:vAlign w:val="center"/>
            <w:hideMark/>
          </w:tcPr>
          <w:p w14:paraId="2E90C1D7"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93</w:t>
            </w:r>
          </w:p>
        </w:tc>
        <w:tc>
          <w:tcPr>
            <w:tcW w:w="1040" w:type="dxa"/>
            <w:tcBorders>
              <w:top w:val="nil"/>
              <w:left w:val="nil"/>
              <w:bottom w:val="single" w:sz="8" w:space="0" w:color="auto"/>
              <w:right w:val="single" w:sz="8" w:space="0" w:color="auto"/>
            </w:tcBorders>
            <w:shd w:val="clear" w:color="auto" w:fill="auto"/>
            <w:noWrap/>
            <w:vAlign w:val="center"/>
            <w:hideMark/>
          </w:tcPr>
          <w:p w14:paraId="026915D9"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77</w:t>
            </w:r>
          </w:p>
        </w:tc>
      </w:tr>
      <w:tr w:rsidR="003B428D" w:rsidRPr="003B428D" w14:paraId="46A5084D"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547C8183"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 xml:space="preserve">Juzgado Violencia Doméstica III Circ. Jud. San José </w:t>
            </w:r>
          </w:p>
        </w:tc>
        <w:tc>
          <w:tcPr>
            <w:tcW w:w="1040" w:type="dxa"/>
            <w:tcBorders>
              <w:top w:val="nil"/>
              <w:left w:val="nil"/>
              <w:bottom w:val="single" w:sz="8" w:space="0" w:color="auto"/>
              <w:right w:val="single" w:sz="8" w:space="0" w:color="auto"/>
            </w:tcBorders>
            <w:shd w:val="clear" w:color="auto" w:fill="auto"/>
            <w:noWrap/>
            <w:vAlign w:val="center"/>
            <w:hideMark/>
          </w:tcPr>
          <w:p w14:paraId="47815967"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226</w:t>
            </w:r>
          </w:p>
        </w:tc>
        <w:tc>
          <w:tcPr>
            <w:tcW w:w="1540" w:type="dxa"/>
            <w:tcBorders>
              <w:top w:val="nil"/>
              <w:left w:val="nil"/>
              <w:bottom w:val="single" w:sz="8" w:space="0" w:color="auto"/>
              <w:right w:val="single" w:sz="8" w:space="0" w:color="auto"/>
            </w:tcBorders>
            <w:shd w:val="clear" w:color="auto" w:fill="auto"/>
            <w:noWrap/>
            <w:vAlign w:val="center"/>
            <w:hideMark/>
          </w:tcPr>
          <w:p w14:paraId="484FA3F4"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231</w:t>
            </w:r>
          </w:p>
        </w:tc>
        <w:tc>
          <w:tcPr>
            <w:tcW w:w="1180" w:type="dxa"/>
            <w:tcBorders>
              <w:top w:val="nil"/>
              <w:left w:val="nil"/>
              <w:bottom w:val="single" w:sz="8" w:space="0" w:color="auto"/>
              <w:right w:val="single" w:sz="8" w:space="0" w:color="auto"/>
            </w:tcBorders>
            <w:shd w:val="clear" w:color="auto" w:fill="auto"/>
            <w:noWrap/>
            <w:vAlign w:val="center"/>
            <w:hideMark/>
          </w:tcPr>
          <w:p w14:paraId="325191D2"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103%</w:t>
            </w:r>
          </w:p>
        </w:tc>
        <w:tc>
          <w:tcPr>
            <w:tcW w:w="1060" w:type="dxa"/>
            <w:tcBorders>
              <w:top w:val="nil"/>
              <w:left w:val="nil"/>
              <w:bottom w:val="single" w:sz="8" w:space="0" w:color="auto"/>
              <w:right w:val="single" w:sz="8" w:space="0" w:color="auto"/>
            </w:tcBorders>
            <w:shd w:val="clear" w:color="auto" w:fill="auto"/>
            <w:noWrap/>
            <w:vAlign w:val="center"/>
            <w:hideMark/>
          </w:tcPr>
          <w:p w14:paraId="7E53F862"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113</w:t>
            </w:r>
          </w:p>
        </w:tc>
        <w:tc>
          <w:tcPr>
            <w:tcW w:w="1000" w:type="dxa"/>
            <w:tcBorders>
              <w:top w:val="nil"/>
              <w:left w:val="nil"/>
              <w:bottom w:val="single" w:sz="8" w:space="0" w:color="auto"/>
              <w:right w:val="single" w:sz="8" w:space="0" w:color="auto"/>
            </w:tcBorders>
            <w:shd w:val="clear" w:color="auto" w:fill="auto"/>
            <w:noWrap/>
            <w:vAlign w:val="center"/>
            <w:hideMark/>
          </w:tcPr>
          <w:p w14:paraId="766CB24C"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113</w:t>
            </w:r>
          </w:p>
        </w:tc>
        <w:tc>
          <w:tcPr>
            <w:tcW w:w="1060" w:type="dxa"/>
            <w:tcBorders>
              <w:top w:val="nil"/>
              <w:left w:val="nil"/>
              <w:bottom w:val="single" w:sz="8" w:space="0" w:color="auto"/>
              <w:right w:val="single" w:sz="8" w:space="0" w:color="auto"/>
            </w:tcBorders>
            <w:shd w:val="clear" w:color="auto" w:fill="auto"/>
            <w:noWrap/>
            <w:vAlign w:val="center"/>
            <w:hideMark/>
          </w:tcPr>
          <w:p w14:paraId="430100A0"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113</w:t>
            </w:r>
          </w:p>
        </w:tc>
        <w:tc>
          <w:tcPr>
            <w:tcW w:w="1040" w:type="dxa"/>
            <w:tcBorders>
              <w:top w:val="nil"/>
              <w:left w:val="nil"/>
              <w:bottom w:val="single" w:sz="8" w:space="0" w:color="auto"/>
              <w:right w:val="single" w:sz="8" w:space="0" w:color="auto"/>
            </w:tcBorders>
            <w:shd w:val="clear" w:color="auto" w:fill="auto"/>
            <w:noWrap/>
            <w:vAlign w:val="center"/>
            <w:hideMark/>
          </w:tcPr>
          <w:p w14:paraId="1881CD13"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116</w:t>
            </w:r>
          </w:p>
        </w:tc>
      </w:tr>
      <w:tr w:rsidR="003B428D" w:rsidRPr="003B428D" w14:paraId="7B4D9373" w14:textId="77777777" w:rsidTr="003B428D">
        <w:trPr>
          <w:trHeight w:val="430"/>
          <w:jc w:val="center"/>
        </w:trPr>
        <w:tc>
          <w:tcPr>
            <w:tcW w:w="3720" w:type="dxa"/>
            <w:tcBorders>
              <w:top w:val="nil"/>
              <w:left w:val="single" w:sz="8" w:space="0" w:color="auto"/>
              <w:bottom w:val="single" w:sz="8" w:space="0" w:color="auto"/>
              <w:right w:val="single" w:sz="8" w:space="0" w:color="auto"/>
            </w:tcBorders>
            <w:shd w:val="clear" w:color="auto" w:fill="auto"/>
            <w:vAlign w:val="center"/>
            <w:hideMark/>
          </w:tcPr>
          <w:p w14:paraId="443C46DE" w14:textId="77777777" w:rsidR="003B428D" w:rsidRPr="003B428D" w:rsidRDefault="003B428D" w:rsidP="003B428D">
            <w:pPr>
              <w:spacing w:after="0" w:line="240" w:lineRule="auto"/>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Juzgado Violencia Doméstica Puntarenas</w:t>
            </w:r>
          </w:p>
        </w:tc>
        <w:tc>
          <w:tcPr>
            <w:tcW w:w="1040" w:type="dxa"/>
            <w:tcBorders>
              <w:top w:val="nil"/>
              <w:left w:val="nil"/>
              <w:bottom w:val="nil"/>
              <w:right w:val="single" w:sz="8" w:space="0" w:color="auto"/>
            </w:tcBorders>
            <w:shd w:val="clear" w:color="auto" w:fill="auto"/>
            <w:noWrap/>
            <w:vAlign w:val="center"/>
            <w:hideMark/>
          </w:tcPr>
          <w:p w14:paraId="577784C5"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141</w:t>
            </w:r>
          </w:p>
        </w:tc>
        <w:tc>
          <w:tcPr>
            <w:tcW w:w="1540" w:type="dxa"/>
            <w:tcBorders>
              <w:top w:val="nil"/>
              <w:left w:val="nil"/>
              <w:bottom w:val="nil"/>
              <w:right w:val="single" w:sz="8" w:space="0" w:color="auto"/>
            </w:tcBorders>
            <w:shd w:val="clear" w:color="auto" w:fill="auto"/>
            <w:noWrap/>
            <w:vAlign w:val="center"/>
            <w:hideMark/>
          </w:tcPr>
          <w:p w14:paraId="1F2D5668"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147</w:t>
            </w:r>
          </w:p>
        </w:tc>
        <w:tc>
          <w:tcPr>
            <w:tcW w:w="1180" w:type="dxa"/>
            <w:tcBorders>
              <w:top w:val="nil"/>
              <w:left w:val="nil"/>
              <w:bottom w:val="single" w:sz="8" w:space="0" w:color="auto"/>
              <w:right w:val="single" w:sz="8" w:space="0" w:color="auto"/>
            </w:tcBorders>
            <w:shd w:val="clear" w:color="auto" w:fill="auto"/>
            <w:noWrap/>
            <w:vAlign w:val="center"/>
            <w:hideMark/>
          </w:tcPr>
          <w:p w14:paraId="29588948"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104%</w:t>
            </w:r>
          </w:p>
        </w:tc>
        <w:tc>
          <w:tcPr>
            <w:tcW w:w="1060" w:type="dxa"/>
            <w:tcBorders>
              <w:top w:val="nil"/>
              <w:left w:val="nil"/>
              <w:bottom w:val="single" w:sz="8" w:space="0" w:color="auto"/>
              <w:right w:val="single" w:sz="8" w:space="0" w:color="auto"/>
            </w:tcBorders>
            <w:shd w:val="clear" w:color="auto" w:fill="auto"/>
            <w:noWrap/>
            <w:vAlign w:val="center"/>
            <w:hideMark/>
          </w:tcPr>
          <w:p w14:paraId="44975D28"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71</w:t>
            </w:r>
          </w:p>
        </w:tc>
        <w:tc>
          <w:tcPr>
            <w:tcW w:w="1000" w:type="dxa"/>
            <w:tcBorders>
              <w:top w:val="nil"/>
              <w:left w:val="nil"/>
              <w:bottom w:val="single" w:sz="8" w:space="0" w:color="auto"/>
              <w:right w:val="single" w:sz="8" w:space="0" w:color="auto"/>
            </w:tcBorders>
            <w:shd w:val="clear" w:color="auto" w:fill="auto"/>
            <w:noWrap/>
            <w:vAlign w:val="center"/>
            <w:hideMark/>
          </w:tcPr>
          <w:p w14:paraId="7DDDA4BD"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47</w:t>
            </w:r>
          </w:p>
        </w:tc>
        <w:tc>
          <w:tcPr>
            <w:tcW w:w="1060" w:type="dxa"/>
            <w:tcBorders>
              <w:top w:val="nil"/>
              <w:left w:val="nil"/>
              <w:bottom w:val="single" w:sz="8" w:space="0" w:color="auto"/>
              <w:right w:val="single" w:sz="8" w:space="0" w:color="auto"/>
            </w:tcBorders>
            <w:shd w:val="clear" w:color="auto" w:fill="auto"/>
            <w:noWrap/>
            <w:vAlign w:val="center"/>
            <w:hideMark/>
          </w:tcPr>
          <w:p w14:paraId="3B05E55D"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73</w:t>
            </w:r>
          </w:p>
        </w:tc>
        <w:tc>
          <w:tcPr>
            <w:tcW w:w="1040" w:type="dxa"/>
            <w:tcBorders>
              <w:top w:val="nil"/>
              <w:left w:val="nil"/>
              <w:bottom w:val="single" w:sz="8" w:space="0" w:color="auto"/>
              <w:right w:val="single" w:sz="8" w:space="0" w:color="auto"/>
            </w:tcBorders>
            <w:shd w:val="clear" w:color="auto" w:fill="auto"/>
            <w:noWrap/>
            <w:vAlign w:val="center"/>
            <w:hideMark/>
          </w:tcPr>
          <w:p w14:paraId="6C3D009E" w14:textId="77777777" w:rsidR="003B428D" w:rsidRPr="003B428D" w:rsidRDefault="003B428D" w:rsidP="003B428D">
            <w:pPr>
              <w:spacing w:after="0" w:line="240" w:lineRule="auto"/>
              <w:jc w:val="center"/>
              <w:rPr>
                <w:rFonts w:ascii="Book Antiqua" w:eastAsia="Times New Roman" w:hAnsi="Book Antiqua" w:cs="Calibri"/>
                <w:color w:val="000000"/>
                <w:sz w:val="18"/>
                <w:szCs w:val="18"/>
                <w:lang w:eastAsia="es-CR"/>
              </w:rPr>
            </w:pPr>
            <w:r w:rsidRPr="003B428D">
              <w:rPr>
                <w:rFonts w:ascii="Book Antiqua" w:eastAsia="Times New Roman" w:hAnsi="Book Antiqua" w:cs="Calibri"/>
                <w:color w:val="000000"/>
                <w:sz w:val="18"/>
                <w:szCs w:val="18"/>
                <w:lang w:eastAsia="es-CR"/>
              </w:rPr>
              <w:t>49</w:t>
            </w:r>
          </w:p>
        </w:tc>
      </w:tr>
      <w:tr w:rsidR="003B428D" w:rsidRPr="003B428D" w14:paraId="0E613F7A" w14:textId="77777777" w:rsidTr="003B428D">
        <w:trPr>
          <w:trHeight w:val="300"/>
          <w:jc w:val="center"/>
        </w:trPr>
        <w:tc>
          <w:tcPr>
            <w:tcW w:w="3720" w:type="dxa"/>
            <w:tcBorders>
              <w:top w:val="nil"/>
              <w:left w:val="single" w:sz="8" w:space="0" w:color="auto"/>
              <w:bottom w:val="single" w:sz="8" w:space="0" w:color="auto"/>
              <w:right w:val="single" w:sz="8" w:space="0" w:color="auto"/>
            </w:tcBorders>
            <w:shd w:val="clear" w:color="000000" w:fill="808080"/>
            <w:vAlign w:val="center"/>
            <w:hideMark/>
          </w:tcPr>
          <w:p w14:paraId="6A1E8BE6" w14:textId="77777777" w:rsidR="003B428D" w:rsidRPr="003B428D" w:rsidRDefault="003B428D" w:rsidP="003B428D">
            <w:pPr>
              <w:spacing w:after="0" w:line="240" w:lineRule="auto"/>
              <w:jc w:val="right"/>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Total</w:t>
            </w:r>
          </w:p>
        </w:tc>
        <w:tc>
          <w:tcPr>
            <w:tcW w:w="1040" w:type="dxa"/>
            <w:tcBorders>
              <w:top w:val="single" w:sz="8" w:space="0" w:color="auto"/>
              <w:left w:val="nil"/>
              <w:bottom w:val="single" w:sz="8" w:space="0" w:color="auto"/>
              <w:right w:val="single" w:sz="8" w:space="0" w:color="auto"/>
            </w:tcBorders>
            <w:shd w:val="clear" w:color="000000" w:fill="808080"/>
            <w:noWrap/>
            <w:vAlign w:val="center"/>
            <w:hideMark/>
          </w:tcPr>
          <w:p w14:paraId="30E9F0C4"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2418</w:t>
            </w:r>
          </w:p>
        </w:tc>
        <w:tc>
          <w:tcPr>
            <w:tcW w:w="1540" w:type="dxa"/>
            <w:tcBorders>
              <w:top w:val="single" w:sz="8" w:space="0" w:color="auto"/>
              <w:left w:val="nil"/>
              <w:bottom w:val="single" w:sz="8" w:space="0" w:color="auto"/>
              <w:right w:val="single" w:sz="8" w:space="0" w:color="auto"/>
            </w:tcBorders>
            <w:shd w:val="clear" w:color="000000" w:fill="808080"/>
            <w:noWrap/>
            <w:vAlign w:val="center"/>
            <w:hideMark/>
          </w:tcPr>
          <w:p w14:paraId="19C64C7F"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2518</w:t>
            </w:r>
          </w:p>
        </w:tc>
        <w:tc>
          <w:tcPr>
            <w:tcW w:w="1180" w:type="dxa"/>
            <w:tcBorders>
              <w:top w:val="nil"/>
              <w:left w:val="nil"/>
              <w:bottom w:val="single" w:sz="8" w:space="0" w:color="auto"/>
              <w:right w:val="single" w:sz="8" w:space="0" w:color="auto"/>
            </w:tcBorders>
            <w:shd w:val="clear" w:color="000000" w:fill="808080"/>
            <w:noWrap/>
            <w:vAlign w:val="center"/>
            <w:hideMark/>
          </w:tcPr>
          <w:p w14:paraId="67716DF0"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Prom</w:t>
            </w:r>
          </w:p>
        </w:tc>
        <w:tc>
          <w:tcPr>
            <w:tcW w:w="1060" w:type="dxa"/>
            <w:tcBorders>
              <w:top w:val="nil"/>
              <w:left w:val="nil"/>
              <w:bottom w:val="single" w:sz="8" w:space="0" w:color="auto"/>
              <w:right w:val="single" w:sz="8" w:space="0" w:color="auto"/>
            </w:tcBorders>
            <w:shd w:val="clear" w:color="000000" w:fill="808080"/>
            <w:noWrap/>
            <w:vAlign w:val="center"/>
            <w:hideMark/>
          </w:tcPr>
          <w:p w14:paraId="05938D2C"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101</w:t>
            </w:r>
          </w:p>
        </w:tc>
        <w:tc>
          <w:tcPr>
            <w:tcW w:w="1000" w:type="dxa"/>
            <w:tcBorders>
              <w:top w:val="nil"/>
              <w:left w:val="nil"/>
              <w:bottom w:val="single" w:sz="8" w:space="0" w:color="auto"/>
              <w:right w:val="single" w:sz="8" w:space="0" w:color="auto"/>
            </w:tcBorders>
            <w:shd w:val="clear" w:color="000000" w:fill="808080"/>
            <w:noWrap/>
            <w:vAlign w:val="center"/>
            <w:hideMark/>
          </w:tcPr>
          <w:p w14:paraId="089B8391"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74</w:t>
            </w:r>
          </w:p>
        </w:tc>
        <w:tc>
          <w:tcPr>
            <w:tcW w:w="1060" w:type="dxa"/>
            <w:tcBorders>
              <w:top w:val="nil"/>
              <w:left w:val="nil"/>
              <w:bottom w:val="single" w:sz="8" w:space="0" w:color="auto"/>
              <w:right w:val="single" w:sz="8" w:space="0" w:color="auto"/>
            </w:tcBorders>
            <w:shd w:val="clear" w:color="000000" w:fill="808080"/>
            <w:noWrap/>
            <w:vAlign w:val="center"/>
            <w:hideMark/>
          </w:tcPr>
          <w:p w14:paraId="5112F617"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104</w:t>
            </w:r>
          </w:p>
        </w:tc>
        <w:tc>
          <w:tcPr>
            <w:tcW w:w="1040" w:type="dxa"/>
            <w:tcBorders>
              <w:top w:val="nil"/>
              <w:left w:val="nil"/>
              <w:bottom w:val="single" w:sz="8" w:space="0" w:color="auto"/>
              <w:right w:val="single" w:sz="8" w:space="0" w:color="auto"/>
            </w:tcBorders>
            <w:shd w:val="clear" w:color="000000" w:fill="808080"/>
            <w:noWrap/>
            <w:vAlign w:val="center"/>
            <w:hideMark/>
          </w:tcPr>
          <w:p w14:paraId="5F77B4D5" w14:textId="77777777" w:rsidR="003B428D" w:rsidRPr="003B428D" w:rsidRDefault="003B428D" w:rsidP="003B428D">
            <w:pPr>
              <w:spacing w:after="0" w:line="240" w:lineRule="auto"/>
              <w:jc w:val="center"/>
              <w:rPr>
                <w:rFonts w:ascii="Book Antiqua" w:eastAsia="Times New Roman" w:hAnsi="Book Antiqua" w:cs="Calibri"/>
                <w:b/>
                <w:bCs/>
                <w:color w:val="FFFFFF"/>
                <w:sz w:val="18"/>
                <w:szCs w:val="18"/>
                <w:lang w:eastAsia="es-CR"/>
              </w:rPr>
            </w:pPr>
            <w:r w:rsidRPr="003B428D">
              <w:rPr>
                <w:rFonts w:ascii="Book Antiqua" w:eastAsia="Times New Roman" w:hAnsi="Book Antiqua" w:cs="Calibri"/>
                <w:b/>
                <w:bCs/>
                <w:color w:val="FFFFFF"/>
                <w:sz w:val="18"/>
                <w:szCs w:val="18"/>
                <w:lang w:eastAsia="es-CR"/>
              </w:rPr>
              <w:t>77</w:t>
            </w:r>
          </w:p>
        </w:tc>
      </w:tr>
    </w:tbl>
    <w:p w14:paraId="35B967B3" w14:textId="31DB5284" w:rsidR="003B428D" w:rsidRDefault="003F2BBC" w:rsidP="003F2BBC">
      <w:pPr>
        <w:spacing w:after="0" w:line="240" w:lineRule="auto"/>
        <w:jc w:val="both"/>
        <w:rPr>
          <w:rFonts w:ascii="Book Antiqua" w:eastAsia="Calibri" w:hAnsi="Book Antiqua" w:cs="Arial"/>
          <w:sz w:val="24"/>
          <w:szCs w:val="24"/>
        </w:rPr>
      </w:pPr>
      <w:r w:rsidRPr="00B8406C">
        <w:rPr>
          <w:rFonts w:ascii="Book Antiqua" w:eastAsia="Calibri" w:hAnsi="Book Antiqua" w:cs="Arial"/>
          <w:b/>
          <w:bCs/>
          <w:i/>
          <w:iCs/>
          <w:color w:val="000000" w:themeColor="text1"/>
          <w:sz w:val="20"/>
          <w:szCs w:val="20"/>
          <w:lang w:val="es-ES" w:eastAsia="es-ES"/>
        </w:rPr>
        <w:t>Fuente:</w:t>
      </w:r>
      <w:r w:rsidRPr="00391382">
        <w:rPr>
          <w:rFonts w:ascii="Book Antiqua" w:eastAsia="Calibri" w:hAnsi="Book Antiqua" w:cs="Arial"/>
          <w:i/>
          <w:iCs/>
          <w:color w:val="000000" w:themeColor="text1"/>
          <w:sz w:val="20"/>
          <w:szCs w:val="20"/>
          <w:lang w:val="es-ES" w:eastAsia="es-ES"/>
        </w:rPr>
        <w:t xml:space="preserve"> </w:t>
      </w:r>
      <w:r>
        <w:rPr>
          <w:rFonts w:ascii="Book Antiqua" w:eastAsia="Calibri" w:hAnsi="Book Antiqua" w:cs="Arial"/>
          <w:i/>
          <w:iCs/>
          <w:color w:val="000000" w:themeColor="text1"/>
          <w:sz w:val="20"/>
          <w:szCs w:val="20"/>
          <w:lang w:val="es-ES" w:eastAsia="es-ES"/>
        </w:rPr>
        <w:t xml:space="preserve">Subproceso de </w:t>
      </w:r>
      <w:r w:rsidRPr="00391382">
        <w:rPr>
          <w:rFonts w:ascii="Book Antiqua" w:eastAsia="Calibri" w:hAnsi="Book Antiqua" w:cs="Arial"/>
          <w:i/>
          <w:iCs/>
          <w:color w:val="000000" w:themeColor="text1"/>
          <w:sz w:val="20"/>
          <w:szCs w:val="20"/>
          <w:lang w:val="es-ES" w:eastAsia="es-ES"/>
        </w:rPr>
        <w:t>Modernización Institucional</w:t>
      </w:r>
      <w:r>
        <w:rPr>
          <w:rFonts w:ascii="Book Antiqua" w:eastAsia="Calibri" w:hAnsi="Book Antiqua" w:cs="Arial"/>
          <w:i/>
          <w:iCs/>
          <w:color w:val="000000" w:themeColor="text1"/>
          <w:sz w:val="20"/>
          <w:szCs w:val="20"/>
          <w:lang w:val="es-ES" w:eastAsia="es-ES"/>
        </w:rPr>
        <w:t xml:space="preserve"> con datos del Subproceso de Estadística del 2017 al 2022 y consulta del Balance General Interactivo del 23/2/2022.</w:t>
      </w:r>
    </w:p>
    <w:p w14:paraId="4160F7FD" w14:textId="77777777" w:rsidR="003B428D" w:rsidRDefault="003B428D" w:rsidP="006310ED">
      <w:pPr>
        <w:spacing w:after="0" w:line="276" w:lineRule="auto"/>
        <w:jc w:val="both"/>
        <w:rPr>
          <w:rFonts w:ascii="Book Antiqua" w:eastAsia="Calibri" w:hAnsi="Book Antiqua" w:cs="Arial"/>
          <w:sz w:val="24"/>
          <w:szCs w:val="24"/>
        </w:rPr>
      </w:pPr>
    </w:p>
    <w:p w14:paraId="4877F545" w14:textId="24CC0177" w:rsidR="00695918" w:rsidRPr="00695918" w:rsidRDefault="00695918" w:rsidP="006310ED">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La carga de trabajo de asuntos entrados es de 1</w:t>
      </w:r>
      <w:r w:rsidR="00BA5303">
        <w:rPr>
          <w:rFonts w:ascii="Book Antiqua" w:eastAsia="Calibri" w:hAnsi="Book Antiqua" w:cs="Arial"/>
          <w:sz w:val="24"/>
          <w:szCs w:val="24"/>
        </w:rPr>
        <w:t>0</w:t>
      </w:r>
      <w:r w:rsidR="003B428D">
        <w:rPr>
          <w:rFonts w:ascii="Book Antiqua" w:eastAsia="Calibri" w:hAnsi="Book Antiqua" w:cs="Arial"/>
          <w:sz w:val="24"/>
          <w:szCs w:val="24"/>
        </w:rPr>
        <w:t>1</w:t>
      </w:r>
      <w:r w:rsidRPr="00695918">
        <w:rPr>
          <w:rFonts w:ascii="Book Antiqua" w:eastAsia="Calibri" w:hAnsi="Book Antiqua" w:cs="Arial"/>
          <w:sz w:val="24"/>
          <w:szCs w:val="24"/>
        </w:rPr>
        <w:t xml:space="preserve"> casos al mes por persona juzgadora y de </w:t>
      </w:r>
      <w:r w:rsidR="003B428D">
        <w:rPr>
          <w:rFonts w:ascii="Book Antiqua" w:eastAsia="Calibri" w:hAnsi="Book Antiqua" w:cs="Arial"/>
          <w:sz w:val="24"/>
          <w:szCs w:val="24"/>
        </w:rPr>
        <w:t>74</w:t>
      </w:r>
      <w:r w:rsidRPr="00695918">
        <w:rPr>
          <w:rFonts w:ascii="Book Antiqua" w:eastAsia="Calibri" w:hAnsi="Book Antiqua" w:cs="Arial"/>
          <w:sz w:val="24"/>
          <w:szCs w:val="24"/>
        </w:rPr>
        <w:t xml:space="preserve"> por persona técnica judicial.</w:t>
      </w:r>
    </w:p>
    <w:p w14:paraId="3D09240B" w14:textId="77777777" w:rsidR="00695918" w:rsidRPr="00695918" w:rsidRDefault="00695918" w:rsidP="006310ED">
      <w:pPr>
        <w:spacing w:after="0" w:line="276" w:lineRule="auto"/>
        <w:jc w:val="both"/>
        <w:rPr>
          <w:rFonts w:ascii="Book Antiqua" w:eastAsia="Calibri" w:hAnsi="Book Antiqua" w:cs="Arial"/>
          <w:sz w:val="24"/>
          <w:szCs w:val="24"/>
        </w:rPr>
      </w:pPr>
    </w:p>
    <w:p w14:paraId="22B89AE1" w14:textId="6E409BAC" w:rsidR="00695918" w:rsidRDefault="00695918" w:rsidP="006310ED">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Para 202</w:t>
      </w:r>
      <w:r w:rsidR="003B428D">
        <w:rPr>
          <w:rFonts w:ascii="Book Antiqua" w:eastAsia="Calibri" w:hAnsi="Book Antiqua" w:cs="Arial"/>
          <w:sz w:val="24"/>
          <w:szCs w:val="24"/>
        </w:rPr>
        <w:t>2</w:t>
      </w:r>
      <w:r w:rsidRPr="00695918">
        <w:rPr>
          <w:rFonts w:ascii="Book Antiqua" w:eastAsia="Calibri" w:hAnsi="Book Antiqua" w:cs="Arial"/>
          <w:sz w:val="24"/>
          <w:szCs w:val="24"/>
        </w:rPr>
        <w:t xml:space="preserve">, se reportaron en los Juzgados Especializados en Violencia Doméstica una entrada total promedio de </w:t>
      </w:r>
      <w:r w:rsidR="003B428D">
        <w:rPr>
          <w:rFonts w:ascii="Book Antiqua" w:eastAsia="Calibri" w:hAnsi="Book Antiqua" w:cs="Arial"/>
          <w:sz w:val="24"/>
          <w:szCs w:val="24"/>
        </w:rPr>
        <w:t>1 785</w:t>
      </w:r>
      <w:r w:rsidRPr="00695918">
        <w:rPr>
          <w:rFonts w:ascii="Book Antiqua" w:eastAsia="Calibri" w:hAnsi="Book Antiqua" w:cs="Arial"/>
          <w:sz w:val="24"/>
          <w:szCs w:val="24"/>
        </w:rPr>
        <w:t xml:space="preserve"> asuntos por mes y 2</w:t>
      </w:r>
      <w:r w:rsidR="00BA5303" w:rsidRPr="007C0093">
        <w:rPr>
          <w:rFonts w:ascii="Book Antiqua" w:eastAsia="Calibri" w:hAnsi="Book Antiqua" w:cs="Arial"/>
          <w:sz w:val="24"/>
          <w:szCs w:val="24"/>
        </w:rPr>
        <w:t xml:space="preserve"> 4</w:t>
      </w:r>
      <w:r w:rsidR="003B428D">
        <w:rPr>
          <w:rFonts w:ascii="Book Antiqua" w:eastAsia="Calibri" w:hAnsi="Book Antiqua" w:cs="Arial"/>
          <w:sz w:val="24"/>
          <w:szCs w:val="24"/>
        </w:rPr>
        <w:t>66</w:t>
      </w:r>
      <w:r w:rsidRPr="00695918">
        <w:rPr>
          <w:rFonts w:ascii="Book Antiqua" w:eastAsia="Calibri" w:hAnsi="Book Antiqua" w:cs="Arial"/>
          <w:sz w:val="24"/>
          <w:szCs w:val="24"/>
        </w:rPr>
        <w:t xml:space="preserve"> terminados</w:t>
      </w:r>
      <w:r w:rsidR="003B428D">
        <w:rPr>
          <w:rFonts w:ascii="Book Antiqua" w:eastAsia="Calibri" w:hAnsi="Book Antiqua" w:cs="Arial"/>
          <w:sz w:val="24"/>
          <w:szCs w:val="24"/>
        </w:rPr>
        <w:t>. P</w:t>
      </w:r>
      <w:r w:rsidRPr="00695918">
        <w:rPr>
          <w:rFonts w:ascii="Book Antiqua" w:eastAsia="Calibri" w:hAnsi="Book Antiqua" w:cs="Arial"/>
          <w:sz w:val="24"/>
          <w:szCs w:val="24"/>
        </w:rPr>
        <w:t xml:space="preserve">or lo que el promedio de entrada por plaza calculado en el cuadro anterior se mantiene. </w:t>
      </w:r>
    </w:p>
    <w:p w14:paraId="0A93B37F" w14:textId="77777777" w:rsidR="00FC140B" w:rsidRPr="00695918" w:rsidRDefault="00FC140B" w:rsidP="006310ED">
      <w:pPr>
        <w:spacing w:after="0" w:line="276" w:lineRule="auto"/>
        <w:jc w:val="both"/>
        <w:rPr>
          <w:rFonts w:ascii="Book Antiqua" w:eastAsia="Calibri" w:hAnsi="Book Antiqua" w:cs="Arial"/>
          <w:sz w:val="24"/>
          <w:szCs w:val="24"/>
        </w:rPr>
      </w:pPr>
    </w:p>
    <w:p w14:paraId="7D4E3DEA" w14:textId="0108B621" w:rsidR="00C02927" w:rsidRDefault="003910C3" w:rsidP="001D0C10">
      <w:pPr>
        <w:spacing w:line="276" w:lineRule="auto"/>
        <w:jc w:val="both"/>
        <w:rPr>
          <w:rFonts w:ascii="Book Antiqua" w:eastAsia="Calibri" w:hAnsi="Book Antiqua" w:cs="Arial"/>
          <w:sz w:val="24"/>
          <w:szCs w:val="24"/>
        </w:rPr>
      </w:pPr>
      <w:r w:rsidRPr="003910C3">
        <w:rPr>
          <w:rFonts w:ascii="Book Antiqua" w:eastAsia="Calibri" w:hAnsi="Book Antiqua" w:cs="Arial"/>
          <w:sz w:val="24"/>
          <w:szCs w:val="24"/>
        </w:rPr>
        <w:t>C</w:t>
      </w:r>
      <w:r w:rsidR="009E0770" w:rsidRPr="003910C3">
        <w:rPr>
          <w:rFonts w:ascii="Book Antiqua" w:eastAsia="Calibri" w:hAnsi="Book Antiqua" w:cs="Arial"/>
          <w:sz w:val="24"/>
          <w:szCs w:val="24"/>
        </w:rPr>
        <w:t>omo se observa en el cuadro anterior</w:t>
      </w:r>
      <w:r w:rsidR="00C02927" w:rsidRPr="003910C3">
        <w:rPr>
          <w:rFonts w:ascii="Book Antiqua" w:eastAsia="Calibri" w:hAnsi="Book Antiqua" w:cs="Arial"/>
          <w:sz w:val="24"/>
          <w:szCs w:val="24"/>
        </w:rPr>
        <w:t>,</w:t>
      </w:r>
      <w:r w:rsidR="009E0770" w:rsidRPr="003910C3">
        <w:rPr>
          <w:rFonts w:ascii="Book Antiqua" w:eastAsia="Calibri" w:hAnsi="Book Antiqua" w:cs="Arial"/>
          <w:sz w:val="24"/>
          <w:szCs w:val="24"/>
        </w:rPr>
        <w:t xml:space="preserve"> el promedio de la carga de trabajo para el personal juzgador es de 10</w:t>
      </w:r>
      <w:r w:rsidRPr="003910C3">
        <w:rPr>
          <w:rFonts w:ascii="Book Antiqua" w:eastAsia="Calibri" w:hAnsi="Book Antiqua" w:cs="Arial"/>
          <w:sz w:val="24"/>
          <w:szCs w:val="24"/>
        </w:rPr>
        <w:t>1</w:t>
      </w:r>
      <w:r w:rsidR="009E0770" w:rsidRPr="003910C3">
        <w:rPr>
          <w:rFonts w:ascii="Book Antiqua" w:eastAsia="Calibri" w:hAnsi="Book Antiqua" w:cs="Arial"/>
          <w:sz w:val="24"/>
          <w:szCs w:val="24"/>
        </w:rPr>
        <w:t xml:space="preserve"> </w:t>
      </w:r>
      <w:r w:rsidR="00C02927" w:rsidRPr="003910C3">
        <w:rPr>
          <w:rFonts w:ascii="Book Antiqua" w:eastAsia="Calibri" w:hAnsi="Book Antiqua" w:cs="Arial"/>
          <w:sz w:val="24"/>
          <w:szCs w:val="24"/>
        </w:rPr>
        <w:t xml:space="preserve">y para el personal técnico judicial de </w:t>
      </w:r>
      <w:r w:rsidRPr="003910C3">
        <w:rPr>
          <w:rFonts w:ascii="Book Antiqua" w:eastAsia="Calibri" w:hAnsi="Book Antiqua" w:cs="Arial"/>
          <w:sz w:val="24"/>
          <w:szCs w:val="24"/>
        </w:rPr>
        <w:t>74</w:t>
      </w:r>
      <w:r w:rsidR="00C02927" w:rsidRPr="003910C3">
        <w:rPr>
          <w:rFonts w:ascii="Book Antiqua" w:eastAsia="Calibri" w:hAnsi="Book Antiqua" w:cs="Arial"/>
          <w:sz w:val="24"/>
          <w:szCs w:val="24"/>
        </w:rPr>
        <w:t xml:space="preserve"> asunto</w:t>
      </w:r>
      <w:r w:rsidR="009E0770" w:rsidRPr="003910C3">
        <w:rPr>
          <w:rFonts w:ascii="Book Antiqua" w:eastAsia="Calibri" w:hAnsi="Book Antiqua" w:cs="Arial"/>
          <w:sz w:val="24"/>
          <w:szCs w:val="24"/>
        </w:rPr>
        <w:t>s mensuales</w:t>
      </w:r>
      <w:r w:rsidR="00C02927" w:rsidRPr="003910C3">
        <w:rPr>
          <w:rFonts w:ascii="Book Antiqua" w:eastAsia="Calibri" w:hAnsi="Book Antiqua" w:cs="Arial"/>
          <w:sz w:val="24"/>
          <w:szCs w:val="24"/>
        </w:rPr>
        <w:t>.</w:t>
      </w:r>
      <w:r w:rsidR="00C02927">
        <w:rPr>
          <w:rFonts w:ascii="Book Antiqua" w:eastAsia="Calibri" w:hAnsi="Book Antiqua" w:cs="Arial"/>
          <w:sz w:val="24"/>
          <w:szCs w:val="24"/>
        </w:rPr>
        <w:t xml:space="preserve"> </w:t>
      </w:r>
    </w:p>
    <w:p w14:paraId="764C725E" w14:textId="61ECE1DA" w:rsidR="00401D77" w:rsidRDefault="00C02927"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En cuanto a </w:t>
      </w:r>
      <w:r w:rsidR="00A3607B">
        <w:rPr>
          <w:rFonts w:ascii="Book Antiqua" w:eastAsia="Calibri" w:hAnsi="Book Antiqua" w:cs="Arial"/>
          <w:sz w:val="24"/>
          <w:szCs w:val="24"/>
        </w:rPr>
        <w:t xml:space="preserve">la </w:t>
      </w:r>
      <w:r w:rsidR="00A3607B" w:rsidRPr="001D0C10">
        <w:rPr>
          <w:rFonts w:ascii="Book Antiqua" w:eastAsia="Calibri" w:hAnsi="Book Antiqua" w:cs="Arial"/>
          <w:sz w:val="24"/>
          <w:szCs w:val="24"/>
        </w:rPr>
        <w:t>carga</w:t>
      </w:r>
      <w:r w:rsidR="00A3607B">
        <w:rPr>
          <w:rFonts w:ascii="Book Antiqua" w:eastAsia="Calibri" w:hAnsi="Book Antiqua" w:cs="Arial"/>
          <w:sz w:val="24"/>
          <w:szCs w:val="24"/>
        </w:rPr>
        <w:t xml:space="preserve"> </w:t>
      </w:r>
      <w:r w:rsidR="00A3607B" w:rsidRPr="001D0C10">
        <w:rPr>
          <w:rFonts w:ascii="Book Antiqua" w:eastAsia="Calibri" w:hAnsi="Book Antiqua" w:cs="Arial"/>
          <w:sz w:val="24"/>
          <w:szCs w:val="24"/>
        </w:rPr>
        <w:t>d</w:t>
      </w:r>
      <w:r w:rsidR="00A3607B">
        <w:rPr>
          <w:rFonts w:ascii="Book Antiqua" w:eastAsia="Calibri" w:hAnsi="Book Antiqua" w:cs="Arial"/>
          <w:sz w:val="24"/>
          <w:szCs w:val="24"/>
        </w:rPr>
        <w:t>e</w:t>
      </w:r>
      <w:r w:rsidR="00A3607B" w:rsidRPr="001D0C10">
        <w:rPr>
          <w:rFonts w:ascii="Book Antiqua" w:eastAsia="Calibri" w:hAnsi="Book Antiqua" w:cs="Arial"/>
          <w:sz w:val="24"/>
          <w:szCs w:val="24"/>
        </w:rPr>
        <w:t xml:space="preserve"> trabajo de los Juzgados</w:t>
      </w:r>
      <w:r w:rsidR="00A3607B">
        <w:rPr>
          <w:rFonts w:ascii="Book Antiqua" w:eastAsia="Calibri" w:hAnsi="Book Antiqua" w:cs="Arial"/>
          <w:sz w:val="24"/>
          <w:szCs w:val="24"/>
        </w:rPr>
        <w:t xml:space="preserve"> de Violencia Doméstica del Segundo Circuito Judicial de Alajuela </w:t>
      </w:r>
      <w:r w:rsidR="008C32F1">
        <w:rPr>
          <w:rFonts w:ascii="Book Antiqua" w:eastAsia="Calibri" w:hAnsi="Book Antiqua" w:cs="Arial"/>
          <w:sz w:val="24"/>
          <w:szCs w:val="24"/>
        </w:rPr>
        <w:t xml:space="preserve">es de </w:t>
      </w:r>
      <w:r>
        <w:rPr>
          <w:rFonts w:ascii="Book Antiqua" w:eastAsia="Calibri" w:hAnsi="Book Antiqua" w:cs="Arial"/>
          <w:sz w:val="24"/>
          <w:szCs w:val="24"/>
        </w:rPr>
        <w:t>1</w:t>
      </w:r>
      <w:r w:rsidR="003F2BBC">
        <w:rPr>
          <w:rFonts w:ascii="Book Antiqua" w:eastAsia="Calibri" w:hAnsi="Book Antiqua" w:cs="Arial"/>
          <w:sz w:val="24"/>
          <w:szCs w:val="24"/>
        </w:rPr>
        <w:t>40</w:t>
      </w:r>
      <w:r w:rsidR="008C32F1">
        <w:rPr>
          <w:rFonts w:ascii="Book Antiqua" w:eastAsia="Calibri" w:hAnsi="Book Antiqua" w:cs="Arial"/>
          <w:sz w:val="24"/>
          <w:szCs w:val="24"/>
        </w:rPr>
        <w:t xml:space="preserve"> </w:t>
      </w:r>
      <w:r w:rsidR="008D7EBE">
        <w:rPr>
          <w:rFonts w:ascii="Book Antiqua" w:eastAsia="Calibri" w:hAnsi="Book Antiqua" w:cs="Arial"/>
          <w:sz w:val="24"/>
          <w:szCs w:val="24"/>
        </w:rPr>
        <w:t xml:space="preserve">asuntos por mes </w:t>
      </w:r>
      <w:r w:rsidR="00A3607B">
        <w:rPr>
          <w:rFonts w:ascii="Book Antiqua" w:eastAsia="Calibri" w:hAnsi="Book Antiqua" w:cs="Arial"/>
          <w:sz w:val="24"/>
          <w:szCs w:val="24"/>
        </w:rPr>
        <w:t xml:space="preserve">y </w:t>
      </w:r>
      <w:r w:rsidR="008D7EBE">
        <w:rPr>
          <w:rFonts w:ascii="Book Antiqua" w:eastAsia="Calibri" w:hAnsi="Book Antiqua" w:cs="Arial"/>
          <w:sz w:val="24"/>
          <w:szCs w:val="24"/>
        </w:rPr>
        <w:t xml:space="preserve">del </w:t>
      </w:r>
      <w:r w:rsidR="00A3607B">
        <w:rPr>
          <w:rFonts w:ascii="Book Antiqua" w:eastAsia="Calibri" w:hAnsi="Book Antiqua" w:cs="Arial"/>
          <w:sz w:val="24"/>
          <w:szCs w:val="24"/>
        </w:rPr>
        <w:t>Segundo Circuito Judicial de la Zona Atlántica</w:t>
      </w:r>
      <w:r>
        <w:rPr>
          <w:rFonts w:ascii="Book Antiqua" w:eastAsia="Calibri" w:hAnsi="Book Antiqua" w:cs="Arial"/>
          <w:sz w:val="24"/>
          <w:szCs w:val="24"/>
        </w:rPr>
        <w:t xml:space="preserve"> </w:t>
      </w:r>
      <w:r w:rsidR="008C32F1">
        <w:rPr>
          <w:rFonts w:ascii="Book Antiqua" w:eastAsia="Calibri" w:hAnsi="Book Antiqua" w:cs="Arial"/>
          <w:sz w:val="24"/>
          <w:szCs w:val="24"/>
        </w:rPr>
        <w:t xml:space="preserve">de </w:t>
      </w:r>
      <w:r w:rsidR="003F2BBC">
        <w:rPr>
          <w:rFonts w:ascii="Book Antiqua" w:eastAsia="Calibri" w:hAnsi="Book Antiqua" w:cs="Arial"/>
          <w:sz w:val="24"/>
          <w:szCs w:val="24"/>
        </w:rPr>
        <w:t>138</w:t>
      </w:r>
      <w:r w:rsidR="008C32F1">
        <w:rPr>
          <w:rFonts w:ascii="Book Antiqua" w:eastAsia="Calibri" w:hAnsi="Book Antiqua" w:cs="Arial"/>
          <w:sz w:val="24"/>
          <w:szCs w:val="24"/>
        </w:rPr>
        <w:t xml:space="preserve"> asuntos mensuales por Juez o Jueza</w:t>
      </w:r>
      <w:r w:rsidR="00A3607B">
        <w:rPr>
          <w:rFonts w:ascii="Book Antiqua" w:eastAsia="Calibri" w:hAnsi="Book Antiqua" w:cs="Arial"/>
          <w:sz w:val="24"/>
          <w:szCs w:val="24"/>
        </w:rPr>
        <w:t xml:space="preserve">, </w:t>
      </w:r>
      <w:r w:rsidR="008D7EBE">
        <w:rPr>
          <w:rFonts w:ascii="Book Antiqua" w:eastAsia="Calibri" w:hAnsi="Book Antiqua" w:cs="Arial"/>
          <w:sz w:val="24"/>
          <w:szCs w:val="24"/>
        </w:rPr>
        <w:t xml:space="preserve">por lo que </w:t>
      </w:r>
      <w:r w:rsidR="008D7EBE" w:rsidRPr="008D7EBE">
        <w:rPr>
          <w:rFonts w:ascii="Book Antiqua" w:eastAsia="Calibri" w:hAnsi="Book Antiqua" w:cs="Arial"/>
          <w:sz w:val="24"/>
          <w:szCs w:val="24"/>
        </w:rPr>
        <w:t>se denota la diferencia en la carga de trabajo de</w:t>
      </w:r>
      <w:r w:rsidR="00A74954">
        <w:rPr>
          <w:rFonts w:ascii="Book Antiqua" w:eastAsia="Calibri" w:hAnsi="Book Antiqua" w:cs="Arial"/>
          <w:sz w:val="24"/>
          <w:szCs w:val="24"/>
        </w:rPr>
        <w:t xml:space="preserve"> </w:t>
      </w:r>
      <w:r w:rsidR="00401D77">
        <w:rPr>
          <w:rFonts w:ascii="Book Antiqua" w:eastAsia="Calibri" w:hAnsi="Book Antiqua" w:cs="Arial"/>
          <w:sz w:val="24"/>
          <w:szCs w:val="24"/>
        </w:rPr>
        <w:t xml:space="preserve">más de </w:t>
      </w:r>
      <w:r w:rsidR="00691535">
        <w:rPr>
          <w:rFonts w:ascii="Book Antiqua" w:eastAsia="Calibri" w:hAnsi="Book Antiqua" w:cs="Arial"/>
          <w:sz w:val="24"/>
          <w:szCs w:val="24"/>
        </w:rPr>
        <w:t>35</w:t>
      </w:r>
      <w:r w:rsidR="00401D77">
        <w:rPr>
          <w:rFonts w:ascii="Book Antiqua" w:eastAsia="Calibri" w:hAnsi="Book Antiqua" w:cs="Arial"/>
          <w:sz w:val="24"/>
          <w:szCs w:val="24"/>
        </w:rPr>
        <w:t xml:space="preserve"> asuntos</w:t>
      </w:r>
      <w:r w:rsidR="00A74954">
        <w:rPr>
          <w:rFonts w:ascii="Book Antiqua" w:eastAsia="Calibri" w:hAnsi="Book Antiqua" w:cs="Arial"/>
          <w:sz w:val="24"/>
          <w:szCs w:val="24"/>
        </w:rPr>
        <w:t xml:space="preserve"> por mes </w:t>
      </w:r>
      <w:r w:rsidR="006310ED">
        <w:rPr>
          <w:rFonts w:ascii="Book Antiqua" w:eastAsia="Calibri" w:hAnsi="Book Antiqua" w:cs="Arial"/>
          <w:sz w:val="24"/>
          <w:szCs w:val="24"/>
        </w:rPr>
        <w:t xml:space="preserve">por encima del </w:t>
      </w:r>
      <w:r w:rsidR="00A74954">
        <w:rPr>
          <w:rFonts w:ascii="Book Antiqua" w:eastAsia="Calibri" w:hAnsi="Book Antiqua" w:cs="Arial"/>
          <w:sz w:val="24"/>
          <w:szCs w:val="24"/>
        </w:rPr>
        <w:t>promedio</w:t>
      </w:r>
      <w:r w:rsidR="006310ED">
        <w:rPr>
          <w:rFonts w:ascii="Book Antiqua" w:eastAsia="Calibri" w:hAnsi="Book Antiqua" w:cs="Arial"/>
          <w:sz w:val="24"/>
          <w:szCs w:val="24"/>
        </w:rPr>
        <w:t xml:space="preserve"> (</w:t>
      </w:r>
      <w:r w:rsidR="00A74954">
        <w:rPr>
          <w:rFonts w:ascii="Book Antiqua" w:eastAsia="Calibri" w:hAnsi="Book Antiqua" w:cs="Arial"/>
          <w:sz w:val="24"/>
          <w:szCs w:val="24"/>
        </w:rPr>
        <w:t>10</w:t>
      </w:r>
      <w:r w:rsidR="003F2BBC">
        <w:rPr>
          <w:rFonts w:ascii="Book Antiqua" w:eastAsia="Calibri" w:hAnsi="Book Antiqua" w:cs="Arial"/>
          <w:sz w:val="24"/>
          <w:szCs w:val="24"/>
        </w:rPr>
        <w:t>1</w:t>
      </w:r>
      <w:r w:rsidR="00A74954">
        <w:rPr>
          <w:rFonts w:ascii="Book Antiqua" w:eastAsia="Calibri" w:hAnsi="Book Antiqua" w:cs="Arial"/>
          <w:sz w:val="24"/>
          <w:szCs w:val="24"/>
        </w:rPr>
        <w:t xml:space="preserve"> asuntos mensuales por Juez o Jueza</w:t>
      </w:r>
      <w:r w:rsidR="006310ED">
        <w:rPr>
          <w:rFonts w:ascii="Book Antiqua" w:eastAsia="Calibri" w:hAnsi="Book Antiqua" w:cs="Arial"/>
          <w:sz w:val="24"/>
          <w:szCs w:val="24"/>
        </w:rPr>
        <w:t>)</w:t>
      </w:r>
      <w:r w:rsidR="003A7033">
        <w:rPr>
          <w:rFonts w:ascii="Book Antiqua" w:eastAsia="Calibri" w:hAnsi="Book Antiqua" w:cs="Arial"/>
          <w:sz w:val="24"/>
          <w:szCs w:val="24"/>
        </w:rPr>
        <w:t xml:space="preserve">. </w:t>
      </w:r>
    </w:p>
    <w:p w14:paraId="5D45249C" w14:textId="409A61FE" w:rsidR="00557680" w:rsidRDefault="003A7033"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Dado lo anterior</w:t>
      </w:r>
      <w:r w:rsidR="00A3607B">
        <w:rPr>
          <w:rFonts w:ascii="Book Antiqua" w:eastAsia="Calibri" w:hAnsi="Book Antiqua" w:cs="Arial"/>
          <w:sz w:val="24"/>
          <w:szCs w:val="24"/>
        </w:rPr>
        <w:t>,</w:t>
      </w:r>
      <w:r>
        <w:rPr>
          <w:rFonts w:ascii="Book Antiqua" w:eastAsia="Calibri" w:hAnsi="Book Antiqua" w:cs="Arial"/>
          <w:sz w:val="24"/>
          <w:szCs w:val="24"/>
        </w:rPr>
        <w:t xml:space="preserve"> se </w:t>
      </w:r>
      <w:r w:rsidR="00401D77">
        <w:rPr>
          <w:rFonts w:ascii="Book Antiqua" w:eastAsia="Calibri" w:hAnsi="Book Antiqua" w:cs="Arial"/>
          <w:sz w:val="24"/>
          <w:szCs w:val="24"/>
        </w:rPr>
        <w:t>considera</w:t>
      </w:r>
      <w:r>
        <w:rPr>
          <w:rFonts w:ascii="Book Antiqua" w:eastAsia="Calibri" w:hAnsi="Book Antiqua" w:cs="Arial"/>
          <w:sz w:val="24"/>
          <w:szCs w:val="24"/>
        </w:rPr>
        <w:t xml:space="preserve"> reforzar </w:t>
      </w:r>
      <w:r w:rsidR="00A74954">
        <w:rPr>
          <w:rFonts w:ascii="Book Antiqua" w:eastAsia="Calibri" w:hAnsi="Book Antiqua" w:cs="Arial"/>
          <w:sz w:val="24"/>
          <w:szCs w:val="24"/>
        </w:rPr>
        <w:t xml:space="preserve">con </w:t>
      </w:r>
      <w:r w:rsidR="004B73B8">
        <w:rPr>
          <w:rFonts w:ascii="Book Antiqua" w:eastAsia="Calibri" w:hAnsi="Book Antiqua" w:cs="Arial"/>
          <w:sz w:val="24"/>
          <w:szCs w:val="24"/>
        </w:rPr>
        <w:t xml:space="preserve">dos personas </w:t>
      </w:r>
      <w:r w:rsidR="00A74954">
        <w:rPr>
          <w:rFonts w:ascii="Book Antiqua" w:eastAsia="Calibri" w:hAnsi="Book Antiqua" w:cs="Arial"/>
          <w:sz w:val="24"/>
          <w:szCs w:val="24"/>
        </w:rPr>
        <w:t>juzgador</w:t>
      </w:r>
      <w:r w:rsidR="004B73B8">
        <w:rPr>
          <w:rFonts w:ascii="Book Antiqua" w:eastAsia="Calibri" w:hAnsi="Book Antiqua" w:cs="Arial"/>
          <w:sz w:val="24"/>
          <w:szCs w:val="24"/>
        </w:rPr>
        <w:t>as</w:t>
      </w:r>
      <w:r w:rsidR="00A74954">
        <w:rPr>
          <w:rFonts w:ascii="Book Antiqua" w:eastAsia="Calibri" w:hAnsi="Book Antiqua" w:cs="Arial"/>
          <w:sz w:val="24"/>
          <w:szCs w:val="24"/>
        </w:rPr>
        <w:t xml:space="preserve"> y </w:t>
      </w:r>
      <w:r w:rsidR="006C7243">
        <w:rPr>
          <w:rFonts w:ascii="Book Antiqua" w:eastAsia="Calibri" w:hAnsi="Book Antiqua" w:cs="Arial"/>
          <w:sz w:val="24"/>
          <w:szCs w:val="24"/>
        </w:rPr>
        <w:t>17</w:t>
      </w:r>
      <w:r w:rsidR="004B73B8">
        <w:rPr>
          <w:rFonts w:ascii="Book Antiqua" w:eastAsia="Calibri" w:hAnsi="Book Antiqua" w:cs="Arial"/>
          <w:sz w:val="24"/>
          <w:szCs w:val="24"/>
        </w:rPr>
        <w:t xml:space="preserve"> </w:t>
      </w:r>
      <w:r w:rsidR="00A74954">
        <w:rPr>
          <w:rFonts w:ascii="Book Antiqua" w:eastAsia="Calibri" w:hAnsi="Book Antiqua" w:cs="Arial"/>
          <w:sz w:val="24"/>
          <w:szCs w:val="24"/>
        </w:rPr>
        <w:t>técnic</w:t>
      </w:r>
      <w:r w:rsidR="004B73B8">
        <w:rPr>
          <w:rFonts w:ascii="Book Antiqua" w:eastAsia="Calibri" w:hAnsi="Book Antiqua" w:cs="Arial"/>
          <w:sz w:val="24"/>
          <w:szCs w:val="24"/>
        </w:rPr>
        <w:t>as</w:t>
      </w:r>
      <w:r w:rsidR="00A74954">
        <w:rPr>
          <w:rFonts w:ascii="Book Antiqua" w:eastAsia="Calibri" w:hAnsi="Book Antiqua" w:cs="Arial"/>
          <w:sz w:val="24"/>
          <w:szCs w:val="24"/>
        </w:rPr>
        <w:t xml:space="preserve"> judicial</w:t>
      </w:r>
      <w:r w:rsidR="004B73B8">
        <w:rPr>
          <w:rFonts w:ascii="Book Antiqua" w:eastAsia="Calibri" w:hAnsi="Book Antiqua" w:cs="Arial"/>
          <w:sz w:val="24"/>
          <w:szCs w:val="24"/>
        </w:rPr>
        <w:t>es</w:t>
      </w:r>
      <w:r w:rsidR="006C7243">
        <w:rPr>
          <w:rFonts w:ascii="Book Antiqua" w:eastAsia="Calibri" w:hAnsi="Book Antiqua" w:cs="Arial"/>
          <w:sz w:val="24"/>
          <w:szCs w:val="24"/>
        </w:rPr>
        <w:t>, con el propósito de establecer una figura especializada en la manifestación y relaciones de trabajo de una persona Juzgadora con dos personas Técnicas Judiciales de trámite con base en el Modelo de tramitación que se implementará para esta materia.</w:t>
      </w:r>
    </w:p>
    <w:p w14:paraId="6958F13A" w14:textId="7CB48710" w:rsidR="00E830F7" w:rsidRPr="00557680" w:rsidRDefault="00E830F7" w:rsidP="00E830F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57680">
        <w:rPr>
          <w:rFonts w:ascii="Book Antiqua" w:eastAsia="Calibri" w:hAnsi="Book Antiqua" w:cs="Arial"/>
          <w:b/>
          <w:bCs/>
          <w:color w:val="1F497D"/>
          <w:szCs w:val="24"/>
          <w:lang w:val="es-ES" w:eastAsia="es-ES"/>
        </w:rPr>
        <w:t xml:space="preserve">Cuadro </w:t>
      </w:r>
      <w:r w:rsidRPr="00557680">
        <w:rPr>
          <w:rFonts w:ascii="Book Antiqua" w:eastAsia="Calibri" w:hAnsi="Book Antiqua" w:cs="Arial"/>
          <w:b/>
          <w:bCs/>
          <w:color w:val="1F497D"/>
          <w:szCs w:val="24"/>
          <w:lang w:val="es-ES" w:eastAsia="es-ES"/>
        </w:rPr>
        <w:fldChar w:fldCharType="begin"/>
      </w:r>
      <w:r w:rsidRPr="00557680">
        <w:rPr>
          <w:rFonts w:ascii="Book Antiqua" w:eastAsia="Calibri" w:hAnsi="Book Antiqua" w:cs="Arial"/>
          <w:b/>
          <w:bCs/>
          <w:color w:val="1F497D"/>
          <w:szCs w:val="24"/>
          <w:lang w:val="es-ES" w:eastAsia="es-ES"/>
        </w:rPr>
        <w:instrText xml:space="preserve"> SEQ Cuadro \* ARABIC </w:instrText>
      </w:r>
      <w:r w:rsidRPr="00557680">
        <w:rPr>
          <w:rFonts w:ascii="Book Antiqua" w:eastAsia="Calibri" w:hAnsi="Book Antiqua" w:cs="Arial"/>
          <w:b/>
          <w:bCs/>
          <w:color w:val="1F497D"/>
          <w:szCs w:val="24"/>
          <w:lang w:val="es-ES" w:eastAsia="es-ES"/>
        </w:rPr>
        <w:fldChar w:fldCharType="separate"/>
      </w:r>
      <w:r w:rsidR="00950574">
        <w:rPr>
          <w:rFonts w:ascii="Book Antiqua" w:eastAsia="Calibri" w:hAnsi="Book Antiqua" w:cs="Arial"/>
          <w:b/>
          <w:bCs/>
          <w:noProof/>
          <w:color w:val="1F497D"/>
          <w:szCs w:val="24"/>
          <w:lang w:val="es-ES" w:eastAsia="es-ES"/>
        </w:rPr>
        <w:t>65</w:t>
      </w:r>
      <w:r w:rsidRPr="00557680">
        <w:rPr>
          <w:rFonts w:ascii="Book Antiqua" w:eastAsia="Calibri" w:hAnsi="Book Antiqua" w:cs="Arial"/>
          <w:b/>
          <w:bCs/>
          <w:color w:val="1F497D"/>
          <w:szCs w:val="24"/>
          <w:lang w:val="es-ES" w:eastAsia="es-ES"/>
        </w:rPr>
        <w:fldChar w:fldCharType="end"/>
      </w:r>
      <w:r w:rsidRPr="00557680">
        <w:rPr>
          <w:rFonts w:ascii="Book Antiqua" w:eastAsia="Calibri" w:hAnsi="Book Antiqua" w:cs="Arial"/>
          <w:b/>
          <w:bCs/>
          <w:color w:val="1F497D"/>
          <w:szCs w:val="24"/>
          <w:lang w:val="es-ES" w:eastAsia="es-ES"/>
        </w:rPr>
        <w:t xml:space="preserve"> </w:t>
      </w:r>
    </w:p>
    <w:p w14:paraId="59151FB4" w14:textId="6738EC29" w:rsidR="00E830F7" w:rsidRDefault="00E830F7" w:rsidP="00E830F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57680">
        <w:rPr>
          <w:rFonts w:ascii="Book Antiqua" w:eastAsia="Calibri" w:hAnsi="Book Antiqua" w:cs="Arial"/>
          <w:b/>
          <w:bCs/>
          <w:color w:val="1F497D"/>
          <w:szCs w:val="24"/>
          <w:lang w:val="es-ES" w:eastAsia="es-ES"/>
        </w:rPr>
        <w:t xml:space="preserve">Costo de los recursos propuestos </w:t>
      </w:r>
      <w:r w:rsidR="006C7243" w:rsidRPr="00557680">
        <w:rPr>
          <w:rFonts w:ascii="Book Antiqua" w:eastAsia="Calibri" w:hAnsi="Book Antiqua" w:cs="Arial"/>
          <w:b/>
          <w:bCs/>
          <w:color w:val="1F497D"/>
          <w:szCs w:val="24"/>
          <w:lang w:val="es-ES" w:eastAsia="es-ES"/>
        </w:rPr>
        <w:t>para la implementación del Modelo de Tramitación en los Juzgados Contra la Violencia Doméstica</w:t>
      </w:r>
    </w:p>
    <w:tbl>
      <w:tblPr>
        <w:tblW w:w="8931" w:type="dxa"/>
        <w:jc w:val="center"/>
        <w:tblCellMar>
          <w:left w:w="70" w:type="dxa"/>
          <w:right w:w="70" w:type="dxa"/>
        </w:tblCellMar>
        <w:tblLook w:val="04A0" w:firstRow="1" w:lastRow="0" w:firstColumn="1" w:lastColumn="0" w:noHBand="0" w:noVBand="1"/>
      </w:tblPr>
      <w:tblGrid>
        <w:gridCol w:w="1765"/>
        <w:gridCol w:w="1155"/>
        <w:gridCol w:w="1700"/>
        <w:gridCol w:w="1501"/>
        <w:gridCol w:w="1155"/>
        <w:gridCol w:w="1655"/>
      </w:tblGrid>
      <w:tr w:rsidR="00557680" w:rsidRPr="00557680" w14:paraId="4BA5CF96" w14:textId="77777777" w:rsidTr="00557680">
        <w:trPr>
          <w:trHeight w:val="890"/>
          <w:jc w:val="center"/>
        </w:trPr>
        <w:tc>
          <w:tcPr>
            <w:tcW w:w="1765" w:type="dxa"/>
            <w:tcBorders>
              <w:top w:val="nil"/>
              <w:left w:val="nil"/>
              <w:bottom w:val="nil"/>
              <w:right w:val="nil"/>
            </w:tcBorders>
            <w:shd w:val="clear" w:color="auto" w:fill="auto"/>
            <w:noWrap/>
            <w:vAlign w:val="bottom"/>
            <w:hideMark/>
          </w:tcPr>
          <w:p w14:paraId="04148D6A" w14:textId="77777777" w:rsidR="00557680" w:rsidRPr="00557680" w:rsidRDefault="00557680" w:rsidP="00557680">
            <w:pPr>
              <w:spacing w:after="0" w:line="240" w:lineRule="auto"/>
              <w:rPr>
                <w:rFonts w:ascii="Times New Roman" w:eastAsia="Times New Roman" w:hAnsi="Times New Roman" w:cs="Times New Roman"/>
                <w:sz w:val="24"/>
                <w:szCs w:val="24"/>
                <w:lang w:eastAsia="es-CR"/>
              </w:rPr>
            </w:pPr>
          </w:p>
        </w:tc>
        <w:tc>
          <w:tcPr>
            <w:tcW w:w="1155" w:type="dxa"/>
            <w:tcBorders>
              <w:top w:val="single" w:sz="8" w:space="0" w:color="auto"/>
              <w:left w:val="nil"/>
              <w:bottom w:val="single" w:sz="8" w:space="0" w:color="auto"/>
              <w:right w:val="single" w:sz="8" w:space="0" w:color="auto"/>
            </w:tcBorders>
            <w:shd w:val="clear" w:color="000000" w:fill="002060"/>
            <w:vAlign w:val="center"/>
            <w:hideMark/>
          </w:tcPr>
          <w:p w14:paraId="2381C25C" w14:textId="77777777" w:rsidR="00557680" w:rsidRPr="00557680" w:rsidRDefault="00557680" w:rsidP="00557680">
            <w:pPr>
              <w:spacing w:after="0" w:line="240" w:lineRule="auto"/>
              <w:jc w:val="center"/>
              <w:rPr>
                <w:rFonts w:ascii="Book Antiqua" w:eastAsia="Times New Roman" w:hAnsi="Book Antiqua" w:cs="Calibri"/>
                <w:b/>
                <w:bCs/>
                <w:color w:val="FFFFFF"/>
                <w:sz w:val="24"/>
                <w:szCs w:val="24"/>
                <w:lang w:eastAsia="es-CR"/>
              </w:rPr>
            </w:pPr>
            <w:r w:rsidRPr="00557680">
              <w:rPr>
                <w:rFonts w:ascii="Book Antiqua" w:eastAsia="Times New Roman" w:hAnsi="Book Antiqua" w:cs="Calibri"/>
                <w:b/>
                <w:bCs/>
                <w:color w:val="FFFFFF"/>
                <w:sz w:val="24"/>
                <w:szCs w:val="24"/>
                <w:lang w:eastAsia="es-CR"/>
              </w:rPr>
              <w:t>Clase ancha</w:t>
            </w:r>
          </w:p>
        </w:tc>
        <w:tc>
          <w:tcPr>
            <w:tcW w:w="1700" w:type="dxa"/>
            <w:tcBorders>
              <w:top w:val="single" w:sz="8" w:space="0" w:color="auto"/>
              <w:left w:val="nil"/>
              <w:bottom w:val="single" w:sz="8" w:space="0" w:color="auto"/>
              <w:right w:val="single" w:sz="8" w:space="0" w:color="auto"/>
            </w:tcBorders>
            <w:shd w:val="clear" w:color="000000" w:fill="002060"/>
            <w:vAlign w:val="center"/>
            <w:hideMark/>
          </w:tcPr>
          <w:p w14:paraId="440A1103" w14:textId="77777777" w:rsidR="00557680" w:rsidRPr="00557680" w:rsidRDefault="00557680" w:rsidP="00557680">
            <w:pPr>
              <w:spacing w:after="0" w:line="240" w:lineRule="auto"/>
              <w:jc w:val="center"/>
              <w:rPr>
                <w:rFonts w:ascii="Book Antiqua" w:eastAsia="Times New Roman" w:hAnsi="Book Antiqua" w:cs="Calibri"/>
                <w:b/>
                <w:bCs/>
                <w:color w:val="FFFFFF"/>
                <w:sz w:val="24"/>
                <w:szCs w:val="24"/>
                <w:lang w:eastAsia="es-CR"/>
              </w:rPr>
            </w:pPr>
            <w:r w:rsidRPr="00557680">
              <w:rPr>
                <w:rFonts w:ascii="Book Antiqua" w:eastAsia="Times New Roman" w:hAnsi="Book Antiqua" w:cs="Calibri"/>
                <w:b/>
                <w:bCs/>
                <w:color w:val="FFFFFF"/>
                <w:sz w:val="24"/>
                <w:szCs w:val="24"/>
                <w:lang w:eastAsia="es-CR"/>
              </w:rPr>
              <w:t>Clase angosta</w:t>
            </w:r>
          </w:p>
        </w:tc>
        <w:tc>
          <w:tcPr>
            <w:tcW w:w="1501" w:type="dxa"/>
            <w:tcBorders>
              <w:top w:val="single" w:sz="8" w:space="0" w:color="auto"/>
              <w:left w:val="nil"/>
              <w:bottom w:val="single" w:sz="8" w:space="0" w:color="auto"/>
              <w:right w:val="single" w:sz="8" w:space="0" w:color="auto"/>
            </w:tcBorders>
            <w:shd w:val="clear" w:color="000000" w:fill="002060"/>
            <w:vAlign w:val="center"/>
            <w:hideMark/>
          </w:tcPr>
          <w:p w14:paraId="513B6A28" w14:textId="77777777" w:rsidR="00557680" w:rsidRPr="00557680" w:rsidRDefault="00557680" w:rsidP="00557680">
            <w:pPr>
              <w:spacing w:after="0" w:line="240" w:lineRule="auto"/>
              <w:jc w:val="center"/>
              <w:rPr>
                <w:rFonts w:ascii="Book Antiqua" w:eastAsia="Times New Roman" w:hAnsi="Book Antiqua" w:cs="Calibri"/>
                <w:b/>
                <w:bCs/>
                <w:color w:val="FFFFFF"/>
                <w:sz w:val="24"/>
                <w:szCs w:val="24"/>
                <w:lang w:eastAsia="es-CR"/>
              </w:rPr>
            </w:pPr>
            <w:r w:rsidRPr="00557680">
              <w:rPr>
                <w:rFonts w:ascii="Book Antiqua" w:eastAsia="Times New Roman" w:hAnsi="Book Antiqua" w:cs="Calibri"/>
                <w:b/>
                <w:bCs/>
                <w:color w:val="FFFFFF"/>
                <w:sz w:val="24"/>
                <w:szCs w:val="24"/>
                <w:lang w:eastAsia="es-CR"/>
              </w:rPr>
              <w:t>Costo del puesto anual</w:t>
            </w:r>
          </w:p>
        </w:tc>
        <w:tc>
          <w:tcPr>
            <w:tcW w:w="1155" w:type="dxa"/>
            <w:tcBorders>
              <w:top w:val="single" w:sz="8" w:space="0" w:color="auto"/>
              <w:left w:val="nil"/>
              <w:bottom w:val="single" w:sz="8" w:space="0" w:color="auto"/>
              <w:right w:val="single" w:sz="8" w:space="0" w:color="auto"/>
            </w:tcBorders>
            <w:shd w:val="clear" w:color="000000" w:fill="002060"/>
            <w:vAlign w:val="center"/>
            <w:hideMark/>
          </w:tcPr>
          <w:p w14:paraId="6F645C64" w14:textId="77777777" w:rsidR="00557680" w:rsidRPr="00557680" w:rsidRDefault="00557680" w:rsidP="00557680">
            <w:pPr>
              <w:spacing w:after="0" w:line="240" w:lineRule="auto"/>
              <w:jc w:val="center"/>
              <w:rPr>
                <w:rFonts w:ascii="Book Antiqua" w:eastAsia="Times New Roman" w:hAnsi="Book Antiqua" w:cs="Calibri"/>
                <w:b/>
                <w:bCs/>
                <w:color w:val="FFFFFF"/>
                <w:sz w:val="24"/>
                <w:szCs w:val="24"/>
                <w:lang w:eastAsia="es-CR"/>
              </w:rPr>
            </w:pPr>
            <w:r w:rsidRPr="00557680">
              <w:rPr>
                <w:rFonts w:ascii="Book Antiqua" w:eastAsia="Times New Roman" w:hAnsi="Book Antiqua" w:cs="Calibri"/>
                <w:b/>
                <w:bCs/>
                <w:color w:val="FFFFFF"/>
                <w:sz w:val="24"/>
                <w:szCs w:val="24"/>
                <w:lang w:eastAsia="es-CR"/>
              </w:rPr>
              <w:t>Cantidad</w:t>
            </w:r>
          </w:p>
        </w:tc>
        <w:tc>
          <w:tcPr>
            <w:tcW w:w="1655" w:type="dxa"/>
            <w:tcBorders>
              <w:top w:val="single" w:sz="8" w:space="0" w:color="auto"/>
              <w:left w:val="nil"/>
              <w:bottom w:val="single" w:sz="8" w:space="0" w:color="auto"/>
              <w:right w:val="single" w:sz="8" w:space="0" w:color="auto"/>
            </w:tcBorders>
            <w:shd w:val="clear" w:color="000000" w:fill="002060"/>
            <w:vAlign w:val="center"/>
            <w:hideMark/>
          </w:tcPr>
          <w:p w14:paraId="78395CB0" w14:textId="77777777" w:rsidR="00557680" w:rsidRPr="00557680" w:rsidRDefault="00557680" w:rsidP="00557680">
            <w:pPr>
              <w:spacing w:after="0" w:line="240" w:lineRule="auto"/>
              <w:jc w:val="center"/>
              <w:rPr>
                <w:rFonts w:ascii="Book Antiqua" w:eastAsia="Times New Roman" w:hAnsi="Book Antiqua" w:cs="Calibri"/>
                <w:b/>
                <w:bCs/>
                <w:color w:val="FFFFFF"/>
                <w:sz w:val="24"/>
                <w:szCs w:val="24"/>
                <w:lang w:eastAsia="es-CR"/>
              </w:rPr>
            </w:pPr>
            <w:r w:rsidRPr="00557680">
              <w:rPr>
                <w:rFonts w:ascii="Book Antiqua" w:eastAsia="Times New Roman" w:hAnsi="Book Antiqua" w:cs="Calibri"/>
                <w:b/>
                <w:bCs/>
                <w:color w:val="FFFFFF"/>
                <w:sz w:val="24"/>
                <w:szCs w:val="24"/>
                <w:lang w:eastAsia="es-CR"/>
              </w:rPr>
              <w:t>Costo total</w:t>
            </w:r>
          </w:p>
        </w:tc>
      </w:tr>
      <w:tr w:rsidR="00557680" w:rsidRPr="00557680" w14:paraId="09BB2B2F" w14:textId="77777777" w:rsidTr="00557680">
        <w:trPr>
          <w:trHeight w:val="558"/>
          <w:jc w:val="center"/>
        </w:trPr>
        <w:tc>
          <w:tcPr>
            <w:tcW w:w="1765" w:type="dxa"/>
            <w:vMerge w:val="restart"/>
            <w:tcBorders>
              <w:top w:val="nil"/>
              <w:left w:val="nil"/>
              <w:bottom w:val="nil"/>
              <w:right w:val="single" w:sz="8" w:space="0" w:color="auto"/>
            </w:tcBorders>
            <w:shd w:val="clear" w:color="000000" w:fill="002060"/>
            <w:vAlign w:val="center"/>
            <w:hideMark/>
          </w:tcPr>
          <w:p w14:paraId="33198CE1" w14:textId="77777777" w:rsidR="00557680" w:rsidRPr="00557680" w:rsidRDefault="00557680" w:rsidP="00557680">
            <w:pPr>
              <w:spacing w:after="0" w:line="240" w:lineRule="auto"/>
              <w:jc w:val="center"/>
              <w:rPr>
                <w:rFonts w:ascii="Book Antiqua" w:eastAsia="Times New Roman" w:hAnsi="Book Antiqua" w:cs="Calibri"/>
                <w:b/>
                <w:bCs/>
                <w:color w:val="FFFFFF"/>
                <w:lang w:eastAsia="es-CR"/>
              </w:rPr>
            </w:pPr>
            <w:r w:rsidRPr="00557680">
              <w:rPr>
                <w:rFonts w:ascii="Book Antiqua" w:eastAsia="Times New Roman" w:hAnsi="Book Antiqua" w:cs="Calibri"/>
                <w:b/>
                <w:bCs/>
                <w:color w:val="FFFFFF"/>
                <w:lang w:eastAsia="es-CR"/>
              </w:rPr>
              <w:t>Plaza nueva extraordinaria</w:t>
            </w:r>
          </w:p>
        </w:tc>
        <w:tc>
          <w:tcPr>
            <w:tcW w:w="1155" w:type="dxa"/>
            <w:tcBorders>
              <w:top w:val="nil"/>
              <w:left w:val="nil"/>
              <w:bottom w:val="single" w:sz="8" w:space="0" w:color="auto"/>
              <w:right w:val="single" w:sz="8" w:space="0" w:color="auto"/>
            </w:tcBorders>
            <w:shd w:val="clear" w:color="auto" w:fill="auto"/>
            <w:vAlign w:val="center"/>
            <w:hideMark/>
          </w:tcPr>
          <w:p w14:paraId="763E4FFA"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 xml:space="preserve">Juez 3 </w:t>
            </w:r>
          </w:p>
        </w:tc>
        <w:tc>
          <w:tcPr>
            <w:tcW w:w="1700" w:type="dxa"/>
            <w:tcBorders>
              <w:top w:val="nil"/>
              <w:left w:val="nil"/>
              <w:bottom w:val="single" w:sz="8" w:space="0" w:color="auto"/>
              <w:right w:val="single" w:sz="8" w:space="0" w:color="auto"/>
            </w:tcBorders>
            <w:shd w:val="clear" w:color="auto" w:fill="auto"/>
            <w:vAlign w:val="center"/>
            <w:hideMark/>
          </w:tcPr>
          <w:p w14:paraId="4F8F2B85"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Juez 3 Violencia Doméstica</w:t>
            </w:r>
          </w:p>
        </w:tc>
        <w:tc>
          <w:tcPr>
            <w:tcW w:w="1501" w:type="dxa"/>
            <w:tcBorders>
              <w:top w:val="nil"/>
              <w:left w:val="nil"/>
              <w:bottom w:val="single" w:sz="8" w:space="0" w:color="auto"/>
              <w:right w:val="single" w:sz="8" w:space="0" w:color="auto"/>
            </w:tcBorders>
            <w:shd w:val="clear" w:color="auto" w:fill="auto"/>
            <w:vAlign w:val="center"/>
            <w:hideMark/>
          </w:tcPr>
          <w:p w14:paraId="42857757" w14:textId="77777777" w:rsidR="00557680" w:rsidRPr="00557680" w:rsidRDefault="00557680" w:rsidP="00557680">
            <w:pPr>
              <w:spacing w:after="0" w:line="240" w:lineRule="auto"/>
              <w:jc w:val="center"/>
              <w:rPr>
                <w:rFonts w:ascii="Times New Roman" w:eastAsia="Times New Roman" w:hAnsi="Times New Roman" w:cs="Times New Roman"/>
                <w:color w:val="000000"/>
                <w:lang w:eastAsia="es-CR"/>
              </w:rPr>
            </w:pPr>
            <w:r w:rsidRPr="00557680">
              <w:rPr>
                <w:rFonts w:ascii="Times New Roman" w:eastAsia="Times New Roman" w:hAnsi="Times New Roman" w:cs="Times New Roman"/>
                <w:color w:val="000000"/>
                <w:lang w:eastAsia="es-CR"/>
              </w:rPr>
              <w:t>₡57 147 000</w:t>
            </w:r>
          </w:p>
        </w:tc>
        <w:tc>
          <w:tcPr>
            <w:tcW w:w="1155" w:type="dxa"/>
            <w:tcBorders>
              <w:top w:val="nil"/>
              <w:left w:val="nil"/>
              <w:bottom w:val="single" w:sz="8" w:space="0" w:color="auto"/>
              <w:right w:val="single" w:sz="8" w:space="0" w:color="auto"/>
            </w:tcBorders>
            <w:shd w:val="clear" w:color="auto" w:fill="auto"/>
            <w:vAlign w:val="center"/>
            <w:hideMark/>
          </w:tcPr>
          <w:p w14:paraId="15401F46"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2</w:t>
            </w:r>
          </w:p>
        </w:tc>
        <w:tc>
          <w:tcPr>
            <w:tcW w:w="1655" w:type="dxa"/>
            <w:tcBorders>
              <w:top w:val="nil"/>
              <w:left w:val="nil"/>
              <w:bottom w:val="single" w:sz="8" w:space="0" w:color="auto"/>
              <w:right w:val="single" w:sz="8" w:space="0" w:color="auto"/>
            </w:tcBorders>
            <w:shd w:val="clear" w:color="auto" w:fill="auto"/>
            <w:vAlign w:val="center"/>
            <w:hideMark/>
          </w:tcPr>
          <w:p w14:paraId="57FC6BAA" w14:textId="77777777" w:rsidR="00557680" w:rsidRPr="00557680" w:rsidRDefault="00557680" w:rsidP="00557680">
            <w:pPr>
              <w:spacing w:after="0" w:line="240" w:lineRule="auto"/>
              <w:jc w:val="center"/>
              <w:rPr>
                <w:rFonts w:ascii="Times New Roman" w:eastAsia="Times New Roman" w:hAnsi="Times New Roman" w:cs="Times New Roman"/>
                <w:color w:val="000000"/>
                <w:lang w:eastAsia="es-CR"/>
              </w:rPr>
            </w:pPr>
            <w:r w:rsidRPr="00557680">
              <w:rPr>
                <w:rFonts w:ascii="Times New Roman" w:eastAsia="Times New Roman" w:hAnsi="Times New Roman" w:cs="Times New Roman"/>
                <w:color w:val="000000"/>
                <w:lang w:eastAsia="es-CR"/>
              </w:rPr>
              <w:t>₡114 294 000</w:t>
            </w:r>
          </w:p>
        </w:tc>
      </w:tr>
      <w:tr w:rsidR="00557680" w:rsidRPr="00557680" w14:paraId="3E9A5A4F" w14:textId="77777777" w:rsidTr="00557680">
        <w:trPr>
          <w:trHeight w:val="558"/>
          <w:jc w:val="center"/>
        </w:trPr>
        <w:tc>
          <w:tcPr>
            <w:tcW w:w="1765" w:type="dxa"/>
            <w:vMerge/>
            <w:tcBorders>
              <w:top w:val="nil"/>
              <w:left w:val="nil"/>
              <w:bottom w:val="nil"/>
              <w:right w:val="single" w:sz="8" w:space="0" w:color="auto"/>
            </w:tcBorders>
            <w:vAlign w:val="center"/>
            <w:hideMark/>
          </w:tcPr>
          <w:p w14:paraId="6C74560E" w14:textId="77777777" w:rsidR="00557680" w:rsidRPr="00557680" w:rsidRDefault="00557680" w:rsidP="00557680">
            <w:pPr>
              <w:spacing w:after="0" w:line="240" w:lineRule="auto"/>
              <w:rPr>
                <w:rFonts w:ascii="Book Antiqua" w:eastAsia="Times New Roman" w:hAnsi="Book Antiqua" w:cs="Calibri"/>
                <w:b/>
                <w:bCs/>
                <w:color w:val="FFFFFF"/>
                <w:lang w:eastAsia="es-CR"/>
              </w:rPr>
            </w:pPr>
          </w:p>
        </w:tc>
        <w:tc>
          <w:tcPr>
            <w:tcW w:w="1155" w:type="dxa"/>
            <w:tcBorders>
              <w:top w:val="nil"/>
              <w:left w:val="nil"/>
              <w:bottom w:val="single" w:sz="8" w:space="0" w:color="auto"/>
              <w:right w:val="single" w:sz="8" w:space="0" w:color="auto"/>
            </w:tcBorders>
            <w:shd w:val="clear" w:color="auto" w:fill="auto"/>
            <w:vAlign w:val="center"/>
            <w:hideMark/>
          </w:tcPr>
          <w:p w14:paraId="461648D4"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Técnico Judicial 2</w:t>
            </w:r>
          </w:p>
        </w:tc>
        <w:tc>
          <w:tcPr>
            <w:tcW w:w="1700" w:type="dxa"/>
            <w:tcBorders>
              <w:top w:val="nil"/>
              <w:left w:val="nil"/>
              <w:bottom w:val="single" w:sz="8" w:space="0" w:color="auto"/>
              <w:right w:val="single" w:sz="8" w:space="0" w:color="auto"/>
            </w:tcBorders>
            <w:shd w:val="clear" w:color="auto" w:fill="auto"/>
            <w:vAlign w:val="center"/>
            <w:hideMark/>
          </w:tcPr>
          <w:p w14:paraId="5FF4BCAA"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 xml:space="preserve">Técnico Judicial </w:t>
            </w:r>
          </w:p>
        </w:tc>
        <w:tc>
          <w:tcPr>
            <w:tcW w:w="1501" w:type="dxa"/>
            <w:tcBorders>
              <w:top w:val="nil"/>
              <w:left w:val="nil"/>
              <w:bottom w:val="single" w:sz="8" w:space="0" w:color="auto"/>
              <w:right w:val="single" w:sz="8" w:space="0" w:color="auto"/>
            </w:tcBorders>
            <w:shd w:val="clear" w:color="auto" w:fill="auto"/>
            <w:vAlign w:val="center"/>
            <w:hideMark/>
          </w:tcPr>
          <w:p w14:paraId="4AF6A2D2" w14:textId="77777777" w:rsidR="00557680" w:rsidRPr="00557680" w:rsidRDefault="00557680" w:rsidP="00557680">
            <w:pPr>
              <w:spacing w:after="0" w:line="240" w:lineRule="auto"/>
              <w:jc w:val="center"/>
              <w:rPr>
                <w:rFonts w:ascii="Times New Roman" w:eastAsia="Times New Roman" w:hAnsi="Times New Roman" w:cs="Times New Roman"/>
                <w:color w:val="000000"/>
                <w:lang w:eastAsia="es-CR"/>
              </w:rPr>
            </w:pPr>
            <w:r w:rsidRPr="00557680">
              <w:rPr>
                <w:rFonts w:ascii="Times New Roman" w:eastAsia="Times New Roman" w:hAnsi="Times New Roman" w:cs="Times New Roman"/>
                <w:color w:val="000000"/>
                <w:lang w:eastAsia="es-CR"/>
              </w:rPr>
              <w:t>₡15 945 000</w:t>
            </w:r>
          </w:p>
        </w:tc>
        <w:tc>
          <w:tcPr>
            <w:tcW w:w="1155" w:type="dxa"/>
            <w:tcBorders>
              <w:top w:val="nil"/>
              <w:left w:val="nil"/>
              <w:bottom w:val="single" w:sz="8" w:space="0" w:color="auto"/>
              <w:right w:val="single" w:sz="8" w:space="0" w:color="auto"/>
            </w:tcBorders>
            <w:shd w:val="clear" w:color="auto" w:fill="auto"/>
            <w:vAlign w:val="center"/>
            <w:hideMark/>
          </w:tcPr>
          <w:p w14:paraId="72D11CB1"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17</w:t>
            </w:r>
          </w:p>
        </w:tc>
        <w:tc>
          <w:tcPr>
            <w:tcW w:w="1655" w:type="dxa"/>
            <w:tcBorders>
              <w:top w:val="nil"/>
              <w:left w:val="nil"/>
              <w:bottom w:val="single" w:sz="8" w:space="0" w:color="auto"/>
              <w:right w:val="single" w:sz="8" w:space="0" w:color="auto"/>
            </w:tcBorders>
            <w:shd w:val="clear" w:color="auto" w:fill="auto"/>
            <w:vAlign w:val="center"/>
            <w:hideMark/>
          </w:tcPr>
          <w:p w14:paraId="5B469A4D" w14:textId="77777777" w:rsidR="00557680" w:rsidRPr="00557680" w:rsidRDefault="00557680" w:rsidP="00557680">
            <w:pPr>
              <w:spacing w:after="0" w:line="240" w:lineRule="auto"/>
              <w:jc w:val="center"/>
              <w:rPr>
                <w:rFonts w:ascii="Times New Roman" w:eastAsia="Times New Roman" w:hAnsi="Times New Roman" w:cs="Times New Roman"/>
                <w:color w:val="000000"/>
                <w:lang w:eastAsia="es-CR"/>
              </w:rPr>
            </w:pPr>
            <w:r w:rsidRPr="00557680">
              <w:rPr>
                <w:rFonts w:ascii="Times New Roman" w:eastAsia="Times New Roman" w:hAnsi="Times New Roman" w:cs="Times New Roman"/>
                <w:color w:val="000000"/>
                <w:lang w:eastAsia="es-CR"/>
              </w:rPr>
              <w:t>₡271 065 000</w:t>
            </w:r>
          </w:p>
        </w:tc>
      </w:tr>
      <w:tr w:rsidR="00557680" w:rsidRPr="00557680" w14:paraId="6CC0EEDA" w14:textId="77777777" w:rsidTr="00557680">
        <w:trPr>
          <w:trHeight w:val="1107"/>
          <w:jc w:val="center"/>
        </w:trPr>
        <w:tc>
          <w:tcPr>
            <w:tcW w:w="176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287567A" w14:textId="77777777" w:rsidR="00557680" w:rsidRPr="00557680" w:rsidRDefault="00557680" w:rsidP="00557680">
            <w:pPr>
              <w:spacing w:after="0" w:line="240" w:lineRule="auto"/>
              <w:jc w:val="center"/>
              <w:rPr>
                <w:rFonts w:ascii="Book Antiqua" w:eastAsia="Times New Roman" w:hAnsi="Book Antiqua" w:cs="Calibri"/>
                <w:b/>
                <w:bCs/>
                <w:color w:val="FFFFFF"/>
                <w:lang w:eastAsia="es-CR"/>
              </w:rPr>
            </w:pPr>
            <w:r w:rsidRPr="00557680">
              <w:rPr>
                <w:rFonts w:ascii="Book Antiqua" w:eastAsia="Times New Roman" w:hAnsi="Book Antiqua" w:cs="Calibri"/>
                <w:b/>
                <w:bCs/>
                <w:color w:val="FFFFFF"/>
                <w:lang w:eastAsia="es-CR"/>
              </w:rPr>
              <w:t xml:space="preserve">Recalificaciones a: </w:t>
            </w:r>
            <w:r w:rsidRPr="00557680">
              <w:rPr>
                <w:rFonts w:ascii="Book Antiqua" w:eastAsia="Times New Roman" w:hAnsi="Book Antiqua" w:cs="Calibri"/>
                <w:b/>
                <w:bCs/>
                <w:color w:val="FFFFFF"/>
                <w:lang w:eastAsia="es-CR"/>
              </w:rPr>
              <w:br/>
              <w:t>Técnico/a Judicial 2</w:t>
            </w:r>
          </w:p>
        </w:tc>
        <w:tc>
          <w:tcPr>
            <w:tcW w:w="1155" w:type="dxa"/>
            <w:tcBorders>
              <w:top w:val="nil"/>
              <w:left w:val="nil"/>
              <w:bottom w:val="single" w:sz="8" w:space="0" w:color="auto"/>
              <w:right w:val="single" w:sz="8" w:space="0" w:color="auto"/>
            </w:tcBorders>
            <w:shd w:val="clear" w:color="auto" w:fill="auto"/>
            <w:vAlign w:val="center"/>
            <w:hideMark/>
          </w:tcPr>
          <w:p w14:paraId="5D0D4EA0"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Auxiliar de Servicios Generales 2</w:t>
            </w:r>
          </w:p>
        </w:tc>
        <w:tc>
          <w:tcPr>
            <w:tcW w:w="1700" w:type="dxa"/>
            <w:tcBorders>
              <w:top w:val="nil"/>
              <w:left w:val="nil"/>
              <w:bottom w:val="single" w:sz="8" w:space="0" w:color="auto"/>
              <w:right w:val="single" w:sz="8" w:space="0" w:color="auto"/>
            </w:tcBorders>
            <w:shd w:val="clear" w:color="auto" w:fill="auto"/>
            <w:vAlign w:val="center"/>
            <w:hideMark/>
          </w:tcPr>
          <w:p w14:paraId="628E34D4"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Conserje</w:t>
            </w:r>
          </w:p>
        </w:tc>
        <w:tc>
          <w:tcPr>
            <w:tcW w:w="1501" w:type="dxa"/>
            <w:tcBorders>
              <w:top w:val="nil"/>
              <w:left w:val="nil"/>
              <w:bottom w:val="single" w:sz="8" w:space="0" w:color="auto"/>
              <w:right w:val="single" w:sz="8" w:space="0" w:color="auto"/>
            </w:tcBorders>
            <w:shd w:val="clear" w:color="auto" w:fill="auto"/>
            <w:vAlign w:val="center"/>
            <w:hideMark/>
          </w:tcPr>
          <w:p w14:paraId="048D87A7" w14:textId="77777777" w:rsidR="00557680" w:rsidRPr="00557680" w:rsidRDefault="00557680" w:rsidP="00557680">
            <w:pPr>
              <w:spacing w:after="0" w:line="240" w:lineRule="auto"/>
              <w:jc w:val="center"/>
              <w:rPr>
                <w:rFonts w:ascii="Times New Roman" w:eastAsia="Times New Roman" w:hAnsi="Times New Roman" w:cs="Times New Roman"/>
                <w:color w:val="000000"/>
                <w:lang w:eastAsia="es-CR"/>
              </w:rPr>
            </w:pPr>
            <w:r w:rsidRPr="00557680">
              <w:rPr>
                <w:rFonts w:ascii="Times New Roman" w:eastAsia="Times New Roman" w:hAnsi="Times New Roman" w:cs="Times New Roman"/>
                <w:color w:val="000000"/>
                <w:lang w:eastAsia="es-CR"/>
              </w:rPr>
              <w:t>₡13 492 000</w:t>
            </w:r>
          </w:p>
        </w:tc>
        <w:tc>
          <w:tcPr>
            <w:tcW w:w="1155" w:type="dxa"/>
            <w:tcBorders>
              <w:top w:val="nil"/>
              <w:left w:val="nil"/>
              <w:bottom w:val="single" w:sz="8" w:space="0" w:color="auto"/>
              <w:right w:val="single" w:sz="8" w:space="0" w:color="auto"/>
            </w:tcBorders>
            <w:shd w:val="clear" w:color="auto" w:fill="auto"/>
            <w:vAlign w:val="center"/>
            <w:hideMark/>
          </w:tcPr>
          <w:p w14:paraId="4499D4F4" w14:textId="77777777" w:rsidR="00557680" w:rsidRPr="00557680" w:rsidRDefault="00557680" w:rsidP="00557680">
            <w:pPr>
              <w:spacing w:after="0" w:line="240" w:lineRule="auto"/>
              <w:jc w:val="center"/>
              <w:rPr>
                <w:rFonts w:ascii="Book Antiqua" w:eastAsia="Times New Roman" w:hAnsi="Book Antiqua" w:cs="Calibri"/>
                <w:color w:val="000000"/>
                <w:lang w:eastAsia="es-CR"/>
              </w:rPr>
            </w:pPr>
            <w:r w:rsidRPr="00557680">
              <w:rPr>
                <w:rFonts w:ascii="Book Antiqua" w:eastAsia="Times New Roman" w:hAnsi="Book Antiqua" w:cs="Calibri"/>
                <w:color w:val="000000"/>
                <w:lang w:eastAsia="es-CR"/>
              </w:rPr>
              <w:t>4</w:t>
            </w:r>
          </w:p>
        </w:tc>
        <w:tc>
          <w:tcPr>
            <w:tcW w:w="1655" w:type="dxa"/>
            <w:tcBorders>
              <w:top w:val="nil"/>
              <w:left w:val="nil"/>
              <w:bottom w:val="single" w:sz="8" w:space="0" w:color="auto"/>
              <w:right w:val="single" w:sz="8" w:space="0" w:color="auto"/>
            </w:tcBorders>
            <w:shd w:val="clear" w:color="auto" w:fill="auto"/>
            <w:vAlign w:val="center"/>
            <w:hideMark/>
          </w:tcPr>
          <w:p w14:paraId="5C8B72D3" w14:textId="77777777" w:rsidR="00557680" w:rsidRPr="00557680" w:rsidRDefault="00557680" w:rsidP="00557680">
            <w:pPr>
              <w:spacing w:after="0" w:line="240" w:lineRule="auto"/>
              <w:jc w:val="center"/>
              <w:rPr>
                <w:rFonts w:ascii="Times New Roman" w:eastAsia="Times New Roman" w:hAnsi="Times New Roman" w:cs="Times New Roman"/>
                <w:color w:val="000000"/>
                <w:lang w:eastAsia="es-CR"/>
              </w:rPr>
            </w:pPr>
            <w:r w:rsidRPr="00557680">
              <w:rPr>
                <w:rFonts w:ascii="Times New Roman" w:eastAsia="Times New Roman" w:hAnsi="Times New Roman" w:cs="Times New Roman"/>
                <w:color w:val="000000"/>
                <w:lang w:eastAsia="es-CR"/>
              </w:rPr>
              <w:t>₡9 812 000</w:t>
            </w:r>
          </w:p>
        </w:tc>
      </w:tr>
      <w:tr w:rsidR="00557680" w:rsidRPr="00557680" w14:paraId="4F1B9B6B" w14:textId="77777777" w:rsidTr="00557680">
        <w:trPr>
          <w:trHeight w:val="303"/>
          <w:jc w:val="center"/>
        </w:trPr>
        <w:tc>
          <w:tcPr>
            <w:tcW w:w="4620" w:type="dxa"/>
            <w:gridSpan w:val="3"/>
            <w:tcBorders>
              <w:top w:val="nil"/>
              <w:left w:val="single" w:sz="8" w:space="0" w:color="auto"/>
              <w:bottom w:val="single" w:sz="8" w:space="0" w:color="auto"/>
              <w:right w:val="single" w:sz="8" w:space="0" w:color="000000"/>
            </w:tcBorders>
            <w:shd w:val="clear" w:color="auto" w:fill="auto"/>
            <w:noWrap/>
            <w:vAlign w:val="center"/>
            <w:hideMark/>
          </w:tcPr>
          <w:p w14:paraId="4098181B" w14:textId="77777777" w:rsidR="00557680" w:rsidRPr="00557680" w:rsidRDefault="00557680" w:rsidP="00557680">
            <w:pPr>
              <w:spacing w:after="0" w:line="240" w:lineRule="auto"/>
              <w:jc w:val="center"/>
              <w:rPr>
                <w:rFonts w:ascii="Book Antiqua" w:eastAsia="Times New Roman" w:hAnsi="Book Antiqua" w:cs="Calibri"/>
                <w:b/>
                <w:bCs/>
                <w:color w:val="000000"/>
                <w:sz w:val="24"/>
                <w:szCs w:val="24"/>
                <w:lang w:eastAsia="es-CR"/>
              </w:rPr>
            </w:pPr>
            <w:r w:rsidRPr="00557680">
              <w:rPr>
                <w:rFonts w:ascii="Book Antiqua" w:eastAsia="Times New Roman" w:hAnsi="Book Antiqua" w:cs="Calibri"/>
                <w:b/>
                <w:bCs/>
                <w:color w:val="000000"/>
                <w:sz w:val="24"/>
                <w:szCs w:val="24"/>
                <w:lang w:eastAsia="es-CR"/>
              </w:rPr>
              <w:t>Total</w:t>
            </w:r>
          </w:p>
        </w:tc>
        <w:tc>
          <w:tcPr>
            <w:tcW w:w="1501" w:type="dxa"/>
            <w:tcBorders>
              <w:top w:val="nil"/>
              <w:left w:val="nil"/>
              <w:bottom w:val="single" w:sz="8" w:space="0" w:color="auto"/>
              <w:right w:val="single" w:sz="8" w:space="0" w:color="auto"/>
            </w:tcBorders>
            <w:shd w:val="clear" w:color="auto" w:fill="auto"/>
            <w:noWrap/>
            <w:vAlign w:val="center"/>
            <w:hideMark/>
          </w:tcPr>
          <w:p w14:paraId="25E1A7D7" w14:textId="77777777" w:rsidR="00557680" w:rsidRPr="00557680" w:rsidRDefault="00557680" w:rsidP="00557680">
            <w:pPr>
              <w:spacing w:after="0" w:line="240" w:lineRule="auto"/>
              <w:jc w:val="center"/>
              <w:rPr>
                <w:rFonts w:ascii="Times New Roman" w:eastAsia="Times New Roman" w:hAnsi="Times New Roman" w:cs="Times New Roman"/>
                <w:b/>
                <w:bCs/>
                <w:color w:val="000000"/>
                <w:sz w:val="24"/>
                <w:szCs w:val="24"/>
                <w:lang w:eastAsia="es-CR"/>
              </w:rPr>
            </w:pPr>
            <w:r w:rsidRPr="00557680">
              <w:rPr>
                <w:rFonts w:ascii="Times New Roman" w:eastAsia="Times New Roman" w:hAnsi="Times New Roman" w:cs="Times New Roman"/>
                <w:b/>
                <w:bCs/>
                <w:color w:val="000000"/>
                <w:sz w:val="24"/>
                <w:szCs w:val="24"/>
                <w:lang w:eastAsia="es-CR"/>
              </w:rPr>
              <w:t>₡86 584 000</w:t>
            </w:r>
          </w:p>
        </w:tc>
        <w:tc>
          <w:tcPr>
            <w:tcW w:w="1155" w:type="dxa"/>
            <w:tcBorders>
              <w:top w:val="nil"/>
              <w:left w:val="nil"/>
              <w:bottom w:val="single" w:sz="8" w:space="0" w:color="auto"/>
              <w:right w:val="single" w:sz="8" w:space="0" w:color="auto"/>
            </w:tcBorders>
            <w:shd w:val="clear" w:color="auto" w:fill="auto"/>
            <w:noWrap/>
            <w:vAlign w:val="center"/>
            <w:hideMark/>
          </w:tcPr>
          <w:p w14:paraId="5CF0A963" w14:textId="77777777" w:rsidR="00557680" w:rsidRPr="00557680" w:rsidRDefault="00557680" w:rsidP="00557680">
            <w:pPr>
              <w:spacing w:after="0" w:line="240" w:lineRule="auto"/>
              <w:jc w:val="center"/>
              <w:rPr>
                <w:rFonts w:ascii="Book Antiqua" w:eastAsia="Times New Roman" w:hAnsi="Book Antiqua" w:cs="Calibri"/>
                <w:b/>
                <w:bCs/>
                <w:color w:val="000000"/>
                <w:sz w:val="24"/>
                <w:szCs w:val="24"/>
                <w:lang w:eastAsia="es-CR"/>
              </w:rPr>
            </w:pPr>
            <w:r w:rsidRPr="00557680">
              <w:rPr>
                <w:rFonts w:ascii="Book Antiqua" w:eastAsia="Times New Roman" w:hAnsi="Book Antiqua" w:cs="Calibri"/>
                <w:b/>
                <w:bCs/>
                <w:color w:val="000000"/>
                <w:sz w:val="24"/>
                <w:szCs w:val="24"/>
                <w:lang w:eastAsia="es-CR"/>
              </w:rPr>
              <w:t>23</w:t>
            </w:r>
          </w:p>
        </w:tc>
        <w:tc>
          <w:tcPr>
            <w:tcW w:w="1655" w:type="dxa"/>
            <w:tcBorders>
              <w:top w:val="nil"/>
              <w:left w:val="nil"/>
              <w:bottom w:val="single" w:sz="8" w:space="0" w:color="auto"/>
              <w:right w:val="single" w:sz="8" w:space="0" w:color="auto"/>
            </w:tcBorders>
            <w:shd w:val="clear" w:color="auto" w:fill="auto"/>
            <w:noWrap/>
            <w:vAlign w:val="center"/>
            <w:hideMark/>
          </w:tcPr>
          <w:p w14:paraId="179F2358" w14:textId="77777777" w:rsidR="00557680" w:rsidRPr="00557680" w:rsidRDefault="00557680" w:rsidP="00557680">
            <w:pPr>
              <w:spacing w:after="0" w:line="240" w:lineRule="auto"/>
              <w:jc w:val="center"/>
              <w:rPr>
                <w:rFonts w:ascii="Times New Roman" w:eastAsia="Times New Roman" w:hAnsi="Times New Roman" w:cs="Times New Roman"/>
                <w:b/>
                <w:bCs/>
                <w:color w:val="000000"/>
                <w:sz w:val="24"/>
                <w:szCs w:val="24"/>
                <w:lang w:eastAsia="es-CR"/>
              </w:rPr>
            </w:pPr>
            <w:r w:rsidRPr="00557680">
              <w:rPr>
                <w:rFonts w:ascii="Times New Roman" w:eastAsia="Times New Roman" w:hAnsi="Times New Roman" w:cs="Times New Roman"/>
                <w:b/>
                <w:bCs/>
                <w:color w:val="000000"/>
                <w:sz w:val="24"/>
                <w:szCs w:val="24"/>
                <w:lang w:eastAsia="es-CR"/>
              </w:rPr>
              <w:t>₡395 171 000</w:t>
            </w:r>
          </w:p>
        </w:tc>
      </w:tr>
    </w:tbl>
    <w:p w14:paraId="2DD90D5F" w14:textId="77777777" w:rsidR="00A60E64" w:rsidRDefault="00895C1C" w:rsidP="00A60E64">
      <w:pPr>
        <w:spacing w:after="0" w:line="240" w:lineRule="auto"/>
        <w:jc w:val="both"/>
        <w:rPr>
          <w:rFonts w:ascii="Book Antiqua" w:eastAsia="Calibri" w:hAnsi="Book Antiqua" w:cs="Arial"/>
          <w:i/>
          <w:iCs/>
          <w:sz w:val="20"/>
          <w:szCs w:val="20"/>
        </w:rPr>
      </w:pPr>
      <w:r w:rsidRPr="00A60E64">
        <w:rPr>
          <w:rFonts w:ascii="Book Antiqua" w:eastAsia="Calibri" w:hAnsi="Book Antiqua" w:cs="Arial"/>
          <w:b/>
          <w:bCs/>
          <w:i/>
          <w:iCs/>
          <w:sz w:val="20"/>
          <w:szCs w:val="20"/>
        </w:rPr>
        <w:t>Fuente:</w:t>
      </w:r>
      <w:r w:rsidRPr="00A60E64">
        <w:rPr>
          <w:rFonts w:ascii="Book Antiqua" w:eastAsia="Calibri" w:hAnsi="Book Antiqua" w:cs="Arial"/>
          <w:i/>
          <w:iCs/>
          <w:sz w:val="20"/>
          <w:szCs w:val="20"/>
        </w:rPr>
        <w:t xml:space="preserve"> </w:t>
      </w:r>
      <w:r w:rsidR="00A60E64" w:rsidRPr="00A60E64">
        <w:rPr>
          <w:rFonts w:ascii="Book Antiqua" w:eastAsia="Calibri" w:hAnsi="Book Antiqua" w:cs="Arial"/>
          <w:i/>
          <w:iCs/>
          <w:sz w:val="20"/>
          <w:szCs w:val="20"/>
        </w:rPr>
        <w:t xml:space="preserve">Subproceso de Modernización Institucional con datos suministrados por el Subproceso de </w:t>
      </w:r>
    </w:p>
    <w:p w14:paraId="6172246F" w14:textId="1FDEEA63" w:rsidR="00E830F7" w:rsidRDefault="00A60E64" w:rsidP="00A60E64">
      <w:pPr>
        <w:spacing w:after="0" w:line="240" w:lineRule="auto"/>
        <w:jc w:val="both"/>
        <w:rPr>
          <w:rFonts w:ascii="Book Antiqua" w:eastAsia="Calibri" w:hAnsi="Book Antiqua" w:cs="Arial"/>
          <w:i/>
          <w:iCs/>
          <w:sz w:val="20"/>
          <w:szCs w:val="20"/>
        </w:rPr>
      </w:pPr>
      <w:r w:rsidRPr="00A60E64">
        <w:rPr>
          <w:rFonts w:ascii="Book Antiqua" w:eastAsia="Calibri" w:hAnsi="Book Antiqua" w:cs="Arial"/>
          <w:i/>
          <w:iCs/>
          <w:sz w:val="20"/>
          <w:szCs w:val="20"/>
        </w:rPr>
        <w:t>Presupuesto y Portafolio de Proyectos de la Dirección de Planificación</w:t>
      </w:r>
      <w:r w:rsidR="00895C1C" w:rsidRPr="00A60E64">
        <w:rPr>
          <w:rFonts w:ascii="Book Antiqua" w:eastAsia="Calibri" w:hAnsi="Book Antiqua" w:cs="Arial"/>
          <w:i/>
          <w:iCs/>
          <w:sz w:val="20"/>
          <w:szCs w:val="20"/>
        </w:rPr>
        <w:t>.</w:t>
      </w:r>
    </w:p>
    <w:p w14:paraId="5940A3F6" w14:textId="77777777" w:rsidR="00A60E64" w:rsidRPr="00A60E64" w:rsidRDefault="00A60E64" w:rsidP="00A60E64">
      <w:pPr>
        <w:spacing w:after="0" w:line="240" w:lineRule="auto"/>
        <w:jc w:val="both"/>
        <w:rPr>
          <w:rFonts w:ascii="Book Antiqua" w:eastAsia="Calibri" w:hAnsi="Book Antiqua" w:cs="Arial"/>
          <w:i/>
          <w:iCs/>
          <w:sz w:val="20"/>
          <w:szCs w:val="20"/>
        </w:rPr>
      </w:pPr>
    </w:p>
    <w:p w14:paraId="7CCF1B07" w14:textId="646DF299" w:rsidR="00895C1C" w:rsidRPr="00895C1C" w:rsidRDefault="00895C1C" w:rsidP="00895C1C">
      <w:pPr>
        <w:spacing w:after="0" w:line="276" w:lineRule="auto"/>
        <w:jc w:val="both"/>
        <w:rPr>
          <w:rFonts w:ascii="Book Antiqua" w:eastAsia="Calibri" w:hAnsi="Book Antiqua" w:cs="Arial"/>
          <w:sz w:val="24"/>
          <w:szCs w:val="24"/>
        </w:rPr>
      </w:pPr>
      <w:r w:rsidRPr="00557680">
        <w:rPr>
          <w:rFonts w:ascii="Book Antiqua" w:eastAsia="Calibri" w:hAnsi="Book Antiqua" w:cs="Arial"/>
          <w:sz w:val="24"/>
          <w:szCs w:val="24"/>
        </w:rPr>
        <w:t xml:space="preserve">El costo anual para hacer frente a la propuesta es de </w:t>
      </w:r>
      <w:r w:rsidRPr="00557680">
        <w:rPr>
          <w:rFonts w:ascii="Times New Roman" w:eastAsia="Calibri" w:hAnsi="Times New Roman" w:cs="Times New Roman"/>
          <w:sz w:val="24"/>
          <w:szCs w:val="24"/>
        </w:rPr>
        <w:t>₡</w:t>
      </w:r>
      <w:r w:rsidR="00F530FB" w:rsidRPr="00557680">
        <w:rPr>
          <w:rFonts w:ascii="Times New Roman" w:eastAsia="Calibri" w:hAnsi="Times New Roman" w:cs="Times New Roman"/>
          <w:sz w:val="24"/>
          <w:szCs w:val="24"/>
        </w:rPr>
        <w:t>39</w:t>
      </w:r>
      <w:r w:rsidR="001D5116" w:rsidRPr="00557680">
        <w:rPr>
          <w:rFonts w:ascii="Times New Roman" w:eastAsia="Calibri" w:hAnsi="Times New Roman" w:cs="Times New Roman"/>
          <w:sz w:val="24"/>
          <w:szCs w:val="24"/>
        </w:rPr>
        <w:t>5</w:t>
      </w:r>
      <w:r w:rsidR="00F530FB" w:rsidRPr="00557680">
        <w:rPr>
          <w:rFonts w:ascii="Times New Roman" w:eastAsia="Calibri" w:hAnsi="Times New Roman" w:cs="Times New Roman"/>
          <w:sz w:val="24"/>
          <w:szCs w:val="24"/>
        </w:rPr>
        <w:t xml:space="preserve"> </w:t>
      </w:r>
      <w:r w:rsidR="001D5116" w:rsidRPr="00557680">
        <w:rPr>
          <w:rFonts w:ascii="Times New Roman" w:eastAsia="Calibri" w:hAnsi="Times New Roman" w:cs="Times New Roman"/>
          <w:sz w:val="24"/>
          <w:szCs w:val="24"/>
        </w:rPr>
        <w:t>1</w:t>
      </w:r>
      <w:r w:rsidR="00F530FB" w:rsidRPr="00557680">
        <w:rPr>
          <w:rFonts w:ascii="Times New Roman" w:eastAsia="Calibri" w:hAnsi="Times New Roman" w:cs="Times New Roman"/>
          <w:sz w:val="24"/>
          <w:szCs w:val="24"/>
        </w:rPr>
        <w:t>7</w:t>
      </w:r>
      <w:r w:rsidR="001D5116" w:rsidRPr="00557680">
        <w:rPr>
          <w:rFonts w:ascii="Times New Roman" w:eastAsia="Calibri" w:hAnsi="Times New Roman" w:cs="Times New Roman"/>
          <w:sz w:val="24"/>
          <w:szCs w:val="24"/>
        </w:rPr>
        <w:t>1</w:t>
      </w:r>
      <w:r w:rsidR="00983A8E" w:rsidRPr="00557680">
        <w:rPr>
          <w:rFonts w:ascii="Book Antiqua" w:eastAsia="Calibri" w:hAnsi="Book Antiqua" w:cs="Times New Roman"/>
          <w:sz w:val="24"/>
          <w:szCs w:val="24"/>
        </w:rPr>
        <w:t xml:space="preserve"> </w:t>
      </w:r>
      <w:r w:rsidRPr="00557680">
        <w:rPr>
          <w:rFonts w:ascii="Book Antiqua" w:eastAsia="Calibri" w:hAnsi="Book Antiqua" w:cs="Times New Roman"/>
          <w:sz w:val="24"/>
          <w:szCs w:val="24"/>
        </w:rPr>
        <w:t>000</w:t>
      </w:r>
      <w:r w:rsidRPr="00557680">
        <w:rPr>
          <w:rFonts w:ascii="Book Antiqua" w:eastAsia="Calibri" w:hAnsi="Book Antiqua" w:cs="Arial"/>
          <w:sz w:val="24"/>
          <w:szCs w:val="24"/>
        </w:rPr>
        <w:t>.</w:t>
      </w:r>
    </w:p>
    <w:p w14:paraId="0779597C" w14:textId="73268410"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Por otro lado, es importante traer a colación, que según los datos suministrados en el informe del Rediseño de Juzgado de Violencia Doméstica de San Carlos, la tarea de  “</w:t>
      </w:r>
      <w:r w:rsidRPr="00695918">
        <w:rPr>
          <w:rFonts w:ascii="Book Antiqua" w:eastAsia="Calibri" w:hAnsi="Book Antiqua" w:cs="Arial"/>
          <w:bCs/>
          <w:i/>
          <w:iCs/>
          <w:sz w:val="24"/>
          <w:szCs w:val="24"/>
          <w:lang w:eastAsia="es-CR"/>
        </w:rPr>
        <w:t>Solicitud medidas de protección</w:t>
      </w:r>
      <w:r w:rsidRPr="00695918">
        <w:rPr>
          <w:rFonts w:ascii="Book Antiqua" w:eastAsia="Calibri" w:hAnsi="Book Antiqua" w:cs="Arial"/>
          <w:i/>
          <w:iCs/>
          <w:sz w:val="24"/>
          <w:szCs w:val="24"/>
        </w:rPr>
        <w:t>”</w:t>
      </w:r>
      <w:r w:rsidRPr="00695918">
        <w:rPr>
          <w:rFonts w:ascii="Book Antiqua" w:eastAsia="Calibri" w:hAnsi="Book Antiqua" w:cs="Arial"/>
          <w:sz w:val="24"/>
          <w:szCs w:val="24"/>
        </w:rPr>
        <w:t xml:space="preserve"> que incluye la atención de la persona usuaria, así como la toma de la solicitud que esta realice, cuenta con un tiempo de duración promedio de 40 minutos, por lo cual, estimando ese tiempo y proyectando la cantidad más alta de entrados  por día por persona técnica judicial según el cuadro anterior (1</w:t>
      </w:r>
      <w:r w:rsidR="00A60E64">
        <w:rPr>
          <w:rFonts w:ascii="Book Antiqua" w:eastAsia="Calibri" w:hAnsi="Book Antiqua" w:cs="Arial"/>
          <w:sz w:val="24"/>
          <w:szCs w:val="24"/>
        </w:rPr>
        <w:t>16</w:t>
      </w:r>
      <w:r w:rsidRPr="00695918">
        <w:rPr>
          <w:rFonts w:ascii="Book Antiqua" w:eastAsia="Calibri" w:hAnsi="Book Antiqua" w:cs="Arial"/>
          <w:sz w:val="24"/>
          <w:szCs w:val="24"/>
        </w:rPr>
        <w:t xml:space="preserve"> casos /21 días) que sería 5,</w:t>
      </w:r>
      <w:r w:rsidR="00A60E64">
        <w:rPr>
          <w:rFonts w:ascii="Book Antiqua" w:eastAsia="Calibri" w:hAnsi="Book Antiqua" w:cs="Arial"/>
          <w:sz w:val="24"/>
          <w:szCs w:val="24"/>
        </w:rPr>
        <w:t>5</w:t>
      </w:r>
      <w:r w:rsidRPr="00695918">
        <w:rPr>
          <w:rFonts w:ascii="Book Antiqua" w:eastAsia="Calibri" w:hAnsi="Book Antiqua" w:cs="Arial"/>
          <w:sz w:val="24"/>
          <w:szCs w:val="24"/>
        </w:rPr>
        <w:t xml:space="preserve"> casos se esperaría que se utilice en esa tarea al día 3,</w:t>
      </w:r>
      <w:r w:rsidR="00A60E64">
        <w:rPr>
          <w:rFonts w:ascii="Book Antiqua" w:eastAsia="Calibri" w:hAnsi="Book Antiqua" w:cs="Arial"/>
          <w:sz w:val="24"/>
          <w:szCs w:val="24"/>
        </w:rPr>
        <w:t>6</w:t>
      </w:r>
      <w:r w:rsidRPr="00695918">
        <w:rPr>
          <w:rFonts w:ascii="Book Antiqua" w:eastAsia="Calibri" w:hAnsi="Book Antiqua" w:cs="Arial"/>
          <w:sz w:val="24"/>
          <w:szCs w:val="24"/>
        </w:rPr>
        <w:t xml:space="preserve"> horas; lo cual evidencia que las personas técnicas judiciales presentan un margen para realizar otras tareas.  </w:t>
      </w:r>
    </w:p>
    <w:p w14:paraId="556AAB75" w14:textId="77777777" w:rsidR="00695918" w:rsidRPr="00695918" w:rsidRDefault="00695918" w:rsidP="00695918">
      <w:pPr>
        <w:spacing w:after="0" w:line="276" w:lineRule="auto"/>
        <w:jc w:val="both"/>
        <w:rPr>
          <w:rFonts w:ascii="Book Antiqua" w:eastAsia="Calibri" w:hAnsi="Book Antiqua" w:cs="Arial"/>
          <w:sz w:val="24"/>
          <w:szCs w:val="24"/>
        </w:rPr>
      </w:pPr>
    </w:p>
    <w:p w14:paraId="7840974B"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Al momento de la entrada en vigencia del Código Procesal de Familia se espera un aumento de los casos debido a la incorporación del proceso de “</w:t>
      </w:r>
      <w:r w:rsidRPr="00695918">
        <w:rPr>
          <w:rFonts w:ascii="Book Antiqua" w:eastAsia="Calibri" w:hAnsi="Book Antiqua" w:cs="Arial"/>
          <w:i/>
          <w:iCs/>
          <w:sz w:val="24"/>
          <w:szCs w:val="24"/>
        </w:rPr>
        <w:t>protección cautelar</w:t>
      </w:r>
      <w:r w:rsidRPr="00695918">
        <w:rPr>
          <w:rFonts w:ascii="Book Antiqua" w:eastAsia="Calibri" w:hAnsi="Book Antiqua" w:cs="Arial"/>
          <w:sz w:val="24"/>
          <w:szCs w:val="24"/>
        </w:rPr>
        <w:t>” cuando se presente una agresión fuera del núcleo familiar, en perjuicio de personas adultas mayores y personas con discapacidad. Lo anterior provocará que se incorpore los siguientes tipos de procedimiento para el catálogo de Violencia Doméstica:</w:t>
      </w:r>
    </w:p>
    <w:p w14:paraId="60F918BF" w14:textId="77777777" w:rsidR="00695918" w:rsidRPr="00695918" w:rsidRDefault="00695918" w:rsidP="00695918">
      <w:pPr>
        <w:spacing w:after="0" w:line="276" w:lineRule="auto"/>
        <w:jc w:val="both"/>
        <w:rPr>
          <w:rFonts w:ascii="Book Antiqua" w:eastAsia="Calibri" w:hAnsi="Book Antiqua" w:cs="Arial"/>
          <w:sz w:val="24"/>
          <w:szCs w:val="24"/>
        </w:rPr>
      </w:pPr>
    </w:p>
    <w:p w14:paraId="4F374502" w14:textId="77777777" w:rsidR="00695918" w:rsidRPr="00695918" w:rsidRDefault="00695918">
      <w:pPr>
        <w:numPr>
          <w:ilvl w:val="0"/>
          <w:numId w:val="2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 xml:space="preserve">Medidas de protección en los casos de Violencia Doméstica. </w:t>
      </w:r>
    </w:p>
    <w:p w14:paraId="165F2D9A" w14:textId="77777777" w:rsidR="00695918" w:rsidRPr="00695918" w:rsidRDefault="00695918">
      <w:pPr>
        <w:numPr>
          <w:ilvl w:val="0"/>
          <w:numId w:val="2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Medidas de Protección Cautelar en los casos de Personas Adultas Mayores.</w:t>
      </w:r>
    </w:p>
    <w:p w14:paraId="5C65388C" w14:textId="77777777" w:rsidR="00695918" w:rsidRPr="00695918" w:rsidRDefault="00695918">
      <w:pPr>
        <w:numPr>
          <w:ilvl w:val="0"/>
          <w:numId w:val="2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Medidas de Protección Cautelar en los casos de Personas con discapacidad.</w:t>
      </w:r>
    </w:p>
    <w:p w14:paraId="28BD2299" w14:textId="77777777" w:rsidR="00A973AD" w:rsidRPr="00A973AD" w:rsidRDefault="00A973AD" w:rsidP="00695918">
      <w:pPr>
        <w:spacing w:after="0" w:line="276" w:lineRule="auto"/>
        <w:jc w:val="both"/>
        <w:rPr>
          <w:rFonts w:ascii="Book Antiqua" w:eastAsia="Calibri" w:hAnsi="Book Antiqua" w:cs="Arial"/>
          <w:sz w:val="24"/>
          <w:szCs w:val="24"/>
        </w:rPr>
      </w:pPr>
    </w:p>
    <w:p w14:paraId="0B4FEE78" w14:textId="378AB5FC" w:rsidR="00695918" w:rsidRPr="00A973AD" w:rsidRDefault="00695918" w:rsidP="00695918">
      <w:pPr>
        <w:spacing w:after="0" w:line="276" w:lineRule="auto"/>
        <w:jc w:val="both"/>
        <w:rPr>
          <w:rFonts w:ascii="Book Antiqua" w:eastAsia="Calibri" w:hAnsi="Book Antiqua" w:cs="Arial"/>
          <w:sz w:val="24"/>
          <w:szCs w:val="24"/>
        </w:rPr>
      </w:pPr>
      <w:r w:rsidRPr="00A973AD">
        <w:rPr>
          <w:rFonts w:ascii="Book Antiqua" w:eastAsia="Calibri" w:hAnsi="Book Antiqua" w:cs="Arial"/>
          <w:sz w:val="24"/>
          <w:szCs w:val="24"/>
        </w:rPr>
        <w:t xml:space="preserve">Esta tarea </w:t>
      </w:r>
      <w:r w:rsidR="005F285B">
        <w:rPr>
          <w:rFonts w:ascii="Book Antiqua" w:eastAsia="Calibri" w:hAnsi="Book Antiqua" w:cs="Arial"/>
          <w:sz w:val="24"/>
          <w:szCs w:val="24"/>
        </w:rPr>
        <w:t xml:space="preserve">la realizó </w:t>
      </w:r>
      <w:r w:rsidRPr="00A973AD">
        <w:rPr>
          <w:rFonts w:ascii="Book Antiqua" w:eastAsia="Calibri" w:hAnsi="Book Antiqua" w:cs="Arial"/>
          <w:sz w:val="24"/>
          <w:szCs w:val="24"/>
        </w:rPr>
        <w:t xml:space="preserve">el Subproceso de Estadística de esta Dirección en conjunto con el Juez Gestor en la materia, </w:t>
      </w:r>
      <w:r w:rsidR="00A973AD" w:rsidRPr="00A973AD">
        <w:rPr>
          <w:rFonts w:ascii="Book Antiqua" w:eastAsia="Calibri" w:hAnsi="Book Antiqua" w:cs="Arial"/>
          <w:sz w:val="24"/>
          <w:szCs w:val="24"/>
        </w:rPr>
        <w:t>procedió a la actualización de la formula estad</w:t>
      </w:r>
      <w:r w:rsidR="00A973AD">
        <w:rPr>
          <w:rFonts w:ascii="Book Antiqua" w:eastAsia="Calibri" w:hAnsi="Book Antiqua" w:cs="Arial"/>
          <w:sz w:val="24"/>
          <w:szCs w:val="24"/>
        </w:rPr>
        <w:t>í</w:t>
      </w:r>
      <w:r w:rsidR="00A973AD" w:rsidRPr="00A973AD">
        <w:rPr>
          <w:rFonts w:ascii="Book Antiqua" w:eastAsia="Calibri" w:hAnsi="Book Antiqua" w:cs="Arial"/>
          <w:sz w:val="24"/>
          <w:szCs w:val="24"/>
        </w:rPr>
        <w:t>stica actual y la que aplicaría a</w:t>
      </w:r>
      <w:r w:rsidR="00A973AD">
        <w:rPr>
          <w:rFonts w:ascii="Book Antiqua" w:eastAsia="Calibri" w:hAnsi="Book Antiqua" w:cs="Arial"/>
          <w:sz w:val="24"/>
          <w:szCs w:val="24"/>
        </w:rPr>
        <w:t xml:space="preserve"> </w:t>
      </w:r>
      <w:r w:rsidR="00822115" w:rsidRPr="00A973AD">
        <w:rPr>
          <w:rFonts w:ascii="Book Antiqua" w:eastAsia="Calibri" w:hAnsi="Book Antiqua" w:cs="Arial"/>
          <w:sz w:val="24"/>
          <w:szCs w:val="24"/>
        </w:rPr>
        <w:t>partir</w:t>
      </w:r>
      <w:r w:rsidR="00A973AD" w:rsidRPr="00A973AD">
        <w:rPr>
          <w:rFonts w:ascii="Book Antiqua" w:eastAsia="Calibri" w:hAnsi="Book Antiqua" w:cs="Arial"/>
          <w:sz w:val="24"/>
          <w:szCs w:val="24"/>
        </w:rPr>
        <w:t xml:space="preserve"> de 2024. </w:t>
      </w:r>
    </w:p>
    <w:p w14:paraId="41227385" w14:textId="77777777" w:rsidR="0095629A" w:rsidRPr="00A973AD" w:rsidRDefault="0095629A" w:rsidP="00695918">
      <w:pPr>
        <w:spacing w:after="0" w:line="276" w:lineRule="auto"/>
        <w:jc w:val="both"/>
        <w:rPr>
          <w:rFonts w:ascii="Book Antiqua" w:eastAsia="Calibri" w:hAnsi="Book Antiqua" w:cs="Arial"/>
          <w:sz w:val="24"/>
          <w:szCs w:val="24"/>
        </w:rPr>
      </w:pPr>
    </w:p>
    <w:p w14:paraId="40B2850C" w14:textId="354A48EE" w:rsidR="0095629A" w:rsidRDefault="0095629A" w:rsidP="00695918">
      <w:pPr>
        <w:spacing w:after="0" w:line="276" w:lineRule="auto"/>
        <w:jc w:val="both"/>
        <w:rPr>
          <w:rFonts w:ascii="Book Antiqua" w:eastAsia="Calibri" w:hAnsi="Book Antiqua" w:cs="Arial"/>
          <w:sz w:val="24"/>
          <w:szCs w:val="24"/>
        </w:rPr>
      </w:pPr>
      <w:r w:rsidRPr="00A973AD">
        <w:rPr>
          <w:rFonts w:ascii="Book Antiqua" w:eastAsia="Calibri" w:hAnsi="Book Antiqua" w:cs="Arial"/>
          <w:sz w:val="24"/>
          <w:szCs w:val="24"/>
        </w:rPr>
        <w:t xml:space="preserve">Las tareas, ubicaciones y formatos jurídicos </w:t>
      </w:r>
      <w:r w:rsidR="00A973AD" w:rsidRPr="00A973AD">
        <w:rPr>
          <w:rFonts w:ascii="Book Antiqua" w:eastAsia="Calibri" w:hAnsi="Book Antiqua" w:cs="Arial"/>
          <w:sz w:val="24"/>
          <w:szCs w:val="24"/>
        </w:rPr>
        <w:t>se actualizaron en</w:t>
      </w:r>
      <w:r w:rsidR="00F84C08">
        <w:rPr>
          <w:rFonts w:ascii="Book Antiqua" w:eastAsia="Calibri" w:hAnsi="Book Antiqua" w:cs="Arial"/>
          <w:sz w:val="24"/>
          <w:szCs w:val="24"/>
        </w:rPr>
        <w:t xml:space="preserve"> </w:t>
      </w:r>
      <w:r w:rsidR="00A973AD" w:rsidRPr="00A973AD">
        <w:rPr>
          <w:rFonts w:ascii="Book Antiqua" w:eastAsia="Calibri" w:hAnsi="Book Antiqua" w:cs="Arial"/>
          <w:sz w:val="24"/>
          <w:szCs w:val="24"/>
        </w:rPr>
        <w:t xml:space="preserve">el 2022 y ya están listos los que se aplicarían </w:t>
      </w:r>
      <w:r w:rsidR="005F285B">
        <w:rPr>
          <w:rFonts w:ascii="Book Antiqua" w:eastAsia="Calibri" w:hAnsi="Book Antiqua" w:cs="Arial"/>
          <w:sz w:val="24"/>
          <w:szCs w:val="24"/>
        </w:rPr>
        <w:t>a partir d</w:t>
      </w:r>
      <w:r w:rsidR="00A973AD" w:rsidRPr="00A973AD">
        <w:rPr>
          <w:rFonts w:ascii="Book Antiqua" w:eastAsia="Calibri" w:hAnsi="Book Antiqua" w:cs="Arial"/>
          <w:sz w:val="24"/>
          <w:szCs w:val="24"/>
        </w:rPr>
        <w:t>el 2024</w:t>
      </w:r>
      <w:r w:rsidRPr="00A973AD">
        <w:rPr>
          <w:rFonts w:ascii="Book Antiqua" w:eastAsia="Calibri" w:hAnsi="Book Antiqua" w:cs="Arial"/>
          <w:sz w:val="24"/>
          <w:szCs w:val="24"/>
        </w:rPr>
        <w:t>.</w:t>
      </w:r>
      <w:r>
        <w:rPr>
          <w:rFonts w:ascii="Book Antiqua" w:eastAsia="Calibri" w:hAnsi="Book Antiqua" w:cs="Arial"/>
          <w:sz w:val="24"/>
          <w:szCs w:val="24"/>
        </w:rPr>
        <w:t xml:space="preserve"> </w:t>
      </w:r>
    </w:p>
    <w:p w14:paraId="1C02E2E1" w14:textId="77777777" w:rsidR="0095629A" w:rsidRPr="00695918" w:rsidRDefault="0095629A" w:rsidP="00695918">
      <w:pPr>
        <w:spacing w:after="0" w:line="276" w:lineRule="auto"/>
        <w:jc w:val="both"/>
        <w:rPr>
          <w:rFonts w:ascii="Book Antiqua" w:eastAsia="Calibri" w:hAnsi="Book Antiqua" w:cs="Arial"/>
          <w:sz w:val="24"/>
          <w:szCs w:val="24"/>
        </w:rPr>
      </w:pPr>
    </w:p>
    <w:p w14:paraId="78BE1FAF"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El circulante en los despachos de Violencia Doméstica es una variable donde se torna necesario su análisis, ya que; debido a la naturaleza del proceso y lo expedito de su trámite se espera que la mayor parte del circulante se encuentre en fase de seguimiento.</w:t>
      </w:r>
    </w:p>
    <w:p w14:paraId="30D270DD" w14:textId="77777777" w:rsidR="00695918" w:rsidRPr="00695918" w:rsidRDefault="00695918" w:rsidP="00695918">
      <w:pPr>
        <w:spacing w:after="0" w:line="276" w:lineRule="auto"/>
        <w:jc w:val="both"/>
        <w:rPr>
          <w:rFonts w:ascii="Book Antiqua" w:eastAsia="Calibri" w:hAnsi="Book Antiqua" w:cs="Arial"/>
          <w:sz w:val="24"/>
          <w:szCs w:val="24"/>
        </w:rPr>
      </w:pPr>
    </w:p>
    <w:p w14:paraId="1440A488" w14:textId="7E1AB5CA" w:rsidR="00695918" w:rsidRPr="00F84C08" w:rsidRDefault="00695918" w:rsidP="00695918">
      <w:pPr>
        <w:spacing w:after="0" w:line="276" w:lineRule="auto"/>
        <w:jc w:val="both"/>
        <w:rPr>
          <w:rFonts w:ascii="Book Antiqua" w:eastAsia="Calibri" w:hAnsi="Book Antiqua" w:cs="Arial"/>
          <w:sz w:val="24"/>
          <w:szCs w:val="24"/>
        </w:rPr>
      </w:pPr>
      <w:r w:rsidRPr="00F84C08">
        <w:rPr>
          <w:rFonts w:ascii="Book Antiqua" w:eastAsia="Calibri" w:hAnsi="Book Antiqua" w:cs="Arial"/>
          <w:sz w:val="24"/>
          <w:szCs w:val="24"/>
        </w:rPr>
        <w:t xml:space="preserve">Los datos del circulante por fase para el mes de </w:t>
      </w:r>
      <w:r w:rsidR="008406A1" w:rsidRPr="00F84C08">
        <w:rPr>
          <w:rFonts w:ascii="Book Antiqua" w:eastAsia="Calibri" w:hAnsi="Book Antiqua" w:cs="Arial"/>
          <w:sz w:val="24"/>
          <w:szCs w:val="24"/>
        </w:rPr>
        <w:t>diciembre</w:t>
      </w:r>
      <w:r w:rsidRPr="00F84C08">
        <w:rPr>
          <w:rFonts w:ascii="Book Antiqua" w:eastAsia="Calibri" w:hAnsi="Book Antiqua" w:cs="Arial"/>
          <w:sz w:val="24"/>
          <w:szCs w:val="24"/>
        </w:rPr>
        <w:t xml:space="preserve"> del 202</w:t>
      </w:r>
      <w:r w:rsidR="009D0B4A" w:rsidRPr="00F84C08">
        <w:rPr>
          <w:rFonts w:ascii="Book Antiqua" w:eastAsia="Calibri" w:hAnsi="Book Antiqua" w:cs="Arial"/>
          <w:sz w:val="24"/>
          <w:szCs w:val="24"/>
        </w:rPr>
        <w:t>2</w:t>
      </w:r>
      <w:r w:rsidRPr="00F84C08">
        <w:rPr>
          <w:rFonts w:ascii="Book Antiqua" w:eastAsia="Calibri" w:hAnsi="Book Antiqua" w:cs="Arial"/>
          <w:sz w:val="24"/>
          <w:szCs w:val="24"/>
        </w:rPr>
        <w:t xml:space="preserve"> se encontraban </w:t>
      </w:r>
      <w:r w:rsidR="004150EA" w:rsidRPr="00F84C08">
        <w:rPr>
          <w:rFonts w:ascii="Book Antiqua" w:eastAsia="Calibri" w:hAnsi="Book Antiqua" w:cs="Arial"/>
          <w:sz w:val="24"/>
          <w:szCs w:val="24"/>
        </w:rPr>
        <w:t>18 725</w:t>
      </w:r>
      <w:r w:rsidR="008406A1" w:rsidRPr="00F84C08">
        <w:rPr>
          <w:rFonts w:ascii="Book Antiqua" w:eastAsia="Calibri" w:hAnsi="Book Antiqua" w:cs="Arial"/>
          <w:sz w:val="24"/>
          <w:szCs w:val="24"/>
        </w:rPr>
        <w:t xml:space="preserve"> </w:t>
      </w:r>
      <w:r w:rsidRPr="00F84C08">
        <w:rPr>
          <w:rFonts w:ascii="Book Antiqua" w:eastAsia="Calibri" w:hAnsi="Book Antiqua" w:cs="Arial"/>
          <w:sz w:val="24"/>
          <w:szCs w:val="24"/>
        </w:rPr>
        <w:t>asuntos en circulante (</w:t>
      </w:r>
      <w:r w:rsidR="004150EA" w:rsidRPr="00F84C08">
        <w:rPr>
          <w:rFonts w:ascii="Book Antiqua" w:eastAsia="Calibri" w:hAnsi="Book Antiqua" w:cs="Arial"/>
          <w:sz w:val="24"/>
          <w:szCs w:val="24"/>
        </w:rPr>
        <w:t>6 682</w:t>
      </w:r>
      <w:r w:rsidRPr="00F84C08">
        <w:rPr>
          <w:rFonts w:ascii="Book Antiqua" w:eastAsia="Calibri" w:hAnsi="Book Antiqua" w:cs="Arial"/>
          <w:sz w:val="24"/>
          <w:szCs w:val="24"/>
        </w:rPr>
        <w:t xml:space="preserve"> en fase de demanda, 6</w:t>
      </w:r>
      <w:r w:rsidR="004150EA" w:rsidRPr="00F84C08">
        <w:rPr>
          <w:rFonts w:ascii="Book Antiqua" w:eastAsia="Calibri" w:hAnsi="Book Antiqua" w:cs="Arial"/>
          <w:sz w:val="24"/>
          <w:szCs w:val="24"/>
        </w:rPr>
        <w:t>93</w:t>
      </w:r>
      <w:r w:rsidRPr="00F84C08">
        <w:rPr>
          <w:rFonts w:ascii="Book Antiqua" w:eastAsia="Calibri" w:hAnsi="Book Antiqua" w:cs="Arial"/>
          <w:sz w:val="24"/>
          <w:szCs w:val="24"/>
        </w:rPr>
        <w:t xml:space="preserve"> en demostrativa, </w:t>
      </w:r>
      <w:r w:rsidR="004150EA" w:rsidRPr="00F84C08">
        <w:rPr>
          <w:rFonts w:ascii="Book Antiqua" w:eastAsia="Calibri" w:hAnsi="Book Antiqua" w:cs="Arial"/>
          <w:sz w:val="24"/>
          <w:szCs w:val="24"/>
        </w:rPr>
        <w:t>1 597</w:t>
      </w:r>
      <w:r w:rsidRPr="00F84C08">
        <w:rPr>
          <w:rFonts w:ascii="Book Antiqua" w:eastAsia="Calibri" w:hAnsi="Book Antiqua" w:cs="Arial"/>
          <w:sz w:val="24"/>
          <w:szCs w:val="24"/>
        </w:rPr>
        <w:t xml:space="preserve"> en conclusiva</w:t>
      </w:r>
      <w:r w:rsidR="004150EA" w:rsidRPr="00F84C08">
        <w:rPr>
          <w:rFonts w:ascii="Book Antiqua" w:eastAsia="Calibri" w:hAnsi="Book Antiqua" w:cs="Arial"/>
          <w:sz w:val="24"/>
          <w:szCs w:val="24"/>
        </w:rPr>
        <w:t xml:space="preserve"> y</w:t>
      </w:r>
      <w:r w:rsidRPr="00F84C08">
        <w:rPr>
          <w:rFonts w:ascii="Book Antiqua" w:eastAsia="Calibri" w:hAnsi="Book Antiqua" w:cs="Arial"/>
          <w:sz w:val="24"/>
          <w:szCs w:val="24"/>
        </w:rPr>
        <w:t xml:space="preserve"> </w:t>
      </w:r>
      <w:r w:rsidR="004150EA" w:rsidRPr="00F84C08">
        <w:rPr>
          <w:rFonts w:ascii="Book Antiqua" w:eastAsia="Calibri" w:hAnsi="Book Antiqua" w:cs="Arial"/>
          <w:sz w:val="24"/>
          <w:szCs w:val="24"/>
        </w:rPr>
        <w:t>9 753</w:t>
      </w:r>
      <w:r w:rsidRPr="00F84C08">
        <w:rPr>
          <w:rFonts w:ascii="Book Antiqua" w:eastAsia="Calibri" w:hAnsi="Book Antiqua" w:cs="Arial"/>
          <w:sz w:val="24"/>
          <w:szCs w:val="24"/>
        </w:rPr>
        <w:t xml:space="preserve"> en seguimiento</w:t>
      </w:r>
      <w:r w:rsidR="008406A1" w:rsidRPr="00F84C08">
        <w:rPr>
          <w:rFonts w:ascii="Book Antiqua" w:eastAsia="Calibri" w:hAnsi="Book Antiqua" w:cs="Arial"/>
          <w:sz w:val="24"/>
          <w:szCs w:val="24"/>
        </w:rPr>
        <w:t xml:space="preserve">, </w:t>
      </w:r>
      <w:r w:rsidRPr="00F84C08">
        <w:rPr>
          <w:rFonts w:ascii="Book Antiqua" w:eastAsia="Calibri" w:hAnsi="Book Antiqua" w:cs="Arial"/>
          <w:sz w:val="24"/>
          <w:szCs w:val="24"/>
        </w:rPr>
        <w:t xml:space="preserve">lo que representaba un </w:t>
      </w:r>
      <w:r w:rsidR="004150EA" w:rsidRPr="00F84C08">
        <w:rPr>
          <w:rFonts w:ascii="Book Antiqua" w:eastAsia="Calibri" w:hAnsi="Book Antiqua" w:cs="Arial"/>
          <w:sz w:val="24"/>
          <w:szCs w:val="24"/>
        </w:rPr>
        <w:t>52</w:t>
      </w:r>
      <w:r w:rsidRPr="00F84C08">
        <w:rPr>
          <w:rFonts w:ascii="Book Antiqua" w:eastAsia="Calibri" w:hAnsi="Book Antiqua" w:cs="Arial"/>
          <w:sz w:val="24"/>
          <w:szCs w:val="24"/>
        </w:rPr>
        <w:t xml:space="preserve">% del circulante en seguimiento. </w:t>
      </w:r>
    </w:p>
    <w:p w14:paraId="0EF4AB82" w14:textId="77777777" w:rsidR="00695918" w:rsidRPr="00F84C08" w:rsidRDefault="00695918" w:rsidP="00695918">
      <w:pPr>
        <w:spacing w:after="0" w:line="276" w:lineRule="auto"/>
        <w:jc w:val="both"/>
        <w:rPr>
          <w:rFonts w:ascii="Book Antiqua" w:eastAsia="Calibri" w:hAnsi="Book Antiqua" w:cs="Arial"/>
          <w:sz w:val="24"/>
          <w:szCs w:val="24"/>
        </w:rPr>
      </w:pPr>
    </w:p>
    <w:p w14:paraId="5B64533F" w14:textId="20C0134C" w:rsidR="00695918" w:rsidRPr="00695918" w:rsidRDefault="00A75C18" w:rsidP="00695918">
      <w:pPr>
        <w:spacing w:after="0" w:line="276" w:lineRule="auto"/>
        <w:jc w:val="both"/>
        <w:rPr>
          <w:rFonts w:ascii="Book Antiqua" w:eastAsia="Calibri" w:hAnsi="Book Antiqua" w:cs="Arial"/>
          <w:sz w:val="24"/>
          <w:szCs w:val="24"/>
        </w:rPr>
      </w:pPr>
      <w:r w:rsidRPr="00F84C08">
        <w:rPr>
          <w:rFonts w:ascii="Book Antiqua" w:eastAsia="Calibri" w:hAnsi="Book Antiqua" w:cs="Arial"/>
          <w:sz w:val="24"/>
          <w:szCs w:val="24"/>
        </w:rPr>
        <w:t>S</w:t>
      </w:r>
      <w:r w:rsidR="00695918" w:rsidRPr="00F84C08">
        <w:rPr>
          <w:rFonts w:ascii="Book Antiqua" w:eastAsia="Calibri" w:hAnsi="Book Antiqua" w:cs="Arial"/>
          <w:sz w:val="24"/>
          <w:szCs w:val="24"/>
        </w:rPr>
        <w:t xml:space="preserve">e reporta una reducción </w:t>
      </w:r>
      <w:r w:rsidRPr="00F84C08">
        <w:rPr>
          <w:rFonts w:ascii="Book Antiqua" w:eastAsia="Calibri" w:hAnsi="Book Antiqua" w:cs="Arial"/>
          <w:sz w:val="24"/>
          <w:szCs w:val="24"/>
        </w:rPr>
        <w:t xml:space="preserve">del circulante de 1 638 casos </w:t>
      </w:r>
      <w:r w:rsidR="00695918" w:rsidRPr="00F84C08">
        <w:rPr>
          <w:rFonts w:ascii="Book Antiqua" w:eastAsia="Calibri" w:hAnsi="Book Antiqua" w:cs="Arial"/>
          <w:sz w:val="24"/>
          <w:szCs w:val="24"/>
        </w:rPr>
        <w:t xml:space="preserve">a </w:t>
      </w:r>
      <w:r w:rsidR="00367E46" w:rsidRPr="00F84C08">
        <w:rPr>
          <w:rFonts w:ascii="Book Antiqua" w:eastAsia="Calibri" w:hAnsi="Book Antiqua" w:cs="Arial"/>
          <w:sz w:val="24"/>
          <w:szCs w:val="24"/>
        </w:rPr>
        <w:t>diciembre</w:t>
      </w:r>
      <w:r w:rsidR="00695918" w:rsidRPr="00F84C08">
        <w:rPr>
          <w:rFonts w:ascii="Book Antiqua" w:eastAsia="Calibri" w:hAnsi="Book Antiqua" w:cs="Arial"/>
          <w:sz w:val="24"/>
          <w:szCs w:val="24"/>
        </w:rPr>
        <w:t xml:space="preserve"> del </w:t>
      </w:r>
      <w:r w:rsidRPr="00F84C08">
        <w:rPr>
          <w:rFonts w:ascii="Book Antiqua" w:eastAsia="Calibri" w:hAnsi="Book Antiqua" w:cs="Arial"/>
          <w:sz w:val="24"/>
          <w:szCs w:val="24"/>
        </w:rPr>
        <w:t xml:space="preserve">2022 en comparación con el </w:t>
      </w:r>
      <w:r w:rsidR="00695918" w:rsidRPr="00F84C08">
        <w:rPr>
          <w:rFonts w:ascii="Book Antiqua" w:eastAsia="Calibri" w:hAnsi="Book Antiqua" w:cs="Arial"/>
          <w:sz w:val="24"/>
          <w:szCs w:val="24"/>
        </w:rPr>
        <w:t xml:space="preserve">año anterior, </w:t>
      </w:r>
      <w:r w:rsidRPr="00F84C08">
        <w:rPr>
          <w:rFonts w:ascii="Book Antiqua" w:eastAsia="Calibri" w:hAnsi="Book Antiqua" w:cs="Arial"/>
          <w:sz w:val="24"/>
          <w:szCs w:val="24"/>
        </w:rPr>
        <w:t>a continuación, se</w:t>
      </w:r>
      <w:r w:rsidR="00695918" w:rsidRPr="00F84C08">
        <w:rPr>
          <w:rFonts w:ascii="Book Antiqua" w:eastAsia="Calibri" w:hAnsi="Book Antiqua" w:cs="Arial"/>
          <w:sz w:val="24"/>
          <w:szCs w:val="24"/>
        </w:rPr>
        <w:t xml:space="preserve"> desglos</w:t>
      </w:r>
      <w:r w:rsidRPr="00F84C08">
        <w:rPr>
          <w:rFonts w:ascii="Book Antiqua" w:eastAsia="Calibri" w:hAnsi="Book Antiqua" w:cs="Arial"/>
          <w:sz w:val="24"/>
          <w:szCs w:val="24"/>
        </w:rPr>
        <w:t>a el circulante</w:t>
      </w:r>
      <w:r w:rsidR="00695918" w:rsidRPr="00F84C08">
        <w:rPr>
          <w:rFonts w:ascii="Book Antiqua" w:eastAsia="Calibri" w:hAnsi="Book Antiqua" w:cs="Arial"/>
          <w:sz w:val="24"/>
          <w:szCs w:val="24"/>
        </w:rPr>
        <w:t xml:space="preserve"> por fase.</w:t>
      </w:r>
      <w:r w:rsidR="00695918" w:rsidRPr="00695918">
        <w:rPr>
          <w:rFonts w:ascii="Book Antiqua" w:eastAsia="Calibri" w:hAnsi="Book Antiqua" w:cs="Arial"/>
          <w:sz w:val="24"/>
          <w:szCs w:val="24"/>
        </w:rPr>
        <w:t xml:space="preserve"> </w:t>
      </w:r>
    </w:p>
    <w:p w14:paraId="32DA7A7E"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 </w:t>
      </w:r>
    </w:p>
    <w:p w14:paraId="46E887F5" w14:textId="523C196E" w:rsidR="00695918" w:rsidRPr="00695918"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 xml:space="preserve">Cuadro </w:t>
      </w:r>
      <w:r w:rsidRPr="00695918">
        <w:rPr>
          <w:rFonts w:ascii="Book Antiqua" w:eastAsia="Calibri" w:hAnsi="Book Antiqua" w:cs="Arial"/>
          <w:b/>
          <w:bCs/>
          <w:color w:val="1F497D"/>
          <w:szCs w:val="24"/>
          <w:lang w:val="es-ES" w:eastAsia="es-ES"/>
        </w:rPr>
        <w:fldChar w:fldCharType="begin"/>
      </w:r>
      <w:r w:rsidRPr="00695918">
        <w:rPr>
          <w:rFonts w:ascii="Book Antiqua" w:eastAsia="Calibri" w:hAnsi="Book Antiqua" w:cs="Arial"/>
          <w:b/>
          <w:bCs/>
          <w:color w:val="1F497D"/>
          <w:szCs w:val="24"/>
          <w:lang w:val="es-ES" w:eastAsia="es-ES"/>
        </w:rPr>
        <w:instrText xml:space="preserve"> SEQ Cuadro \* ARABIC </w:instrText>
      </w:r>
      <w:r w:rsidRPr="00695918">
        <w:rPr>
          <w:rFonts w:ascii="Book Antiqua" w:eastAsia="Calibri" w:hAnsi="Book Antiqua" w:cs="Arial"/>
          <w:b/>
          <w:bCs/>
          <w:color w:val="1F497D"/>
          <w:szCs w:val="24"/>
          <w:lang w:val="es-ES" w:eastAsia="es-ES"/>
        </w:rPr>
        <w:fldChar w:fldCharType="separate"/>
      </w:r>
      <w:r w:rsidR="00950574">
        <w:rPr>
          <w:rFonts w:ascii="Book Antiqua" w:eastAsia="Calibri" w:hAnsi="Book Antiqua" w:cs="Arial"/>
          <w:b/>
          <w:bCs/>
          <w:noProof/>
          <w:color w:val="1F497D"/>
          <w:szCs w:val="24"/>
          <w:lang w:val="es-ES" w:eastAsia="es-ES"/>
        </w:rPr>
        <w:t>66</w:t>
      </w:r>
      <w:r w:rsidRPr="00695918">
        <w:rPr>
          <w:rFonts w:ascii="Book Antiqua" w:eastAsia="Calibri" w:hAnsi="Book Antiqua" w:cs="Arial"/>
          <w:b/>
          <w:bCs/>
          <w:color w:val="1F497D"/>
          <w:szCs w:val="24"/>
          <w:lang w:val="es-ES" w:eastAsia="es-ES"/>
        </w:rPr>
        <w:fldChar w:fldCharType="end"/>
      </w:r>
      <w:r w:rsidRPr="00695918">
        <w:rPr>
          <w:rFonts w:ascii="Book Antiqua" w:eastAsia="Calibri" w:hAnsi="Book Antiqua" w:cs="Arial"/>
          <w:b/>
          <w:bCs/>
          <w:color w:val="1F497D"/>
          <w:szCs w:val="24"/>
          <w:lang w:val="es-ES" w:eastAsia="es-ES"/>
        </w:rPr>
        <w:t xml:space="preserve"> </w:t>
      </w:r>
    </w:p>
    <w:p w14:paraId="6DD13367" w14:textId="77777777" w:rsidR="008406A1"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Circulante por fases en los Juzgados Especializados de Violencia Doméstica,</w:t>
      </w:r>
    </w:p>
    <w:p w14:paraId="61B4970C" w14:textId="6A86FA97" w:rsidR="00695918"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 xml:space="preserve">al finalizar </w:t>
      </w:r>
      <w:r>
        <w:rPr>
          <w:rFonts w:ascii="Book Antiqua" w:eastAsia="Calibri" w:hAnsi="Book Antiqua" w:cs="Arial"/>
          <w:b/>
          <w:bCs/>
          <w:color w:val="1F497D"/>
          <w:szCs w:val="24"/>
          <w:lang w:val="es-ES" w:eastAsia="es-ES"/>
        </w:rPr>
        <w:t xml:space="preserve">diciembre </w:t>
      </w:r>
      <w:r w:rsidRPr="00695918">
        <w:rPr>
          <w:rFonts w:ascii="Book Antiqua" w:eastAsia="Calibri" w:hAnsi="Book Antiqua" w:cs="Arial"/>
          <w:b/>
          <w:bCs/>
          <w:color w:val="1F497D"/>
          <w:szCs w:val="24"/>
          <w:lang w:val="es-ES" w:eastAsia="es-ES"/>
        </w:rPr>
        <w:t>202</w:t>
      </w:r>
      <w:r w:rsidR="000150A9">
        <w:rPr>
          <w:rFonts w:ascii="Book Antiqua" w:eastAsia="Calibri" w:hAnsi="Book Antiqua" w:cs="Arial"/>
          <w:b/>
          <w:bCs/>
          <w:color w:val="1F497D"/>
          <w:szCs w:val="24"/>
          <w:lang w:val="es-ES" w:eastAsia="es-ES"/>
        </w:rPr>
        <w:t>2</w:t>
      </w:r>
    </w:p>
    <w:tbl>
      <w:tblPr>
        <w:tblW w:w="8560" w:type="dxa"/>
        <w:jc w:val="center"/>
        <w:tblCellMar>
          <w:left w:w="70" w:type="dxa"/>
          <w:right w:w="70" w:type="dxa"/>
        </w:tblCellMar>
        <w:tblLook w:val="04A0" w:firstRow="1" w:lastRow="0" w:firstColumn="1" w:lastColumn="0" w:noHBand="0" w:noVBand="1"/>
      </w:tblPr>
      <w:tblGrid>
        <w:gridCol w:w="2900"/>
        <w:gridCol w:w="880"/>
        <w:gridCol w:w="880"/>
        <w:gridCol w:w="880"/>
        <w:gridCol w:w="880"/>
        <w:gridCol w:w="880"/>
        <w:gridCol w:w="1307"/>
      </w:tblGrid>
      <w:tr w:rsidR="009D0B4A" w:rsidRPr="009D0B4A" w14:paraId="6616FB56" w14:textId="77777777" w:rsidTr="009D0B4A">
        <w:trPr>
          <w:trHeight w:val="1570"/>
          <w:jc w:val="center"/>
        </w:trPr>
        <w:tc>
          <w:tcPr>
            <w:tcW w:w="2900" w:type="dxa"/>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05B94229"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Despacho</w:t>
            </w:r>
          </w:p>
        </w:tc>
        <w:tc>
          <w:tcPr>
            <w:tcW w:w="880"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2F2BCE67"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Demanda</w:t>
            </w:r>
          </w:p>
        </w:tc>
        <w:tc>
          <w:tcPr>
            <w:tcW w:w="880"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3E99FF0A"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Demostrativa</w:t>
            </w:r>
          </w:p>
        </w:tc>
        <w:tc>
          <w:tcPr>
            <w:tcW w:w="880"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34D9F042"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Conclusiva</w:t>
            </w:r>
          </w:p>
        </w:tc>
        <w:tc>
          <w:tcPr>
            <w:tcW w:w="880"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27E2F4B6"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Seguimiento</w:t>
            </w:r>
          </w:p>
        </w:tc>
        <w:tc>
          <w:tcPr>
            <w:tcW w:w="880" w:type="dxa"/>
            <w:tcBorders>
              <w:top w:val="single" w:sz="8" w:space="0" w:color="auto"/>
              <w:left w:val="nil"/>
              <w:bottom w:val="single" w:sz="8" w:space="0" w:color="auto"/>
              <w:right w:val="single" w:sz="8" w:space="0" w:color="auto"/>
            </w:tcBorders>
            <w:shd w:val="clear" w:color="000000" w:fill="002060"/>
            <w:noWrap/>
            <w:vAlign w:val="center"/>
            <w:hideMark/>
          </w:tcPr>
          <w:p w14:paraId="48D2B0B3"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Total</w:t>
            </w:r>
          </w:p>
        </w:tc>
        <w:tc>
          <w:tcPr>
            <w:tcW w:w="1260" w:type="dxa"/>
            <w:tcBorders>
              <w:top w:val="single" w:sz="8" w:space="0" w:color="auto"/>
              <w:left w:val="nil"/>
              <w:bottom w:val="single" w:sz="8" w:space="0" w:color="auto"/>
              <w:right w:val="single" w:sz="8" w:space="0" w:color="auto"/>
            </w:tcBorders>
            <w:shd w:val="clear" w:color="000000" w:fill="002060"/>
            <w:vAlign w:val="center"/>
            <w:hideMark/>
          </w:tcPr>
          <w:p w14:paraId="55D1A0E9"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 Circulante en Seguimiento</w:t>
            </w:r>
          </w:p>
        </w:tc>
      </w:tr>
      <w:tr w:rsidR="009D0B4A" w:rsidRPr="009D0B4A" w14:paraId="7075570A"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1AB4F347"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Violencia Doméstica Heredia</w:t>
            </w:r>
          </w:p>
        </w:tc>
        <w:tc>
          <w:tcPr>
            <w:tcW w:w="880" w:type="dxa"/>
            <w:tcBorders>
              <w:top w:val="nil"/>
              <w:left w:val="nil"/>
              <w:bottom w:val="single" w:sz="8" w:space="0" w:color="auto"/>
              <w:right w:val="single" w:sz="8" w:space="0" w:color="auto"/>
            </w:tcBorders>
            <w:shd w:val="clear" w:color="auto" w:fill="auto"/>
            <w:noWrap/>
            <w:vAlign w:val="center"/>
            <w:hideMark/>
          </w:tcPr>
          <w:p w14:paraId="2AE5A6E3"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103</w:t>
            </w:r>
          </w:p>
        </w:tc>
        <w:tc>
          <w:tcPr>
            <w:tcW w:w="880" w:type="dxa"/>
            <w:tcBorders>
              <w:top w:val="nil"/>
              <w:left w:val="nil"/>
              <w:bottom w:val="single" w:sz="8" w:space="0" w:color="auto"/>
              <w:right w:val="single" w:sz="8" w:space="0" w:color="auto"/>
            </w:tcBorders>
            <w:shd w:val="clear" w:color="auto" w:fill="auto"/>
            <w:noWrap/>
            <w:vAlign w:val="center"/>
            <w:hideMark/>
          </w:tcPr>
          <w:p w14:paraId="47401FDE"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61</w:t>
            </w:r>
          </w:p>
        </w:tc>
        <w:tc>
          <w:tcPr>
            <w:tcW w:w="880" w:type="dxa"/>
            <w:tcBorders>
              <w:top w:val="nil"/>
              <w:left w:val="nil"/>
              <w:bottom w:val="single" w:sz="8" w:space="0" w:color="auto"/>
              <w:right w:val="single" w:sz="8" w:space="0" w:color="auto"/>
            </w:tcBorders>
            <w:shd w:val="clear" w:color="auto" w:fill="auto"/>
            <w:noWrap/>
            <w:vAlign w:val="center"/>
            <w:hideMark/>
          </w:tcPr>
          <w:p w14:paraId="0213537B"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4</w:t>
            </w:r>
          </w:p>
        </w:tc>
        <w:tc>
          <w:tcPr>
            <w:tcW w:w="880" w:type="dxa"/>
            <w:tcBorders>
              <w:top w:val="nil"/>
              <w:left w:val="nil"/>
              <w:bottom w:val="single" w:sz="8" w:space="0" w:color="auto"/>
              <w:right w:val="single" w:sz="8" w:space="0" w:color="auto"/>
            </w:tcBorders>
            <w:shd w:val="clear" w:color="auto" w:fill="auto"/>
            <w:noWrap/>
            <w:vAlign w:val="center"/>
            <w:hideMark/>
          </w:tcPr>
          <w:p w14:paraId="3A764244"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800</w:t>
            </w:r>
          </w:p>
        </w:tc>
        <w:tc>
          <w:tcPr>
            <w:tcW w:w="880" w:type="dxa"/>
            <w:tcBorders>
              <w:top w:val="nil"/>
              <w:left w:val="nil"/>
              <w:bottom w:val="single" w:sz="8" w:space="0" w:color="auto"/>
              <w:right w:val="single" w:sz="8" w:space="0" w:color="auto"/>
            </w:tcBorders>
            <w:shd w:val="clear" w:color="000000" w:fill="FFFFFF"/>
            <w:noWrap/>
            <w:vAlign w:val="center"/>
            <w:hideMark/>
          </w:tcPr>
          <w:p w14:paraId="65D90777"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968</w:t>
            </w:r>
          </w:p>
        </w:tc>
        <w:tc>
          <w:tcPr>
            <w:tcW w:w="1260" w:type="dxa"/>
            <w:tcBorders>
              <w:top w:val="nil"/>
              <w:left w:val="nil"/>
              <w:bottom w:val="single" w:sz="8" w:space="0" w:color="auto"/>
              <w:right w:val="single" w:sz="8" w:space="0" w:color="auto"/>
            </w:tcBorders>
            <w:shd w:val="clear" w:color="000000" w:fill="FFFFFF"/>
            <w:noWrap/>
            <w:vAlign w:val="center"/>
            <w:hideMark/>
          </w:tcPr>
          <w:p w14:paraId="52004C20"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83%</w:t>
            </w:r>
          </w:p>
        </w:tc>
      </w:tr>
      <w:tr w:rsidR="009D0B4A" w:rsidRPr="009D0B4A" w14:paraId="3009D94D"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60991EA8"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Violencia Doméstica Puntarenas</w:t>
            </w:r>
          </w:p>
        </w:tc>
        <w:tc>
          <w:tcPr>
            <w:tcW w:w="880" w:type="dxa"/>
            <w:tcBorders>
              <w:top w:val="nil"/>
              <w:left w:val="nil"/>
              <w:bottom w:val="single" w:sz="8" w:space="0" w:color="auto"/>
              <w:right w:val="single" w:sz="8" w:space="0" w:color="auto"/>
            </w:tcBorders>
            <w:shd w:val="clear" w:color="auto" w:fill="auto"/>
            <w:noWrap/>
            <w:vAlign w:val="center"/>
            <w:hideMark/>
          </w:tcPr>
          <w:p w14:paraId="6D39EEF7"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306</w:t>
            </w:r>
          </w:p>
        </w:tc>
        <w:tc>
          <w:tcPr>
            <w:tcW w:w="880" w:type="dxa"/>
            <w:tcBorders>
              <w:top w:val="nil"/>
              <w:left w:val="nil"/>
              <w:bottom w:val="single" w:sz="8" w:space="0" w:color="auto"/>
              <w:right w:val="single" w:sz="8" w:space="0" w:color="auto"/>
            </w:tcBorders>
            <w:shd w:val="clear" w:color="auto" w:fill="auto"/>
            <w:noWrap/>
            <w:vAlign w:val="center"/>
            <w:hideMark/>
          </w:tcPr>
          <w:p w14:paraId="62917510"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24</w:t>
            </w:r>
          </w:p>
        </w:tc>
        <w:tc>
          <w:tcPr>
            <w:tcW w:w="880" w:type="dxa"/>
            <w:tcBorders>
              <w:top w:val="nil"/>
              <w:left w:val="nil"/>
              <w:bottom w:val="single" w:sz="8" w:space="0" w:color="auto"/>
              <w:right w:val="single" w:sz="8" w:space="0" w:color="auto"/>
            </w:tcBorders>
            <w:shd w:val="clear" w:color="auto" w:fill="auto"/>
            <w:noWrap/>
            <w:vAlign w:val="center"/>
            <w:hideMark/>
          </w:tcPr>
          <w:p w14:paraId="0144C00E"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37</w:t>
            </w:r>
          </w:p>
        </w:tc>
        <w:tc>
          <w:tcPr>
            <w:tcW w:w="880" w:type="dxa"/>
            <w:tcBorders>
              <w:top w:val="nil"/>
              <w:left w:val="nil"/>
              <w:bottom w:val="single" w:sz="8" w:space="0" w:color="auto"/>
              <w:right w:val="single" w:sz="8" w:space="0" w:color="auto"/>
            </w:tcBorders>
            <w:shd w:val="clear" w:color="auto" w:fill="auto"/>
            <w:noWrap/>
            <w:vAlign w:val="center"/>
            <w:hideMark/>
          </w:tcPr>
          <w:p w14:paraId="45889960"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668</w:t>
            </w:r>
          </w:p>
        </w:tc>
        <w:tc>
          <w:tcPr>
            <w:tcW w:w="880" w:type="dxa"/>
            <w:tcBorders>
              <w:top w:val="nil"/>
              <w:left w:val="nil"/>
              <w:bottom w:val="single" w:sz="8" w:space="0" w:color="auto"/>
              <w:right w:val="single" w:sz="8" w:space="0" w:color="auto"/>
            </w:tcBorders>
            <w:shd w:val="clear" w:color="000000" w:fill="FFFFFF"/>
            <w:noWrap/>
            <w:vAlign w:val="center"/>
            <w:hideMark/>
          </w:tcPr>
          <w:p w14:paraId="2470CBDF"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1035</w:t>
            </w:r>
          </w:p>
        </w:tc>
        <w:tc>
          <w:tcPr>
            <w:tcW w:w="1260" w:type="dxa"/>
            <w:tcBorders>
              <w:top w:val="nil"/>
              <w:left w:val="nil"/>
              <w:bottom w:val="single" w:sz="8" w:space="0" w:color="auto"/>
              <w:right w:val="single" w:sz="8" w:space="0" w:color="auto"/>
            </w:tcBorders>
            <w:shd w:val="clear" w:color="000000" w:fill="FFFFFF"/>
            <w:noWrap/>
            <w:vAlign w:val="center"/>
            <w:hideMark/>
          </w:tcPr>
          <w:p w14:paraId="164A00B5"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65%</w:t>
            </w:r>
          </w:p>
        </w:tc>
      </w:tr>
      <w:tr w:rsidR="009D0B4A" w:rsidRPr="009D0B4A" w14:paraId="3EFB089A" w14:textId="77777777" w:rsidTr="009D0B4A">
        <w:trPr>
          <w:trHeight w:val="89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04E225A2"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de Violencia Doméstica del I Circ. Jud. de la Zona Atlántica</w:t>
            </w:r>
          </w:p>
        </w:tc>
        <w:tc>
          <w:tcPr>
            <w:tcW w:w="880" w:type="dxa"/>
            <w:tcBorders>
              <w:top w:val="nil"/>
              <w:left w:val="nil"/>
              <w:bottom w:val="single" w:sz="8" w:space="0" w:color="auto"/>
              <w:right w:val="single" w:sz="8" w:space="0" w:color="auto"/>
            </w:tcBorders>
            <w:shd w:val="clear" w:color="auto" w:fill="auto"/>
            <w:noWrap/>
            <w:vAlign w:val="center"/>
            <w:hideMark/>
          </w:tcPr>
          <w:p w14:paraId="72CA7657"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209</w:t>
            </w:r>
          </w:p>
        </w:tc>
        <w:tc>
          <w:tcPr>
            <w:tcW w:w="880" w:type="dxa"/>
            <w:tcBorders>
              <w:top w:val="nil"/>
              <w:left w:val="nil"/>
              <w:bottom w:val="single" w:sz="8" w:space="0" w:color="auto"/>
              <w:right w:val="single" w:sz="8" w:space="0" w:color="auto"/>
            </w:tcBorders>
            <w:shd w:val="clear" w:color="auto" w:fill="auto"/>
            <w:noWrap/>
            <w:vAlign w:val="center"/>
            <w:hideMark/>
          </w:tcPr>
          <w:p w14:paraId="5C2AD42D"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43</w:t>
            </w:r>
          </w:p>
        </w:tc>
        <w:tc>
          <w:tcPr>
            <w:tcW w:w="880" w:type="dxa"/>
            <w:tcBorders>
              <w:top w:val="nil"/>
              <w:left w:val="nil"/>
              <w:bottom w:val="single" w:sz="8" w:space="0" w:color="auto"/>
              <w:right w:val="single" w:sz="8" w:space="0" w:color="auto"/>
            </w:tcBorders>
            <w:shd w:val="clear" w:color="auto" w:fill="auto"/>
            <w:noWrap/>
            <w:vAlign w:val="center"/>
            <w:hideMark/>
          </w:tcPr>
          <w:p w14:paraId="721AA3D4"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11</w:t>
            </w:r>
          </w:p>
        </w:tc>
        <w:tc>
          <w:tcPr>
            <w:tcW w:w="880" w:type="dxa"/>
            <w:tcBorders>
              <w:top w:val="nil"/>
              <w:left w:val="nil"/>
              <w:bottom w:val="single" w:sz="8" w:space="0" w:color="auto"/>
              <w:right w:val="single" w:sz="8" w:space="0" w:color="auto"/>
            </w:tcBorders>
            <w:shd w:val="clear" w:color="auto" w:fill="auto"/>
            <w:noWrap/>
            <w:vAlign w:val="center"/>
            <w:hideMark/>
          </w:tcPr>
          <w:p w14:paraId="030BE1EC"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466</w:t>
            </w:r>
          </w:p>
        </w:tc>
        <w:tc>
          <w:tcPr>
            <w:tcW w:w="880" w:type="dxa"/>
            <w:tcBorders>
              <w:top w:val="nil"/>
              <w:left w:val="nil"/>
              <w:bottom w:val="single" w:sz="8" w:space="0" w:color="auto"/>
              <w:right w:val="single" w:sz="8" w:space="0" w:color="auto"/>
            </w:tcBorders>
            <w:shd w:val="clear" w:color="000000" w:fill="FFFFFF"/>
            <w:noWrap/>
            <w:vAlign w:val="center"/>
            <w:hideMark/>
          </w:tcPr>
          <w:p w14:paraId="79E6CF68"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729</w:t>
            </w:r>
          </w:p>
        </w:tc>
        <w:tc>
          <w:tcPr>
            <w:tcW w:w="1260" w:type="dxa"/>
            <w:tcBorders>
              <w:top w:val="nil"/>
              <w:left w:val="nil"/>
              <w:bottom w:val="single" w:sz="8" w:space="0" w:color="auto"/>
              <w:right w:val="single" w:sz="8" w:space="0" w:color="auto"/>
            </w:tcBorders>
            <w:shd w:val="clear" w:color="000000" w:fill="FFFFFF"/>
            <w:noWrap/>
            <w:vAlign w:val="center"/>
            <w:hideMark/>
          </w:tcPr>
          <w:p w14:paraId="26AFBD39"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64%</w:t>
            </w:r>
          </w:p>
        </w:tc>
      </w:tr>
      <w:tr w:rsidR="009D0B4A" w:rsidRPr="009D0B4A" w14:paraId="3F152AD1"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3F85CE11"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Violencia Doméstica I Circ. Jud. Zona Sur</w:t>
            </w:r>
          </w:p>
        </w:tc>
        <w:tc>
          <w:tcPr>
            <w:tcW w:w="880" w:type="dxa"/>
            <w:tcBorders>
              <w:top w:val="nil"/>
              <w:left w:val="nil"/>
              <w:bottom w:val="single" w:sz="8" w:space="0" w:color="auto"/>
              <w:right w:val="single" w:sz="8" w:space="0" w:color="auto"/>
            </w:tcBorders>
            <w:shd w:val="clear" w:color="auto" w:fill="auto"/>
            <w:noWrap/>
            <w:vAlign w:val="center"/>
            <w:hideMark/>
          </w:tcPr>
          <w:p w14:paraId="0B3F3F04"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293</w:t>
            </w:r>
          </w:p>
        </w:tc>
        <w:tc>
          <w:tcPr>
            <w:tcW w:w="880" w:type="dxa"/>
            <w:tcBorders>
              <w:top w:val="nil"/>
              <w:left w:val="nil"/>
              <w:bottom w:val="single" w:sz="8" w:space="0" w:color="auto"/>
              <w:right w:val="single" w:sz="8" w:space="0" w:color="auto"/>
            </w:tcBorders>
            <w:shd w:val="clear" w:color="auto" w:fill="auto"/>
            <w:noWrap/>
            <w:vAlign w:val="center"/>
            <w:hideMark/>
          </w:tcPr>
          <w:p w14:paraId="146131F4"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25</w:t>
            </w:r>
          </w:p>
        </w:tc>
        <w:tc>
          <w:tcPr>
            <w:tcW w:w="880" w:type="dxa"/>
            <w:tcBorders>
              <w:top w:val="nil"/>
              <w:left w:val="nil"/>
              <w:bottom w:val="single" w:sz="8" w:space="0" w:color="auto"/>
              <w:right w:val="single" w:sz="8" w:space="0" w:color="auto"/>
            </w:tcBorders>
            <w:shd w:val="clear" w:color="auto" w:fill="auto"/>
            <w:noWrap/>
            <w:vAlign w:val="center"/>
            <w:hideMark/>
          </w:tcPr>
          <w:p w14:paraId="6FC62BA3"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23</w:t>
            </w:r>
          </w:p>
        </w:tc>
        <w:tc>
          <w:tcPr>
            <w:tcW w:w="880" w:type="dxa"/>
            <w:tcBorders>
              <w:top w:val="nil"/>
              <w:left w:val="nil"/>
              <w:bottom w:val="single" w:sz="8" w:space="0" w:color="auto"/>
              <w:right w:val="single" w:sz="8" w:space="0" w:color="auto"/>
            </w:tcBorders>
            <w:shd w:val="clear" w:color="auto" w:fill="auto"/>
            <w:noWrap/>
            <w:vAlign w:val="center"/>
            <w:hideMark/>
          </w:tcPr>
          <w:p w14:paraId="20850FCB"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784</w:t>
            </w:r>
          </w:p>
        </w:tc>
        <w:tc>
          <w:tcPr>
            <w:tcW w:w="880" w:type="dxa"/>
            <w:tcBorders>
              <w:top w:val="nil"/>
              <w:left w:val="nil"/>
              <w:bottom w:val="single" w:sz="8" w:space="0" w:color="auto"/>
              <w:right w:val="single" w:sz="8" w:space="0" w:color="auto"/>
            </w:tcBorders>
            <w:shd w:val="clear" w:color="000000" w:fill="FFFFFF"/>
            <w:noWrap/>
            <w:vAlign w:val="center"/>
            <w:hideMark/>
          </w:tcPr>
          <w:p w14:paraId="2BBB90BA"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1125</w:t>
            </w:r>
          </w:p>
        </w:tc>
        <w:tc>
          <w:tcPr>
            <w:tcW w:w="1260" w:type="dxa"/>
            <w:tcBorders>
              <w:top w:val="nil"/>
              <w:left w:val="nil"/>
              <w:bottom w:val="single" w:sz="8" w:space="0" w:color="auto"/>
              <w:right w:val="single" w:sz="8" w:space="0" w:color="auto"/>
            </w:tcBorders>
            <w:shd w:val="clear" w:color="000000" w:fill="FFFFFF"/>
            <w:noWrap/>
            <w:vAlign w:val="center"/>
            <w:hideMark/>
          </w:tcPr>
          <w:p w14:paraId="55ABE8F7"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70%</w:t>
            </w:r>
          </w:p>
        </w:tc>
      </w:tr>
      <w:tr w:rsidR="009D0B4A" w:rsidRPr="009D0B4A" w14:paraId="59336B17"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2A185AA9"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Violencia Doméstica I Circ. Jud. San José</w:t>
            </w:r>
          </w:p>
        </w:tc>
        <w:tc>
          <w:tcPr>
            <w:tcW w:w="880" w:type="dxa"/>
            <w:tcBorders>
              <w:top w:val="nil"/>
              <w:left w:val="nil"/>
              <w:bottom w:val="single" w:sz="8" w:space="0" w:color="auto"/>
              <w:right w:val="single" w:sz="8" w:space="0" w:color="auto"/>
            </w:tcBorders>
            <w:shd w:val="clear" w:color="auto" w:fill="auto"/>
            <w:noWrap/>
            <w:vAlign w:val="center"/>
            <w:hideMark/>
          </w:tcPr>
          <w:p w14:paraId="035ACADB"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295</w:t>
            </w:r>
          </w:p>
        </w:tc>
        <w:tc>
          <w:tcPr>
            <w:tcW w:w="880" w:type="dxa"/>
            <w:tcBorders>
              <w:top w:val="nil"/>
              <w:left w:val="nil"/>
              <w:bottom w:val="single" w:sz="8" w:space="0" w:color="auto"/>
              <w:right w:val="single" w:sz="8" w:space="0" w:color="auto"/>
            </w:tcBorders>
            <w:shd w:val="clear" w:color="auto" w:fill="auto"/>
            <w:noWrap/>
            <w:vAlign w:val="center"/>
            <w:hideMark/>
          </w:tcPr>
          <w:p w14:paraId="4D24F5A5"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66</w:t>
            </w:r>
          </w:p>
        </w:tc>
        <w:tc>
          <w:tcPr>
            <w:tcW w:w="880" w:type="dxa"/>
            <w:tcBorders>
              <w:top w:val="nil"/>
              <w:left w:val="nil"/>
              <w:bottom w:val="single" w:sz="8" w:space="0" w:color="auto"/>
              <w:right w:val="single" w:sz="8" w:space="0" w:color="auto"/>
            </w:tcBorders>
            <w:shd w:val="clear" w:color="auto" w:fill="auto"/>
            <w:noWrap/>
            <w:vAlign w:val="center"/>
            <w:hideMark/>
          </w:tcPr>
          <w:p w14:paraId="1DF09CBA"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0</w:t>
            </w:r>
          </w:p>
        </w:tc>
        <w:tc>
          <w:tcPr>
            <w:tcW w:w="880" w:type="dxa"/>
            <w:tcBorders>
              <w:top w:val="nil"/>
              <w:left w:val="nil"/>
              <w:bottom w:val="single" w:sz="8" w:space="0" w:color="auto"/>
              <w:right w:val="single" w:sz="8" w:space="0" w:color="auto"/>
            </w:tcBorders>
            <w:shd w:val="clear" w:color="auto" w:fill="auto"/>
            <w:noWrap/>
            <w:vAlign w:val="center"/>
            <w:hideMark/>
          </w:tcPr>
          <w:p w14:paraId="32B9409F"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690</w:t>
            </w:r>
          </w:p>
        </w:tc>
        <w:tc>
          <w:tcPr>
            <w:tcW w:w="880" w:type="dxa"/>
            <w:tcBorders>
              <w:top w:val="nil"/>
              <w:left w:val="nil"/>
              <w:bottom w:val="single" w:sz="8" w:space="0" w:color="auto"/>
              <w:right w:val="single" w:sz="8" w:space="0" w:color="auto"/>
            </w:tcBorders>
            <w:shd w:val="clear" w:color="000000" w:fill="FFFFFF"/>
            <w:noWrap/>
            <w:vAlign w:val="center"/>
            <w:hideMark/>
          </w:tcPr>
          <w:p w14:paraId="07F0DE52"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1051</w:t>
            </w:r>
          </w:p>
        </w:tc>
        <w:tc>
          <w:tcPr>
            <w:tcW w:w="1260" w:type="dxa"/>
            <w:tcBorders>
              <w:top w:val="nil"/>
              <w:left w:val="nil"/>
              <w:bottom w:val="single" w:sz="8" w:space="0" w:color="auto"/>
              <w:right w:val="single" w:sz="8" w:space="0" w:color="auto"/>
            </w:tcBorders>
            <w:shd w:val="clear" w:color="000000" w:fill="FFFFFF"/>
            <w:noWrap/>
            <w:vAlign w:val="center"/>
            <w:hideMark/>
          </w:tcPr>
          <w:p w14:paraId="3E8D9900"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66%</w:t>
            </w:r>
          </w:p>
        </w:tc>
      </w:tr>
      <w:tr w:rsidR="009D0B4A" w:rsidRPr="009D0B4A" w14:paraId="3C830B40"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24A0463F"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Violencia Doméstica Hatillo, San Sebas. y Alajuelita</w:t>
            </w:r>
          </w:p>
        </w:tc>
        <w:tc>
          <w:tcPr>
            <w:tcW w:w="880" w:type="dxa"/>
            <w:tcBorders>
              <w:top w:val="nil"/>
              <w:left w:val="nil"/>
              <w:bottom w:val="single" w:sz="8" w:space="0" w:color="auto"/>
              <w:right w:val="single" w:sz="8" w:space="0" w:color="auto"/>
            </w:tcBorders>
            <w:shd w:val="clear" w:color="auto" w:fill="auto"/>
            <w:noWrap/>
            <w:vAlign w:val="center"/>
            <w:hideMark/>
          </w:tcPr>
          <w:p w14:paraId="33B3A026"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688</w:t>
            </w:r>
          </w:p>
        </w:tc>
        <w:tc>
          <w:tcPr>
            <w:tcW w:w="880" w:type="dxa"/>
            <w:tcBorders>
              <w:top w:val="nil"/>
              <w:left w:val="nil"/>
              <w:bottom w:val="single" w:sz="8" w:space="0" w:color="auto"/>
              <w:right w:val="single" w:sz="8" w:space="0" w:color="auto"/>
            </w:tcBorders>
            <w:shd w:val="clear" w:color="auto" w:fill="auto"/>
            <w:noWrap/>
            <w:vAlign w:val="center"/>
            <w:hideMark/>
          </w:tcPr>
          <w:p w14:paraId="0D13B3AA"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38</w:t>
            </w:r>
          </w:p>
        </w:tc>
        <w:tc>
          <w:tcPr>
            <w:tcW w:w="880" w:type="dxa"/>
            <w:tcBorders>
              <w:top w:val="nil"/>
              <w:left w:val="nil"/>
              <w:bottom w:val="single" w:sz="8" w:space="0" w:color="auto"/>
              <w:right w:val="single" w:sz="8" w:space="0" w:color="auto"/>
            </w:tcBorders>
            <w:shd w:val="clear" w:color="auto" w:fill="auto"/>
            <w:noWrap/>
            <w:vAlign w:val="center"/>
            <w:hideMark/>
          </w:tcPr>
          <w:p w14:paraId="47E03CC6"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35</w:t>
            </w:r>
          </w:p>
        </w:tc>
        <w:tc>
          <w:tcPr>
            <w:tcW w:w="880" w:type="dxa"/>
            <w:tcBorders>
              <w:top w:val="nil"/>
              <w:left w:val="nil"/>
              <w:bottom w:val="single" w:sz="8" w:space="0" w:color="auto"/>
              <w:right w:val="single" w:sz="8" w:space="0" w:color="auto"/>
            </w:tcBorders>
            <w:shd w:val="clear" w:color="auto" w:fill="auto"/>
            <w:noWrap/>
            <w:vAlign w:val="center"/>
            <w:hideMark/>
          </w:tcPr>
          <w:p w14:paraId="008864BB"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943</w:t>
            </w:r>
          </w:p>
        </w:tc>
        <w:tc>
          <w:tcPr>
            <w:tcW w:w="880" w:type="dxa"/>
            <w:tcBorders>
              <w:top w:val="nil"/>
              <w:left w:val="nil"/>
              <w:bottom w:val="single" w:sz="8" w:space="0" w:color="auto"/>
              <w:right w:val="single" w:sz="8" w:space="0" w:color="auto"/>
            </w:tcBorders>
            <w:shd w:val="clear" w:color="000000" w:fill="FFFFFF"/>
            <w:noWrap/>
            <w:vAlign w:val="center"/>
            <w:hideMark/>
          </w:tcPr>
          <w:p w14:paraId="0B8D0386"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1704</w:t>
            </w:r>
          </w:p>
        </w:tc>
        <w:tc>
          <w:tcPr>
            <w:tcW w:w="1260" w:type="dxa"/>
            <w:tcBorders>
              <w:top w:val="nil"/>
              <w:left w:val="nil"/>
              <w:bottom w:val="single" w:sz="8" w:space="0" w:color="auto"/>
              <w:right w:val="single" w:sz="8" w:space="0" w:color="auto"/>
            </w:tcBorders>
            <w:shd w:val="clear" w:color="000000" w:fill="FFFFFF"/>
            <w:noWrap/>
            <w:vAlign w:val="center"/>
            <w:hideMark/>
          </w:tcPr>
          <w:p w14:paraId="3BCCD7E4"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55%</w:t>
            </w:r>
          </w:p>
        </w:tc>
      </w:tr>
      <w:tr w:rsidR="009D0B4A" w:rsidRPr="009D0B4A" w14:paraId="4D5231AB"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0A536813"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 xml:space="preserve">Juzgado Violencia Doméstica II Circ. Jud. Alajuela </w:t>
            </w:r>
          </w:p>
        </w:tc>
        <w:tc>
          <w:tcPr>
            <w:tcW w:w="880" w:type="dxa"/>
            <w:tcBorders>
              <w:top w:val="nil"/>
              <w:left w:val="nil"/>
              <w:bottom w:val="single" w:sz="8" w:space="0" w:color="auto"/>
              <w:right w:val="single" w:sz="8" w:space="0" w:color="auto"/>
            </w:tcBorders>
            <w:shd w:val="clear" w:color="auto" w:fill="auto"/>
            <w:noWrap/>
            <w:vAlign w:val="center"/>
            <w:hideMark/>
          </w:tcPr>
          <w:p w14:paraId="3CCC61DE"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430</w:t>
            </w:r>
          </w:p>
        </w:tc>
        <w:tc>
          <w:tcPr>
            <w:tcW w:w="880" w:type="dxa"/>
            <w:tcBorders>
              <w:top w:val="nil"/>
              <w:left w:val="nil"/>
              <w:bottom w:val="single" w:sz="8" w:space="0" w:color="auto"/>
              <w:right w:val="single" w:sz="8" w:space="0" w:color="auto"/>
            </w:tcBorders>
            <w:shd w:val="clear" w:color="auto" w:fill="auto"/>
            <w:noWrap/>
            <w:vAlign w:val="center"/>
            <w:hideMark/>
          </w:tcPr>
          <w:p w14:paraId="07D347A3"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5</w:t>
            </w:r>
          </w:p>
        </w:tc>
        <w:tc>
          <w:tcPr>
            <w:tcW w:w="880" w:type="dxa"/>
            <w:tcBorders>
              <w:top w:val="nil"/>
              <w:left w:val="nil"/>
              <w:bottom w:val="single" w:sz="8" w:space="0" w:color="auto"/>
              <w:right w:val="single" w:sz="8" w:space="0" w:color="auto"/>
            </w:tcBorders>
            <w:shd w:val="clear" w:color="auto" w:fill="auto"/>
            <w:noWrap/>
            <w:vAlign w:val="center"/>
            <w:hideMark/>
          </w:tcPr>
          <w:p w14:paraId="4F6FDE5A"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7</w:t>
            </w:r>
          </w:p>
        </w:tc>
        <w:tc>
          <w:tcPr>
            <w:tcW w:w="880" w:type="dxa"/>
            <w:tcBorders>
              <w:top w:val="nil"/>
              <w:left w:val="nil"/>
              <w:bottom w:val="single" w:sz="8" w:space="0" w:color="auto"/>
              <w:right w:val="single" w:sz="8" w:space="0" w:color="auto"/>
            </w:tcBorders>
            <w:shd w:val="clear" w:color="auto" w:fill="auto"/>
            <w:noWrap/>
            <w:vAlign w:val="center"/>
            <w:hideMark/>
          </w:tcPr>
          <w:p w14:paraId="11B20DFF"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759</w:t>
            </w:r>
          </w:p>
        </w:tc>
        <w:tc>
          <w:tcPr>
            <w:tcW w:w="880" w:type="dxa"/>
            <w:tcBorders>
              <w:top w:val="nil"/>
              <w:left w:val="nil"/>
              <w:bottom w:val="single" w:sz="8" w:space="0" w:color="auto"/>
              <w:right w:val="single" w:sz="8" w:space="0" w:color="auto"/>
            </w:tcBorders>
            <w:shd w:val="clear" w:color="000000" w:fill="FFFFFF"/>
            <w:noWrap/>
            <w:vAlign w:val="center"/>
            <w:hideMark/>
          </w:tcPr>
          <w:p w14:paraId="76CFA74E"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1201</w:t>
            </w:r>
          </w:p>
        </w:tc>
        <w:tc>
          <w:tcPr>
            <w:tcW w:w="1260" w:type="dxa"/>
            <w:tcBorders>
              <w:top w:val="nil"/>
              <w:left w:val="nil"/>
              <w:bottom w:val="single" w:sz="8" w:space="0" w:color="auto"/>
              <w:right w:val="single" w:sz="8" w:space="0" w:color="auto"/>
            </w:tcBorders>
            <w:shd w:val="clear" w:color="000000" w:fill="FFFFFF"/>
            <w:noWrap/>
            <w:vAlign w:val="center"/>
            <w:hideMark/>
          </w:tcPr>
          <w:p w14:paraId="175259F8"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63%</w:t>
            </w:r>
          </w:p>
        </w:tc>
      </w:tr>
      <w:tr w:rsidR="009D0B4A" w:rsidRPr="009D0B4A" w14:paraId="0B1B4CE1"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65485E43"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Violencia Doméstica Cartago</w:t>
            </w:r>
          </w:p>
        </w:tc>
        <w:tc>
          <w:tcPr>
            <w:tcW w:w="880" w:type="dxa"/>
            <w:tcBorders>
              <w:top w:val="nil"/>
              <w:left w:val="nil"/>
              <w:bottom w:val="single" w:sz="8" w:space="0" w:color="auto"/>
              <w:right w:val="single" w:sz="8" w:space="0" w:color="auto"/>
            </w:tcBorders>
            <w:shd w:val="clear" w:color="auto" w:fill="auto"/>
            <w:noWrap/>
            <w:vAlign w:val="center"/>
            <w:hideMark/>
          </w:tcPr>
          <w:p w14:paraId="245514D2"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611</w:t>
            </w:r>
          </w:p>
        </w:tc>
        <w:tc>
          <w:tcPr>
            <w:tcW w:w="880" w:type="dxa"/>
            <w:tcBorders>
              <w:top w:val="nil"/>
              <w:left w:val="nil"/>
              <w:bottom w:val="single" w:sz="8" w:space="0" w:color="auto"/>
              <w:right w:val="single" w:sz="8" w:space="0" w:color="auto"/>
            </w:tcBorders>
            <w:shd w:val="clear" w:color="auto" w:fill="auto"/>
            <w:noWrap/>
            <w:vAlign w:val="center"/>
            <w:hideMark/>
          </w:tcPr>
          <w:p w14:paraId="6F0C8604"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54</w:t>
            </w:r>
          </w:p>
        </w:tc>
        <w:tc>
          <w:tcPr>
            <w:tcW w:w="880" w:type="dxa"/>
            <w:tcBorders>
              <w:top w:val="nil"/>
              <w:left w:val="nil"/>
              <w:bottom w:val="single" w:sz="8" w:space="0" w:color="auto"/>
              <w:right w:val="single" w:sz="8" w:space="0" w:color="auto"/>
            </w:tcBorders>
            <w:shd w:val="clear" w:color="auto" w:fill="auto"/>
            <w:noWrap/>
            <w:vAlign w:val="center"/>
            <w:hideMark/>
          </w:tcPr>
          <w:p w14:paraId="4E7E3D77"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113</w:t>
            </w:r>
          </w:p>
        </w:tc>
        <w:tc>
          <w:tcPr>
            <w:tcW w:w="880" w:type="dxa"/>
            <w:tcBorders>
              <w:top w:val="nil"/>
              <w:left w:val="nil"/>
              <w:bottom w:val="single" w:sz="8" w:space="0" w:color="auto"/>
              <w:right w:val="single" w:sz="8" w:space="0" w:color="auto"/>
            </w:tcBorders>
            <w:shd w:val="clear" w:color="auto" w:fill="auto"/>
            <w:noWrap/>
            <w:vAlign w:val="center"/>
            <w:hideMark/>
          </w:tcPr>
          <w:p w14:paraId="5C08DB5D"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1081</w:t>
            </w:r>
          </w:p>
        </w:tc>
        <w:tc>
          <w:tcPr>
            <w:tcW w:w="880" w:type="dxa"/>
            <w:tcBorders>
              <w:top w:val="nil"/>
              <w:left w:val="nil"/>
              <w:bottom w:val="single" w:sz="8" w:space="0" w:color="auto"/>
              <w:right w:val="single" w:sz="8" w:space="0" w:color="auto"/>
            </w:tcBorders>
            <w:shd w:val="clear" w:color="000000" w:fill="FFFFFF"/>
            <w:noWrap/>
            <w:vAlign w:val="center"/>
            <w:hideMark/>
          </w:tcPr>
          <w:p w14:paraId="5AD47685"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1859</w:t>
            </w:r>
          </w:p>
        </w:tc>
        <w:tc>
          <w:tcPr>
            <w:tcW w:w="1260" w:type="dxa"/>
            <w:tcBorders>
              <w:top w:val="nil"/>
              <w:left w:val="nil"/>
              <w:bottom w:val="single" w:sz="8" w:space="0" w:color="auto"/>
              <w:right w:val="single" w:sz="8" w:space="0" w:color="auto"/>
            </w:tcBorders>
            <w:shd w:val="clear" w:color="000000" w:fill="FFFFFF"/>
            <w:noWrap/>
            <w:vAlign w:val="center"/>
            <w:hideMark/>
          </w:tcPr>
          <w:p w14:paraId="23D3B033"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58%</w:t>
            </w:r>
          </w:p>
        </w:tc>
      </w:tr>
      <w:tr w:rsidR="009D0B4A" w:rsidRPr="009D0B4A" w14:paraId="4C841548"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3160F7A1"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 xml:space="preserve">Juzgado Violencia Doméstica III Circ. Jud. San José </w:t>
            </w:r>
          </w:p>
        </w:tc>
        <w:tc>
          <w:tcPr>
            <w:tcW w:w="880" w:type="dxa"/>
            <w:tcBorders>
              <w:top w:val="nil"/>
              <w:left w:val="nil"/>
              <w:bottom w:val="single" w:sz="8" w:space="0" w:color="auto"/>
              <w:right w:val="single" w:sz="8" w:space="0" w:color="auto"/>
            </w:tcBorders>
            <w:shd w:val="clear" w:color="auto" w:fill="auto"/>
            <w:noWrap/>
            <w:vAlign w:val="center"/>
            <w:hideMark/>
          </w:tcPr>
          <w:p w14:paraId="7008B58D"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516</w:t>
            </w:r>
          </w:p>
        </w:tc>
        <w:tc>
          <w:tcPr>
            <w:tcW w:w="880" w:type="dxa"/>
            <w:tcBorders>
              <w:top w:val="nil"/>
              <w:left w:val="nil"/>
              <w:bottom w:val="single" w:sz="8" w:space="0" w:color="auto"/>
              <w:right w:val="single" w:sz="8" w:space="0" w:color="auto"/>
            </w:tcBorders>
            <w:shd w:val="clear" w:color="auto" w:fill="auto"/>
            <w:noWrap/>
            <w:vAlign w:val="center"/>
            <w:hideMark/>
          </w:tcPr>
          <w:p w14:paraId="1929C8CD"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135</w:t>
            </w:r>
          </w:p>
        </w:tc>
        <w:tc>
          <w:tcPr>
            <w:tcW w:w="880" w:type="dxa"/>
            <w:tcBorders>
              <w:top w:val="nil"/>
              <w:left w:val="nil"/>
              <w:bottom w:val="single" w:sz="8" w:space="0" w:color="auto"/>
              <w:right w:val="single" w:sz="8" w:space="0" w:color="auto"/>
            </w:tcBorders>
            <w:shd w:val="clear" w:color="auto" w:fill="auto"/>
            <w:noWrap/>
            <w:vAlign w:val="center"/>
            <w:hideMark/>
          </w:tcPr>
          <w:p w14:paraId="73092D92"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525</w:t>
            </w:r>
          </w:p>
        </w:tc>
        <w:tc>
          <w:tcPr>
            <w:tcW w:w="880" w:type="dxa"/>
            <w:tcBorders>
              <w:top w:val="nil"/>
              <w:left w:val="nil"/>
              <w:bottom w:val="single" w:sz="8" w:space="0" w:color="auto"/>
              <w:right w:val="single" w:sz="8" w:space="0" w:color="auto"/>
            </w:tcBorders>
            <w:shd w:val="clear" w:color="auto" w:fill="auto"/>
            <w:noWrap/>
            <w:vAlign w:val="center"/>
            <w:hideMark/>
          </w:tcPr>
          <w:p w14:paraId="422636B8"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591</w:t>
            </w:r>
          </w:p>
        </w:tc>
        <w:tc>
          <w:tcPr>
            <w:tcW w:w="880" w:type="dxa"/>
            <w:tcBorders>
              <w:top w:val="nil"/>
              <w:left w:val="nil"/>
              <w:bottom w:val="single" w:sz="8" w:space="0" w:color="auto"/>
              <w:right w:val="single" w:sz="8" w:space="0" w:color="auto"/>
            </w:tcBorders>
            <w:shd w:val="clear" w:color="000000" w:fill="FFFFFF"/>
            <w:noWrap/>
            <w:vAlign w:val="center"/>
            <w:hideMark/>
          </w:tcPr>
          <w:p w14:paraId="4F0E1446"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1767</w:t>
            </w:r>
          </w:p>
        </w:tc>
        <w:tc>
          <w:tcPr>
            <w:tcW w:w="1260" w:type="dxa"/>
            <w:tcBorders>
              <w:top w:val="nil"/>
              <w:left w:val="nil"/>
              <w:bottom w:val="single" w:sz="8" w:space="0" w:color="auto"/>
              <w:right w:val="single" w:sz="8" w:space="0" w:color="auto"/>
            </w:tcBorders>
            <w:shd w:val="clear" w:color="000000" w:fill="FFFFFF"/>
            <w:noWrap/>
            <w:vAlign w:val="center"/>
            <w:hideMark/>
          </w:tcPr>
          <w:p w14:paraId="6A2C9CB1"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33%</w:t>
            </w:r>
          </w:p>
        </w:tc>
      </w:tr>
      <w:tr w:rsidR="009D0B4A" w:rsidRPr="009D0B4A" w14:paraId="1B0090AF"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023142FA"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Violencia Doméstica I Circ. Jud. Alajuela</w:t>
            </w:r>
          </w:p>
        </w:tc>
        <w:tc>
          <w:tcPr>
            <w:tcW w:w="880" w:type="dxa"/>
            <w:tcBorders>
              <w:top w:val="nil"/>
              <w:left w:val="nil"/>
              <w:bottom w:val="single" w:sz="8" w:space="0" w:color="auto"/>
              <w:right w:val="single" w:sz="8" w:space="0" w:color="auto"/>
            </w:tcBorders>
            <w:shd w:val="clear" w:color="auto" w:fill="auto"/>
            <w:noWrap/>
            <w:vAlign w:val="center"/>
            <w:hideMark/>
          </w:tcPr>
          <w:p w14:paraId="36E31FCD"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862</w:t>
            </w:r>
          </w:p>
        </w:tc>
        <w:tc>
          <w:tcPr>
            <w:tcW w:w="880" w:type="dxa"/>
            <w:tcBorders>
              <w:top w:val="nil"/>
              <w:left w:val="nil"/>
              <w:bottom w:val="single" w:sz="8" w:space="0" w:color="auto"/>
              <w:right w:val="single" w:sz="8" w:space="0" w:color="auto"/>
            </w:tcBorders>
            <w:shd w:val="clear" w:color="auto" w:fill="auto"/>
            <w:noWrap/>
            <w:vAlign w:val="center"/>
            <w:hideMark/>
          </w:tcPr>
          <w:p w14:paraId="4247D10B"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96</w:t>
            </w:r>
          </w:p>
        </w:tc>
        <w:tc>
          <w:tcPr>
            <w:tcW w:w="880" w:type="dxa"/>
            <w:tcBorders>
              <w:top w:val="nil"/>
              <w:left w:val="nil"/>
              <w:bottom w:val="single" w:sz="8" w:space="0" w:color="auto"/>
              <w:right w:val="single" w:sz="8" w:space="0" w:color="auto"/>
            </w:tcBorders>
            <w:shd w:val="clear" w:color="auto" w:fill="auto"/>
            <w:noWrap/>
            <w:vAlign w:val="center"/>
            <w:hideMark/>
          </w:tcPr>
          <w:p w14:paraId="582B6E1C"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16</w:t>
            </w:r>
          </w:p>
        </w:tc>
        <w:tc>
          <w:tcPr>
            <w:tcW w:w="880" w:type="dxa"/>
            <w:tcBorders>
              <w:top w:val="nil"/>
              <w:left w:val="nil"/>
              <w:bottom w:val="single" w:sz="8" w:space="0" w:color="auto"/>
              <w:right w:val="single" w:sz="8" w:space="0" w:color="auto"/>
            </w:tcBorders>
            <w:shd w:val="clear" w:color="auto" w:fill="auto"/>
            <w:noWrap/>
            <w:vAlign w:val="center"/>
            <w:hideMark/>
          </w:tcPr>
          <w:p w14:paraId="152BFD38"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1525</w:t>
            </w:r>
          </w:p>
        </w:tc>
        <w:tc>
          <w:tcPr>
            <w:tcW w:w="880" w:type="dxa"/>
            <w:tcBorders>
              <w:top w:val="nil"/>
              <w:left w:val="nil"/>
              <w:bottom w:val="single" w:sz="8" w:space="0" w:color="auto"/>
              <w:right w:val="single" w:sz="8" w:space="0" w:color="auto"/>
            </w:tcBorders>
            <w:shd w:val="clear" w:color="000000" w:fill="FFFFFF"/>
            <w:noWrap/>
            <w:vAlign w:val="center"/>
            <w:hideMark/>
          </w:tcPr>
          <w:p w14:paraId="539E070A"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2499</w:t>
            </w:r>
          </w:p>
        </w:tc>
        <w:tc>
          <w:tcPr>
            <w:tcW w:w="1260" w:type="dxa"/>
            <w:tcBorders>
              <w:top w:val="nil"/>
              <w:left w:val="nil"/>
              <w:bottom w:val="single" w:sz="8" w:space="0" w:color="auto"/>
              <w:right w:val="single" w:sz="8" w:space="0" w:color="auto"/>
            </w:tcBorders>
            <w:shd w:val="clear" w:color="000000" w:fill="FFFFFF"/>
            <w:noWrap/>
            <w:vAlign w:val="center"/>
            <w:hideMark/>
          </w:tcPr>
          <w:p w14:paraId="7080DF39"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61%</w:t>
            </w:r>
          </w:p>
        </w:tc>
      </w:tr>
      <w:tr w:rsidR="009D0B4A" w:rsidRPr="009D0B4A" w14:paraId="045B585F" w14:textId="77777777" w:rsidTr="009D0B4A">
        <w:trPr>
          <w:trHeight w:val="60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7FBB5087"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Juzgado Violencia Doméstica II Circ. Jud. San José</w:t>
            </w:r>
          </w:p>
        </w:tc>
        <w:tc>
          <w:tcPr>
            <w:tcW w:w="880" w:type="dxa"/>
            <w:tcBorders>
              <w:top w:val="nil"/>
              <w:left w:val="nil"/>
              <w:bottom w:val="single" w:sz="8" w:space="0" w:color="auto"/>
              <w:right w:val="single" w:sz="8" w:space="0" w:color="auto"/>
            </w:tcBorders>
            <w:shd w:val="clear" w:color="auto" w:fill="auto"/>
            <w:noWrap/>
            <w:vAlign w:val="center"/>
            <w:hideMark/>
          </w:tcPr>
          <w:p w14:paraId="500D4BC5"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2151</w:t>
            </w:r>
          </w:p>
        </w:tc>
        <w:tc>
          <w:tcPr>
            <w:tcW w:w="880" w:type="dxa"/>
            <w:tcBorders>
              <w:top w:val="nil"/>
              <w:left w:val="nil"/>
              <w:bottom w:val="single" w:sz="8" w:space="0" w:color="auto"/>
              <w:right w:val="single" w:sz="8" w:space="0" w:color="auto"/>
            </w:tcBorders>
            <w:shd w:val="clear" w:color="auto" w:fill="auto"/>
            <w:noWrap/>
            <w:vAlign w:val="center"/>
            <w:hideMark/>
          </w:tcPr>
          <w:p w14:paraId="2920A0CE"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103</w:t>
            </w:r>
          </w:p>
        </w:tc>
        <w:tc>
          <w:tcPr>
            <w:tcW w:w="880" w:type="dxa"/>
            <w:tcBorders>
              <w:top w:val="nil"/>
              <w:left w:val="nil"/>
              <w:bottom w:val="single" w:sz="8" w:space="0" w:color="auto"/>
              <w:right w:val="single" w:sz="8" w:space="0" w:color="auto"/>
            </w:tcBorders>
            <w:shd w:val="clear" w:color="auto" w:fill="auto"/>
            <w:noWrap/>
            <w:vAlign w:val="center"/>
            <w:hideMark/>
          </w:tcPr>
          <w:p w14:paraId="63C5C950"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818</w:t>
            </w:r>
          </w:p>
        </w:tc>
        <w:tc>
          <w:tcPr>
            <w:tcW w:w="880" w:type="dxa"/>
            <w:tcBorders>
              <w:top w:val="nil"/>
              <w:left w:val="nil"/>
              <w:bottom w:val="single" w:sz="8" w:space="0" w:color="auto"/>
              <w:right w:val="single" w:sz="8" w:space="0" w:color="auto"/>
            </w:tcBorders>
            <w:shd w:val="clear" w:color="auto" w:fill="auto"/>
            <w:noWrap/>
            <w:vAlign w:val="center"/>
            <w:hideMark/>
          </w:tcPr>
          <w:p w14:paraId="35C8F108"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881</w:t>
            </w:r>
          </w:p>
        </w:tc>
        <w:tc>
          <w:tcPr>
            <w:tcW w:w="880" w:type="dxa"/>
            <w:tcBorders>
              <w:top w:val="nil"/>
              <w:left w:val="nil"/>
              <w:bottom w:val="single" w:sz="8" w:space="0" w:color="auto"/>
              <w:right w:val="single" w:sz="8" w:space="0" w:color="auto"/>
            </w:tcBorders>
            <w:shd w:val="clear" w:color="000000" w:fill="FFFFFF"/>
            <w:noWrap/>
            <w:vAlign w:val="center"/>
            <w:hideMark/>
          </w:tcPr>
          <w:p w14:paraId="78D39A1E"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3953</w:t>
            </w:r>
          </w:p>
        </w:tc>
        <w:tc>
          <w:tcPr>
            <w:tcW w:w="1260" w:type="dxa"/>
            <w:tcBorders>
              <w:top w:val="nil"/>
              <w:left w:val="nil"/>
              <w:bottom w:val="single" w:sz="8" w:space="0" w:color="auto"/>
              <w:right w:val="single" w:sz="8" w:space="0" w:color="auto"/>
            </w:tcBorders>
            <w:shd w:val="clear" w:color="000000" w:fill="FFFFFF"/>
            <w:noWrap/>
            <w:vAlign w:val="center"/>
            <w:hideMark/>
          </w:tcPr>
          <w:p w14:paraId="68CC6569"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22%</w:t>
            </w:r>
          </w:p>
        </w:tc>
      </w:tr>
      <w:tr w:rsidR="009D0B4A" w:rsidRPr="009D0B4A" w14:paraId="75234A01" w14:textId="77777777" w:rsidTr="009D0B4A">
        <w:trPr>
          <w:trHeight w:val="780"/>
          <w:jc w:val="center"/>
        </w:trPr>
        <w:tc>
          <w:tcPr>
            <w:tcW w:w="2900" w:type="dxa"/>
            <w:tcBorders>
              <w:top w:val="nil"/>
              <w:left w:val="single" w:sz="8" w:space="0" w:color="auto"/>
              <w:bottom w:val="single" w:sz="8" w:space="0" w:color="auto"/>
              <w:right w:val="single" w:sz="8" w:space="0" w:color="auto"/>
            </w:tcBorders>
            <w:shd w:val="clear" w:color="auto" w:fill="auto"/>
            <w:vAlign w:val="center"/>
            <w:hideMark/>
          </w:tcPr>
          <w:p w14:paraId="3F59E537" w14:textId="77777777" w:rsidR="009D0B4A" w:rsidRPr="009D0B4A" w:rsidRDefault="009D0B4A" w:rsidP="009D0B4A">
            <w:pPr>
              <w:spacing w:after="0" w:line="240" w:lineRule="auto"/>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 xml:space="preserve">Juzgado Violencia Doméstica II Circ. Jud. de la Zona Atlántica </w:t>
            </w:r>
          </w:p>
        </w:tc>
        <w:tc>
          <w:tcPr>
            <w:tcW w:w="880" w:type="dxa"/>
            <w:tcBorders>
              <w:top w:val="nil"/>
              <w:left w:val="nil"/>
              <w:bottom w:val="single" w:sz="8" w:space="0" w:color="auto"/>
              <w:right w:val="single" w:sz="8" w:space="0" w:color="auto"/>
            </w:tcBorders>
            <w:shd w:val="clear" w:color="auto" w:fill="auto"/>
            <w:noWrap/>
            <w:vAlign w:val="center"/>
            <w:hideMark/>
          </w:tcPr>
          <w:p w14:paraId="76BB4B5D"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218</w:t>
            </w:r>
          </w:p>
        </w:tc>
        <w:tc>
          <w:tcPr>
            <w:tcW w:w="880" w:type="dxa"/>
            <w:tcBorders>
              <w:top w:val="nil"/>
              <w:left w:val="nil"/>
              <w:bottom w:val="single" w:sz="8" w:space="0" w:color="auto"/>
              <w:right w:val="single" w:sz="8" w:space="0" w:color="auto"/>
            </w:tcBorders>
            <w:shd w:val="clear" w:color="auto" w:fill="auto"/>
            <w:noWrap/>
            <w:vAlign w:val="center"/>
            <w:hideMark/>
          </w:tcPr>
          <w:p w14:paraId="0A472D91"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43</w:t>
            </w:r>
          </w:p>
        </w:tc>
        <w:tc>
          <w:tcPr>
            <w:tcW w:w="880" w:type="dxa"/>
            <w:tcBorders>
              <w:top w:val="nil"/>
              <w:left w:val="nil"/>
              <w:bottom w:val="single" w:sz="8" w:space="0" w:color="auto"/>
              <w:right w:val="single" w:sz="8" w:space="0" w:color="auto"/>
            </w:tcBorders>
            <w:shd w:val="clear" w:color="auto" w:fill="auto"/>
            <w:noWrap/>
            <w:vAlign w:val="center"/>
            <w:hideMark/>
          </w:tcPr>
          <w:p w14:paraId="67ABD409"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8</w:t>
            </w:r>
          </w:p>
        </w:tc>
        <w:tc>
          <w:tcPr>
            <w:tcW w:w="880" w:type="dxa"/>
            <w:tcBorders>
              <w:top w:val="nil"/>
              <w:left w:val="nil"/>
              <w:bottom w:val="single" w:sz="8" w:space="0" w:color="auto"/>
              <w:right w:val="single" w:sz="8" w:space="0" w:color="auto"/>
            </w:tcBorders>
            <w:shd w:val="clear" w:color="auto" w:fill="auto"/>
            <w:noWrap/>
            <w:vAlign w:val="center"/>
            <w:hideMark/>
          </w:tcPr>
          <w:p w14:paraId="45F25E99" w14:textId="77777777" w:rsidR="009D0B4A" w:rsidRPr="009D0B4A" w:rsidRDefault="009D0B4A" w:rsidP="009D0B4A">
            <w:pPr>
              <w:spacing w:after="0" w:line="240" w:lineRule="auto"/>
              <w:jc w:val="center"/>
              <w:rPr>
                <w:rFonts w:ascii="Book Antiqua" w:eastAsia="Times New Roman" w:hAnsi="Book Antiqua" w:cs="Calibri"/>
                <w:color w:val="000000"/>
                <w:sz w:val="20"/>
                <w:szCs w:val="20"/>
                <w:lang w:eastAsia="es-CR"/>
              </w:rPr>
            </w:pPr>
            <w:r w:rsidRPr="009D0B4A">
              <w:rPr>
                <w:rFonts w:ascii="Book Antiqua" w:eastAsia="Times New Roman" w:hAnsi="Book Antiqua" w:cs="Calibri"/>
                <w:color w:val="000000"/>
                <w:sz w:val="20"/>
                <w:szCs w:val="20"/>
                <w:lang w:eastAsia="es-CR"/>
              </w:rPr>
              <w:t>565</w:t>
            </w:r>
          </w:p>
        </w:tc>
        <w:tc>
          <w:tcPr>
            <w:tcW w:w="880" w:type="dxa"/>
            <w:tcBorders>
              <w:top w:val="nil"/>
              <w:left w:val="nil"/>
              <w:bottom w:val="single" w:sz="8" w:space="0" w:color="auto"/>
              <w:right w:val="single" w:sz="8" w:space="0" w:color="auto"/>
            </w:tcBorders>
            <w:shd w:val="clear" w:color="000000" w:fill="FFFFFF"/>
            <w:noWrap/>
            <w:vAlign w:val="center"/>
            <w:hideMark/>
          </w:tcPr>
          <w:p w14:paraId="7E23DAAF"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834</w:t>
            </w:r>
          </w:p>
        </w:tc>
        <w:tc>
          <w:tcPr>
            <w:tcW w:w="1260" w:type="dxa"/>
            <w:tcBorders>
              <w:top w:val="nil"/>
              <w:left w:val="nil"/>
              <w:bottom w:val="single" w:sz="8" w:space="0" w:color="auto"/>
              <w:right w:val="single" w:sz="8" w:space="0" w:color="auto"/>
            </w:tcBorders>
            <w:shd w:val="clear" w:color="000000" w:fill="FFFFFF"/>
            <w:noWrap/>
            <w:vAlign w:val="center"/>
            <w:hideMark/>
          </w:tcPr>
          <w:p w14:paraId="40897A3D" w14:textId="77777777" w:rsidR="009D0B4A" w:rsidRPr="009D0B4A" w:rsidRDefault="009D0B4A" w:rsidP="009D0B4A">
            <w:pPr>
              <w:spacing w:after="0" w:line="240" w:lineRule="auto"/>
              <w:jc w:val="center"/>
              <w:rPr>
                <w:rFonts w:ascii="Book Antiqua" w:eastAsia="Times New Roman" w:hAnsi="Book Antiqua" w:cs="Calibri"/>
                <w:color w:val="333333"/>
                <w:sz w:val="20"/>
                <w:szCs w:val="20"/>
                <w:lang w:eastAsia="es-CR"/>
              </w:rPr>
            </w:pPr>
            <w:r w:rsidRPr="009D0B4A">
              <w:rPr>
                <w:rFonts w:ascii="Book Antiqua" w:eastAsia="Times New Roman" w:hAnsi="Book Antiqua" w:cs="Calibri"/>
                <w:color w:val="333333"/>
                <w:sz w:val="20"/>
                <w:szCs w:val="20"/>
                <w:lang w:eastAsia="es-CR"/>
              </w:rPr>
              <w:t>68%</w:t>
            </w:r>
          </w:p>
        </w:tc>
      </w:tr>
      <w:tr w:rsidR="009D0B4A" w:rsidRPr="009D0B4A" w14:paraId="0DE1C50F" w14:textId="77777777" w:rsidTr="009D0B4A">
        <w:trPr>
          <w:trHeight w:val="300"/>
          <w:jc w:val="center"/>
        </w:trPr>
        <w:tc>
          <w:tcPr>
            <w:tcW w:w="2900" w:type="dxa"/>
            <w:tcBorders>
              <w:top w:val="nil"/>
              <w:left w:val="single" w:sz="8" w:space="0" w:color="auto"/>
              <w:bottom w:val="single" w:sz="8" w:space="0" w:color="auto"/>
              <w:right w:val="single" w:sz="8" w:space="0" w:color="auto"/>
            </w:tcBorders>
            <w:shd w:val="clear" w:color="000000" w:fill="808080"/>
            <w:noWrap/>
            <w:vAlign w:val="center"/>
            <w:hideMark/>
          </w:tcPr>
          <w:p w14:paraId="65DAEC04" w14:textId="77777777" w:rsidR="009D0B4A" w:rsidRPr="009D0B4A" w:rsidRDefault="009D0B4A" w:rsidP="009D0B4A">
            <w:pPr>
              <w:spacing w:after="0" w:line="240" w:lineRule="auto"/>
              <w:jc w:val="right"/>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Total</w:t>
            </w:r>
          </w:p>
        </w:tc>
        <w:tc>
          <w:tcPr>
            <w:tcW w:w="880" w:type="dxa"/>
            <w:tcBorders>
              <w:top w:val="nil"/>
              <w:left w:val="nil"/>
              <w:bottom w:val="single" w:sz="8" w:space="0" w:color="auto"/>
              <w:right w:val="single" w:sz="8" w:space="0" w:color="auto"/>
            </w:tcBorders>
            <w:shd w:val="clear" w:color="000000" w:fill="808080"/>
            <w:noWrap/>
            <w:vAlign w:val="center"/>
            <w:hideMark/>
          </w:tcPr>
          <w:p w14:paraId="1A9D45C6"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6682</w:t>
            </w:r>
          </w:p>
        </w:tc>
        <w:tc>
          <w:tcPr>
            <w:tcW w:w="880" w:type="dxa"/>
            <w:tcBorders>
              <w:top w:val="nil"/>
              <w:left w:val="nil"/>
              <w:bottom w:val="single" w:sz="8" w:space="0" w:color="auto"/>
              <w:right w:val="single" w:sz="8" w:space="0" w:color="auto"/>
            </w:tcBorders>
            <w:shd w:val="clear" w:color="000000" w:fill="808080"/>
            <w:noWrap/>
            <w:vAlign w:val="center"/>
            <w:hideMark/>
          </w:tcPr>
          <w:p w14:paraId="1E8A7B1F"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693</w:t>
            </w:r>
          </w:p>
        </w:tc>
        <w:tc>
          <w:tcPr>
            <w:tcW w:w="880" w:type="dxa"/>
            <w:tcBorders>
              <w:top w:val="nil"/>
              <w:left w:val="nil"/>
              <w:bottom w:val="single" w:sz="8" w:space="0" w:color="auto"/>
              <w:right w:val="single" w:sz="8" w:space="0" w:color="auto"/>
            </w:tcBorders>
            <w:shd w:val="clear" w:color="000000" w:fill="808080"/>
            <w:noWrap/>
            <w:vAlign w:val="center"/>
            <w:hideMark/>
          </w:tcPr>
          <w:p w14:paraId="41A224F6"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1597</w:t>
            </w:r>
          </w:p>
        </w:tc>
        <w:tc>
          <w:tcPr>
            <w:tcW w:w="880" w:type="dxa"/>
            <w:tcBorders>
              <w:top w:val="nil"/>
              <w:left w:val="nil"/>
              <w:bottom w:val="single" w:sz="8" w:space="0" w:color="auto"/>
              <w:right w:val="single" w:sz="8" w:space="0" w:color="auto"/>
            </w:tcBorders>
            <w:shd w:val="clear" w:color="000000" w:fill="808080"/>
            <w:noWrap/>
            <w:vAlign w:val="center"/>
            <w:hideMark/>
          </w:tcPr>
          <w:p w14:paraId="0470BCE6"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9753</w:t>
            </w:r>
          </w:p>
        </w:tc>
        <w:tc>
          <w:tcPr>
            <w:tcW w:w="880" w:type="dxa"/>
            <w:tcBorders>
              <w:top w:val="nil"/>
              <w:left w:val="nil"/>
              <w:bottom w:val="single" w:sz="8" w:space="0" w:color="auto"/>
              <w:right w:val="single" w:sz="8" w:space="0" w:color="auto"/>
            </w:tcBorders>
            <w:shd w:val="clear" w:color="000000" w:fill="808080"/>
            <w:noWrap/>
            <w:vAlign w:val="center"/>
            <w:hideMark/>
          </w:tcPr>
          <w:p w14:paraId="740B7AA0"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18725</w:t>
            </w:r>
          </w:p>
        </w:tc>
        <w:tc>
          <w:tcPr>
            <w:tcW w:w="1260" w:type="dxa"/>
            <w:tcBorders>
              <w:top w:val="nil"/>
              <w:left w:val="nil"/>
              <w:bottom w:val="single" w:sz="8" w:space="0" w:color="auto"/>
              <w:right w:val="single" w:sz="8" w:space="0" w:color="auto"/>
            </w:tcBorders>
            <w:shd w:val="clear" w:color="000000" w:fill="808080"/>
            <w:noWrap/>
            <w:vAlign w:val="bottom"/>
            <w:hideMark/>
          </w:tcPr>
          <w:p w14:paraId="776C395E" w14:textId="77777777" w:rsidR="009D0B4A" w:rsidRPr="009D0B4A" w:rsidRDefault="009D0B4A" w:rsidP="009D0B4A">
            <w:pPr>
              <w:spacing w:after="0" w:line="240" w:lineRule="auto"/>
              <w:rPr>
                <w:rFonts w:ascii="Calibri" w:eastAsia="Times New Roman" w:hAnsi="Calibri" w:cs="Calibri"/>
                <w:color w:val="000000"/>
                <w:sz w:val="20"/>
                <w:szCs w:val="20"/>
                <w:lang w:eastAsia="es-CR"/>
              </w:rPr>
            </w:pPr>
            <w:r w:rsidRPr="009D0B4A">
              <w:rPr>
                <w:rFonts w:ascii="Calibri" w:eastAsia="Times New Roman" w:hAnsi="Calibri" w:cs="Calibri"/>
                <w:color w:val="000000"/>
                <w:sz w:val="20"/>
                <w:szCs w:val="20"/>
                <w:lang w:eastAsia="es-CR"/>
              </w:rPr>
              <w:t> </w:t>
            </w:r>
          </w:p>
        </w:tc>
      </w:tr>
      <w:tr w:rsidR="009D0B4A" w:rsidRPr="009D0B4A" w14:paraId="117DDDEF" w14:textId="77777777" w:rsidTr="009D0B4A">
        <w:trPr>
          <w:trHeight w:val="300"/>
          <w:jc w:val="center"/>
        </w:trPr>
        <w:tc>
          <w:tcPr>
            <w:tcW w:w="2900" w:type="dxa"/>
            <w:tcBorders>
              <w:top w:val="nil"/>
              <w:left w:val="single" w:sz="8" w:space="0" w:color="auto"/>
              <w:bottom w:val="single" w:sz="8" w:space="0" w:color="auto"/>
              <w:right w:val="single" w:sz="8" w:space="0" w:color="auto"/>
            </w:tcBorders>
            <w:shd w:val="clear" w:color="000000" w:fill="808080"/>
            <w:noWrap/>
            <w:vAlign w:val="center"/>
            <w:hideMark/>
          </w:tcPr>
          <w:p w14:paraId="2951984F" w14:textId="77777777" w:rsidR="009D0B4A" w:rsidRPr="009D0B4A" w:rsidRDefault="009D0B4A" w:rsidP="009D0B4A">
            <w:pPr>
              <w:spacing w:after="0" w:line="240" w:lineRule="auto"/>
              <w:jc w:val="right"/>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Promedio</w:t>
            </w:r>
          </w:p>
        </w:tc>
        <w:tc>
          <w:tcPr>
            <w:tcW w:w="880" w:type="dxa"/>
            <w:tcBorders>
              <w:top w:val="nil"/>
              <w:left w:val="nil"/>
              <w:bottom w:val="single" w:sz="8" w:space="0" w:color="auto"/>
              <w:right w:val="single" w:sz="8" w:space="0" w:color="auto"/>
            </w:tcBorders>
            <w:shd w:val="clear" w:color="000000" w:fill="808080"/>
            <w:noWrap/>
            <w:vAlign w:val="center"/>
            <w:hideMark/>
          </w:tcPr>
          <w:p w14:paraId="3A4CC998"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 </w:t>
            </w:r>
          </w:p>
        </w:tc>
        <w:tc>
          <w:tcPr>
            <w:tcW w:w="880" w:type="dxa"/>
            <w:tcBorders>
              <w:top w:val="nil"/>
              <w:left w:val="nil"/>
              <w:bottom w:val="single" w:sz="8" w:space="0" w:color="auto"/>
              <w:right w:val="single" w:sz="8" w:space="0" w:color="auto"/>
            </w:tcBorders>
            <w:shd w:val="clear" w:color="000000" w:fill="808080"/>
            <w:noWrap/>
            <w:vAlign w:val="center"/>
            <w:hideMark/>
          </w:tcPr>
          <w:p w14:paraId="2EDE9D38"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 </w:t>
            </w:r>
          </w:p>
        </w:tc>
        <w:tc>
          <w:tcPr>
            <w:tcW w:w="880" w:type="dxa"/>
            <w:tcBorders>
              <w:top w:val="nil"/>
              <w:left w:val="nil"/>
              <w:bottom w:val="single" w:sz="8" w:space="0" w:color="auto"/>
              <w:right w:val="single" w:sz="8" w:space="0" w:color="auto"/>
            </w:tcBorders>
            <w:shd w:val="clear" w:color="000000" w:fill="808080"/>
            <w:noWrap/>
            <w:vAlign w:val="center"/>
            <w:hideMark/>
          </w:tcPr>
          <w:p w14:paraId="2D422E62"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 </w:t>
            </w:r>
          </w:p>
        </w:tc>
        <w:tc>
          <w:tcPr>
            <w:tcW w:w="880" w:type="dxa"/>
            <w:tcBorders>
              <w:top w:val="nil"/>
              <w:left w:val="nil"/>
              <w:bottom w:val="single" w:sz="8" w:space="0" w:color="auto"/>
              <w:right w:val="single" w:sz="8" w:space="0" w:color="auto"/>
            </w:tcBorders>
            <w:shd w:val="clear" w:color="000000" w:fill="808080"/>
            <w:noWrap/>
            <w:vAlign w:val="center"/>
            <w:hideMark/>
          </w:tcPr>
          <w:p w14:paraId="5EFA328D"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 </w:t>
            </w:r>
          </w:p>
        </w:tc>
        <w:tc>
          <w:tcPr>
            <w:tcW w:w="880" w:type="dxa"/>
            <w:tcBorders>
              <w:top w:val="nil"/>
              <w:left w:val="nil"/>
              <w:bottom w:val="single" w:sz="8" w:space="0" w:color="auto"/>
              <w:right w:val="single" w:sz="8" w:space="0" w:color="auto"/>
            </w:tcBorders>
            <w:shd w:val="clear" w:color="000000" w:fill="808080"/>
            <w:noWrap/>
            <w:vAlign w:val="center"/>
            <w:hideMark/>
          </w:tcPr>
          <w:p w14:paraId="3F7239F8"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 </w:t>
            </w:r>
          </w:p>
        </w:tc>
        <w:tc>
          <w:tcPr>
            <w:tcW w:w="1260" w:type="dxa"/>
            <w:tcBorders>
              <w:top w:val="nil"/>
              <w:left w:val="nil"/>
              <w:bottom w:val="single" w:sz="8" w:space="0" w:color="auto"/>
              <w:right w:val="single" w:sz="8" w:space="0" w:color="auto"/>
            </w:tcBorders>
            <w:shd w:val="clear" w:color="000000" w:fill="808080"/>
            <w:noWrap/>
            <w:vAlign w:val="center"/>
            <w:hideMark/>
          </w:tcPr>
          <w:p w14:paraId="1C26A468" w14:textId="77777777" w:rsidR="009D0B4A" w:rsidRPr="009D0B4A" w:rsidRDefault="009D0B4A" w:rsidP="009D0B4A">
            <w:pPr>
              <w:spacing w:after="0" w:line="240" w:lineRule="auto"/>
              <w:jc w:val="center"/>
              <w:rPr>
                <w:rFonts w:ascii="Book Antiqua" w:eastAsia="Times New Roman" w:hAnsi="Book Antiqua" w:cs="Calibri"/>
                <w:b/>
                <w:bCs/>
                <w:color w:val="FFFFFF"/>
                <w:sz w:val="20"/>
                <w:szCs w:val="20"/>
                <w:lang w:eastAsia="es-CR"/>
              </w:rPr>
            </w:pPr>
            <w:r w:rsidRPr="009D0B4A">
              <w:rPr>
                <w:rFonts w:ascii="Book Antiqua" w:eastAsia="Times New Roman" w:hAnsi="Book Antiqua" w:cs="Calibri"/>
                <w:b/>
                <w:bCs/>
                <w:color w:val="FFFFFF"/>
                <w:sz w:val="20"/>
                <w:szCs w:val="20"/>
                <w:lang w:eastAsia="es-CR"/>
              </w:rPr>
              <w:t>59%</w:t>
            </w:r>
          </w:p>
        </w:tc>
      </w:tr>
    </w:tbl>
    <w:p w14:paraId="22882C01" w14:textId="56A50F8E" w:rsidR="00F75CD7" w:rsidRPr="008406A1" w:rsidRDefault="008406A1" w:rsidP="00A65874">
      <w:pPr>
        <w:rPr>
          <w:rFonts w:ascii="Book Antiqua" w:hAnsi="Book Antiqua"/>
          <w:i/>
          <w:iCs/>
          <w:lang w:val="es-ES"/>
        </w:rPr>
      </w:pPr>
      <w:r w:rsidRPr="006906D4">
        <w:rPr>
          <w:rFonts w:ascii="Book Antiqua" w:hAnsi="Book Antiqua"/>
          <w:b/>
          <w:bCs/>
          <w:i/>
          <w:iCs/>
          <w:lang w:val="es-ES"/>
        </w:rPr>
        <w:t>Fuente:</w:t>
      </w:r>
      <w:r w:rsidRPr="008406A1">
        <w:rPr>
          <w:rFonts w:ascii="Book Antiqua" w:hAnsi="Book Antiqua"/>
          <w:i/>
          <w:iCs/>
          <w:lang w:val="es-ES"/>
        </w:rPr>
        <w:t xml:space="preserve"> Subproceso de Modernización Institucional, con base a la información del SIGMA, reporte circulante final </w:t>
      </w:r>
      <w:r>
        <w:rPr>
          <w:rFonts w:ascii="Book Antiqua" w:hAnsi="Book Antiqua"/>
          <w:i/>
          <w:iCs/>
          <w:lang w:val="es-ES"/>
        </w:rPr>
        <w:t>diciembre</w:t>
      </w:r>
      <w:r w:rsidRPr="008406A1">
        <w:rPr>
          <w:rFonts w:ascii="Book Antiqua" w:hAnsi="Book Antiqua"/>
          <w:i/>
          <w:iCs/>
          <w:lang w:val="es-ES"/>
        </w:rPr>
        <w:t xml:space="preserve"> 202</w:t>
      </w:r>
      <w:r w:rsidR="00F84C08">
        <w:rPr>
          <w:rFonts w:ascii="Book Antiqua" w:hAnsi="Book Antiqua"/>
          <w:i/>
          <w:iCs/>
          <w:lang w:val="es-ES"/>
        </w:rPr>
        <w:t>2</w:t>
      </w:r>
      <w:r w:rsidRPr="008406A1">
        <w:rPr>
          <w:rFonts w:ascii="Book Antiqua" w:hAnsi="Book Antiqua"/>
          <w:i/>
          <w:iCs/>
          <w:lang w:val="es-ES"/>
        </w:rPr>
        <w:t>.</w:t>
      </w:r>
    </w:p>
    <w:p w14:paraId="4286869D" w14:textId="19E176C8"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La información anterior permite inferir que los Despachos tiene</w:t>
      </w:r>
      <w:r w:rsidR="00667F89">
        <w:rPr>
          <w:rFonts w:ascii="Book Antiqua" w:eastAsia="Calibri" w:hAnsi="Book Antiqua" w:cs="Arial"/>
          <w:sz w:val="24"/>
          <w:szCs w:val="24"/>
        </w:rPr>
        <w:t>n</w:t>
      </w:r>
      <w:r w:rsidRPr="00B80439">
        <w:rPr>
          <w:rFonts w:ascii="Book Antiqua" w:eastAsia="Calibri" w:hAnsi="Book Antiqua" w:cs="Arial"/>
          <w:sz w:val="24"/>
          <w:szCs w:val="24"/>
        </w:rPr>
        <w:t xml:space="preserve"> actualizadas las fases de los procesos que se encuentran en el circulante, </w:t>
      </w:r>
      <w:r w:rsidRPr="00F00003">
        <w:rPr>
          <w:rFonts w:ascii="Book Antiqua" w:eastAsia="Calibri" w:hAnsi="Book Antiqua" w:cs="Arial"/>
          <w:sz w:val="24"/>
          <w:szCs w:val="24"/>
        </w:rPr>
        <w:t xml:space="preserve">sólo </w:t>
      </w:r>
      <w:r w:rsidR="00667F89">
        <w:rPr>
          <w:rFonts w:ascii="Book Antiqua" w:eastAsia="Calibri" w:hAnsi="Book Antiqua" w:cs="Arial"/>
          <w:sz w:val="24"/>
          <w:szCs w:val="24"/>
        </w:rPr>
        <w:t>1</w:t>
      </w:r>
      <w:r w:rsidRPr="00F00003">
        <w:rPr>
          <w:rFonts w:ascii="Book Antiqua" w:eastAsia="Calibri" w:hAnsi="Book Antiqua" w:cs="Arial"/>
          <w:sz w:val="24"/>
          <w:szCs w:val="24"/>
        </w:rPr>
        <w:t xml:space="preserve"> de los juzgados presenta</w:t>
      </w:r>
      <w:r w:rsidR="00667F89">
        <w:rPr>
          <w:rFonts w:ascii="Book Antiqua" w:eastAsia="Calibri" w:hAnsi="Book Antiqua" w:cs="Arial"/>
          <w:sz w:val="24"/>
          <w:szCs w:val="24"/>
        </w:rPr>
        <w:t xml:space="preserve"> </w:t>
      </w:r>
      <w:r w:rsidRPr="00F00003">
        <w:rPr>
          <w:rFonts w:ascii="Book Antiqua" w:eastAsia="Calibri" w:hAnsi="Book Antiqua" w:cs="Arial"/>
          <w:sz w:val="24"/>
          <w:szCs w:val="24"/>
        </w:rPr>
        <w:t>m</w:t>
      </w:r>
      <w:r w:rsidR="00667F89">
        <w:rPr>
          <w:rFonts w:ascii="Book Antiqua" w:eastAsia="Calibri" w:hAnsi="Book Antiqua" w:cs="Arial"/>
          <w:sz w:val="24"/>
          <w:szCs w:val="24"/>
        </w:rPr>
        <w:t>enos</w:t>
      </w:r>
      <w:r w:rsidRPr="00F00003">
        <w:rPr>
          <w:rFonts w:ascii="Book Antiqua" w:eastAsia="Calibri" w:hAnsi="Book Antiqua" w:cs="Arial"/>
          <w:sz w:val="24"/>
          <w:szCs w:val="24"/>
        </w:rPr>
        <w:t xml:space="preserve"> del 50% del circulante en etapa de seguimiento</w:t>
      </w:r>
      <w:r w:rsidRPr="00B80439">
        <w:rPr>
          <w:rFonts w:ascii="Book Antiqua" w:eastAsia="Calibri" w:hAnsi="Book Antiqua" w:cs="Arial"/>
          <w:sz w:val="24"/>
          <w:szCs w:val="24"/>
        </w:rPr>
        <w:t xml:space="preserve"> </w:t>
      </w:r>
      <w:r w:rsidR="00667F89">
        <w:rPr>
          <w:rFonts w:ascii="Book Antiqua" w:eastAsia="Calibri" w:hAnsi="Book Antiqua" w:cs="Arial"/>
          <w:sz w:val="24"/>
          <w:szCs w:val="24"/>
        </w:rPr>
        <w:t xml:space="preserve">el </w:t>
      </w:r>
      <w:r w:rsidR="00667F89" w:rsidRPr="00667F89">
        <w:rPr>
          <w:rFonts w:ascii="Book Antiqua" w:eastAsia="Calibri" w:hAnsi="Book Antiqua" w:cs="Arial"/>
          <w:sz w:val="24"/>
          <w:szCs w:val="24"/>
        </w:rPr>
        <w:t xml:space="preserve">Juzgado </w:t>
      </w:r>
      <w:r w:rsidR="00667F89">
        <w:rPr>
          <w:rFonts w:ascii="Book Antiqua" w:eastAsia="Calibri" w:hAnsi="Book Antiqua" w:cs="Arial"/>
          <w:sz w:val="24"/>
          <w:szCs w:val="24"/>
        </w:rPr>
        <w:t xml:space="preserve">de </w:t>
      </w:r>
      <w:r w:rsidR="00667F89" w:rsidRPr="00667F89">
        <w:rPr>
          <w:rFonts w:ascii="Book Antiqua" w:eastAsia="Calibri" w:hAnsi="Book Antiqua" w:cs="Arial"/>
          <w:sz w:val="24"/>
          <w:szCs w:val="24"/>
        </w:rPr>
        <w:t xml:space="preserve">Violencia Doméstica </w:t>
      </w:r>
      <w:r w:rsidR="00667F89">
        <w:rPr>
          <w:rFonts w:ascii="Book Antiqua" w:eastAsia="Calibri" w:hAnsi="Book Antiqua" w:cs="Arial"/>
          <w:sz w:val="24"/>
          <w:szCs w:val="24"/>
        </w:rPr>
        <w:t xml:space="preserve">del Segundo </w:t>
      </w:r>
      <w:r w:rsidR="00667F89" w:rsidRPr="00667F89">
        <w:rPr>
          <w:rFonts w:ascii="Book Antiqua" w:eastAsia="Calibri" w:hAnsi="Book Antiqua" w:cs="Arial"/>
          <w:sz w:val="24"/>
          <w:szCs w:val="24"/>
        </w:rPr>
        <w:t>Circ</w:t>
      </w:r>
      <w:r w:rsidR="00667F89">
        <w:rPr>
          <w:rFonts w:ascii="Book Antiqua" w:eastAsia="Calibri" w:hAnsi="Book Antiqua" w:cs="Arial"/>
          <w:sz w:val="24"/>
          <w:szCs w:val="24"/>
        </w:rPr>
        <w:t xml:space="preserve">uito </w:t>
      </w:r>
      <w:r w:rsidR="00667F89" w:rsidRPr="00667F89">
        <w:rPr>
          <w:rFonts w:ascii="Book Antiqua" w:eastAsia="Calibri" w:hAnsi="Book Antiqua" w:cs="Arial"/>
          <w:sz w:val="24"/>
          <w:szCs w:val="24"/>
        </w:rPr>
        <w:t>Jud</w:t>
      </w:r>
      <w:r w:rsidR="00667F89">
        <w:rPr>
          <w:rFonts w:ascii="Book Antiqua" w:eastAsia="Calibri" w:hAnsi="Book Antiqua" w:cs="Arial"/>
          <w:sz w:val="24"/>
          <w:szCs w:val="24"/>
        </w:rPr>
        <w:t>icial de</w:t>
      </w:r>
      <w:r w:rsidR="00667F89" w:rsidRPr="00667F89">
        <w:rPr>
          <w:rFonts w:ascii="Book Antiqua" w:eastAsia="Calibri" w:hAnsi="Book Antiqua" w:cs="Arial"/>
          <w:sz w:val="24"/>
          <w:szCs w:val="24"/>
        </w:rPr>
        <w:t xml:space="preserve"> San José </w:t>
      </w:r>
      <w:r w:rsidR="00667F89">
        <w:rPr>
          <w:rFonts w:ascii="Book Antiqua" w:eastAsia="Calibri" w:hAnsi="Book Antiqua" w:cs="Arial"/>
          <w:sz w:val="24"/>
          <w:szCs w:val="24"/>
        </w:rPr>
        <w:t xml:space="preserve">con 881 casos en seguimiento y 2 151 </w:t>
      </w:r>
      <w:r w:rsidRPr="00B80439">
        <w:rPr>
          <w:rFonts w:ascii="Book Antiqua" w:eastAsia="Calibri" w:hAnsi="Book Antiqua" w:cs="Arial"/>
          <w:sz w:val="24"/>
          <w:szCs w:val="24"/>
        </w:rPr>
        <w:t>en la etapa de “</w:t>
      </w:r>
      <w:r w:rsidR="00667F89">
        <w:rPr>
          <w:rFonts w:ascii="Book Antiqua" w:eastAsia="Calibri" w:hAnsi="Book Antiqua" w:cs="Arial"/>
          <w:sz w:val="24"/>
          <w:szCs w:val="24"/>
        </w:rPr>
        <w:t>d</w:t>
      </w:r>
      <w:r w:rsidRPr="00B80439">
        <w:rPr>
          <w:rFonts w:ascii="Book Antiqua" w:eastAsia="Calibri" w:hAnsi="Book Antiqua" w:cs="Arial"/>
          <w:sz w:val="24"/>
          <w:szCs w:val="24"/>
        </w:rPr>
        <w:t xml:space="preserve">emanda”, lo que implicaría que para esa cantidad de expedientes aún no se recibe el acta de notificación del presunto agresor; para ejemplificar y presenta una </w:t>
      </w:r>
      <w:r w:rsidRPr="00E67193">
        <w:rPr>
          <w:rFonts w:ascii="Book Antiqua" w:eastAsia="Calibri" w:hAnsi="Book Antiqua" w:cs="Arial"/>
          <w:sz w:val="24"/>
          <w:szCs w:val="24"/>
        </w:rPr>
        <w:t xml:space="preserve">entrada promedio de </w:t>
      </w:r>
      <w:r w:rsidR="00762A79">
        <w:rPr>
          <w:rFonts w:ascii="Book Antiqua" w:eastAsia="Calibri" w:hAnsi="Book Antiqua" w:cs="Arial"/>
          <w:sz w:val="24"/>
          <w:szCs w:val="24"/>
        </w:rPr>
        <w:t>3</w:t>
      </w:r>
      <w:r w:rsidR="00E67193" w:rsidRPr="00E67193">
        <w:rPr>
          <w:rFonts w:ascii="Book Antiqua" w:eastAsia="Calibri" w:hAnsi="Book Antiqua" w:cs="Arial"/>
          <w:sz w:val="24"/>
          <w:szCs w:val="24"/>
        </w:rPr>
        <w:t>4</w:t>
      </w:r>
      <w:r w:rsidR="00762A79">
        <w:rPr>
          <w:rFonts w:ascii="Book Antiqua" w:eastAsia="Calibri" w:hAnsi="Book Antiqua" w:cs="Arial"/>
          <w:sz w:val="24"/>
          <w:szCs w:val="24"/>
        </w:rPr>
        <w:t>1</w:t>
      </w:r>
      <w:r w:rsidRPr="00E67193">
        <w:rPr>
          <w:rFonts w:ascii="Book Antiqua" w:eastAsia="Calibri" w:hAnsi="Book Antiqua" w:cs="Arial"/>
          <w:sz w:val="24"/>
          <w:szCs w:val="24"/>
        </w:rPr>
        <w:t xml:space="preserve"> casos al mes, lo que implicaría que al menos tiene la entrada de más de 5 meses en etapa de demanda, situación que no es coincidente con lo expedito del proceso</w:t>
      </w:r>
      <w:r w:rsidRPr="00B80439">
        <w:rPr>
          <w:rFonts w:ascii="Book Antiqua" w:eastAsia="Calibri" w:hAnsi="Book Antiqua" w:cs="Arial"/>
          <w:sz w:val="24"/>
          <w:szCs w:val="24"/>
        </w:rPr>
        <w:t xml:space="preserve">. </w:t>
      </w:r>
    </w:p>
    <w:p w14:paraId="3DE71AB7" w14:textId="77777777" w:rsidR="00B80439" w:rsidRPr="00B80439" w:rsidRDefault="00B80439" w:rsidP="00B80439">
      <w:pPr>
        <w:spacing w:after="0" w:line="276" w:lineRule="auto"/>
        <w:jc w:val="both"/>
        <w:rPr>
          <w:rFonts w:ascii="Book Antiqua" w:eastAsia="Calibri" w:hAnsi="Book Antiqua" w:cs="Arial"/>
          <w:sz w:val="24"/>
          <w:szCs w:val="24"/>
        </w:rPr>
      </w:pPr>
    </w:p>
    <w:p w14:paraId="0B50CF14" w14:textId="1A622C8D" w:rsidR="00B80439" w:rsidRDefault="00667F89" w:rsidP="00B8043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lo que se recalca</w:t>
      </w:r>
      <w:r w:rsidR="00B80439" w:rsidRPr="00B80439">
        <w:rPr>
          <w:rFonts w:ascii="Book Antiqua" w:eastAsia="Calibri" w:hAnsi="Book Antiqua" w:cs="Arial"/>
          <w:sz w:val="24"/>
          <w:szCs w:val="24"/>
        </w:rPr>
        <w:t xml:space="preserve"> la línea institucional sobre el procedimiento en la etapa se seguimiento, así como un monitoreo proactivo de la situación de los </w:t>
      </w:r>
      <w:r>
        <w:rPr>
          <w:rFonts w:ascii="Book Antiqua" w:eastAsia="Calibri" w:hAnsi="Book Antiqua" w:cs="Arial"/>
          <w:sz w:val="24"/>
          <w:szCs w:val="24"/>
        </w:rPr>
        <w:t>d</w:t>
      </w:r>
      <w:r w:rsidR="00B80439" w:rsidRPr="00B80439">
        <w:rPr>
          <w:rFonts w:ascii="Book Antiqua" w:eastAsia="Calibri" w:hAnsi="Book Antiqua" w:cs="Arial"/>
          <w:sz w:val="24"/>
          <w:szCs w:val="24"/>
        </w:rPr>
        <w:t xml:space="preserve">espachos de Violencia Doméstica. </w:t>
      </w:r>
    </w:p>
    <w:p w14:paraId="73564617" w14:textId="77777777" w:rsidR="001D5DE6" w:rsidRPr="00B80439" w:rsidRDefault="001D5DE6" w:rsidP="00B80439">
      <w:pPr>
        <w:spacing w:after="0" w:line="276" w:lineRule="auto"/>
        <w:jc w:val="both"/>
        <w:rPr>
          <w:rFonts w:ascii="Book Antiqua" w:eastAsia="Calibri" w:hAnsi="Book Antiqua" w:cs="Arial"/>
          <w:sz w:val="24"/>
          <w:szCs w:val="24"/>
        </w:rPr>
      </w:pPr>
    </w:p>
    <w:p w14:paraId="6727B91E" w14:textId="4499B1EE" w:rsidR="004F2EC7" w:rsidRDefault="00EB6A55" w:rsidP="00B80439">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rPr>
        <w:t>Para efectos de contar con una mayor claridad de cuales asuntos deben estar en cada fase y de los cambios, se tomaron 2 medidas:</w:t>
      </w:r>
      <w:r>
        <w:rPr>
          <w:rFonts w:ascii="Book Antiqua" w:eastAsia="Calibri" w:hAnsi="Book Antiqua" w:cs="Arial"/>
          <w:sz w:val="24"/>
          <w:szCs w:val="24"/>
        </w:rPr>
        <w:t xml:space="preserve"> </w:t>
      </w:r>
    </w:p>
    <w:p w14:paraId="574BDF3C" w14:textId="77777777" w:rsidR="00F37FEE" w:rsidRDefault="00F37FEE" w:rsidP="00B80439">
      <w:pPr>
        <w:spacing w:after="0" w:line="276" w:lineRule="auto"/>
        <w:jc w:val="both"/>
        <w:rPr>
          <w:rFonts w:ascii="Book Antiqua" w:eastAsia="Calibri" w:hAnsi="Book Antiqua" w:cs="Arial"/>
          <w:sz w:val="24"/>
          <w:szCs w:val="24"/>
        </w:rPr>
      </w:pPr>
    </w:p>
    <w:p w14:paraId="7E43FC2F" w14:textId="2DE38349" w:rsidR="004F2EC7" w:rsidRPr="0039389F" w:rsidRDefault="00FF27E1">
      <w:pPr>
        <w:pStyle w:val="Prrafodelista"/>
        <w:numPr>
          <w:ilvl w:val="0"/>
          <w:numId w:val="25"/>
        </w:numPr>
        <w:spacing w:after="0" w:line="276" w:lineRule="auto"/>
        <w:jc w:val="both"/>
        <w:rPr>
          <w:rFonts w:ascii="Book Antiqua" w:eastAsia="Calibri" w:hAnsi="Book Antiqua" w:cs="Arial"/>
          <w:sz w:val="24"/>
          <w:szCs w:val="24"/>
        </w:rPr>
      </w:pPr>
      <w:r w:rsidRPr="0039389F">
        <w:rPr>
          <w:rFonts w:ascii="Book Antiqua" w:eastAsia="Calibri" w:hAnsi="Book Antiqua" w:cs="Arial"/>
          <w:sz w:val="24"/>
          <w:szCs w:val="24"/>
        </w:rPr>
        <w:t xml:space="preserve">Se comunicaron </w:t>
      </w:r>
      <w:r w:rsidR="00557680" w:rsidRPr="0039389F">
        <w:rPr>
          <w:rFonts w:ascii="Book Antiqua" w:eastAsia="Calibri" w:hAnsi="Book Antiqua" w:cs="Arial"/>
          <w:sz w:val="24"/>
          <w:szCs w:val="24"/>
        </w:rPr>
        <w:t xml:space="preserve">las siguientes </w:t>
      </w:r>
      <w:r w:rsidR="00EB6A55" w:rsidRPr="0039389F">
        <w:rPr>
          <w:rFonts w:ascii="Book Antiqua" w:eastAsia="Calibri" w:hAnsi="Book Antiqua" w:cs="Arial"/>
          <w:sz w:val="24"/>
          <w:szCs w:val="24"/>
        </w:rPr>
        <w:t>circular</w:t>
      </w:r>
      <w:r w:rsidR="0039389F" w:rsidRPr="0039389F">
        <w:rPr>
          <w:rFonts w:ascii="Book Antiqua" w:eastAsia="Calibri" w:hAnsi="Book Antiqua" w:cs="Arial"/>
          <w:sz w:val="24"/>
          <w:szCs w:val="24"/>
        </w:rPr>
        <w:t>es</w:t>
      </w:r>
      <w:r w:rsidR="00EB6A55" w:rsidRPr="0039389F">
        <w:rPr>
          <w:rFonts w:ascii="Book Antiqua" w:eastAsia="Calibri" w:hAnsi="Book Antiqua" w:cs="Arial"/>
          <w:sz w:val="24"/>
          <w:szCs w:val="24"/>
        </w:rPr>
        <w:t xml:space="preserve"> </w:t>
      </w:r>
      <w:r w:rsidR="0039389F" w:rsidRPr="0039389F">
        <w:rPr>
          <w:rFonts w:ascii="Book Antiqua" w:eastAsia="Calibri" w:hAnsi="Book Antiqua" w:cs="Arial"/>
          <w:sz w:val="24"/>
          <w:szCs w:val="24"/>
        </w:rPr>
        <w:t xml:space="preserve">aprobadas por el Consejo Superior </w:t>
      </w:r>
      <w:r w:rsidR="00EB6A55" w:rsidRPr="0039389F">
        <w:rPr>
          <w:rFonts w:ascii="Book Antiqua" w:eastAsia="Calibri" w:hAnsi="Book Antiqua" w:cs="Arial"/>
          <w:sz w:val="24"/>
          <w:szCs w:val="24"/>
        </w:rPr>
        <w:t>para aclarar las fases en esta materia y cuando deben darse los cambios</w:t>
      </w:r>
      <w:r w:rsidR="00BF23AE">
        <w:rPr>
          <w:rFonts w:ascii="Book Antiqua" w:eastAsia="Calibri" w:hAnsi="Book Antiqua" w:cs="Arial"/>
          <w:sz w:val="24"/>
          <w:szCs w:val="24"/>
        </w:rPr>
        <w:t>: Circular</w:t>
      </w:r>
      <w:r w:rsidR="00EB6A55" w:rsidRPr="0039389F">
        <w:rPr>
          <w:rFonts w:ascii="Book Antiqua" w:eastAsia="Calibri" w:hAnsi="Book Antiqua" w:cs="Arial"/>
          <w:sz w:val="24"/>
          <w:szCs w:val="24"/>
        </w:rPr>
        <w:t xml:space="preserve"> </w:t>
      </w:r>
      <w:r w:rsidRPr="0039389F">
        <w:rPr>
          <w:rFonts w:ascii="Book Antiqua" w:eastAsia="Calibri" w:hAnsi="Book Antiqua" w:cs="Arial"/>
          <w:sz w:val="24"/>
          <w:szCs w:val="24"/>
        </w:rPr>
        <w:t>63-22</w:t>
      </w:r>
      <w:r w:rsidR="00D7395C">
        <w:rPr>
          <w:rFonts w:ascii="Book Antiqua" w:eastAsia="Calibri" w:hAnsi="Book Antiqua" w:cs="Arial"/>
          <w:sz w:val="24"/>
          <w:szCs w:val="24"/>
        </w:rPr>
        <w:t xml:space="preserve"> “</w:t>
      </w:r>
      <w:r w:rsidR="00D7395C" w:rsidRPr="00D7395C">
        <w:rPr>
          <w:rFonts w:ascii="Book Antiqua" w:eastAsia="Calibri" w:hAnsi="Book Antiqua" w:cs="Arial"/>
          <w:sz w:val="24"/>
          <w:szCs w:val="24"/>
        </w:rPr>
        <w:t>Obligatoriedad de mantener las fases de los expedientes actualizadas</w:t>
      </w:r>
      <w:r w:rsidR="00D7395C">
        <w:rPr>
          <w:rFonts w:ascii="Book Antiqua" w:eastAsia="Calibri" w:hAnsi="Book Antiqua" w:cs="Arial"/>
          <w:sz w:val="24"/>
          <w:szCs w:val="24"/>
        </w:rPr>
        <w:t>”</w:t>
      </w:r>
      <w:r w:rsidRPr="0039389F">
        <w:rPr>
          <w:rFonts w:ascii="Book Antiqua" w:eastAsia="Calibri" w:hAnsi="Book Antiqua" w:cs="Arial"/>
          <w:sz w:val="24"/>
          <w:szCs w:val="24"/>
        </w:rPr>
        <w:t xml:space="preserve">, </w:t>
      </w:r>
      <w:r w:rsidR="00BF23AE">
        <w:rPr>
          <w:rFonts w:ascii="Book Antiqua" w:eastAsia="Calibri" w:hAnsi="Book Antiqua" w:cs="Arial"/>
          <w:sz w:val="24"/>
          <w:szCs w:val="24"/>
        </w:rPr>
        <w:t xml:space="preserve">Circular </w:t>
      </w:r>
      <w:r w:rsidRPr="0039389F">
        <w:rPr>
          <w:rFonts w:ascii="Book Antiqua" w:eastAsia="Calibri" w:hAnsi="Book Antiqua" w:cs="Arial"/>
          <w:sz w:val="24"/>
          <w:szCs w:val="24"/>
        </w:rPr>
        <w:t>162-22</w:t>
      </w:r>
      <w:r w:rsidR="00D7395C">
        <w:rPr>
          <w:rFonts w:ascii="Book Antiqua" w:eastAsia="Calibri" w:hAnsi="Book Antiqua" w:cs="Arial"/>
          <w:sz w:val="24"/>
          <w:szCs w:val="24"/>
        </w:rPr>
        <w:t xml:space="preserve"> “</w:t>
      </w:r>
      <w:r w:rsidR="00D7395C" w:rsidRPr="00D7395C">
        <w:rPr>
          <w:rFonts w:ascii="Book Antiqua" w:eastAsia="Calibri" w:hAnsi="Book Antiqua" w:cs="Arial"/>
          <w:sz w:val="24"/>
          <w:szCs w:val="24"/>
        </w:rPr>
        <w:t>Reiteración de las disposiciones relacionadas con la obligación de mantener todos los registros actualizados en el Sistema de Gestión y Escritorio Virtual en materia de violencia doméstica</w:t>
      </w:r>
      <w:r w:rsidR="00D7395C">
        <w:rPr>
          <w:rFonts w:ascii="Book Antiqua" w:eastAsia="Calibri" w:hAnsi="Book Antiqua" w:cs="Arial"/>
          <w:sz w:val="24"/>
          <w:szCs w:val="24"/>
        </w:rPr>
        <w:t>”</w:t>
      </w:r>
      <w:r w:rsidRPr="0039389F">
        <w:rPr>
          <w:rFonts w:ascii="Book Antiqua" w:eastAsia="Calibri" w:hAnsi="Book Antiqua" w:cs="Arial"/>
          <w:sz w:val="24"/>
          <w:szCs w:val="24"/>
        </w:rPr>
        <w:t xml:space="preserve">, </w:t>
      </w:r>
      <w:r w:rsidR="00BF23AE">
        <w:rPr>
          <w:rFonts w:ascii="Book Antiqua" w:eastAsia="Calibri" w:hAnsi="Book Antiqua" w:cs="Arial"/>
          <w:sz w:val="24"/>
          <w:szCs w:val="24"/>
        </w:rPr>
        <w:t xml:space="preserve">Circular </w:t>
      </w:r>
      <w:r w:rsidRPr="0039389F">
        <w:rPr>
          <w:rFonts w:ascii="Book Antiqua" w:eastAsia="Calibri" w:hAnsi="Book Antiqua" w:cs="Arial"/>
          <w:sz w:val="24"/>
          <w:szCs w:val="24"/>
        </w:rPr>
        <w:t xml:space="preserve">207-22 </w:t>
      </w:r>
      <w:r w:rsidR="00D7395C">
        <w:rPr>
          <w:rFonts w:ascii="Book Antiqua" w:eastAsia="Calibri" w:hAnsi="Book Antiqua" w:cs="Arial"/>
          <w:sz w:val="24"/>
          <w:szCs w:val="24"/>
        </w:rPr>
        <w:t>“</w:t>
      </w:r>
      <w:r w:rsidR="00D7395C" w:rsidRPr="00D7395C">
        <w:rPr>
          <w:rFonts w:ascii="Book Antiqua" w:eastAsia="Calibri" w:hAnsi="Book Antiqua" w:cs="Arial"/>
          <w:sz w:val="24"/>
          <w:szCs w:val="24"/>
        </w:rPr>
        <w:t>Reiteración de la circular N° 63-2022 sobre “Obligatoriedad de mantener las fases de los expedientes actualizadas”</w:t>
      </w:r>
      <w:r w:rsidR="00D7395C">
        <w:rPr>
          <w:rFonts w:ascii="Book Antiqua" w:eastAsia="Calibri" w:hAnsi="Book Antiqua" w:cs="Arial"/>
          <w:sz w:val="24"/>
          <w:szCs w:val="24"/>
        </w:rPr>
        <w:t xml:space="preserve"> </w:t>
      </w:r>
      <w:r w:rsidRPr="0039389F">
        <w:rPr>
          <w:rFonts w:ascii="Book Antiqua" w:eastAsia="Calibri" w:hAnsi="Book Antiqua" w:cs="Arial"/>
          <w:sz w:val="24"/>
          <w:szCs w:val="24"/>
        </w:rPr>
        <w:t xml:space="preserve">y </w:t>
      </w:r>
      <w:r w:rsidR="00BF23AE">
        <w:rPr>
          <w:rFonts w:ascii="Book Antiqua" w:eastAsia="Calibri" w:hAnsi="Book Antiqua" w:cs="Arial"/>
          <w:sz w:val="24"/>
          <w:szCs w:val="24"/>
        </w:rPr>
        <w:t xml:space="preserve">Circular </w:t>
      </w:r>
      <w:r w:rsidRPr="0039389F">
        <w:rPr>
          <w:rFonts w:ascii="Book Antiqua" w:eastAsia="Calibri" w:hAnsi="Book Antiqua" w:cs="Arial"/>
          <w:sz w:val="24"/>
          <w:szCs w:val="24"/>
        </w:rPr>
        <w:t>240-22</w:t>
      </w:r>
      <w:r w:rsidR="00D7395C">
        <w:rPr>
          <w:rFonts w:ascii="Book Antiqua" w:eastAsia="Calibri" w:hAnsi="Book Antiqua" w:cs="Arial"/>
          <w:sz w:val="24"/>
          <w:szCs w:val="24"/>
        </w:rPr>
        <w:t xml:space="preserve"> “</w:t>
      </w:r>
      <w:r w:rsidR="00D7395C" w:rsidRPr="00D7395C">
        <w:rPr>
          <w:rFonts w:ascii="Book Antiqua" w:eastAsia="Calibri" w:hAnsi="Book Antiqua" w:cs="Arial"/>
          <w:sz w:val="24"/>
          <w:szCs w:val="24"/>
        </w:rPr>
        <w:t>Reiteración de las disposiciones relacionadas con la obligación de mantener todos los registros actualizados en el Sistema de Gestión y Escritorio Virtual en materia de violencia doméstica</w:t>
      </w:r>
      <w:r w:rsidR="00D7395C">
        <w:rPr>
          <w:rFonts w:ascii="Book Antiqua" w:eastAsia="Calibri" w:hAnsi="Book Antiqua" w:cs="Arial"/>
          <w:sz w:val="24"/>
          <w:szCs w:val="24"/>
        </w:rPr>
        <w:t>”</w:t>
      </w:r>
      <w:r w:rsidR="00D7395C" w:rsidRPr="00D7395C">
        <w:rPr>
          <w:rFonts w:ascii="Book Antiqua" w:eastAsia="Calibri" w:hAnsi="Book Antiqua" w:cs="Arial"/>
          <w:sz w:val="24"/>
          <w:szCs w:val="24"/>
        </w:rPr>
        <w:t>.</w:t>
      </w:r>
      <w:r w:rsidR="008879F8" w:rsidRPr="0039389F">
        <w:rPr>
          <w:rFonts w:ascii="Book Antiqua" w:eastAsia="Calibri" w:hAnsi="Book Antiqua" w:cs="Arial"/>
          <w:sz w:val="24"/>
          <w:szCs w:val="24"/>
        </w:rPr>
        <w:t xml:space="preserve">  </w:t>
      </w:r>
    </w:p>
    <w:p w14:paraId="3624F40E" w14:textId="76D2BBDA" w:rsidR="00B80439" w:rsidRDefault="00EB6A55">
      <w:pPr>
        <w:pStyle w:val="Prrafodelista"/>
        <w:numPr>
          <w:ilvl w:val="0"/>
          <w:numId w:val="25"/>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w:t>
      </w:r>
      <w:r w:rsidR="00234461">
        <w:rPr>
          <w:rFonts w:ascii="Book Antiqua" w:eastAsia="Calibri" w:hAnsi="Book Antiqua" w:cs="Arial"/>
          <w:sz w:val="24"/>
          <w:szCs w:val="24"/>
        </w:rPr>
        <w:t xml:space="preserve">Se configuraron las plantillas en 2022, para que </w:t>
      </w:r>
      <w:r w:rsidRPr="001D0C10">
        <w:rPr>
          <w:rFonts w:ascii="Book Antiqua" w:eastAsia="Calibri" w:hAnsi="Book Antiqua" w:cs="Arial"/>
          <w:sz w:val="24"/>
          <w:szCs w:val="24"/>
        </w:rPr>
        <w:t xml:space="preserve">el cambio de fase </w:t>
      </w:r>
      <w:r w:rsidR="00BF23AE">
        <w:rPr>
          <w:rFonts w:ascii="Book Antiqua" w:eastAsia="Calibri" w:hAnsi="Book Antiqua" w:cs="Arial"/>
          <w:sz w:val="24"/>
          <w:szCs w:val="24"/>
        </w:rPr>
        <w:t>a</w:t>
      </w:r>
      <w:r w:rsidRPr="001D0C10">
        <w:rPr>
          <w:rFonts w:ascii="Book Antiqua" w:eastAsia="Calibri" w:hAnsi="Book Antiqua" w:cs="Arial"/>
          <w:sz w:val="24"/>
          <w:szCs w:val="24"/>
        </w:rPr>
        <w:t xml:space="preserve"> estado se realice de forma automática</w:t>
      </w:r>
      <w:r w:rsidR="008879F8">
        <w:rPr>
          <w:rFonts w:ascii="Book Antiqua" w:eastAsia="Calibri" w:hAnsi="Book Antiqua" w:cs="Arial"/>
          <w:sz w:val="24"/>
          <w:szCs w:val="24"/>
        </w:rPr>
        <w:t xml:space="preserve">, tanto en formatos actuales como las plantillas a partir de la entrada en vigencia de la Ley 9747. </w:t>
      </w:r>
      <w:r w:rsidRPr="001D0C10">
        <w:rPr>
          <w:rFonts w:ascii="Book Antiqua" w:eastAsia="Calibri" w:hAnsi="Book Antiqua" w:cs="Arial"/>
          <w:sz w:val="24"/>
          <w:szCs w:val="24"/>
        </w:rPr>
        <w:t xml:space="preserve"> </w:t>
      </w:r>
    </w:p>
    <w:p w14:paraId="340E9AE2" w14:textId="77777777" w:rsidR="00BF23AE" w:rsidRPr="001D0C10" w:rsidRDefault="00BF23AE" w:rsidP="00BF23AE">
      <w:pPr>
        <w:pStyle w:val="Prrafodelista"/>
        <w:spacing w:after="0" w:line="276" w:lineRule="auto"/>
        <w:jc w:val="both"/>
        <w:rPr>
          <w:rFonts w:ascii="Book Antiqua" w:eastAsia="Calibri" w:hAnsi="Book Antiqua" w:cs="Arial"/>
          <w:sz w:val="24"/>
          <w:szCs w:val="24"/>
        </w:rPr>
      </w:pPr>
    </w:p>
    <w:p w14:paraId="42B382FF" w14:textId="77777777"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Con la finalidad de contar con información verás sobre el desempeño de los despachos se monitorearán por medio de SIGMA las siguientes variables:</w:t>
      </w:r>
    </w:p>
    <w:p w14:paraId="71EBFF09" w14:textId="4093D6AF" w:rsidR="00B80439" w:rsidRPr="00B80439" w:rsidRDefault="00B80439">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Entrada de casos</w:t>
      </w:r>
      <w:r w:rsidR="000D1807">
        <w:rPr>
          <w:rFonts w:ascii="Book Antiqua" w:eastAsia="Calibri" w:hAnsi="Book Antiqua" w:cs="Arial"/>
          <w:sz w:val="24"/>
          <w:szCs w:val="24"/>
          <w:lang w:eastAsia="es-CR"/>
        </w:rPr>
        <w:t>.</w:t>
      </w:r>
    </w:p>
    <w:p w14:paraId="05A4005F" w14:textId="029FD8FC" w:rsidR="00B80439" w:rsidRPr="00B80439" w:rsidRDefault="00B80439">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Casos terminados</w:t>
      </w:r>
      <w:r w:rsidR="000D1807">
        <w:rPr>
          <w:rFonts w:ascii="Book Antiqua" w:eastAsia="Calibri" w:hAnsi="Book Antiqua" w:cs="Arial"/>
          <w:sz w:val="24"/>
          <w:szCs w:val="24"/>
          <w:lang w:eastAsia="es-CR"/>
        </w:rPr>
        <w:t>.</w:t>
      </w:r>
    </w:p>
    <w:p w14:paraId="7FAEF8FA" w14:textId="4953F41E" w:rsidR="00B80439" w:rsidRPr="00B80439" w:rsidRDefault="00B80439">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circulante</w:t>
      </w:r>
      <w:r w:rsidR="000D1807">
        <w:rPr>
          <w:rFonts w:ascii="Book Antiqua" w:eastAsia="Calibri" w:hAnsi="Book Antiqua" w:cs="Arial"/>
          <w:sz w:val="24"/>
          <w:szCs w:val="24"/>
          <w:lang w:eastAsia="es-CR"/>
        </w:rPr>
        <w:t>.</w:t>
      </w:r>
    </w:p>
    <w:p w14:paraId="76927F0F" w14:textId="34C90210" w:rsidR="00B80439" w:rsidRPr="00B80439" w:rsidRDefault="00B80439">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Distribución del circulante entre las fases</w:t>
      </w:r>
      <w:r w:rsidR="000D1807">
        <w:rPr>
          <w:rFonts w:ascii="Book Antiqua" w:eastAsia="Calibri" w:hAnsi="Book Antiqua" w:cs="Arial"/>
          <w:sz w:val="24"/>
          <w:szCs w:val="24"/>
          <w:lang w:eastAsia="es-CR"/>
        </w:rPr>
        <w:t>.</w:t>
      </w:r>
    </w:p>
    <w:p w14:paraId="6D21668C" w14:textId="1E60DE28" w:rsidR="00B80439" w:rsidRPr="00B80439" w:rsidRDefault="00B80439">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resoluciones de fondo dictadas</w:t>
      </w:r>
      <w:r w:rsidR="000D1807">
        <w:rPr>
          <w:rFonts w:ascii="Book Antiqua" w:eastAsia="Calibri" w:hAnsi="Book Antiqua" w:cs="Arial"/>
          <w:sz w:val="24"/>
          <w:szCs w:val="24"/>
          <w:lang w:eastAsia="es-CR"/>
        </w:rPr>
        <w:t>.</w:t>
      </w:r>
    </w:p>
    <w:p w14:paraId="3567EBB1" w14:textId="77777777" w:rsidR="00B80439" w:rsidRPr="00B80439" w:rsidRDefault="00B80439">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audiencias realizadas, no realizadas y pendientes de recepción de pruebas y de seguimiento.</w:t>
      </w:r>
    </w:p>
    <w:p w14:paraId="6EC9AF41" w14:textId="77777777" w:rsidR="00B80439" w:rsidRPr="00B80439" w:rsidRDefault="00B80439" w:rsidP="00B80439">
      <w:pPr>
        <w:spacing w:after="0" w:line="276" w:lineRule="auto"/>
        <w:jc w:val="both"/>
        <w:rPr>
          <w:rFonts w:ascii="Book Antiqua" w:eastAsia="Calibri" w:hAnsi="Book Antiqua" w:cs="Arial"/>
          <w:sz w:val="24"/>
          <w:szCs w:val="24"/>
        </w:rPr>
      </w:pPr>
    </w:p>
    <w:p w14:paraId="4A55352B" w14:textId="4C0A9EF3"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En el caso de los despachos </w:t>
      </w:r>
      <w:r w:rsidRPr="001D0C10">
        <w:rPr>
          <w:rFonts w:ascii="Book Antiqua" w:eastAsia="Calibri" w:hAnsi="Book Antiqua" w:cs="Arial"/>
          <w:i/>
          <w:iCs/>
          <w:sz w:val="24"/>
          <w:szCs w:val="24"/>
        </w:rPr>
        <w:t>mixtos</w:t>
      </w:r>
      <w:r w:rsidRPr="00B80439">
        <w:rPr>
          <w:rFonts w:ascii="Book Antiqua" w:eastAsia="Calibri" w:hAnsi="Book Antiqua" w:cs="Arial"/>
          <w:sz w:val="24"/>
          <w:szCs w:val="24"/>
        </w:rPr>
        <w:t xml:space="preserve"> que atienden dentro de sus materias Violencia Doméstica, no se tiene planeada </w:t>
      </w:r>
      <w:r w:rsidR="00EB6A55">
        <w:rPr>
          <w:rFonts w:ascii="Book Antiqua" w:eastAsia="Calibri" w:hAnsi="Book Antiqua" w:cs="Arial"/>
          <w:sz w:val="24"/>
          <w:szCs w:val="24"/>
        </w:rPr>
        <w:t xml:space="preserve">para </w:t>
      </w:r>
      <w:r w:rsidR="00234461">
        <w:rPr>
          <w:rFonts w:ascii="Book Antiqua" w:eastAsia="Calibri" w:hAnsi="Book Antiqua" w:cs="Arial"/>
          <w:sz w:val="24"/>
          <w:szCs w:val="24"/>
        </w:rPr>
        <w:t>2023-2024</w:t>
      </w:r>
      <w:r w:rsidR="00EB6A55">
        <w:rPr>
          <w:rFonts w:ascii="Book Antiqua" w:eastAsia="Calibri" w:hAnsi="Book Antiqua" w:cs="Arial"/>
          <w:sz w:val="24"/>
          <w:szCs w:val="24"/>
        </w:rPr>
        <w:t xml:space="preserve"> </w:t>
      </w:r>
      <w:r w:rsidRPr="00B80439">
        <w:rPr>
          <w:rFonts w:ascii="Book Antiqua" w:eastAsia="Calibri" w:hAnsi="Book Antiqua" w:cs="Arial"/>
          <w:sz w:val="24"/>
          <w:szCs w:val="24"/>
        </w:rPr>
        <w:t xml:space="preserve">la modificación en las estructuras de trabajo o la inclusión de nuevo recurso humano, esto ya que durante los abordajes realizados por la Dirección de Planificación para las materias de Trabajo y Civil, se realizaron los </w:t>
      </w:r>
      <w:r w:rsidRPr="00234461">
        <w:rPr>
          <w:rFonts w:ascii="Book Antiqua" w:eastAsia="Calibri" w:hAnsi="Book Antiqua" w:cs="Arial"/>
          <w:sz w:val="24"/>
          <w:szCs w:val="24"/>
        </w:rPr>
        <w:t>estudios pertinentes y se incluyeron las necesidades en los respectivos informes de presupuesto de estas materias</w:t>
      </w:r>
      <w:r w:rsidR="00EB6A55" w:rsidRPr="00234461">
        <w:rPr>
          <w:rFonts w:ascii="Book Antiqua" w:eastAsia="Calibri" w:hAnsi="Book Antiqua" w:cs="Arial"/>
          <w:sz w:val="24"/>
          <w:szCs w:val="24"/>
        </w:rPr>
        <w:t xml:space="preserve">; salvo los cambios que se requieran </w:t>
      </w:r>
      <w:r w:rsidR="008703A1" w:rsidRPr="00234461">
        <w:rPr>
          <w:rFonts w:ascii="Book Antiqua" w:eastAsia="Calibri" w:hAnsi="Book Antiqua" w:cs="Arial"/>
          <w:sz w:val="24"/>
          <w:szCs w:val="24"/>
        </w:rPr>
        <w:t>p</w:t>
      </w:r>
      <w:r w:rsidR="00EB6A55" w:rsidRPr="00234461">
        <w:rPr>
          <w:rFonts w:ascii="Book Antiqua" w:eastAsia="Calibri" w:hAnsi="Book Antiqua" w:cs="Arial"/>
          <w:sz w:val="24"/>
          <w:szCs w:val="24"/>
        </w:rPr>
        <w:t>ara estandarizar la materia a partir del resultado del informe de oficina modelo de Juzgado de Violencia Doméstica</w:t>
      </w:r>
      <w:r w:rsidR="00234461" w:rsidRPr="00234461">
        <w:rPr>
          <w:rFonts w:ascii="Book Antiqua" w:eastAsia="Calibri" w:hAnsi="Book Antiqua" w:cs="Arial"/>
          <w:sz w:val="24"/>
          <w:szCs w:val="24"/>
        </w:rPr>
        <w:t>.</w:t>
      </w:r>
    </w:p>
    <w:p w14:paraId="41E58378" w14:textId="77777777" w:rsidR="00B80439" w:rsidRPr="00B80439" w:rsidRDefault="00B80439" w:rsidP="00B80439">
      <w:pPr>
        <w:spacing w:after="0" w:line="276" w:lineRule="auto"/>
        <w:jc w:val="both"/>
        <w:rPr>
          <w:rFonts w:ascii="Book Antiqua" w:eastAsia="Calibri" w:hAnsi="Book Antiqua" w:cs="Arial"/>
          <w:sz w:val="24"/>
          <w:szCs w:val="24"/>
        </w:rPr>
      </w:pPr>
    </w:p>
    <w:p w14:paraId="7AD796DB" w14:textId="66E00FC5" w:rsidR="000975A6" w:rsidRDefault="000D1807" w:rsidP="00B8043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w:t>
      </w:r>
      <w:r w:rsidR="004C4C40">
        <w:rPr>
          <w:rFonts w:ascii="Book Antiqua" w:eastAsia="Calibri" w:hAnsi="Book Antiqua" w:cs="Arial"/>
          <w:sz w:val="24"/>
          <w:szCs w:val="24"/>
        </w:rPr>
        <w:t>202</w:t>
      </w:r>
      <w:r>
        <w:rPr>
          <w:rFonts w:ascii="Book Antiqua" w:eastAsia="Calibri" w:hAnsi="Book Antiqua" w:cs="Arial"/>
          <w:sz w:val="24"/>
          <w:szCs w:val="24"/>
        </w:rPr>
        <w:t>3</w:t>
      </w:r>
      <w:r w:rsidR="000975A6">
        <w:rPr>
          <w:rFonts w:ascii="Book Antiqua" w:eastAsia="Calibri" w:hAnsi="Book Antiqua" w:cs="Arial"/>
          <w:sz w:val="24"/>
          <w:szCs w:val="24"/>
        </w:rPr>
        <w:t>-2024,</w:t>
      </w:r>
      <w:r w:rsidR="00B80439" w:rsidRPr="00B80439">
        <w:rPr>
          <w:rFonts w:ascii="Book Antiqua" w:eastAsia="Calibri" w:hAnsi="Book Antiqua" w:cs="Arial"/>
          <w:sz w:val="24"/>
          <w:szCs w:val="24"/>
        </w:rPr>
        <w:t xml:space="preserve"> se </w:t>
      </w:r>
      <w:r>
        <w:rPr>
          <w:rFonts w:ascii="Book Antiqua" w:eastAsia="Calibri" w:hAnsi="Book Antiqua" w:cs="Arial"/>
          <w:sz w:val="24"/>
          <w:szCs w:val="24"/>
        </w:rPr>
        <w:t xml:space="preserve">tiene programado </w:t>
      </w:r>
      <w:r w:rsidR="00B80439" w:rsidRPr="00B80439">
        <w:rPr>
          <w:rFonts w:ascii="Book Antiqua" w:eastAsia="Calibri" w:hAnsi="Book Antiqua" w:cs="Arial"/>
          <w:sz w:val="24"/>
          <w:szCs w:val="24"/>
        </w:rPr>
        <w:t xml:space="preserve">realizar un abordaje en los 12 Juzgados de Violencia Doméstica Especializados, donde se </w:t>
      </w:r>
      <w:r>
        <w:rPr>
          <w:rFonts w:ascii="Book Antiqua" w:eastAsia="Calibri" w:hAnsi="Book Antiqua" w:cs="Arial"/>
          <w:sz w:val="24"/>
          <w:szCs w:val="24"/>
        </w:rPr>
        <w:t>aplicará el Modelo de</w:t>
      </w:r>
      <w:r w:rsidR="009D41A0">
        <w:rPr>
          <w:rFonts w:ascii="Book Antiqua" w:eastAsia="Calibri" w:hAnsi="Book Antiqua" w:cs="Arial"/>
          <w:sz w:val="24"/>
          <w:szCs w:val="24"/>
        </w:rPr>
        <w:t xml:space="preserve"> Tramitación de los Juzgados de Violencia Doméstica</w:t>
      </w:r>
      <w:r w:rsidR="00234461">
        <w:rPr>
          <w:rFonts w:ascii="Book Antiqua" w:eastAsia="Calibri" w:hAnsi="Book Antiqua" w:cs="Arial"/>
          <w:sz w:val="24"/>
          <w:szCs w:val="24"/>
        </w:rPr>
        <w:t>, una vez aprobado por el Consejo Superior</w:t>
      </w:r>
      <w:r w:rsidR="00DA45E7">
        <w:rPr>
          <w:rFonts w:ascii="Book Antiqua" w:eastAsia="Calibri" w:hAnsi="Book Antiqua" w:cs="Arial"/>
          <w:sz w:val="24"/>
          <w:szCs w:val="24"/>
        </w:rPr>
        <w:t xml:space="preserve"> y el posterior seguimiento a las oficinas por 6 meses, conforme a la fase 1 del Modelo de Sostenibilidad, por lo que el </w:t>
      </w:r>
      <w:r w:rsidR="000975A6">
        <w:rPr>
          <w:rFonts w:ascii="Book Antiqua" w:eastAsia="Calibri" w:hAnsi="Book Antiqua" w:cs="Arial"/>
          <w:sz w:val="24"/>
          <w:szCs w:val="24"/>
        </w:rPr>
        <w:t>entregable</w:t>
      </w:r>
      <w:r w:rsidR="00FF27E1">
        <w:rPr>
          <w:rFonts w:ascii="Book Antiqua" w:eastAsia="Calibri" w:hAnsi="Book Antiqua" w:cs="Arial"/>
          <w:sz w:val="24"/>
          <w:szCs w:val="24"/>
        </w:rPr>
        <w:t xml:space="preserve"> </w:t>
      </w:r>
      <w:r w:rsidR="00DA45E7" w:rsidRPr="000975A6">
        <w:rPr>
          <w:rFonts w:ascii="Book Antiqua" w:eastAsia="Calibri" w:hAnsi="Book Antiqua" w:cs="Arial"/>
          <w:b/>
          <w:bCs/>
          <w:i/>
          <w:iCs/>
          <w:sz w:val="24"/>
          <w:szCs w:val="24"/>
        </w:rPr>
        <w:t xml:space="preserve">3.33. </w:t>
      </w:r>
      <w:r w:rsidR="00DA45E7" w:rsidRPr="00FF27E1">
        <w:rPr>
          <w:rFonts w:ascii="Book Antiqua" w:eastAsia="Calibri" w:hAnsi="Book Antiqua" w:cs="Arial"/>
          <w:b/>
          <w:bCs/>
          <w:i/>
          <w:iCs/>
          <w:sz w:val="24"/>
          <w:szCs w:val="24"/>
        </w:rPr>
        <w:t>VD-Abordaje e implementación de Modelo en Especializados</w:t>
      </w:r>
      <w:r w:rsidR="00FF27E1" w:rsidRPr="00FF27E1">
        <w:rPr>
          <w:rFonts w:ascii="Book Antiqua" w:eastAsia="Calibri" w:hAnsi="Book Antiqua" w:cs="Arial"/>
          <w:sz w:val="24"/>
          <w:szCs w:val="24"/>
        </w:rPr>
        <w:t>, se entregaría en el primer semestre del 2024</w:t>
      </w:r>
      <w:r w:rsidR="00FF27E1">
        <w:rPr>
          <w:rFonts w:ascii="Book Antiqua" w:eastAsia="Calibri" w:hAnsi="Book Antiqua" w:cs="Arial"/>
          <w:sz w:val="24"/>
          <w:szCs w:val="24"/>
        </w:rPr>
        <w:t>.</w:t>
      </w:r>
    </w:p>
    <w:p w14:paraId="2D3E7C92" w14:textId="05484564" w:rsidR="00191691" w:rsidRDefault="00191691" w:rsidP="00191691">
      <w:pPr>
        <w:pStyle w:val="Ttulo1"/>
        <w:numPr>
          <w:ilvl w:val="0"/>
          <w:numId w:val="22"/>
        </w:numPr>
        <w:spacing w:line="276" w:lineRule="auto"/>
        <w:ind w:left="360" w:hanging="360"/>
      </w:pPr>
      <w:r w:rsidRPr="009E73B0">
        <w:t>Información relevante</w:t>
      </w:r>
      <w:r>
        <w:t xml:space="preserve"> en materia de </w:t>
      </w:r>
      <w:r w:rsidR="000047FE">
        <w:t>Pensiones Alimentarias</w:t>
      </w:r>
    </w:p>
    <w:p w14:paraId="321F3374" w14:textId="5E51333E" w:rsidR="00F75CD7" w:rsidRDefault="00F75CD7" w:rsidP="00856619">
      <w:pPr>
        <w:spacing w:after="0" w:line="240" w:lineRule="auto"/>
        <w:jc w:val="both"/>
        <w:rPr>
          <w:lang w:val="es-ES"/>
        </w:rPr>
      </w:pPr>
    </w:p>
    <w:p w14:paraId="6AACE62E" w14:textId="6DD23A2F" w:rsidR="00191691" w:rsidRPr="00330700" w:rsidRDefault="00CA58D9" w:rsidP="000047F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Situación de los Juzgados de Pensiones Alimentarias (especializados y mi</w:t>
      </w:r>
      <w:r w:rsidR="00226EC7" w:rsidRPr="00330700">
        <w:rPr>
          <w:rFonts w:ascii="Book Antiqua" w:eastAsiaTheme="majorEastAsia" w:hAnsi="Book Antiqua" w:cstheme="majorBidi"/>
          <w:b/>
          <w:color w:val="1F3864" w:themeColor="accent1" w:themeShade="80"/>
          <w:sz w:val="24"/>
          <w:lang w:val="es-ES"/>
        </w:rPr>
        <w:t>x</w:t>
      </w:r>
      <w:r w:rsidRPr="00330700">
        <w:rPr>
          <w:rFonts w:ascii="Book Antiqua" w:eastAsiaTheme="majorEastAsia" w:hAnsi="Book Antiqua" w:cstheme="majorBidi"/>
          <w:b/>
          <w:color w:val="1F3864" w:themeColor="accent1" w:themeShade="80"/>
          <w:sz w:val="24"/>
          <w:lang w:val="es-ES"/>
        </w:rPr>
        <w:t>tos)</w:t>
      </w:r>
    </w:p>
    <w:p w14:paraId="4EF6051C" w14:textId="77777777" w:rsidR="00CA58D9" w:rsidRDefault="00CA58D9" w:rsidP="00036F7A">
      <w:pPr>
        <w:spacing w:after="0" w:line="276" w:lineRule="auto"/>
        <w:jc w:val="both"/>
        <w:rPr>
          <w:rFonts w:ascii="Book Antiqua" w:eastAsia="Calibri" w:hAnsi="Book Antiqua" w:cs="Arial"/>
          <w:sz w:val="24"/>
          <w:szCs w:val="24"/>
        </w:rPr>
      </w:pPr>
    </w:p>
    <w:p w14:paraId="22AED799" w14:textId="44CB868F" w:rsidR="00036F7A" w:rsidRPr="00036F7A"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El Código Procesal de Familia establece la derogación de la Ley 7654 del 19 de diciembre de 1996 (la actual Ley de Pensiones Alimentarias). La materia de Pensiones Alimentarias es atendida actualmente en el Poder Judicial bajo tres modalidades: juzgados especializados, juzgados que operan bajo la Plataforma Integrada de Servicios de Atención a las Víctimas (PISAV) y juzgados mixtos.</w:t>
      </w:r>
    </w:p>
    <w:p w14:paraId="2891CF17" w14:textId="77777777" w:rsidR="00036F7A" w:rsidRPr="00036F7A" w:rsidRDefault="00036F7A" w:rsidP="00036F7A">
      <w:pPr>
        <w:spacing w:after="0" w:line="276" w:lineRule="auto"/>
        <w:jc w:val="both"/>
        <w:rPr>
          <w:rFonts w:ascii="Book Antiqua" w:eastAsia="Calibri" w:hAnsi="Book Antiqua" w:cs="Arial"/>
          <w:sz w:val="24"/>
          <w:szCs w:val="24"/>
        </w:rPr>
      </w:pPr>
    </w:p>
    <w:p w14:paraId="142E8CEA" w14:textId="04139FAF" w:rsidR="004C4C40"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 xml:space="preserve">Debido a que no hay cambios o inclusión de nuevas funciones a los Juzgados que atienden la materia de Pensiones Alimentarias, no se registraría un impacto significativo con el CPF, </w:t>
      </w:r>
      <w:r w:rsidR="004C4C40">
        <w:rPr>
          <w:rFonts w:ascii="Book Antiqua" w:eastAsia="Calibri" w:hAnsi="Book Antiqua" w:cs="Arial"/>
          <w:sz w:val="24"/>
          <w:szCs w:val="24"/>
        </w:rPr>
        <w:t xml:space="preserve">salvo el cambio a nivel procesal para fijación de la cuantía como una sentencia anticipada. </w:t>
      </w:r>
      <w:r w:rsidR="004C4C40" w:rsidRPr="00635C2D">
        <w:rPr>
          <w:rFonts w:ascii="Book Antiqua" w:eastAsia="Calibri" w:hAnsi="Book Antiqua" w:cs="Arial"/>
          <w:sz w:val="24"/>
          <w:szCs w:val="24"/>
        </w:rPr>
        <w:t xml:space="preserve">Como parte de los estudios complementarios al proyecto, se </w:t>
      </w:r>
      <w:r w:rsidR="00635C2D" w:rsidRPr="00635C2D">
        <w:rPr>
          <w:rFonts w:ascii="Book Antiqua" w:eastAsia="Calibri" w:hAnsi="Book Antiqua" w:cs="Arial"/>
          <w:sz w:val="24"/>
          <w:szCs w:val="24"/>
        </w:rPr>
        <w:t xml:space="preserve">llevó a cabo un </w:t>
      </w:r>
      <w:r w:rsidR="004C4C40" w:rsidRPr="00635C2D">
        <w:rPr>
          <w:rFonts w:ascii="Book Antiqua" w:eastAsia="Calibri" w:hAnsi="Book Antiqua" w:cs="Arial"/>
          <w:sz w:val="24"/>
          <w:szCs w:val="24"/>
        </w:rPr>
        <w:t xml:space="preserve">análisis </w:t>
      </w:r>
      <w:r w:rsidR="00635C2D" w:rsidRPr="00635C2D">
        <w:rPr>
          <w:rFonts w:ascii="Book Antiqua" w:eastAsia="Calibri" w:hAnsi="Book Antiqua" w:cs="Arial"/>
          <w:sz w:val="24"/>
          <w:szCs w:val="24"/>
        </w:rPr>
        <w:t xml:space="preserve">sobre el </w:t>
      </w:r>
      <w:r w:rsidR="004C4C40" w:rsidRPr="00635C2D">
        <w:rPr>
          <w:rFonts w:ascii="Book Antiqua" w:eastAsia="Calibri" w:hAnsi="Book Antiqua" w:cs="Arial"/>
          <w:sz w:val="24"/>
          <w:szCs w:val="24"/>
        </w:rPr>
        <w:t>impacto de la norma en la estructura de las oficinas especializadas por el modelo oral-electrónico con el que trabajan</w:t>
      </w:r>
      <w:r w:rsidR="00635C2D" w:rsidRPr="00635C2D">
        <w:rPr>
          <w:rFonts w:ascii="Book Antiqua" w:eastAsia="Calibri" w:hAnsi="Book Antiqua" w:cs="Arial"/>
          <w:sz w:val="24"/>
          <w:szCs w:val="24"/>
        </w:rPr>
        <w:t xml:space="preserve">, actualmente, el informe está en proceso de revisión por la jefatura, </w:t>
      </w:r>
      <w:r w:rsidR="00FF3D65" w:rsidRPr="00635C2D">
        <w:rPr>
          <w:rFonts w:ascii="Book Antiqua" w:eastAsia="Calibri" w:hAnsi="Book Antiqua" w:cs="Arial"/>
          <w:b/>
          <w:bCs/>
          <w:sz w:val="24"/>
          <w:szCs w:val="24"/>
        </w:rPr>
        <w:t>referencia interna 2146-2021</w:t>
      </w:r>
      <w:r w:rsidR="004C4C40" w:rsidRPr="00635C2D">
        <w:rPr>
          <w:rFonts w:ascii="Book Antiqua" w:eastAsia="Calibri" w:hAnsi="Book Antiqua" w:cs="Arial"/>
          <w:sz w:val="24"/>
          <w:szCs w:val="24"/>
        </w:rPr>
        <w:t>.</w:t>
      </w:r>
      <w:r w:rsidR="004C4C40">
        <w:rPr>
          <w:rFonts w:ascii="Book Antiqua" w:eastAsia="Calibri" w:hAnsi="Book Antiqua" w:cs="Arial"/>
          <w:sz w:val="24"/>
          <w:szCs w:val="24"/>
        </w:rPr>
        <w:t xml:space="preserve"> </w:t>
      </w:r>
    </w:p>
    <w:p w14:paraId="5BE87A51" w14:textId="77777777" w:rsidR="001D5DE6" w:rsidRDefault="001D5DE6" w:rsidP="00036F7A">
      <w:pPr>
        <w:spacing w:after="0" w:line="276" w:lineRule="auto"/>
        <w:jc w:val="both"/>
        <w:rPr>
          <w:rFonts w:ascii="Book Antiqua" w:eastAsia="Calibri" w:hAnsi="Book Antiqua" w:cs="Arial"/>
          <w:sz w:val="24"/>
          <w:szCs w:val="24"/>
        </w:rPr>
      </w:pPr>
    </w:p>
    <w:p w14:paraId="7CC27C45" w14:textId="254BEB17" w:rsidR="00036F7A" w:rsidRPr="00036F7A" w:rsidRDefault="004C4C40" w:rsidP="00036F7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apartado </w:t>
      </w:r>
      <w:r w:rsidR="00036F7A" w:rsidRPr="00036F7A">
        <w:rPr>
          <w:rFonts w:ascii="Book Antiqua" w:eastAsia="Calibri" w:hAnsi="Book Antiqua" w:cs="Arial"/>
          <w:sz w:val="24"/>
          <w:szCs w:val="24"/>
        </w:rPr>
        <w:t>se analizará la situación actual de los juzgados de Pensiones Alimentarias para identificar si se necesita asignar puestos específicos de Jueza o Juez y de Técnica o Técnico Judicial en cada uno de esos despachos judiciales.</w:t>
      </w:r>
    </w:p>
    <w:p w14:paraId="4C2657E1" w14:textId="77777777" w:rsidR="00036F7A" w:rsidRPr="00036F7A" w:rsidRDefault="00036F7A" w:rsidP="00036F7A">
      <w:pPr>
        <w:spacing w:after="0" w:line="276" w:lineRule="auto"/>
        <w:jc w:val="both"/>
        <w:rPr>
          <w:rFonts w:ascii="Book Antiqua" w:eastAsia="Calibri" w:hAnsi="Book Antiqua" w:cs="Arial"/>
          <w:sz w:val="24"/>
          <w:szCs w:val="24"/>
        </w:rPr>
      </w:pPr>
    </w:p>
    <w:p w14:paraId="76063378" w14:textId="33435B16" w:rsidR="004069D9"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La Institución realiz</w:t>
      </w:r>
      <w:r w:rsidR="004C4C40">
        <w:rPr>
          <w:rFonts w:ascii="Book Antiqua" w:eastAsia="Calibri" w:hAnsi="Book Antiqua" w:cs="Arial"/>
          <w:sz w:val="24"/>
          <w:szCs w:val="24"/>
        </w:rPr>
        <w:t>ó</w:t>
      </w:r>
      <w:r w:rsidRPr="00036F7A">
        <w:rPr>
          <w:rFonts w:ascii="Book Antiqua" w:eastAsia="Calibri" w:hAnsi="Book Antiqua" w:cs="Arial"/>
          <w:sz w:val="24"/>
          <w:szCs w:val="24"/>
        </w:rPr>
        <w:t xml:space="preserve"> esfuerzos importantes en la implementación del Modelo Oral-Electrónico en los Juzgados Especializados en Pensiones Alimentari</w:t>
      </w:r>
      <w:r w:rsidR="004156C3">
        <w:rPr>
          <w:rFonts w:ascii="Book Antiqua" w:eastAsia="Calibri" w:hAnsi="Book Antiqua" w:cs="Arial"/>
          <w:sz w:val="24"/>
          <w:szCs w:val="24"/>
        </w:rPr>
        <w:t>as</w:t>
      </w:r>
      <w:r w:rsidRPr="00036F7A">
        <w:rPr>
          <w:rFonts w:ascii="Book Antiqua" w:eastAsia="Calibri" w:hAnsi="Book Antiqua" w:cs="Arial"/>
          <w:sz w:val="24"/>
          <w:szCs w:val="24"/>
        </w:rPr>
        <w:t>, iniciativa que implic</w:t>
      </w:r>
      <w:r w:rsidR="004C4C40">
        <w:rPr>
          <w:rFonts w:ascii="Book Antiqua" w:eastAsia="Calibri" w:hAnsi="Book Antiqua" w:cs="Arial"/>
          <w:sz w:val="24"/>
          <w:szCs w:val="24"/>
        </w:rPr>
        <w:t>ó</w:t>
      </w:r>
      <w:r w:rsidRPr="00036F7A">
        <w:rPr>
          <w:rFonts w:ascii="Book Antiqua" w:eastAsia="Calibri" w:hAnsi="Book Antiqua" w:cs="Arial"/>
          <w:sz w:val="24"/>
          <w:szCs w:val="24"/>
        </w:rPr>
        <w:t xml:space="preserve"> el trámite electrónico de los expedientes, la implementación de un esquema de audiencias tempranas, indicadores de gestión, asignación personas juzgadoras conciliadoras, fondo y trámite, asignación de personal en las manifestaciones, entre otros lineamientos. Adicionalmente, dicho modelo </w:t>
      </w:r>
      <w:r w:rsidR="004C4C40" w:rsidRPr="00036F7A">
        <w:rPr>
          <w:rFonts w:ascii="Book Antiqua" w:eastAsia="Calibri" w:hAnsi="Book Antiqua" w:cs="Arial"/>
          <w:sz w:val="24"/>
          <w:szCs w:val="24"/>
        </w:rPr>
        <w:t>busc</w:t>
      </w:r>
      <w:r w:rsidR="004C4C40">
        <w:rPr>
          <w:rFonts w:ascii="Book Antiqua" w:eastAsia="Calibri" w:hAnsi="Book Antiqua" w:cs="Arial"/>
          <w:sz w:val="24"/>
          <w:szCs w:val="24"/>
        </w:rPr>
        <w:t>ó</w:t>
      </w:r>
      <w:r w:rsidR="004C4C40" w:rsidRPr="00036F7A">
        <w:rPr>
          <w:rFonts w:ascii="Book Antiqua" w:eastAsia="Calibri" w:hAnsi="Book Antiqua" w:cs="Arial"/>
          <w:sz w:val="24"/>
          <w:szCs w:val="24"/>
        </w:rPr>
        <w:t xml:space="preserve"> especializar</w:t>
      </w:r>
      <w:r w:rsidRPr="00036F7A">
        <w:rPr>
          <w:rFonts w:ascii="Book Antiqua" w:eastAsia="Calibri" w:hAnsi="Book Antiqua" w:cs="Arial"/>
          <w:sz w:val="24"/>
          <w:szCs w:val="24"/>
        </w:rPr>
        <w:t xml:space="preserve"> la mayor cantidad de despachos posibles, conforme la carga de trabajo y el presupuesto que asigna a través de los años</w:t>
      </w:r>
      <w:r w:rsidRPr="008F620E">
        <w:rPr>
          <w:rFonts w:ascii="Book Antiqua" w:eastAsia="Calibri" w:hAnsi="Book Antiqua" w:cs="Arial"/>
          <w:sz w:val="24"/>
          <w:szCs w:val="24"/>
        </w:rPr>
        <w:t xml:space="preserve">. A </w:t>
      </w:r>
      <w:r w:rsidR="004C4C40" w:rsidRPr="008F620E">
        <w:rPr>
          <w:rFonts w:ascii="Book Antiqua" w:eastAsia="Calibri" w:hAnsi="Book Antiqua" w:cs="Arial"/>
          <w:sz w:val="24"/>
          <w:szCs w:val="24"/>
        </w:rPr>
        <w:t xml:space="preserve">marzo </w:t>
      </w:r>
      <w:r w:rsidRPr="008F620E">
        <w:rPr>
          <w:rFonts w:ascii="Book Antiqua" w:eastAsia="Calibri" w:hAnsi="Book Antiqua" w:cs="Arial"/>
          <w:sz w:val="24"/>
          <w:szCs w:val="24"/>
        </w:rPr>
        <w:t>de 202</w:t>
      </w:r>
      <w:r w:rsidR="004C4C40" w:rsidRPr="008F620E">
        <w:rPr>
          <w:rFonts w:ascii="Book Antiqua" w:eastAsia="Calibri" w:hAnsi="Book Antiqua" w:cs="Arial"/>
          <w:sz w:val="24"/>
          <w:szCs w:val="24"/>
        </w:rPr>
        <w:t>1</w:t>
      </w:r>
      <w:r w:rsidRPr="008F620E">
        <w:rPr>
          <w:rFonts w:ascii="Book Antiqua" w:eastAsia="Calibri" w:hAnsi="Book Antiqua" w:cs="Arial"/>
          <w:sz w:val="24"/>
          <w:szCs w:val="24"/>
        </w:rPr>
        <w:t>, los despachos especializados en Pensiones (salvo Nicoya</w:t>
      </w:r>
      <w:r w:rsidR="004C4C40" w:rsidRPr="008F620E">
        <w:rPr>
          <w:rFonts w:ascii="Book Antiqua" w:eastAsia="Calibri" w:hAnsi="Book Antiqua" w:cs="Arial"/>
          <w:sz w:val="24"/>
          <w:szCs w:val="24"/>
        </w:rPr>
        <w:t>)</w:t>
      </w:r>
      <w:r w:rsidRPr="008F620E">
        <w:rPr>
          <w:rFonts w:ascii="Book Antiqua" w:eastAsia="Calibri" w:hAnsi="Book Antiqua" w:cs="Arial"/>
          <w:sz w:val="24"/>
          <w:szCs w:val="24"/>
        </w:rPr>
        <w:t xml:space="preserve"> trabajan con una estructura con personal juzgador de conciliación, de trámite y de fondo. </w:t>
      </w:r>
      <w:r w:rsidR="00DF7B76" w:rsidRPr="008F620E">
        <w:rPr>
          <w:rFonts w:ascii="Book Antiqua" w:eastAsia="Calibri" w:hAnsi="Book Antiqua" w:cs="Arial"/>
          <w:sz w:val="24"/>
          <w:szCs w:val="24"/>
        </w:rPr>
        <w:t xml:space="preserve">En Sarapiquí se </w:t>
      </w:r>
      <w:r w:rsidR="00101057" w:rsidRPr="008F620E">
        <w:rPr>
          <w:rFonts w:ascii="Book Antiqua" w:eastAsia="Calibri" w:hAnsi="Book Antiqua" w:cs="Arial"/>
          <w:sz w:val="24"/>
          <w:szCs w:val="24"/>
        </w:rPr>
        <w:t xml:space="preserve">adaptó el modelo a partir de la implementación de los cambios y recurso adicional según acuerdo del Consejo </w:t>
      </w:r>
      <w:r w:rsidR="008F620E">
        <w:rPr>
          <w:rFonts w:ascii="Book Antiqua" w:eastAsia="Calibri" w:hAnsi="Book Antiqua" w:cs="Arial"/>
          <w:sz w:val="24"/>
          <w:szCs w:val="24"/>
        </w:rPr>
        <w:t xml:space="preserve">Superior 95-21 del 4 de noviembre de 2021, artículo XXXI, por lo que </w:t>
      </w:r>
      <w:r w:rsidR="00DF7B76" w:rsidRPr="008F620E">
        <w:rPr>
          <w:rFonts w:ascii="Book Antiqua" w:eastAsia="Calibri" w:hAnsi="Book Antiqua" w:cs="Arial"/>
          <w:sz w:val="24"/>
          <w:szCs w:val="24"/>
        </w:rPr>
        <w:t>están implementando los cambios para adaptarlo a este modelo, oficio de la Dirección de Planificación 110-PLA-MI-2022.</w:t>
      </w:r>
      <w:r w:rsidR="00DF7B76">
        <w:rPr>
          <w:rFonts w:ascii="Book Antiqua" w:eastAsia="Calibri" w:hAnsi="Book Antiqua" w:cs="Arial"/>
          <w:sz w:val="24"/>
          <w:szCs w:val="24"/>
        </w:rPr>
        <w:t xml:space="preserve">  </w:t>
      </w:r>
    </w:p>
    <w:p w14:paraId="3A0A3A87" w14:textId="77777777" w:rsidR="004069D9" w:rsidRDefault="004069D9">
      <w:pPr>
        <w:rPr>
          <w:rFonts w:ascii="Book Antiqua" w:eastAsia="Calibri" w:hAnsi="Book Antiqua" w:cs="Arial"/>
          <w:sz w:val="24"/>
          <w:szCs w:val="24"/>
        </w:rPr>
      </w:pPr>
      <w:r>
        <w:rPr>
          <w:rFonts w:ascii="Book Antiqua" w:eastAsia="Calibri" w:hAnsi="Book Antiqua" w:cs="Arial"/>
          <w:sz w:val="24"/>
          <w:szCs w:val="24"/>
        </w:rPr>
        <w:br w:type="page"/>
      </w:r>
    </w:p>
    <w:p w14:paraId="2ACE27D7" w14:textId="6DCF41DA" w:rsidR="003647DC" w:rsidRPr="003647DC" w:rsidRDefault="003647DC" w:rsidP="00036F7A">
      <w:pPr>
        <w:spacing w:after="0" w:line="276" w:lineRule="auto"/>
        <w:jc w:val="both"/>
        <w:rPr>
          <w:rFonts w:ascii="Book Antiqua" w:eastAsia="Calibri" w:hAnsi="Book Antiqua" w:cs="Arial"/>
          <w:b/>
          <w:bCs/>
          <w:i/>
          <w:iCs/>
          <w:sz w:val="24"/>
          <w:szCs w:val="24"/>
        </w:rPr>
      </w:pPr>
      <w:r w:rsidRPr="00E6187E">
        <w:rPr>
          <w:rFonts w:ascii="Book Antiqua" w:eastAsia="Calibri" w:hAnsi="Book Antiqua" w:cs="Arial"/>
          <w:b/>
          <w:bCs/>
          <w:i/>
          <w:iCs/>
          <w:sz w:val="24"/>
          <w:szCs w:val="24"/>
        </w:rPr>
        <w:t>Propuesta de especialización</w:t>
      </w:r>
    </w:p>
    <w:p w14:paraId="431E415B" w14:textId="77777777" w:rsidR="003647DC" w:rsidRDefault="003647DC" w:rsidP="00036F7A">
      <w:pPr>
        <w:spacing w:after="0" w:line="276" w:lineRule="auto"/>
        <w:jc w:val="both"/>
        <w:rPr>
          <w:rFonts w:ascii="Book Antiqua" w:eastAsia="Calibri" w:hAnsi="Book Antiqua" w:cs="Arial"/>
          <w:sz w:val="24"/>
          <w:szCs w:val="24"/>
        </w:rPr>
      </w:pPr>
    </w:p>
    <w:p w14:paraId="69999868" w14:textId="71BF844F" w:rsidR="00E6187E" w:rsidRDefault="003647DC" w:rsidP="00036F7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complemento al proyecto de implementación del Código Procesal de Familia, y en relación con el análisis de modificación de la competencia actual del Juzgado Primero de Familia para limitarlo al conocimiento de una clase de proceso (segunda instancia en Pensiones Alimentarias, se confeccionó el informe en consulta 156-PLA-MI-(NPL)-2023, en el que se propone que a partir de abril de 2023, las apelaciones </w:t>
      </w:r>
      <w:r w:rsidR="00CE738F">
        <w:rPr>
          <w:rFonts w:ascii="Book Antiqua" w:eastAsia="Calibri" w:hAnsi="Book Antiqua" w:cs="Arial"/>
          <w:sz w:val="24"/>
          <w:szCs w:val="24"/>
        </w:rPr>
        <w:t xml:space="preserve">de Pensiones Alimentarias sean conocidas por el Juzgado Primero de Familia. </w:t>
      </w:r>
    </w:p>
    <w:p w14:paraId="642ACBC7" w14:textId="58D86FC7" w:rsidR="00E6187E" w:rsidRDefault="00E6187E" w:rsidP="00036F7A">
      <w:pPr>
        <w:spacing w:after="0" w:line="276" w:lineRule="auto"/>
        <w:jc w:val="both"/>
        <w:rPr>
          <w:rFonts w:ascii="Book Antiqua" w:eastAsia="Calibri" w:hAnsi="Book Antiqua" w:cs="Arial"/>
          <w:sz w:val="24"/>
          <w:szCs w:val="24"/>
        </w:rPr>
      </w:pPr>
    </w:p>
    <w:p w14:paraId="2C4469CB" w14:textId="55814547" w:rsidR="00E6187E" w:rsidRPr="00295AC5" w:rsidRDefault="00E6187E" w:rsidP="00E6187E">
      <w:pPr>
        <w:spacing w:after="0" w:line="276" w:lineRule="auto"/>
        <w:jc w:val="both"/>
        <w:rPr>
          <w:rFonts w:ascii="Book Antiqua" w:eastAsia="Times New Roman" w:hAnsi="Book Antiqua" w:cs="Times New Roman"/>
          <w:color w:val="000000"/>
          <w:sz w:val="24"/>
          <w:szCs w:val="24"/>
          <w:lang w:eastAsia="es-CR"/>
        </w:rPr>
      </w:pPr>
      <w:r w:rsidRPr="00295AC5">
        <w:rPr>
          <w:rFonts w:ascii="Book Antiqua" w:eastAsia="Times New Roman" w:hAnsi="Book Antiqua" w:cs="Times New Roman"/>
          <w:color w:val="000000"/>
          <w:sz w:val="24"/>
          <w:szCs w:val="24"/>
          <w:lang w:eastAsia="es-CR"/>
        </w:rPr>
        <w:t>La cuota de trabajo de las personas juzgadoras será de 45 recursos resueltos mínimo por mes por plaza</w:t>
      </w:r>
      <w:r w:rsidR="00CE738F">
        <w:rPr>
          <w:rFonts w:ascii="Book Antiqua" w:eastAsia="Times New Roman" w:hAnsi="Book Antiqua" w:cs="Times New Roman"/>
          <w:color w:val="000000"/>
          <w:sz w:val="24"/>
          <w:szCs w:val="24"/>
          <w:lang w:eastAsia="es-CR"/>
        </w:rPr>
        <w:t>, y</w:t>
      </w:r>
      <w:r w:rsidRPr="00295AC5">
        <w:rPr>
          <w:rFonts w:ascii="Book Antiqua" w:eastAsia="Times New Roman" w:hAnsi="Book Antiqua" w:cs="Times New Roman"/>
          <w:color w:val="000000"/>
          <w:sz w:val="24"/>
          <w:szCs w:val="24"/>
          <w:lang w:eastAsia="es-CR"/>
        </w:rPr>
        <w:t xml:space="preserve"> en el caso del personal técnico, se requiere que todo el trámite se encuentre al día</w:t>
      </w:r>
      <w:r w:rsidR="00CE738F">
        <w:rPr>
          <w:rFonts w:ascii="Book Antiqua" w:eastAsia="Times New Roman" w:hAnsi="Book Antiqua" w:cs="Times New Roman"/>
          <w:color w:val="000000"/>
          <w:sz w:val="24"/>
          <w:szCs w:val="24"/>
          <w:lang w:eastAsia="es-CR"/>
        </w:rPr>
        <w:t>; n</w:t>
      </w:r>
      <w:r w:rsidRPr="00295AC5">
        <w:rPr>
          <w:rFonts w:ascii="Book Antiqua" w:eastAsia="Times New Roman" w:hAnsi="Book Antiqua" w:cs="Times New Roman"/>
          <w:color w:val="000000"/>
          <w:sz w:val="24"/>
          <w:szCs w:val="24"/>
          <w:lang w:eastAsia="es-CR"/>
        </w:rPr>
        <w:t xml:space="preserve">o se asigna una cuota de trámite, hasta una vez entre en funcionamiento la oficina y se cuente con al menos 4 meses de información sobre la cantidad de expedientes que pasan a firmar mensualmente. </w:t>
      </w:r>
    </w:p>
    <w:p w14:paraId="579B4FD6" w14:textId="6AE0CD27" w:rsidR="00E6187E" w:rsidRPr="00CE738F" w:rsidRDefault="00CE738F" w:rsidP="00E6187E">
      <w:pPr>
        <w:shd w:val="clear" w:color="auto" w:fill="FFFFFF"/>
        <w:spacing w:before="120" w:after="120" w:line="276" w:lineRule="auto"/>
        <w:ind w:right="49"/>
        <w:jc w:val="both"/>
        <w:rPr>
          <w:rFonts w:ascii="Book Antiqua" w:eastAsia="Times New Roman" w:hAnsi="Book Antiqua" w:cs="Times New Roman"/>
          <w:color w:val="000000"/>
          <w:sz w:val="24"/>
          <w:szCs w:val="24"/>
          <w:lang w:eastAsia="es-CR"/>
        </w:rPr>
      </w:pPr>
      <w:r w:rsidRPr="00CE738F">
        <w:rPr>
          <w:rFonts w:ascii="Book Antiqua" w:eastAsia="Times New Roman" w:hAnsi="Book Antiqua" w:cs="Times New Roman"/>
          <w:color w:val="000000"/>
          <w:sz w:val="24"/>
          <w:szCs w:val="24"/>
          <w:lang w:eastAsia="es-CR"/>
        </w:rPr>
        <w:t>La</w:t>
      </w:r>
      <w:r w:rsidR="00E6187E" w:rsidRPr="00CE738F">
        <w:rPr>
          <w:rFonts w:ascii="Book Antiqua" w:eastAsia="Times New Roman" w:hAnsi="Book Antiqua" w:cs="Times New Roman"/>
          <w:color w:val="000000"/>
          <w:sz w:val="24"/>
          <w:szCs w:val="24"/>
          <w:lang w:eastAsia="es-CR"/>
        </w:rPr>
        <w:t xml:space="preserve"> oficina será objeto de seguimiento constante, por lo que cualquier observación respecto al cumplimiento de la cuota, complejidad, entre otros, deberá ser documentada por el Juzgado en el seguimiento mensual de sus indicadores. Una vez definido el Juez Coordinador por </w:t>
      </w:r>
      <w:r>
        <w:rPr>
          <w:rFonts w:ascii="Book Antiqua" w:eastAsia="Times New Roman" w:hAnsi="Book Antiqua" w:cs="Times New Roman"/>
          <w:color w:val="000000"/>
          <w:sz w:val="24"/>
          <w:szCs w:val="24"/>
          <w:lang w:eastAsia="es-CR"/>
        </w:rPr>
        <w:t>C</w:t>
      </w:r>
      <w:r w:rsidR="00E6187E" w:rsidRPr="00CE738F">
        <w:rPr>
          <w:rFonts w:ascii="Book Antiqua" w:eastAsia="Times New Roman" w:hAnsi="Book Antiqua" w:cs="Times New Roman"/>
          <w:color w:val="000000"/>
          <w:sz w:val="24"/>
          <w:szCs w:val="24"/>
          <w:lang w:eastAsia="es-CR"/>
        </w:rPr>
        <w:t xml:space="preserve">onsejo de </w:t>
      </w:r>
      <w:r>
        <w:rPr>
          <w:rFonts w:ascii="Book Antiqua" w:eastAsia="Times New Roman" w:hAnsi="Book Antiqua" w:cs="Times New Roman"/>
          <w:color w:val="000000"/>
          <w:sz w:val="24"/>
          <w:szCs w:val="24"/>
          <w:lang w:eastAsia="es-CR"/>
        </w:rPr>
        <w:t>J</w:t>
      </w:r>
      <w:r w:rsidR="00E6187E" w:rsidRPr="00CE738F">
        <w:rPr>
          <w:rFonts w:ascii="Book Antiqua" w:eastAsia="Times New Roman" w:hAnsi="Book Antiqua" w:cs="Times New Roman"/>
          <w:color w:val="000000"/>
          <w:sz w:val="24"/>
          <w:szCs w:val="24"/>
          <w:lang w:eastAsia="es-CR"/>
        </w:rPr>
        <w:t xml:space="preserve">ueces, se actualizará también la conformación del </w:t>
      </w:r>
      <w:r>
        <w:rPr>
          <w:rFonts w:ascii="Book Antiqua" w:eastAsia="Times New Roman" w:hAnsi="Book Antiqua" w:cs="Times New Roman"/>
          <w:color w:val="000000"/>
          <w:sz w:val="24"/>
          <w:szCs w:val="24"/>
          <w:lang w:eastAsia="es-CR"/>
        </w:rPr>
        <w:t>E</w:t>
      </w:r>
      <w:r w:rsidR="00E6187E" w:rsidRPr="00CE738F">
        <w:rPr>
          <w:rFonts w:ascii="Book Antiqua" w:eastAsia="Times New Roman" w:hAnsi="Book Antiqua" w:cs="Times New Roman"/>
          <w:color w:val="000000"/>
          <w:sz w:val="24"/>
          <w:szCs w:val="24"/>
          <w:lang w:eastAsia="es-CR"/>
        </w:rPr>
        <w:t xml:space="preserve">quipo de </w:t>
      </w:r>
      <w:r>
        <w:rPr>
          <w:rFonts w:ascii="Book Antiqua" w:eastAsia="Times New Roman" w:hAnsi="Book Antiqua" w:cs="Times New Roman"/>
          <w:color w:val="000000"/>
          <w:sz w:val="24"/>
          <w:szCs w:val="24"/>
          <w:lang w:eastAsia="es-CR"/>
        </w:rPr>
        <w:t>M</w:t>
      </w:r>
      <w:r w:rsidR="00E6187E" w:rsidRPr="00CE738F">
        <w:rPr>
          <w:rFonts w:ascii="Book Antiqua" w:eastAsia="Times New Roman" w:hAnsi="Book Antiqua" w:cs="Times New Roman"/>
          <w:color w:val="000000"/>
          <w:sz w:val="24"/>
          <w:szCs w:val="24"/>
          <w:lang w:eastAsia="es-CR"/>
        </w:rPr>
        <w:t xml:space="preserve">ejora de la oficina. </w:t>
      </w:r>
    </w:p>
    <w:p w14:paraId="02450102" w14:textId="77777777" w:rsidR="00E6187E" w:rsidRDefault="00E6187E" w:rsidP="00036F7A">
      <w:pPr>
        <w:spacing w:after="0" w:line="276" w:lineRule="auto"/>
        <w:jc w:val="both"/>
        <w:rPr>
          <w:rFonts w:ascii="Book Antiqua" w:eastAsia="Calibri" w:hAnsi="Book Antiqua" w:cs="Arial"/>
          <w:sz w:val="24"/>
          <w:szCs w:val="24"/>
        </w:rPr>
      </w:pPr>
    </w:p>
    <w:p w14:paraId="514002AE" w14:textId="77777777" w:rsidR="008F620E" w:rsidRPr="00036F7A" w:rsidRDefault="008F620E" w:rsidP="00036F7A">
      <w:pPr>
        <w:spacing w:after="0" w:line="276" w:lineRule="auto"/>
        <w:jc w:val="both"/>
        <w:rPr>
          <w:rFonts w:ascii="Book Antiqua" w:eastAsia="Calibri" w:hAnsi="Book Antiqua" w:cs="Arial"/>
          <w:sz w:val="24"/>
          <w:szCs w:val="24"/>
        </w:rPr>
      </w:pPr>
    </w:p>
    <w:p w14:paraId="1F633AE0" w14:textId="4EBDE784" w:rsidR="008A5896" w:rsidRPr="00330700" w:rsidRDefault="00CA58D9" w:rsidP="000047F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Modelo de Juzg</w:t>
      </w:r>
      <w:r w:rsidR="008A5896" w:rsidRPr="00330700">
        <w:rPr>
          <w:rFonts w:ascii="Book Antiqua" w:eastAsiaTheme="majorEastAsia" w:hAnsi="Book Antiqua" w:cstheme="majorBidi"/>
          <w:b/>
          <w:color w:val="1F3864" w:themeColor="accent1" w:themeShade="80"/>
          <w:sz w:val="24"/>
          <w:lang w:val="es-ES"/>
        </w:rPr>
        <w:t>a</w:t>
      </w:r>
      <w:r w:rsidRPr="00330700">
        <w:rPr>
          <w:rFonts w:ascii="Book Antiqua" w:eastAsiaTheme="majorEastAsia" w:hAnsi="Book Antiqua" w:cstheme="majorBidi"/>
          <w:b/>
          <w:color w:val="1F3864" w:themeColor="accent1" w:themeShade="80"/>
          <w:sz w:val="24"/>
          <w:lang w:val="es-ES"/>
        </w:rPr>
        <w:t>do de Pensiones Alimentarias-estructuras</w:t>
      </w:r>
    </w:p>
    <w:p w14:paraId="45D53BD6" w14:textId="77777777" w:rsidR="008A5896" w:rsidRPr="00036F7A" w:rsidRDefault="008A5896" w:rsidP="007E153E">
      <w:pPr>
        <w:spacing w:after="0" w:line="276" w:lineRule="auto"/>
        <w:jc w:val="both"/>
        <w:rPr>
          <w:rFonts w:ascii="Book Antiqua" w:eastAsia="Calibri" w:hAnsi="Book Antiqua" w:cs="Arial"/>
          <w:sz w:val="24"/>
          <w:szCs w:val="24"/>
        </w:rPr>
      </w:pPr>
    </w:p>
    <w:p w14:paraId="1F479190" w14:textId="1BFFD253" w:rsidR="00036F7A" w:rsidRDefault="00036F7A" w:rsidP="007E153E">
      <w:pPr>
        <w:jc w:val="both"/>
        <w:rPr>
          <w:rFonts w:ascii="Book Antiqua" w:eastAsia="Calibri" w:hAnsi="Book Antiqua" w:cs="Arial"/>
          <w:sz w:val="24"/>
          <w:szCs w:val="24"/>
        </w:rPr>
      </w:pPr>
      <w:r w:rsidRPr="00036F7A">
        <w:rPr>
          <w:rFonts w:ascii="Book Antiqua" w:eastAsia="Calibri" w:hAnsi="Book Antiqua" w:cs="Arial"/>
          <w:sz w:val="24"/>
          <w:szCs w:val="24"/>
        </w:rPr>
        <w:t xml:space="preserve">Los despachos especializados en la materia de Pensiones Alimentarias cuentan con una estructura funcional similar, con al menos 3 técnicas o técnicos judiciales por cada Jueza o </w:t>
      </w:r>
      <w:r w:rsidR="004156C3">
        <w:rPr>
          <w:rFonts w:ascii="Book Antiqua" w:eastAsia="Calibri" w:hAnsi="Book Antiqua" w:cs="Arial"/>
          <w:sz w:val="24"/>
          <w:szCs w:val="24"/>
        </w:rPr>
        <w:t>J</w:t>
      </w:r>
      <w:r w:rsidRPr="00036F7A">
        <w:rPr>
          <w:rFonts w:ascii="Book Antiqua" w:eastAsia="Calibri" w:hAnsi="Book Antiqua" w:cs="Arial"/>
          <w:sz w:val="24"/>
          <w:szCs w:val="24"/>
        </w:rPr>
        <w:t>uez en los despachos, y un coordinador judicial</w:t>
      </w:r>
      <w:r>
        <w:rPr>
          <w:rFonts w:ascii="Book Antiqua" w:eastAsia="Calibri" w:hAnsi="Book Antiqua" w:cs="Arial"/>
          <w:sz w:val="24"/>
          <w:szCs w:val="24"/>
        </w:rPr>
        <w:t>.</w:t>
      </w:r>
    </w:p>
    <w:p w14:paraId="720384BB" w14:textId="77777777" w:rsidR="00036F7A" w:rsidRDefault="00036F7A" w:rsidP="00A65874">
      <w:pPr>
        <w:rPr>
          <w:rFonts w:ascii="Book Antiqua" w:eastAsia="Calibri" w:hAnsi="Book Antiqua" w:cs="Arial"/>
          <w:sz w:val="24"/>
          <w:szCs w:val="24"/>
        </w:rPr>
      </w:pPr>
    </w:p>
    <w:p w14:paraId="3A30FAF6" w14:textId="2D992BD1"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 xml:space="preserve">Cuadro </w:t>
      </w:r>
      <w:r w:rsidRPr="00036F7A">
        <w:rPr>
          <w:rFonts w:ascii="Book Antiqua" w:eastAsia="Calibri" w:hAnsi="Book Antiqua" w:cs="Arial"/>
          <w:b/>
          <w:bCs/>
          <w:color w:val="1F497D"/>
          <w:szCs w:val="24"/>
          <w:lang w:val="es-ES" w:eastAsia="es-ES"/>
        </w:rPr>
        <w:fldChar w:fldCharType="begin"/>
      </w:r>
      <w:r w:rsidRPr="00036F7A">
        <w:rPr>
          <w:rFonts w:ascii="Book Antiqua" w:eastAsia="Calibri" w:hAnsi="Book Antiqua" w:cs="Arial"/>
          <w:b/>
          <w:bCs/>
          <w:color w:val="1F497D"/>
          <w:szCs w:val="24"/>
          <w:lang w:val="es-ES" w:eastAsia="es-ES"/>
        </w:rPr>
        <w:instrText xml:space="preserve"> SEQ Cuadro \* ARABIC </w:instrText>
      </w:r>
      <w:r w:rsidRPr="00036F7A">
        <w:rPr>
          <w:rFonts w:ascii="Book Antiqua" w:eastAsia="Calibri" w:hAnsi="Book Antiqua" w:cs="Arial"/>
          <w:b/>
          <w:bCs/>
          <w:color w:val="1F497D"/>
          <w:szCs w:val="24"/>
          <w:lang w:val="es-ES" w:eastAsia="es-ES"/>
        </w:rPr>
        <w:fldChar w:fldCharType="separate"/>
      </w:r>
      <w:r w:rsidR="00950574">
        <w:rPr>
          <w:rFonts w:ascii="Book Antiqua" w:eastAsia="Calibri" w:hAnsi="Book Antiqua" w:cs="Arial"/>
          <w:b/>
          <w:bCs/>
          <w:noProof/>
          <w:color w:val="1F497D"/>
          <w:szCs w:val="24"/>
          <w:lang w:val="es-ES" w:eastAsia="es-ES"/>
        </w:rPr>
        <w:t>67</w:t>
      </w:r>
      <w:r w:rsidRPr="00036F7A">
        <w:rPr>
          <w:rFonts w:ascii="Book Antiqua" w:eastAsia="Calibri" w:hAnsi="Book Antiqua" w:cs="Arial"/>
          <w:b/>
          <w:bCs/>
          <w:color w:val="1F497D"/>
          <w:szCs w:val="24"/>
          <w:lang w:val="es-ES" w:eastAsia="es-ES"/>
        </w:rPr>
        <w:fldChar w:fldCharType="end"/>
      </w:r>
      <w:r w:rsidRPr="00036F7A">
        <w:rPr>
          <w:rFonts w:ascii="Book Antiqua" w:eastAsia="Calibri" w:hAnsi="Book Antiqua" w:cs="Arial"/>
          <w:b/>
          <w:bCs/>
          <w:color w:val="1F497D"/>
          <w:szCs w:val="24"/>
          <w:lang w:val="es-ES" w:eastAsia="es-ES"/>
        </w:rPr>
        <w:t xml:space="preserve"> </w:t>
      </w:r>
    </w:p>
    <w:p w14:paraId="0418755B" w14:textId="77777777"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 xml:space="preserve">Cantidad de personas en los juzgados </w:t>
      </w:r>
    </w:p>
    <w:p w14:paraId="395ACA33" w14:textId="77777777"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036F7A" w:rsidRPr="00036F7A" w14:paraId="3C241922" w14:textId="77777777" w:rsidTr="00306313">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7FE0FE6"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18B4DCF9"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6D8DFDF1"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7B53FD4F"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6029BC27"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Auxiliar de Servicios Generales</w:t>
            </w:r>
          </w:p>
        </w:tc>
      </w:tr>
      <w:tr w:rsidR="00036F7A" w:rsidRPr="00036F7A" w14:paraId="641A2E5A"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4FE4F595"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1DAE32DE"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3EE22B0B"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59A07E9"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012E30FE"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p>
        </w:tc>
      </w:tr>
      <w:tr w:rsidR="00036F7A" w:rsidRPr="00036F7A" w14:paraId="7778C254"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5B7127BC"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1F0E31F6"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7E9F7BF6"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7638527"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4FF7FB83"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p>
        </w:tc>
      </w:tr>
      <w:tr w:rsidR="00036F7A" w:rsidRPr="00036F7A" w14:paraId="6B4A0FB8"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EC40660"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 xml:space="preserve">Juzgado 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7135866F"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2D735061"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BDF5D0D"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3017DF7"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p>
        </w:tc>
      </w:tr>
      <w:tr w:rsidR="00036F7A" w:rsidRPr="00036F7A" w14:paraId="0B723918"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349FF62"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 xml:space="preserve">Juzgado 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18D70E9F"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D58B033"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E6C3E1D"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3997B11B"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r>
      <w:tr w:rsidR="00036F7A" w:rsidRPr="00036F7A" w14:paraId="045767BE"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80510DB"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 xml:space="preserve">Juzgado 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356471CF"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696EDA47"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CB8CBF4"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38753AA4"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p>
        </w:tc>
      </w:tr>
      <w:tr w:rsidR="00036F7A" w:rsidRPr="00036F7A" w14:paraId="38DF38E3"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2833A669"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6083E16F"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E6C509E"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C5D8973"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0B6EE8A2"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r>
      <w:tr w:rsidR="00036F7A" w:rsidRPr="00036F7A" w14:paraId="70F22EFC"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696327B"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II Circ. Jud. San José (Goicoechea)*</w:t>
            </w:r>
          </w:p>
        </w:tc>
        <w:tc>
          <w:tcPr>
            <w:tcW w:w="1247" w:type="dxa"/>
            <w:tcBorders>
              <w:top w:val="nil"/>
              <w:left w:val="nil"/>
              <w:bottom w:val="single" w:sz="4" w:space="0" w:color="auto"/>
              <w:right w:val="single" w:sz="4" w:space="0" w:color="auto"/>
            </w:tcBorders>
            <w:shd w:val="clear" w:color="auto" w:fill="auto"/>
            <w:noWrap/>
            <w:vAlign w:val="center"/>
            <w:hideMark/>
          </w:tcPr>
          <w:p w14:paraId="2B1B869B"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5A07ADB1"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739F40C8"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27</w:t>
            </w:r>
          </w:p>
        </w:tc>
        <w:tc>
          <w:tcPr>
            <w:tcW w:w="1247" w:type="dxa"/>
            <w:tcBorders>
              <w:top w:val="nil"/>
              <w:left w:val="nil"/>
              <w:bottom w:val="single" w:sz="4" w:space="0" w:color="auto"/>
              <w:right w:val="single" w:sz="4" w:space="0" w:color="auto"/>
            </w:tcBorders>
            <w:shd w:val="clear" w:color="auto" w:fill="auto"/>
            <w:vAlign w:val="center"/>
          </w:tcPr>
          <w:p w14:paraId="3F851E8F"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p>
        </w:tc>
      </w:tr>
      <w:tr w:rsidR="00036F7A" w:rsidRPr="00036F7A" w14:paraId="792D522E"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6016DFD"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4FE540E0"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F6B388"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2404D"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3D797FEC"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p>
        </w:tc>
      </w:tr>
      <w:tr w:rsidR="00036F7A" w:rsidRPr="00036F7A" w14:paraId="4164EE0A"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AB6998F"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2A2DDDB0"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3C9E8181"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7DB002A"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17A21DFB"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p>
        </w:tc>
      </w:tr>
      <w:tr w:rsidR="00036F7A" w:rsidRPr="00036F7A" w14:paraId="065EC3C4"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80CD6E3" w14:textId="7777777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7F9CB9D2"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A91BB0E"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3C1D50B"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3E16A904"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r>
      <w:tr w:rsidR="00036F7A" w:rsidRPr="00036F7A" w14:paraId="44E0BD74" w14:textId="77777777" w:rsidTr="00306313">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C88EA5A" w14:textId="018FE797"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Sarapiquí</w:t>
            </w:r>
            <w:r w:rsidR="004156C3" w:rsidRPr="00C46203">
              <w:rPr>
                <w:rFonts w:ascii="Book Antiqua" w:eastAsia="Times New Roman" w:hAnsi="Book Antiqua" w:cs="Times New Roman"/>
                <w:color w:val="000000"/>
                <w:sz w:val="20"/>
                <w:szCs w:val="2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2B9368B8"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1253595"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856DB2"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68CE13F6"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r>
      <w:tr w:rsidR="00036F7A" w:rsidRPr="00036F7A" w14:paraId="458575FF" w14:textId="77777777" w:rsidTr="00306313">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7CD0D2FE" w14:textId="18B65BFB" w:rsidR="00036F7A" w:rsidRPr="00C46203" w:rsidRDefault="00036F7A" w:rsidP="00036F7A">
            <w:pPr>
              <w:spacing w:after="0" w:line="276" w:lineRule="auto"/>
              <w:jc w:val="both"/>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Juzgado Pensiones Alimentarias Nicoya**</w:t>
            </w:r>
            <w:r w:rsidR="004908ED" w:rsidRPr="00C46203">
              <w:rPr>
                <w:rFonts w:ascii="Book Antiqua" w:eastAsia="Times New Roman" w:hAnsi="Book Antiqua" w:cs="Times New Roman"/>
                <w:color w:val="000000"/>
                <w:sz w:val="20"/>
                <w:szCs w:val="2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tcPr>
          <w:p w14:paraId="723B61E4"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B275F56"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60815BA7"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r w:rsidRPr="00C46203">
              <w:rPr>
                <w:rFonts w:ascii="Book Antiqua" w:eastAsia="Times New Roman" w:hAnsi="Book Antiqua" w:cs="Times New Roman"/>
                <w:color w:val="000000"/>
                <w:sz w:val="20"/>
                <w:szCs w:val="2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5DA607C8" w14:textId="77777777" w:rsidR="00036F7A" w:rsidRPr="00C46203" w:rsidRDefault="00036F7A" w:rsidP="00036F7A">
            <w:pPr>
              <w:spacing w:after="0" w:line="276" w:lineRule="auto"/>
              <w:jc w:val="center"/>
              <w:rPr>
                <w:rFonts w:ascii="Book Antiqua" w:eastAsia="Times New Roman" w:hAnsi="Book Antiqua" w:cs="Times New Roman"/>
                <w:color w:val="000000"/>
                <w:sz w:val="20"/>
                <w:szCs w:val="20"/>
                <w:lang w:val="es-ES" w:eastAsia="es-ES"/>
              </w:rPr>
            </w:pPr>
          </w:p>
        </w:tc>
      </w:tr>
      <w:tr w:rsidR="00036F7A" w:rsidRPr="00036F7A" w14:paraId="3E93360C" w14:textId="77777777" w:rsidTr="00306313">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2C0C9885" w14:textId="77777777" w:rsidR="00036F7A" w:rsidRPr="00C46203" w:rsidRDefault="00036F7A" w:rsidP="00036F7A">
            <w:pPr>
              <w:spacing w:after="0" w:line="276" w:lineRule="auto"/>
              <w:jc w:val="right"/>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7A43FAD5"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1CFAB963"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13</w:t>
            </w:r>
          </w:p>
        </w:tc>
        <w:tc>
          <w:tcPr>
            <w:tcW w:w="1247" w:type="dxa"/>
            <w:tcBorders>
              <w:top w:val="nil"/>
              <w:left w:val="nil"/>
              <w:bottom w:val="single" w:sz="4" w:space="0" w:color="auto"/>
              <w:right w:val="single" w:sz="4" w:space="0" w:color="auto"/>
            </w:tcBorders>
            <w:shd w:val="clear" w:color="000000" w:fill="808080"/>
            <w:noWrap/>
            <w:vAlign w:val="center"/>
            <w:hideMark/>
          </w:tcPr>
          <w:p w14:paraId="59A6D61E"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152</w:t>
            </w:r>
          </w:p>
        </w:tc>
        <w:tc>
          <w:tcPr>
            <w:tcW w:w="1247" w:type="dxa"/>
            <w:tcBorders>
              <w:top w:val="nil"/>
              <w:left w:val="nil"/>
              <w:bottom w:val="single" w:sz="4" w:space="0" w:color="auto"/>
              <w:right w:val="single" w:sz="4" w:space="0" w:color="auto"/>
            </w:tcBorders>
            <w:shd w:val="clear" w:color="000000" w:fill="808080"/>
            <w:noWrap/>
            <w:vAlign w:val="center"/>
            <w:hideMark/>
          </w:tcPr>
          <w:p w14:paraId="70711DDA" w14:textId="77777777" w:rsidR="00036F7A" w:rsidRPr="00C46203" w:rsidRDefault="00036F7A" w:rsidP="00036F7A">
            <w:pPr>
              <w:spacing w:after="0" w:line="276" w:lineRule="auto"/>
              <w:jc w:val="center"/>
              <w:rPr>
                <w:rFonts w:ascii="Book Antiqua" w:eastAsia="Times New Roman" w:hAnsi="Book Antiqua" w:cs="Times New Roman"/>
                <w:b/>
                <w:bCs/>
                <w:color w:val="FFFFFF"/>
                <w:sz w:val="20"/>
                <w:szCs w:val="20"/>
                <w:lang w:val="es-ES" w:eastAsia="es-ES"/>
              </w:rPr>
            </w:pPr>
            <w:r w:rsidRPr="00C46203">
              <w:rPr>
                <w:rFonts w:ascii="Book Antiqua" w:eastAsia="Times New Roman" w:hAnsi="Book Antiqua" w:cs="Times New Roman"/>
                <w:b/>
                <w:bCs/>
                <w:color w:val="FFFFFF"/>
                <w:sz w:val="20"/>
                <w:szCs w:val="20"/>
                <w:lang w:val="es-ES" w:eastAsia="es-ES"/>
              </w:rPr>
              <w:t>4</w:t>
            </w:r>
          </w:p>
        </w:tc>
      </w:tr>
    </w:tbl>
    <w:p w14:paraId="185DCE29" w14:textId="4D427067" w:rsidR="00036F7A" w:rsidRPr="00036F7A" w:rsidRDefault="00CA58D9" w:rsidP="00C46203">
      <w:pPr>
        <w:spacing w:after="0" w:line="240" w:lineRule="auto"/>
        <w:jc w:val="both"/>
        <w:rPr>
          <w:rFonts w:ascii="Book Antiqua" w:hAnsi="Book Antiqua"/>
          <w:i/>
          <w:iCs/>
          <w:lang w:val="es-ES"/>
        </w:rPr>
      </w:pPr>
      <w:r>
        <w:rPr>
          <w:rFonts w:ascii="Book Antiqua" w:hAnsi="Book Antiqua"/>
          <w:i/>
          <w:iCs/>
          <w:lang w:val="es-ES"/>
        </w:rPr>
        <w:t xml:space="preserve"> </w:t>
      </w:r>
      <w:r w:rsidR="00036F7A" w:rsidRPr="006906D4">
        <w:rPr>
          <w:rFonts w:ascii="Book Antiqua" w:hAnsi="Book Antiqua"/>
          <w:b/>
          <w:bCs/>
          <w:i/>
          <w:iCs/>
          <w:lang w:val="es-ES"/>
        </w:rPr>
        <w:t>Fuente:</w:t>
      </w:r>
      <w:r w:rsidR="00036F7A" w:rsidRPr="00036F7A">
        <w:rPr>
          <w:rFonts w:ascii="Book Antiqua" w:hAnsi="Book Antiqua"/>
          <w:i/>
          <w:iCs/>
          <w:lang w:val="es-ES"/>
        </w:rPr>
        <w:t xml:space="preserve"> </w:t>
      </w:r>
      <w:r w:rsidR="00C46203">
        <w:rPr>
          <w:rFonts w:ascii="Book Antiqua" w:hAnsi="Book Antiqua"/>
          <w:i/>
          <w:iCs/>
          <w:lang w:val="es-ES"/>
        </w:rPr>
        <w:t xml:space="preserve">Subproceso de </w:t>
      </w:r>
      <w:r w:rsidR="00036F7A" w:rsidRPr="00036F7A">
        <w:rPr>
          <w:rFonts w:ascii="Book Antiqua" w:hAnsi="Book Antiqua"/>
          <w:i/>
          <w:iCs/>
          <w:lang w:val="es-ES"/>
        </w:rPr>
        <w:t>Modernización Institucional</w:t>
      </w:r>
      <w:r w:rsidR="00036F7A">
        <w:rPr>
          <w:rFonts w:ascii="Book Antiqua" w:hAnsi="Book Antiqua"/>
          <w:i/>
          <w:iCs/>
          <w:lang w:val="es-ES"/>
        </w:rPr>
        <w:t xml:space="preserve"> con</w:t>
      </w:r>
      <w:r w:rsidR="00036F7A" w:rsidRPr="00036F7A">
        <w:rPr>
          <w:rFonts w:ascii="Book Antiqua" w:hAnsi="Book Antiqua"/>
          <w:i/>
          <w:iCs/>
          <w:lang w:val="es-ES"/>
        </w:rPr>
        <w:t xml:space="preserve"> base </w:t>
      </w:r>
      <w:r w:rsidR="00C46203">
        <w:rPr>
          <w:rFonts w:ascii="Book Antiqua" w:hAnsi="Book Antiqua"/>
          <w:i/>
          <w:iCs/>
          <w:lang w:val="es-ES"/>
        </w:rPr>
        <w:t xml:space="preserve">en </w:t>
      </w:r>
      <w:r w:rsidR="00C46203" w:rsidRPr="00036F7A">
        <w:rPr>
          <w:rFonts w:ascii="Book Antiqua" w:hAnsi="Book Antiqua"/>
          <w:i/>
          <w:iCs/>
          <w:lang w:val="es-ES"/>
        </w:rPr>
        <w:t>la</w:t>
      </w:r>
      <w:r w:rsidR="00036F7A" w:rsidRPr="00036F7A">
        <w:rPr>
          <w:rFonts w:ascii="Book Antiqua" w:hAnsi="Book Antiqua"/>
          <w:i/>
          <w:iCs/>
          <w:lang w:val="es-ES"/>
        </w:rPr>
        <w:t xml:space="preserve"> relación de puestos del </w:t>
      </w:r>
      <w:r w:rsidR="00036F7A" w:rsidRPr="00464E4E">
        <w:rPr>
          <w:rFonts w:ascii="Book Antiqua" w:hAnsi="Book Antiqua"/>
          <w:i/>
          <w:iCs/>
          <w:lang w:val="es-ES"/>
        </w:rPr>
        <w:t>2020.</w:t>
      </w:r>
    </w:p>
    <w:p w14:paraId="61BABACE" w14:textId="7F176891" w:rsidR="00036F7A" w:rsidRPr="00036F7A" w:rsidRDefault="00036F7A" w:rsidP="00C46203">
      <w:pPr>
        <w:spacing w:after="0" w:line="240" w:lineRule="auto"/>
        <w:jc w:val="both"/>
        <w:rPr>
          <w:rFonts w:ascii="Book Antiqua" w:hAnsi="Book Antiqua"/>
          <w:i/>
          <w:iCs/>
          <w:lang w:val="es-ES"/>
        </w:rPr>
      </w:pPr>
      <w:r w:rsidRPr="00C46203">
        <w:rPr>
          <w:rFonts w:ascii="Book Antiqua" w:hAnsi="Book Antiqua"/>
          <w:b/>
          <w:bCs/>
          <w:i/>
          <w:iCs/>
          <w:lang w:val="es-ES"/>
        </w:rPr>
        <w:t>Nota *:</w:t>
      </w:r>
      <w:r w:rsidRPr="00036F7A">
        <w:rPr>
          <w:rFonts w:ascii="Book Antiqua" w:hAnsi="Book Antiqua"/>
          <w:i/>
          <w:iCs/>
          <w:lang w:val="es-ES"/>
        </w:rPr>
        <w:t xml:space="preserve"> El Juzgado de PA del II CJ San José, cuenta desde el 2011 con una plaza adicional de Jueza o Juez del </w:t>
      </w:r>
      <w:r w:rsidR="00672F59">
        <w:rPr>
          <w:rFonts w:ascii="Book Antiqua" w:hAnsi="Book Antiqua"/>
          <w:i/>
          <w:iCs/>
          <w:lang w:val="es-ES"/>
        </w:rPr>
        <w:t>Centro de Conciliaciones</w:t>
      </w:r>
      <w:r w:rsidRPr="00036F7A">
        <w:rPr>
          <w:rFonts w:ascii="Book Antiqua" w:hAnsi="Book Antiqua"/>
          <w:i/>
          <w:iCs/>
          <w:lang w:val="es-ES"/>
        </w:rPr>
        <w:t>, para un total de 13 recursos de persona juzgadora</w:t>
      </w:r>
      <w:r w:rsidR="00672F59">
        <w:rPr>
          <w:rFonts w:ascii="Book Antiqua" w:hAnsi="Book Antiqua"/>
          <w:i/>
          <w:iCs/>
          <w:lang w:val="es-ES"/>
        </w:rPr>
        <w:t>. Referencia interna 1683-2021.</w:t>
      </w:r>
    </w:p>
    <w:p w14:paraId="3AE3C239" w14:textId="173E0D9B" w:rsidR="00036F7A" w:rsidRPr="00036F7A" w:rsidRDefault="00036F7A" w:rsidP="00C46203">
      <w:pPr>
        <w:spacing w:after="0" w:line="240" w:lineRule="auto"/>
        <w:jc w:val="both"/>
        <w:rPr>
          <w:rFonts w:ascii="Book Antiqua" w:hAnsi="Book Antiqua"/>
          <w:i/>
          <w:iCs/>
          <w:lang w:val="es-ES"/>
        </w:rPr>
      </w:pPr>
      <w:r w:rsidRPr="00C46203">
        <w:rPr>
          <w:rFonts w:ascii="Book Antiqua" w:hAnsi="Book Antiqua"/>
          <w:b/>
          <w:bCs/>
          <w:i/>
          <w:iCs/>
          <w:lang w:val="es-ES"/>
        </w:rPr>
        <w:t>Nota **:</w:t>
      </w:r>
      <w:r w:rsidRPr="00036F7A">
        <w:rPr>
          <w:rFonts w:ascii="Book Antiqua" w:hAnsi="Book Antiqua"/>
          <w:i/>
          <w:iCs/>
          <w:lang w:val="es-ES"/>
        </w:rPr>
        <w:t xml:space="preserve"> La plaza es compartida con el Juzgado Contravencional de Sarapiquí.  Solo permanece una audiencia en el sitio, quien debe realizar las funciones a fines a su puesto, por no contar con servicios de limpieza en la zona</w:t>
      </w:r>
      <w:r w:rsidR="00A46B83">
        <w:rPr>
          <w:rFonts w:ascii="Book Antiqua" w:hAnsi="Book Antiqua"/>
          <w:i/>
          <w:iCs/>
          <w:lang w:val="es-ES"/>
        </w:rPr>
        <w:t xml:space="preserve">, </w:t>
      </w:r>
      <w:r w:rsidR="00A46B83" w:rsidRPr="00EF2097">
        <w:rPr>
          <w:rFonts w:ascii="Book Antiqua" w:hAnsi="Book Antiqua"/>
          <w:i/>
          <w:iCs/>
          <w:lang w:val="es-ES"/>
        </w:rPr>
        <w:t xml:space="preserve">ya la Dirección </w:t>
      </w:r>
      <w:r w:rsidR="00FF27E1" w:rsidRPr="00EF2097">
        <w:rPr>
          <w:rFonts w:ascii="Book Antiqua" w:hAnsi="Book Antiqua"/>
          <w:i/>
          <w:iCs/>
          <w:lang w:val="es-ES"/>
        </w:rPr>
        <w:t>E</w:t>
      </w:r>
      <w:r w:rsidR="00A46B83" w:rsidRPr="00EF2097">
        <w:rPr>
          <w:rFonts w:ascii="Book Antiqua" w:hAnsi="Book Antiqua"/>
          <w:i/>
          <w:iCs/>
          <w:lang w:val="es-ES"/>
        </w:rPr>
        <w:t xml:space="preserve">jecutiva </w:t>
      </w:r>
      <w:r w:rsidR="00160230" w:rsidRPr="00EF2097">
        <w:rPr>
          <w:rFonts w:ascii="Book Antiqua" w:hAnsi="Book Antiqua"/>
          <w:i/>
          <w:iCs/>
          <w:lang w:val="es-ES"/>
        </w:rPr>
        <w:t>está</w:t>
      </w:r>
      <w:r w:rsidR="00A46B83" w:rsidRPr="00EF2097">
        <w:rPr>
          <w:rFonts w:ascii="Book Antiqua" w:hAnsi="Book Antiqua"/>
          <w:i/>
          <w:iCs/>
          <w:lang w:val="es-ES"/>
        </w:rPr>
        <w:t xml:space="preserve"> en proceso de contratación </w:t>
      </w:r>
      <w:r w:rsidR="00DA5C24" w:rsidRPr="00EF2097">
        <w:rPr>
          <w:rFonts w:ascii="Book Antiqua" w:hAnsi="Book Antiqua"/>
          <w:i/>
          <w:iCs/>
          <w:lang w:val="es-ES"/>
        </w:rPr>
        <w:t>d</w:t>
      </w:r>
      <w:r w:rsidR="00A46B83" w:rsidRPr="00EF2097">
        <w:rPr>
          <w:rFonts w:ascii="Book Antiqua" w:hAnsi="Book Antiqua"/>
          <w:i/>
          <w:iCs/>
          <w:lang w:val="es-ES"/>
        </w:rPr>
        <w:t>el servicio privado</w:t>
      </w:r>
      <w:r w:rsidRPr="00EF2097">
        <w:rPr>
          <w:rFonts w:ascii="Book Antiqua" w:hAnsi="Book Antiqua"/>
          <w:i/>
          <w:iCs/>
          <w:lang w:val="es-ES"/>
        </w:rPr>
        <w:t>.</w:t>
      </w:r>
      <w:r w:rsidR="00A46B83" w:rsidRPr="00A46B83">
        <w:rPr>
          <w:rFonts w:ascii="Book Antiqua" w:hAnsi="Book Antiqua"/>
          <w:i/>
          <w:iCs/>
          <w:lang w:val="es-ES"/>
        </w:rPr>
        <w:t xml:space="preserve"> </w:t>
      </w:r>
      <w:r w:rsidR="00A46B83">
        <w:rPr>
          <w:rFonts w:ascii="Book Antiqua" w:hAnsi="Book Antiqua"/>
          <w:i/>
          <w:iCs/>
          <w:lang w:val="es-ES"/>
        </w:rPr>
        <w:t xml:space="preserve">Esta plaza se recomienda reasignar a Técnico Judicial. Implementación pendiente-Informe 110-PLA-MI-2022.  </w:t>
      </w:r>
    </w:p>
    <w:p w14:paraId="0EFC5685" w14:textId="72C1FE1A" w:rsidR="004156C3" w:rsidRPr="00036F7A" w:rsidRDefault="004156C3" w:rsidP="00C46203">
      <w:pPr>
        <w:spacing w:after="0" w:line="240" w:lineRule="auto"/>
        <w:jc w:val="both"/>
        <w:rPr>
          <w:rFonts w:ascii="Book Antiqua" w:hAnsi="Book Antiqua"/>
          <w:i/>
          <w:iCs/>
          <w:lang w:val="es-ES"/>
        </w:rPr>
      </w:pPr>
      <w:r w:rsidRPr="00C46203">
        <w:rPr>
          <w:rFonts w:ascii="Book Antiqua" w:hAnsi="Book Antiqua"/>
          <w:b/>
          <w:bCs/>
          <w:i/>
          <w:iCs/>
          <w:lang w:val="es-ES"/>
        </w:rPr>
        <w:t>Nota***:</w:t>
      </w:r>
      <w:r w:rsidRPr="00036F7A">
        <w:rPr>
          <w:rFonts w:ascii="Book Antiqua" w:hAnsi="Book Antiqua"/>
          <w:i/>
          <w:iCs/>
          <w:lang w:val="es-ES"/>
        </w:rPr>
        <w:t xml:space="preserve"> Juzgado especializado a partir del acuerdo del Consejo Superior en sesión 34-19 celebrada el 19 de agosto de 2019, Artículo XIX, se incluye la información estadística del </w:t>
      </w:r>
      <w:r w:rsidRPr="004908ED">
        <w:rPr>
          <w:rFonts w:ascii="Book Antiqua" w:hAnsi="Book Antiqua"/>
          <w:i/>
          <w:iCs/>
          <w:lang w:val="es-ES"/>
        </w:rPr>
        <w:t>2019.</w:t>
      </w:r>
      <w:r w:rsidRPr="00036F7A">
        <w:rPr>
          <w:rFonts w:ascii="Book Antiqua" w:hAnsi="Book Antiqua"/>
          <w:i/>
          <w:iCs/>
          <w:lang w:val="es-ES"/>
        </w:rPr>
        <w:t xml:space="preserve"> </w:t>
      </w:r>
    </w:p>
    <w:p w14:paraId="06FF6D2A" w14:textId="1727CC14" w:rsidR="008A5896" w:rsidRDefault="008A5896" w:rsidP="00036F7A">
      <w:pPr>
        <w:rPr>
          <w:lang w:val="es-ES"/>
        </w:rPr>
      </w:pPr>
    </w:p>
    <w:p w14:paraId="112C33E9" w14:textId="04F71F80" w:rsidR="008A5896" w:rsidRPr="00330700" w:rsidRDefault="00CA58D9" w:rsidP="000047F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Proceso de Tramitación General</w:t>
      </w:r>
    </w:p>
    <w:p w14:paraId="693E53F5" w14:textId="77777777" w:rsidR="00330700" w:rsidRDefault="00330700" w:rsidP="00330700">
      <w:pPr>
        <w:spacing w:after="0" w:line="276" w:lineRule="auto"/>
        <w:jc w:val="both"/>
        <w:rPr>
          <w:rFonts w:ascii="Book Antiqua" w:eastAsia="Calibri" w:hAnsi="Book Antiqua" w:cs="Arial"/>
          <w:b/>
          <w:bCs/>
          <w:sz w:val="24"/>
          <w:szCs w:val="24"/>
        </w:rPr>
      </w:pPr>
    </w:p>
    <w:p w14:paraId="693F09FD" w14:textId="293B7683" w:rsidR="00005309" w:rsidRPr="00330700" w:rsidRDefault="00005309"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 xml:space="preserve">Duración de los procesos Pensiones Alimentarias </w:t>
      </w:r>
    </w:p>
    <w:p w14:paraId="429AB5BE" w14:textId="77777777" w:rsidR="00835544" w:rsidRPr="00835544" w:rsidRDefault="00835544" w:rsidP="00835544">
      <w:pPr>
        <w:spacing w:after="0" w:line="276" w:lineRule="auto"/>
        <w:jc w:val="both"/>
        <w:rPr>
          <w:rFonts w:ascii="Book Antiqua" w:eastAsia="Calibri" w:hAnsi="Book Antiqua" w:cs="Arial"/>
          <w:b/>
          <w:bCs/>
          <w:i/>
          <w:iCs/>
          <w:sz w:val="24"/>
          <w:szCs w:val="24"/>
        </w:rPr>
      </w:pPr>
    </w:p>
    <w:p w14:paraId="29843650" w14:textId="26F36AFA"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del Juez Gestor en materia de Pensiones Alimentarias. </w:t>
      </w:r>
    </w:p>
    <w:p w14:paraId="50245FD9" w14:textId="34D5E70D" w:rsid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Adicionalmente, se diagraman los principales procesos en materia de </w:t>
      </w:r>
      <w:r w:rsidR="00D35C60">
        <w:rPr>
          <w:rFonts w:ascii="Book Antiqua" w:eastAsia="Calibri" w:hAnsi="Book Antiqua" w:cs="Arial"/>
          <w:sz w:val="24"/>
          <w:szCs w:val="24"/>
        </w:rPr>
        <w:t>Pensiones Alimentarias</w:t>
      </w:r>
      <w:r w:rsidRPr="00835544">
        <w:rPr>
          <w:rFonts w:ascii="Book Antiqua" w:eastAsia="Calibri" w:hAnsi="Book Antiqua" w:cs="Arial"/>
          <w:sz w:val="24"/>
          <w:szCs w:val="24"/>
        </w:rPr>
        <w:t xml:space="preserve"> con el apoyo del Lic. Cristian Martínez Hernández, Juez Gestor de Familia del Centro de Apoyo, Coordinación y Mejoramiento de la Función Jurisdiccional con la duración por tarea (</w:t>
      </w:r>
      <w:r w:rsidRPr="004908ED">
        <w:rPr>
          <w:rFonts w:ascii="Book Antiqua" w:eastAsia="Calibri" w:hAnsi="Book Antiqua" w:cs="Arial"/>
          <w:b/>
          <w:bCs/>
          <w:i/>
          <w:iCs/>
          <w:sz w:val="24"/>
          <w:szCs w:val="24"/>
        </w:rPr>
        <w:t>anexo 1</w:t>
      </w:r>
      <w:r w:rsidR="00EB4BCD">
        <w:rPr>
          <w:rFonts w:ascii="Book Antiqua" w:eastAsia="Calibri" w:hAnsi="Book Antiqua" w:cs="Arial"/>
          <w:b/>
          <w:bCs/>
          <w:i/>
          <w:iCs/>
          <w:sz w:val="24"/>
          <w:szCs w:val="24"/>
        </w:rPr>
        <w:t>9</w:t>
      </w:r>
      <w:r w:rsidRPr="004908ED">
        <w:rPr>
          <w:rFonts w:ascii="Book Antiqua" w:eastAsia="Calibri" w:hAnsi="Book Antiqua" w:cs="Arial"/>
          <w:sz w:val="24"/>
          <w:szCs w:val="24"/>
        </w:rPr>
        <w:t>).</w:t>
      </w:r>
      <w:r w:rsidRPr="00835544">
        <w:rPr>
          <w:rFonts w:ascii="Book Antiqua" w:eastAsia="Calibri" w:hAnsi="Book Antiqua" w:cs="Arial"/>
          <w:sz w:val="24"/>
          <w:szCs w:val="24"/>
        </w:rPr>
        <w:t xml:space="preserve"> </w:t>
      </w:r>
    </w:p>
    <w:p w14:paraId="1E7DD7EF" w14:textId="77777777" w:rsidR="00835544" w:rsidRPr="00835544" w:rsidRDefault="00835544" w:rsidP="00835544">
      <w:pPr>
        <w:spacing w:after="0" w:line="276" w:lineRule="auto"/>
        <w:jc w:val="both"/>
        <w:rPr>
          <w:rFonts w:ascii="Book Antiqua" w:eastAsia="Calibri" w:hAnsi="Book Antiqua" w:cs="Arial"/>
          <w:sz w:val="24"/>
          <w:szCs w:val="24"/>
        </w:rPr>
      </w:pPr>
    </w:p>
    <w:p w14:paraId="73FD3F58" w14:textId="5E481E1D" w:rsidR="00005309" w:rsidRPr="00330700" w:rsidRDefault="00005309"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Reparto de los procesos Pensiones Alimentarias</w:t>
      </w:r>
    </w:p>
    <w:p w14:paraId="71D8F322" w14:textId="77777777" w:rsidR="00835544" w:rsidRPr="00835544" w:rsidRDefault="00835544" w:rsidP="00835544">
      <w:pPr>
        <w:spacing w:after="0" w:line="276" w:lineRule="auto"/>
        <w:jc w:val="both"/>
        <w:rPr>
          <w:rFonts w:ascii="Book Antiqua" w:eastAsia="Calibri" w:hAnsi="Book Antiqua" w:cs="Arial"/>
          <w:b/>
          <w:bCs/>
          <w:i/>
          <w:iCs/>
          <w:sz w:val="24"/>
          <w:szCs w:val="24"/>
        </w:rPr>
      </w:pPr>
    </w:p>
    <w:p w14:paraId="2AF4499A" w14:textId="5D950115"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En atención a la recomendación 4.6 de la Contraloría General de la República, se </w:t>
      </w:r>
      <w:r w:rsidRPr="004908ED">
        <w:rPr>
          <w:rFonts w:ascii="Book Antiqua" w:eastAsia="Calibri" w:hAnsi="Book Antiqua" w:cs="Arial"/>
          <w:sz w:val="24"/>
          <w:szCs w:val="24"/>
        </w:rPr>
        <w:t>progra</w:t>
      </w:r>
      <w:r w:rsidR="004908ED" w:rsidRPr="004908ED">
        <w:rPr>
          <w:rFonts w:ascii="Book Antiqua" w:eastAsia="Calibri" w:hAnsi="Book Antiqua" w:cs="Arial"/>
          <w:sz w:val="24"/>
          <w:szCs w:val="24"/>
        </w:rPr>
        <w:t xml:space="preserve">mó </w:t>
      </w:r>
      <w:r w:rsidRPr="004908ED">
        <w:rPr>
          <w:rFonts w:ascii="Book Antiqua" w:eastAsia="Calibri" w:hAnsi="Book Antiqua" w:cs="Arial"/>
          <w:sz w:val="24"/>
          <w:szCs w:val="24"/>
        </w:rPr>
        <w:t>la configuración del reparto automático en los Juzgados de Pensiones Alimentarias a nivel nacional por “clase de asunto”.</w:t>
      </w:r>
      <w:r w:rsidRPr="00835544">
        <w:rPr>
          <w:rFonts w:ascii="Book Antiqua" w:eastAsia="Calibri" w:hAnsi="Book Antiqua" w:cs="Arial"/>
          <w:sz w:val="24"/>
          <w:szCs w:val="24"/>
        </w:rPr>
        <w:t xml:space="preserve"> Considerando también la estructura funcional de los despachos en el caso de los especializados, en donde se tendrá una primera asignación para la audiencia temprana y después para su tramitación respectiva.</w:t>
      </w:r>
    </w:p>
    <w:p w14:paraId="0C4D9E51" w14:textId="0013534E" w:rsid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Sin embargo, con la entrada en vigencia de la Ley y la creación de nuevos procedimientos en Violencia Doméstica, se coordinará con la Dirección de Tecnología de la Información </w:t>
      </w:r>
      <w:r w:rsidR="00C065F0">
        <w:rPr>
          <w:rFonts w:ascii="Book Antiqua" w:eastAsia="Calibri" w:hAnsi="Book Antiqua" w:cs="Arial"/>
          <w:sz w:val="24"/>
          <w:szCs w:val="24"/>
        </w:rPr>
        <w:t xml:space="preserve">y Comunicaciones </w:t>
      </w:r>
      <w:r w:rsidRPr="00835544">
        <w:rPr>
          <w:rFonts w:ascii="Book Antiqua" w:eastAsia="Calibri" w:hAnsi="Book Antiqua" w:cs="Arial"/>
          <w:sz w:val="24"/>
          <w:szCs w:val="24"/>
        </w:rPr>
        <w:t>para la aplicación del reparto por “</w:t>
      </w:r>
      <w:r w:rsidRPr="00835544">
        <w:rPr>
          <w:rFonts w:ascii="Book Antiqua" w:eastAsia="Calibri" w:hAnsi="Book Antiqua" w:cs="Arial"/>
          <w:b/>
          <w:bCs/>
          <w:i/>
          <w:iCs/>
          <w:sz w:val="24"/>
          <w:szCs w:val="24"/>
        </w:rPr>
        <w:t>procedimiento.</w:t>
      </w:r>
      <w:r w:rsidRPr="00835544">
        <w:rPr>
          <w:rFonts w:ascii="Book Antiqua" w:eastAsia="Calibri" w:hAnsi="Book Antiqua" w:cs="Arial"/>
          <w:sz w:val="24"/>
          <w:szCs w:val="24"/>
        </w:rPr>
        <w:t xml:space="preserve">”.  </w:t>
      </w:r>
    </w:p>
    <w:p w14:paraId="2FF2AA07" w14:textId="77777777" w:rsidR="00EC3391" w:rsidRPr="00835544" w:rsidRDefault="00EC3391" w:rsidP="00835544">
      <w:pPr>
        <w:spacing w:after="0" w:line="276" w:lineRule="auto"/>
        <w:jc w:val="both"/>
        <w:rPr>
          <w:rFonts w:ascii="Book Antiqua" w:eastAsia="Calibri" w:hAnsi="Book Antiqua" w:cs="Arial"/>
          <w:sz w:val="24"/>
          <w:szCs w:val="24"/>
        </w:rPr>
      </w:pPr>
    </w:p>
    <w:p w14:paraId="12CB13A4" w14:textId="77777777" w:rsidR="004069D9"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Cabe mencionar que actualmente se está coordinando por parte de la Dirección de Planificación con la Dirección de Tecnología de la Información </w:t>
      </w:r>
      <w:r w:rsidR="00C065F0">
        <w:rPr>
          <w:rFonts w:ascii="Book Antiqua" w:eastAsia="Calibri" w:hAnsi="Book Antiqua" w:cs="Arial"/>
          <w:sz w:val="24"/>
          <w:szCs w:val="24"/>
        </w:rPr>
        <w:t xml:space="preserve">y Comunicaciones </w:t>
      </w:r>
      <w:r w:rsidRPr="00835544">
        <w:rPr>
          <w:rFonts w:ascii="Book Antiqua" w:eastAsia="Calibri" w:hAnsi="Book Antiqua" w:cs="Arial"/>
          <w:sz w:val="24"/>
          <w:szCs w:val="24"/>
        </w:rPr>
        <w:t>una mejora al “</w:t>
      </w:r>
      <w:r w:rsidRPr="00835544">
        <w:rPr>
          <w:rFonts w:ascii="Book Antiqua" w:eastAsia="Calibri" w:hAnsi="Book Antiqua" w:cs="Arial"/>
          <w:i/>
          <w:iCs/>
          <w:sz w:val="24"/>
          <w:szCs w:val="24"/>
        </w:rPr>
        <w:t>reparto por procedimiento”</w:t>
      </w:r>
      <w:r w:rsidRPr="00835544">
        <w:rPr>
          <w:rFonts w:ascii="Book Antiqua" w:eastAsia="Calibri" w:hAnsi="Book Antiqua" w:cs="Arial"/>
          <w:sz w:val="24"/>
          <w:szCs w:val="24"/>
        </w:rPr>
        <w:t xml:space="preserve"> (para que los reentrados no ingresen al rol de reparto o variaciones por cambios de procedimientos posteriores.</w:t>
      </w:r>
    </w:p>
    <w:p w14:paraId="6F43D0D2" w14:textId="73DD7B2B"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El requerimiento de mejora fue presentado por la Gestora en materia Civil la Licenciada Adriana Sequeira Muñoz y la Dirección de Planificación mediante correo electrónico del 15 de diciembre de 2020 (</w:t>
      </w:r>
      <w:r w:rsidRPr="00B366F3">
        <w:rPr>
          <w:rFonts w:ascii="Book Antiqua" w:eastAsia="Calibri" w:hAnsi="Book Antiqua" w:cs="Arial"/>
          <w:b/>
          <w:bCs/>
          <w:i/>
          <w:iCs/>
          <w:sz w:val="24"/>
          <w:szCs w:val="24"/>
        </w:rPr>
        <w:t xml:space="preserve">anexo </w:t>
      </w:r>
      <w:r w:rsidR="00B366F3" w:rsidRPr="00B366F3">
        <w:rPr>
          <w:rFonts w:ascii="Book Antiqua" w:eastAsia="Calibri" w:hAnsi="Book Antiqua" w:cs="Arial"/>
          <w:b/>
          <w:bCs/>
          <w:i/>
          <w:iCs/>
          <w:sz w:val="24"/>
          <w:szCs w:val="24"/>
        </w:rPr>
        <w:t>5</w:t>
      </w:r>
      <w:r w:rsidRPr="00B366F3">
        <w:rPr>
          <w:rFonts w:ascii="Book Antiqua" w:eastAsia="Calibri" w:hAnsi="Book Antiqua" w:cs="Arial"/>
          <w:sz w:val="24"/>
          <w:szCs w:val="24"/>
        </w:rPr>
        <w:t>).</w:t>
      </w:r>
    </w:p>
    <w:p w14:paraId="6C7EE11E" w14:textId="77777777" w:rsidR="003A5A9F" w:rsidRDefault="003A5A9F" w:rsidP="00835544">
      <w:pPr>
        <w:spacing w:after="0" w:line="276" w:lineRule="auto"/>
        <w:jc w:val="both"/>
        <w:rPr>
          <w:rFonts w:ascii="Book Antiqua" w:eastAsia="Calibri" w:hAnsi="Book Antiqua" w:cs="Arial"/>
          <w:sz w:val="24"/>
          <w:szCs w:val="24"/>
        </w:rPr>
      </w:pPr>
    </w:p>
    <w:p w14:paraId="09770885" w14:textId="5ECCA911" w:rsidR="00835544" w:rsidRPr="00835544" w:rsidRDefault="00835544" w:rsidP="00835544">
      <w:pPr>
        <w:spacing w:after="0" w:line="276" w:lineRule="auto"/>
        <w:jc w:val="both"/>
        <w:rPr>
          <w:rFonts w:ascii="Book Antiqua" w:eastAsia="Calibri" w:hAnsi="Book Antiqua" w:cs="Arial"/>
          <w:i/>
          <w:iCs/>
          <w:sz w:val="24"/>
          <w:szCs w:val="24"/>
        </w:rPr>
      </w:pPr>
      <w:r w:rsidRPr="00835544">
        <w:rPr>
          <w:rFonts w:ascii="Book Antiqua" w:eastAsia="Calibri" w:hAnsi="Book Antiqua" w:cs="Arial"/>
          <w:sz w:val="24"/>
          <w:szCs w:val="24"/>
        </w:rPr>
        <w:t>Lo anterior, una vez se cuente con la mejora correspondiente y considerando lo acordado por la Comisión de Familia, Niñez y Adolescencia, oficio 80-JVA-2020, sesión del 01 de diciembre del presente año, artículo IV</w:t>
      </w:r>
      <w:r w:rsidRPr="00835544">
        <w:rPr>
          <w:rFonts w:ascii="Book Antiqua" w:eastAsia="Calibri" w:hAnsi="Book Antiqua" w:cs="Arial"/>
          <w:b/>
          <w:bCs/>
          <w:sz w:val="24"/>
          <w:szCs w:val="24"/>
        </w:rPr>
        <w:t xml:space="preserve"> (</w:t>
      </w:r>
      <w:r w:rsidRPr="00835544">
        <w:rPr>
          <w:rFonts w:ascii="Book Antiqua" w:eastAsia="Calibri" w:hAnsi="Book Antiqua" w:cs="Arial"/>
          <w:i/>
          <w:iCs/>
          <w:sz w:val="24"/>
          <w:szCs w:val="24"/>
        </w:rPr>
        <w:t>referencia interna</w:t>
      </w:r>
      <w:r w:rsidRPr="00835544">
        <w:rPr>
          <w:rFonts w:ascii="Book Antiqua" w:eastAsia="Calibri" w:hAnsi="Book Antiqua" w:cs="Arial"/>
          <w:b/>
          <w:bCs/>
          <w:i/>
          <w:iCs/>
          <w:sz w:val="24"/>
          <w:szCs w:val="24"/>
        </w:rPr>
        <w:t xml:space="preserve"> 2154-2020 y 196-2021).</w:t>
      </w:r>
    </w:p>
    <w:p w14:paraId="12E4BDF8" w14:textId="77777777" w:rsidR="00835544" w:rsidRPr="00835544" w:rsidRDefault="00835544" w:rsidP="00835544">
      <w:pPr>
        <w:spacing w:after="0" w:line="276" w:lineRule="auto"/>
        <w:jc w:val="both"/>
        <w:rPr>
          <w:rFonts w:ascii="Times New Roman" w:eastAsia="Calibri" w:hAnsi="Times New Roman" w:cs="Times New Roman"/>
        </w:rPr>
      </w:pPr>
    </w:p>
    <w:p w14:paraId="1A6EC961" w14:textId="5A942CA8" w:rsidR="00835544" w:rsidRDefault="00835544" w:rsidP="004069D9">
      <w:pPr>
        <w:spacing w:after="0" w:line="276" w:lineRule="auto"/>
        <w:ind w:left="567" w:right="616"/>
        <w:jc w:val="both"/>
        <w:rPr>
          <w:rFonts w:ascii="Book Antiqua" w:eastAsia="Calibri" w:hAnsi="Book Antiqua" w:cs="Times New Roman"/>
          <w:i/>
          <w:iCs/>
          <w:sz w:val="24"/>
          <w:szCs w:val="24"/>
        </w:rPr>
      </w:pPr>
      <w:r w:rsidRPr="00835544">
        <w:rPr>
          <w:rFonts w:ascii="Book Antiqua" w:eastAsia="Calibri" w:hAnsi="Book Antiqua" w:cs="Times New Roman"/>
          <w:b/>
          <w:bCs/>
          <w:i/>
          <w:iCs/>
          <w:sz w:val="24"/>
          <w:szCs w:val="24"/>
        </w:rPr>
        <w:t>“Se acuerda:  1)</w:t>
      </w:r>
      <w:r w:rsidRPr="00835544">
        <w:rPr>
          <w:rFonts w:ascii="Book Antiqua" w:eastAsia="Calibri" w:hAnsi="Book Antiqua"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Pr="00835544">
        <w:rPr>
          <w:rFonts w:ascii="Book Antiqua" w:eastAsia="Calibri" w:hAnsi="Book Antiqua" w:cs="Times New Roman"/>
          <w:b/>
          <w:bCs/>
          <w:i/>
          <w:iCs/>
          <w:sz w:val="24"/>
          <w:szCs w:val="24"/>
        </w:rPr>
        <w:t>2)</w:t>
      </w:r>
      <w:r w:rsidRPr="00835544">
        <w:rPr>
          <w:rFonts w:ascii="Book Antiqua" w:eastAsia="Calibri" w:hAnsi="Book Antiqua"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0181FDEE" w14:textId="77777777" w:rsidR="004069D9" w:rsidRPr="00835544" w:rsidRDefault="004069D9" w:rsidP="004069D9">
      <w:pPr>
        <w:spacing w:after="0" w:line="276" w:lineRule="auto"/>
        <w:ind w:left="567" w:right="616"/>
        <w:jc w:val="both"/>
        <w:rPr>
          <w:rFonts w:ascii="Book Antiqua" w:eastAsia="Calibri" w:hAnsi="Book Antiqua" w:cs="Times New Roman"/>
          <w:i/>
          <w:iCs/>
          <w:sz w:val="24"/>
          <w:szCs w:val="24"/>
        </w:rPr>
      </w:pPr>
    </w:p>
    <w:p w14:paraId="273048E9"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r w:rsidRPr="00835544">
        <w:rPr>
          <w:rFonts w:ascii="Book Antiqua" w:eastAsia="Calibri" w:hAnsi="Book Antiqua" w:cs="Times New Roman"/>
          <w:i/>
          <w:iCs/>
          <w:sz w:val="24"/>
          <w:szCs w:val="24"/>
        </w:rPr>
        <w:t>Se tiene como acuerdo firme.”.</w:t>
      </w:r>
    </w:p>
    <w:p w14:paraId="0269CEBE" w14:textId="77777777" w:rsidR="00835544" w:rsidRPr="00835544" w:rsidRDefault="00835544" w:rsidP="00835544">
      <w:pPr>
        <w:spacing w:after="0" w:line="276" w:lineRule="auto"/>
        <w:jc w:val="both"/>
        <w:rPr>
          <w:rFonts w:ascii="Book Antiqua" w:eastAsia="Calibri" w:hAnsi="Book Antiqua" w:cs="Arial"/>
          <w:sz w:val="24"/>
          <w:szCs w:val="24"/>
        </w:rPr>
      </w:pPr>
    </w:p>
    <w:p w14:paraId="302CF610"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También, el acuerdo del Consejo Superior en sesión 120-2020 celebrada el 17 de diciembre de 2020, artículo XXXIII donde acordó:</w:t>
      </w:r>
    </w:p>
    <w:p w14:paraId="47E88FA4" w14:textId="77777777" w:rsidR="00835544" w:rsidRPr="00835544" w:rsidRDefault="00835544" w:rsidP="00835544">
      <w:pPr>
        <w:spacing w:after="0" w:line="276" w:lineRule="auto"/>
        <w:jc w:val="both"/>
        <w:rPr>
          <w:rFonts w:ascii="Book Antiqua" w:eastAsia="Calibri" w:hAnsi="Book Antiqua" w:cs="Arial"/>
          <w:sz w:val="24"/>
          <w:szCs w:val="24"/>
        </w:rPr>
      </w:pPr>
    </w:p>
    <w:p w14:paraId="3FDB7087" w14:textId="77777777" w:rsidR="00835544" w:rsidRPr="00835544" w:rsidRDefault="00835544" w:rsidP="00835544">
      <w:pPr>
        <w:spacing w:after="0" w:line="240" w:lineRule="auto"/>
        <w:ind w:left="567" w:right="616"/>
        <w:jc w:val="both"/>
        <w:rPr>
          <w:rFonts w:ascii="Times New Roman" w:eastAsia="Calibri" w:hAnsi="Times New Roman" w:cs="Arial"/>
          <w:i/>
          <w:iCs/>
          <w:sz w:val="24"/>
          <w:szCs w:val="24"/>
          <w:lang w:eastAsia="es-CR"/>
        </w:rPr>
      </w:pPr>
      <w:r w:rsidRPr="00835544">
        <w:rPr>
          <w:rFonts w:ascii="Book Antiqua" w:eastAsia="Calibri" w:hAnsi="Book Antiqua" w:cs="Arial"/>
          <w:b/>
          <w:bCs/>
          <w:i/>
          <w:iCs/>
          <w:sz w:val="24"/>
          <w:szCs w:val="24"/>
          <w:lang w:eastAsia="es-CR"/>
        </w:rPr>
        <w:t>“Se acordó:</w:t>
      </w:r>
      <w:r w:rsidRPr="00835544">
        <w:rPr>
          <w:rFonts w:ascii="Book Antiqua" w:eastAsia="Calibri" w:hAnsi="Book Antiqua" w:cs="Arial"/>
          <w:i/>
          <w:iCs/>
          <w:sz w:val="24"/>
          <w:szCs w:val="24"/>
          <w:lang w:eastAsia="es-CR"/>
        </w:rPr>
        <w:t xml:space="preserve"> Tomar nota del acuerdo de la Comisión de la Jurisdicción de Familia, Niñez y Adolescencia, en </w:t>
      </w:r>
      <w:r w:rsidRPr="00835544">
        <w:rPr>
          <w:rFonts w:ascii="Book Antiqua" w:eastAsia="Calibri" w:hAnsi="Book Antiqua" w:cs="Arial"/>
          <w:i/>
          <w:iCs/>
          <w:sz w:val="24"/>
          <w:szCs w:val="24"/>
        </w:rPr>
        <w:t>sesión virtual, celebrada por sus integrantes el día 01 de diciembre del 2020, artículo IV</w:t>
      </w:r>
      <w:r w:rsidRPr="00835544">
        <w:rPr>
          <w:rFonts w:ascii="Book Antiqua" w:eastAsia="Calibri" w:hAnsi="Book Antiqua" w:cs="Arial"/>
          <w:i/>
          <w:iCs/>
          <w:sz w:val="24"/>
          <w:szCs w:val="24"/>
          <w:lang w:eastAsia="es-CR"/>
        </w:rPr>
        <w:t xml:space="preserve"> y hacerlo de conocimiento de la Dirección de Planificación para su valoración.</w:t>
      </w:r>
      <w:r w:rsidRPr="00835544">
        <w:rPr>
          <w:rFonts w:ascii="Book Antiqua" w:eastAsia="Calibri" w:hAnsi="Book Antiqua" w:cs="Arial"/>
          <w:b/>
          <w:bCs/>
          <w:i/>
          <w:iCs/>
          <w:sz w:val="24"/>
          <w:szCs w:val="24"/>
          <w:lang w:val="es-ES"/>
        </w:rPr>
        <w:t>”.</w:t>
      </w:r>
    </w:p>
    <w:p w14:paraId="6078BEBC" w14:textId="77777777" w:rsidR="00835544" w:rsidRPr="00835544" w:rsidRDefault="00835544" w:rsidP="00835544">
      <w:pPr>
        <w:spacing w:after="0" w:line="276" w:lineRule="auto"/>
        <w:jc w:val="both"/>
        <w:rPr>
          <w:rFonts w:ascii="Book Antiqua" w:eastAsia="Calibri" w:hAnsi="Book Antiqua" w:cs="Arial"/>
          <w:sz w:val="28"/>
          <w:szCs w:val="28"/>
        </w:rPr>
      </w:pPr>
    </w:p>
    <w:p w14:paraId="133A2E62"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Y las manifestaciones de la Dirección de Tecnología de la Información mediante oficios 215 y 235-DTI-2021 (referencia interna </w:t>
      </w:r>
      <w:r w:rsidRPr="00835544">
        <w:rPr>
          <w:rFonts w:ascii="Book Antiqua" w:eastAsia="Calibri" w:hAnsi="Book Antiqua" w:cs="Arial"/>
          <w:b/>
          <w:bCs/>
          <w:i/>
          <w:iCs/>
          <w:sz w:val="24"/>
          <w:szCs w:val="24"/>
        </w:rPr>
        <w:t>240-2021</w:t>
      </w:r>
      <w:r w:rsidRPr="00835544">
        <w:rPr>
          <w:rFonts w:ascii="Book Antiqua" w:eastAsia="Calibri" w:hAnsi="Book Antiqua" w:cs="Arial"/>
          <w:sz w:val="24"/>
          <w:szCs w:val="24"/>
        </w:rPr>
        <w:t xml:space="preserve">). </w:t>
      </w:r>
    </w:p>
    <w:p w14:paraId="70BEF626" w14:textId="5DCAA867" w:rsidR="00835544" w:rsidRDefault="00835544" w:rsidP="00036F7A">
      <w:pPr>
        <w:rPr>
          <w:lang w:val="es-ES"/>
        </w:rPr>
      </w:pPr>
    </w:p>
    <w:p w14:paraId="572EC8D3" w14:textId="33C59757" w:rsidR="008A5896" w:rsidRPr="00330700" w:rsidRDefault="00CA58D9" w:rsidP="000047F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Estructura Organizacional y Funciones</w:t>
      </w:r>
    </w:p>
    <w:p w14:paraId="790CE1A5" w14:textId="77777777" w:rsidR="00330700" w:rsidRDefault="00330700" w:rsidP="00406E38">
      <w:pPr>
        <w:spacing w:after="0" w:line="276" w:lineRule="auto"/>
        <w:jc w:val="both"/>
        <w:rPr>
          <w:rFonts w:ascii="Book Antiqua" w:eastAsia="Calibri" w:hAnsi="Book Antiqua" w:cs="Arial"/>
          <w:sz w:val="24"/>
          <w:szCs w:val="24"/>
        </w:rPr>
      </w:pPr>
    </w:p>
    <w:p w14:paraId="10B52CB8" w14:textId="3E4BB288" w:rsidR="00406E38" w:rsidRPr="00406E38" w:rsidRDefault="00406E38" w:rsidP="00406E38">
      <w:pPr>
        <w:spacing w:after="0" w:line="276" w:lineRule="auto"/>
        <w:jc w:val="both"/>
        <w:rPr>
          <w:rFonts w:ascii="Book Antiqua" w:eastAsia="Calibri" w:hAnsi="Book Antiqua" w:cs="Arial"/>
          <w:sz w:val="24"/>
          <w:szCs w:val="24"/>
        </w:rPr>
      </w:pPr>
      <w:r w:rsidRPr="00406E38">
        <w:rPr>
          <w:rFonts w:ascii="Book Antiqua" w:eastAsia="Calibri" w:hAnsi="Book Antiqua" w:cs="Arial"/>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Pensiones Alimentarias a nivel nacional. </w:t>
      </w:r>
    </w:p>
    <w:p w14:paraId="11814F96" w14:textId="77777777" w:rsidR="00406E38" w:rsidRPr="00406E38" w:rsidRDefault="00406E38" w:rsidP="00406E38">
      <w:pPr>
        <w:spacing w:after="0" w:line="276" w:lineRule="auto"/>
        <w:jc w:val="both"/>
        <w:rPr>
          <w:rFonts w:ascii="Book Antiqua" w:eastAsia="Calibri" w:hAnsi="Book Antiqua" w:cs="Arial"/>
          <w:sz w:val="24"/>
          <w:szCs w:val="24"/>
        </w:rPr>
      </w:pPr>
    </w:p>
    <w:p w14:paraId="28D6DE92" w14:textId="6167B4F4" w:rsidR="00406E38" w:rsidRDefault="00406E38" w:rsidP="00406E38">
      <w:pPr>
        <w:spacing w:after="0" w:line="276" w:lineRule="auto"/>
        <w:jc w:val="both"/>
        <w:rPr>
          <w:rFonts w:ascii="Book Antiqua" w:eastAsia="Calibri" w:hAnsi="Book Antiqua" w:cs="Arial"/>
          <w:sz w:val="24"/>
          <w:szCs w:val="24"/>
        </w:rPr>
      </w:pPr>
      <w:r w:rsidRPr="00406E38">
        <w:rPr>
          <w:rFonts w:ascii="Book Antiqua" w:eastAsia="Calibri" w:hAnsi="Book Antiqua" w:cs="Arial"/>
          <w:sz w:val="24"/>
          <w:szCs w:val="24"/>
        </w:rPr>
        <w:t>En el siguiente cuadro se adjunta un resumen de los oficios remitidos por la Dirección de Planificación</w:t>
      </w:r>
      <w:r>
        <w:rPr>
          <w:rFonts w:ascii="Book Antiqua" w:eastAsia="Calibri" w:hAnsi="Book Antiqua" w:cs="Arial"/>
          <w:sz w:val="24"/>
          <w:szCs w:val="24"/>
        </w:rPr>
        <w:t xml:space="preserve"> los cuales cuentan </w:t>
      </w:r>
      <w:r w:rsidRPr="00406E38">
        <w:rPr>
          <w:rFonts w:ascii="Book Antiqua" w:eastAsia="Calibri" w:hAnsi="Book Antiqua" w:cs="Arial"/>
          <w:sz w:val="24"/>
          <w:szCs w:val="24"/>
        </w:rPr>
        <w:t xml:space="preserve">con la aprobación de parte del Consejo Superior del Poder Judicial. </w:t>
      </w:r>
    </w:p>
    <w:p w14:paraId="27F81404" w14:textId="7324B6C4" w:rsidR="00B366F3" w:rsidRDefault="00B366F3" w:rsidP="00406E38">
      <w:pPr>
        <w:spacing w:after="0" w:line="276" w:lineRule="auto"/>
        <w:jc w:val="both"/>
        <w:rPr>
          <w:rFonts w:ascii="Book Antiqua" w:eastAsia="Calibri" w:hAnsi="Book Antiqua" w:cs="Arial"/>
          <w:sz w:val="24"/>
          <w:szCs w:val="24"/>
        </w:rPr>
      </w:pPr>
    </w:p>
    <w:p w14:paraId="623D5730" w14:textId="0A0C4488" w:rsidR="00406E38" w:rsidRPr="00406E38" w:rsidRDefault="00406E38" w:rsidP="00406E3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06E38">
        <w:rPr>
          <w:rFonts w:ascii="Book Antiqua" w:eastAsia="Calibri" w:hAnsi="Book Antiqua" w:cs="Arial"/>
          <w:b/>
          <w:bCs/>
          <w:color w:val="1F497D"/>
          <w:szCs w:val="24"/>
          <w:lang w:val="es-ES" w:eastAsia="es-ES"/>
        </w:rPr>
        <w:t xml:space="preserve">Cuadro </w:t>
      </w:r>
      <w:r w:rsidRPr="00406E38">
        <w:rPr>
          <w:rFonts w:ascii="Book Antiqua" w:eastAsia="Calibri" w:hAnsi="Book Antiqua" w:cs="Arial"/>
          <w:b/>
          <w:bCs/>
          <w:color w:val="1F497D"/>
          <w:szCs w:val="24"/>
          <w:lang w:val="es-ES" w:eastAsia="es-ES"/>
        </w:rPr>
        <w:fldChar w:fldCharType="begin"/>
      </w:r>
      <w:r w:rsidRPr="00406E38">
        <w:rPr>
          <w:rFonts w:ascii="Book Antiqua" w:eastAsia="Calibri" w:hAnsi="Book Antiqua" w:cs="Arial"/>
          <w:b/>
          <w:bCs/>
          <w:color w:val="1F497D"/>
          <w:szCs w:val="24"/>
          <w:lang w:val="es-ES" w:eastAsia="es-ES"/>
        </w:rPr>
        <w:instrText xml:space="preserve"> SEQ Cuadro \* ARABIC </w:instrText>
      </w:r>
      <w:r w:rsidRPr="00406E38">
        <w:rPr>
          <w:rFonts w:ascii="Book Antiqua" w:eastAsia="Calibri" w:hAnsi="Book Antiqua" w:cs="Arial"/>
          <w:b/>
          <w:bCs/>
          <w:color w:val="1F497D"/>
          <w:szCs w:val="24"/>
          <w:lang w:val="es-ES" w:eastAsia="es-ES"/>
        </w:rPr>
        <w:fldChar w:fldCharType="separate"/>
      </w:r>
      <w:r w:rsidR="00950574">
        <w:rPr>
          <w:rFonts w:ascii="Book Antiqua" w:eastAsia="Calibri" w:hAnsi="Book Antiqua" w:cs="Arial"/>
          <w:b/>
          <w:bCs/>
          <w:noProof/>
          <w:color w:val="1F497D"/>
          <w:szCs w:val="24"/>
          <w:lang w:val="es-ES" w:eastAsia="es-ES"/>
        </w:rPr>
        <w:t>68</w:t>
      </w:r>
      <w:r w:rsidRPr="00406E38">
        <w:rPr>
          <w:rFonts w:ascii="Book Antiqua" w:eastAsia="Calibri" w:hAnsi="Book Antiqua" w:cs="Arial"/>
          <w:b/>
          <w:bCs/>
          <w:color w:val="1F497D"/>
          <w:szCs w:val="24"/>
          <w:lang w:val="es-ES" w:eastAsia="es-ES"/>
        </w:rPr>
        <w:fldChar w:fldCharType="end"/>
      </w:r>
    </w:p>
    <w:p w14:paraId="6646C3CC" w14:textId="678AC1B0" w:rsidR="00406E38" w:rsidRPr="00406E38" w:rsidRDefault="00406E38" w:rsidP="00406E38">
      <w:pPr>
        <w:spacing w:after="0" w:line="240" w:lineRule="auto"/>
        <w:jc w:val="center"/>
        <w:rPr>
          <w:rFonts w:ascii="Book Antiqua" w:eastAsia="Calibri" w:hAnsi="Book Antiqua" w:cs="Arial"/>
          <w:b/>
          <w:bCs/>
          <w:color w:val="1F497D"/>
          <w:szCs w:val="24"/>
          <w:lang w:val="es-ES" w:eastAsia="es-ES"/>
        </w:rPr>
      </w:pPr>
      <w:r w:rsidRPr="00406E38">
        <w:rPr>
          <w:rFonts w:ascii="Book Antiqua" w:eastAsia="Calibri" w:hAnsi="Book Antiqua" w:cs="Arial"/>
          <w:b/>
          <w:bCs/>
          <w:color w:val="1F497D"/>
          <w:szCs w:val="24"/>
          <w:lang w:val="es-ES" w:eastAsia="es-ES"/>
        </w:rPr>
        <w:t>Resumen de oficios preliminares, definitivos y acuerdos del CS sobre las estructuras de los Juzgados competentes en Pensiones Alimentarias a nivel nacional</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06E38" w:rsidRPr="00406E38" w14:paraId="6DEF089F" w14:textId="77777777" w:rsidTr="00406E38">
        <w:trPr>
          <w:trHeight w:val="900"/>
          <w:jc w:val="center"/>
        </w:trPr>
        <w:tc>
          <w:tcPr>
            <w:tcW w:w="3119" w:type="dxa"/>
            <w:shd w:val="clear" w:color="auto" w:fill="1F497D"/>
            <w:vAlign w:val="center"/>
          </w:tcPr>
          <w:p w14:paraId="54327F75" w14:textId="77777777" w:rsidR="00406E38" w:rsidRPr="00406E38" w:rsidRDefault="00406E38" w:rsidP="00406E38">
            <w:pPr>
              <w:spacing w:after="0" w:line="240" w:lineRule="auto"/>
              <w:jc w:val="center"/>
              <w:rPr>
                <w:rFonts w:ascii="Book Antiqua" w:eastAsia="Times New Roman" w:hAnsi="Book Antiqua" w:cs="Arial"/>
                <w:color w:val="FFFFFF"/>
                <w:lang w:eastAsia="es-CR"/>
              </w:rPr>
            </w:pPr>
            <w:r w:rsidRPr="00406E38">
              <w:rPr>
                <w:rFonts w:ascii="Book Antiqua" w:eastAsia="Times New Roman" w:hAnsi="Book Antiqua" w:cs="Arial"/>
                <w:b/>
                <w:bCs/>
                <w:color w:val="FFFFFF"/>
                <w:lang w:eastAsia="es-CR"/>
              </w:rPr>
              <w:t>Nombre del Despacho</w:t>
            </w:r>
          </w:p>
        </w:tc>
        <w:tc>
          <w:tcPr>
            <w:tcW w:w="2627" w:type="dxa"/>
            <w:shd w:val="clear" w:color="auto" w:fill="1F497D"/>
            <w:vAlign w:val="center"/>
          </w:tcPr>
          <w:p w14:paraId="30509DD9" w14:textId="5C1A43C3" w:rsidR="00406E38" w:rsidRPr="00406E38" w:rsidRDefault="00406E38" w:rsidP="00406E3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Oficio preliminar remitido por la D</w:t>
            </w:r>
            <w:r>
              <w:rPr>
                <w:rFonts w:ascii="Book Antiqua" w:eastAsia="Times New Roman" w:hAnsi="Book Antiqua" w:cs="Arial"/>
                <w:b/>
                <w:bCs/>
                <w:color w:val="FFFFFF"/>
                <w:lang w:eastAsia="es-CR"/>
              </w:rPr>
              <w:t>irección</w:t>
            </w:r>
            <w:r w:rsidRPr="00406E38">
              <w:rPr>
                <w:rFonts w:ascii="Book Antiqua" w:eastAsia="Times New Roman" w:hAnsi="Book Antiqua" w:cs="Arial"/>
                <w:b/>
                <w:bCs/>
                <w:color w:val="FFFFFF"/>
                <w:lang w:eastAsia="es-CR"/>
              </w:rPr>
              <w:t xml:space="preserve"> de Planificación</w:t>
            </w:r>
          </w:p>
        </w:tc>
        <w:tc>
          <w:tcPr>
            <w:tcW w:w="2508" w:type="dxa"/>
            <w:shd w:val="clear" w:color="auto" w:fill="1F497D"/>
            <w:vAlign w:val="center"/>
          </w:tcPr>
          <w:p w14:paraId="1FC4485A" w14:textId="77777777" w:rsidR="00406E38" w:rsidRPr="00406E38" w:rsidRDefault="00406E38" w:rsidP="00406E3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Oficio Definitivo</w:t>
            </w:r>
          </w:p>
        </w:tc>
        <w:tc>
          <w:tcPr>
            <w:tcW w:w="2541" w:type="dxa"/>
            <w:shd w:val="clear" w:color="auto" w:fill="1F497D"/>
            <w:vAlign w:val="center"/>
          </w:tcPr>
          <w:p w14:paraId="48187937" w14:textId="77777777" w:rsidR="00406E38" w:rsidRPr="00406E38" w:rsidRDefault="00406E38" w:rsidP="008879F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Acuerdo del Consejo Superior</w:t>
            </w:r>
          </w:p>
        </w:tc>
      </w:tr>
      <w:tr w:rsidR="00406E38" w:rsidRPr="00406E38" w14:paraId="6A0B0923" w14:textId="77777777" w:rsidTr="00306313">
        <w:trPr>
          <w:trHeight w:val="555"/>
          <w:jc w:val="center"/>
        </w:trPr>
        <w:tc>
          <w:tcPr>
            <w:tcW w:w="3119" w:type="dxa"/>
            <w:shd w:val="clear" w:color="auto" w:fill="auto"/>
            <w:vAlign w:val="center"/>
            <w:hideMark/>
          </w:tcPr>
          <w:p w14:paraId="062AAD3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Puntarenas </w:t>
            </w:r>
          </w:p>
        </w:tc>
        <w:tc>
          <w:tcPr>
            <w:tcW w:w="2627" w:type="dxa"/>
            <w:shd w:val="clear" w:color="auto" w:fill="auto"/>
            <w:vAlign w:val="center"/>
            <w:hideMark/>
          </w:tcPr>
          <w:p w14:paraId="2E437E0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1709-PLA-2020</w:t>
            </w:r>
          </w:p>
        </w:tc>
        <w:tc>
          <w:tcPr>
            <w:tcW w:w="2508" w:type="dxa"/>
            <w:shd w:val="clear" w:color="auto" w:fill="auto"/>
            <w:vAlign w:val="center"/>
            <w:hideMark/>
          </w:tcPr>
          <w:p w14:paraId="6E46C01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1844-PLA-EV-20</w:t>
            </w:r>
          </w:p>
        </w:tc>
        <w:tc>
          <w:tcPr>
            <w:tcW w:w="2541" w:type="dxa"/>
            <w:shd w:val="clear" w:color="auto" w:fill="auto"/>
            <w:vAlign w:val="center"/>
            <w:hideMark/>
          </w:tcPr>
          <w:p w14:paraId="2B43FB43"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117-2020 del 8-12-2020, artículo XXXIII</w:t>
            </w:r>
          </w:p>
        </w:tc>
      </w:tr>
      <w:tr w:rsidR="00406E38" w:rsidRPr="00406E38" w14:paraId="7D6F7920" w14:textId="77777777" w:rsidTr="00306313">
        <w:trPr>
          <w:trHeight w:val="828"/>
          <w:jc w:val="center"/>
        </w:trPr>
        <w:tc>
          <w:tcPr>
            <w:tcW w:w="3119" w:type="dxa"/>
            <w:shd w:val="clear" w:color="auto" w:fill="auto"/>
            <w:vAlign w:val="center"/>
            <w:hideMark/>
          </w:tcPr>
          <w:p w14:paraId="446A6EB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Alajuela </w:t>
            </w:r>
          </w:p>
        </w:tc>
        <w:tc>
          <w:tcPr>
            <w:tcW w:w="2627" w:type="dxa"/>
            <w:shd w:val="clear" w:color="auto" w:fill="auto"/>
            <w:vAlign w:val="center"/>
            <w:hideMark/>
          </w:tcPr>
          <w:p w14:paraId="422624A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1748-PLA-EV-2020</w:t>
            </w:r>
          </w:p>
        </w:tc>
        <w:tc>
          <w:tcPr>
            <w:tcW w:w="2508" w:type="dxa"/>
            <w:shd w:val="clear" w:color="auto" w:fill="auto"/>
            <w:vAlign w:val="center"/>
            <w:hideMark/>
          </w:tcPr>
          <w:p w14:paraId="4C58905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61-PLA-EV-2021</w:t>
            </w:r>
          </w:p>
        </w:tc>
        <w:tc>
          <w:tcPr>
            <w:tcW w:w="2541" w:type="dxa"/>
            <w:shd w:val="clear" w:color="auto" w:fill="auto"/>
            <w:vAlign w:val="center"/>
            <w:hideMark/>
          </w:tcPr>
          <w:p w14:paraId="7CA5BDCE" w14:textId="1BED2E99" w:rsidR="00406E38" w:rsidRPr="00406E38" w:rsidRDefault="007A2659" w:rsidP="001D0C10">
            <w:pPr>
              <w:spacing w:after="0" w:line="240" w:lineRule="auto"/>
              <w:jc w:val="both"/>
              <w:rPr>
                <w:rFonts w:ascii="Book Antiqua" w:eastAsia="Times New Roman" w:hAnsi="Book Antiqua" w:cs="Arial"/>
                <w:color w:val="000000"/>
                <w:lang w:eastAsia="es-CR"/>
              </w:rPr>
            </w:pPr>
            <w:r w:rsidRPr="007A2659">
              <w:rPr>
                <w:rFonts w:ascii="Book Antiqua" w:eastAsia="Times New Roman" w:hAnsi="Book Antiqua" w:cs="Arial"/>
                <w:color w:val="000000"/>
                <w:lang w:eastAsia="es-CR"/>
              </w:rPr>
              <w:t>S</w:t>
            </w:r>
            <w:r>
              <w:rPr>
                <w:rFonts w:ascii="Book Antiqua" w:eastAsia="Times New Roman" w:hAnsi="Book Antiqua" w:cs="Arial"/>
                <w:color w:val="000000"/>
                <w:lang w:eastAsia="es-CR"/>
              </w:rPr>
              <w:t>esión</w:t>
            </w:r>
            <w:r w:rsidRPr="007A2659">
              <w:rPr>
                <w:rFonts w:ascii="Book Antiqua" w:eastAsia="Times New Roman" w:hAnsi="Book Antiqua" w:cs="Arial"/>
                <w:color w:val="000000"/>
                <w:lang w:eastAsia="es-CR"/>
              </w:rPr>
              <w:t xml:space="preserve"> 10-</w:t>
            </w:r>
            <w:r>
              <w:rPr>
                <w:rFonts w:ascii="Book Antiqua" w:eastAsia="Times New Roman" w:hAnsi="Book Antiqua" w:cs="Arial"/>
                <w:color w:val="000000"/>
                <w:lang w:eastAsia="es-CR"/>
              </w:rPr>
              <w:t>20</w:t>
            </w:r>
            <w:r w:rsidRPr="007A2659">
              <w:rPr>
                <w:rFonts w:ascii="Book Antiqua" w:eastAsia="Times New Roman" w:hAnsi="Book Antiqua" w:cs="Arial"/>
                <w:color w:val="000000"/>
                <w:lang w:eastAsia="es-CR"/>
              </w:rPr>
              <w:t>21</w:t>
            </w:r>
            <w:r>
              <w:rPr>
                <w:rFonts w:ascii="Book Antiqua" w:eastAsia="Times New Roman" w:hAnsi="Book Antiqua" w:cs="Arial"/>
                <w:color w:val="000000"/>
                <w:lang w:eastAsia="es-CR"/>
              </w:rPr>
              <w:t xml:space="preserve"> del </w:t>
            </w:r>
            <w:r w:rsidRPr="007A2659">
              <w:rPr>
                <w:rFonts w:ascii="Book Antiqua" w:eastAsia="Times New Roman" w:hAnsi="Book Antiqua" w:cs="Arial"/>
                <w:color w:val="000000"/>
                <w:lang w:eastAsia="es-CR"/>
              </w:rPr>
              <w:t>04</w:t>
            </w:r>
            <w:r>
              <w:rPr>
                <w:rFonts w:ascii="Book Antiqua" w:eastAsia="Times New Roman" w:hAnsi="Book Antiqua" w:cs="Arial"/>
                <w:color w:val="000000"/>
                <w:lang w:eastAsia="es-CR"/>
              </w:rPr>
              <w:t>-</w:t>
            </w:r>
            <w:r w:rsidRPr="007A2659">
              <w:rPr>
                <w:rFonts w:ascii="Book Antiqua" w:eastAsia="Times New Roman" w:hAnsi="Book Antiqua" w:cs="Arial"/>
                <w:color w:val="000000"/>
                <w:lang w:eastAsia="es-CR"/>
              </w:rPr>
              <w:t>02</w:t>
            </w:r>
            <w:r>
              <w:rPr>
                <w:rFonts w:ascii="Book Antiqua" w:eastAsia="Times New Roman" w:hAnsi="Book Antiqua" w:cs="Arial"/>
                <w:color w:val="000000"/>
                <w:lang w:eastAsia="es-CR"/>
              </w:rPr>
              <w:t>-20</w:t>
            </w:r>
            <w:r w:rsidRPr="007A2659">
              <w:rPr>
                <w:rFonts w:ascii="Book Antiqua" w:eastAsia="Times New Roman" w:hAnsi="Book Antiqua" w:cs="Arial"/>
                <w:color w:val="000000"/>
                <w:lang w:eastAsia="es-CR"/>
              </w:rPr>
              <w:t>21</w:t>
            </w:r>
            <w:r>
              <w:rPr>
                <w:rFonts w:ascii="Book Antiqua" w:eastAsia="Times New Roman" w:hAnsi="Book Antiqua" w:cs="Arial"/>
                <w:color w:val="000000"/>
                <w:lang w:eastAsia="es-CR"/>
              </w:rPr>
              <w:t>, artículo</w:t>
            </w:r>
            <w:r w:rsidRPr="007A2659">
              <w:rPr>
                <w:rFonts w:ascii="Book Antiqua" w:eastAsia="Times New Roman" w:hAnsi="Book Antiqua" w:cs="Arial"/>
                <w:color w:val="000000"/>
                <w:lang w:eastAsia="es-CR"/>
              </w:rPr>
              <w:t xml:space="preserve"> </w:t>
            </w:r>
            <w:r>
              <w:rPr>
                <w:rFonts w:ascii="Book Antiqua" w:eastAsia="Times New Roman" w:hAnsi="Book Antiqua" w:cs="Arial"/>
                <w:color w:val="000000"/>
                <w:lang w:eastAsia="es-CR"/>
              </w:rPr>
              <w:t>LI</w:t>
            </w:r>
            <w:r w:rsidRPr="007A2659">
              <w:rPr>
                <w:rFonts w:ascii="Book Antiqua" w:eastAsia="Times New Roman" w:hAnsi="Book Antiqua" w:cs="Arial"/>
                <w:color w:val="000000"/>
                <w:lang w:eastAsia="es-CR"/>
              </w:rPr>
              <w:t>II</w:t>
            </w:r>
            <w:r w:rsidR="00406E38" w:rsidRPr="00406E38">
              <w:rPr>
                <w:rFonts w:ascii="Book Antiqua" w:eastAsia="Times New Roman" w:hAnsi="Book Antiqua" w:cs="Arial"/>
                <w:color w:val="000000"/>
                <w:lang w:eastAsia="es-CR"/>
              </w:rPr>
              <w:t> </w:t>
            </w:r>
          </w:p>
        </w:tc>
      </w:tr>
      <w:tr w:rsidR="00406E38" w:rsidRPr="00406E38" w14:paraId="221E8C29" w14:textId="77777777" w:rsidTr="00306313">
        <w:trPr>
          <w:trHeight w:val="471"/>
          <w:jc w:val="center"/>
        </w:trPr>
        <w:tc>
          <w:tcPr>
            <w:tcW w:w="3119" w:type="dxa"/>
            <w:shd w:val="clear" w:color="auto" w:fill="auto"/>
            <w:vAlign w:val="center"/>
            <w:hideMark/>
          </w:tcPr>
          <w:p w14:paraId="3886B30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Zona Atlántica (Limón) </w:t>
            </w:r>
          </w:p>
        </w:tc>
        <w:tc>
          <w:tcPr>
            <w:tcW w:w="2627" w:type="dxa"/>
            <w:shd w:val="clear" w:color="auto" w:fill="auto"/>
            <w:vAlign w:val="center"/>
            <w:hideMark/>
          </w:tcPr>
          <w:p w14:paraId="228F6E8F"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1758-PLA-MI-2020</w:t>
            </w:r>
          </w:p>
        </w:tc>
        <w:tc>
          <w:tcPr>
            <w:tcW w:w="2508" w:type="dxa"/>
            <w:shd w:val="clear" w:color="auto" w:fill="auto"/>
            <w:vAlign w:val="center"/>
            <w:hideMark/>
          </w:tcPr>
          <w:p w14:paraId="73913B5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174-PLA-MI-2021</w:t>
            </w:r>
          </w:p>
        </w:tc>
        <w:tc>
          <w:tcPr>
            <w:tcW w:w="2541" w:type="dxa"/>
            <w:shd w:val="clear" w:color="auto" w:fill="auto"/>
            <w:vAlign w:val="center"/>
            <w:hideMark/>
          </w:tcPr>
          <w:p w14:paraId="259D6453" w14:textId="5F4AE0B9" w:rsidR="00406E38" w:rsidRPr="00406E38" w:rsidRDefault="007A2659"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A2659">
              <w:rPr>
                <w:rFonts w:ascii="Book Antiqua" w:eastAsia="Times New Roman" w:hAnsi="Book Antiqua" w:cs="Arial"/>
                <w:color w:val="000000"/>
                <w:lang w:eastAsia="es-CR"/>
              </w:rPr>
              <w:t>014-2021</w:t>
            </w:r>
            <w:r>
              <w:rPr>
                <w:rFonts w:ascii="Book Antiqua" w:eastAsia="Times New Roman" w:hAnsi="Book Antiqua" w:cs="Arial"/>
                <w:color w:val="000000"/>
                <w:lang w:eastAsia="es-CR"/>
              </w:rPr>
              <w:t xml:space="preserve"> del </w:t>
            </w:r>
            <w:r w:rsidRPr="007A2659">
              <w:rPr>
                <w:rFonts w:ascii="Book Antiqua" w:eastAsia="Times New Roman" w:hAnsi="Book Antiqua" w:cs="Arial"/>
                <w:color w:val="000000"/>
                <w:lang w:eastAsia="es-CR"/>
              </w:rPr>
              <w:t>18</w:t>
            </w:r>
            <w:r>
              <w:rPr>
                <w:rFonts w:ascii="Book Antiqua" w:eastAsia="Times New Roman" w:hAnsi="Book Antiqua" w:cs="Arial"/>
                <w:color w:val="000000"/>
                <w:lang w:eastAsia="es-CR"/>
              </w:rPr>
              <w:t>-02-</w:t>
            </w:r>
            <w:r w:rsidRPr="007A2659">
              <w:rPr>
                <w:rFonts w:ascii="Book Antiqua" w:eastAsia="Times New Roman" w:hAnsi="Book Antiqua" w:cs="Arial"/>
                <w:color w:val="000000"/>
                <w:lang w:eastAsia="es-CR"/>
              </w:rPr>
              <w:t>2021</w:t>
            </w:r>
            <w:r>
              <w:rPr>
                <w:rFonts w:ascii="Book Antiqua" w:eastAsia="Times New Roman" w:hAnsi="Book Antiqua" w:cs="Arial"/>
                <w:color w:val="000000"/>
                <w:lang w:eastAsia="es-CR"/>
              </w:rPr>
              <w:t xml:space="preserve">, artículo </w:t>
            </w:r>
            <w:r w:rsidRPr="007A2659">
              <w:rPr>
                <w:rFonts w:ascii="Book Antiqua" w:eastAsia="Times New Roman" w:hAnsi="Book Antiqua" w:cs="Arial"/>
                <w:color w:val="000000"/>
                <w:lang w:eastAsia="es-CR"/>
              </w:rPr>
              <w:t>XLV</w:t>
            </w:r>
            <w:r w:rsidR="00406E38" w:rsidRPr="00406E38">
              <w:rPr>
                <w:rFonts w:ascii="Book Antiqua" w:eastAsia="Times New Roman" w:hAnsi="Book Antiqua" w:cs="Arial"/>
                <w:color w:val="000000"/>
                <w:lang w:eastAsia="es-CR"/>
              </w:rPr>
              <w:t> </w:t>
            </w:r>
          </w:p>
        </w:tc>
      </w:tr>
      <w:tr w:rsidR="00406E38" w:rsidRPr="00406E38" w14:paraId="014C8D80" w14:textId="77777777" w:rsidTr="00306313">
        <w:trPr>
          <w:trHeight w:val="450"/>
          <w:jc w:val="center"/>
        </w:trPr>
        <w:tc>
          <w:tcPr>
            <w:tcW w:w="3119" w:type="dxa"/>
            <w:shd w:val="clear" w:color="auto" w:fill="auto"/>
            <w:vAlign w:val="center"/>
            <w:hideMark/>
          </w:tcPr>
          <w:p w14:paraId="08F3C9B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de Pensiones Alimentarias de Heredia </w:t>
            </w:r>
          </w:p>
        </w:tc>
        <w:tc>
          <w:tcPr>
            <w:tcW w:w="2627" w:type="dxa"/>
            <w:shd w:val="clear" w:color="auto" w:fill="auto"/>
            <w:vAlign w:val="center"/>
            <w:hideMark/>
          </w:tcPr>
          <w:p w14:paraId="0B8EAD5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1752-PLA-EV-2020</w:t>
            </w:r>
          </w:p>
        </w:tc>
        <w:tc>
          <w:tcPr>
            <w:tcW w:w="2508" w:type="dxa"/>
            <w:shd w:val="clear" w:color="auto" w:fill="auto"/>
            <w:vAlign w:val="center"/>
            <w:hideMark/>
          </w:tcPr>
          <w:p w14:paraId="7B9C314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1884-PLA-EV-2020</w:t>
            </w:r>
          </w:p>
        </w:tc>
        <w:tc>
          <w:tcPr>
            <w:tcW w:w="2541" w:type="dxa"/>
            <w:shd w:val="clear" w:color="auto" w:fill="auto"/>
            <w:vAlign w:val="center"/>
            <w:hideMark/>
          </w:tcPr>
          <w:p w14:paraId="321C433F"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LIV</w:t>
            </w:r>
          </w:p>
        </w:tc>
      </w:tr>
      <w:tr w:rsidR="00406E38" w:rsidRPr="00406E38" w14:paraId="6748B262" w14:textId="77777777" w:rsidTr="00306313">
        <w:trPr>
          <w:trHeight w:val="927"/>
          <w:jc w:val="center"/>
        </w:trPr>
        <w:tc>
          <w:tcPr>
            <w:tcW w:w="3119" w:type="dxa"/>
            <w:shd w:val="clear" w:color="auto" w:fill="auto"/>
            <w:vAlign w:val="center"/>
            <w:hideMark/>
          </w:tcPr>
          <w:p w14:paraId="70DD112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y Pensiones Alimentarias I Circ. Jud. Guanacaste (Liberia)</w:t>
            </w:r>
          </w:p>
        </w:tc>
        <w:tc>
          <w:tcPr>
            <w:tcW w:w="2627" w:type="dxa"/>
            <w:shd w:val="clear" w:color="auto" w:fill="auto"/>
            <w:vAlign w:val="center"/>
            <w:hideMark/>
          </w:tcPr>
          <w:p w14:paraId="6BE82B6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1679-PLA-EV-2020</w:t>
            </w:r>
          </w:p>
        </w:tc>
        <w:tc>
          <w:tcPr>
            <w:tcW w:w="2508" w:type="dxa"/>
            <w:shd w:val="clear" w:color="auto" w:fill="auto"/>
            <w:vAlign w:val="center"/>
            <w:hideMark/>
          </w:tcPr>
          <w:p w14:paraId="44D7291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1980-PLA-EV-2020</w:t>
            </w:r>
          </w:p>
        </w:tc>
        <w:tc>
          <w:tcPr>
            <w:tcW w:w="2541" w:type="dxa"/>
            <w:shd w:val="clear" w:color="auto" w:fill="auto"/>
            <w:vAlign w:val="center"/>
            <w:hideMark/>
          </w:tcPr>
          <w:p w14:paraId="0D5093F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17-12-2020, artículo LXIX</w:t>
            </w:r>
          </w:p>
        </w:tc>
      </w:tr>
      <w:tr w:rsidR="00406E38" w:rsidRPr="00406E38" w14:paraId="10FC957D" w14:textId="77777777" w:rsidTr="00306313">
        <w:trPr>
          <w:trHeight w:val="828"/>
          <w:jc w:val="center"/>
        </w:trPr>
        <w:tc>
          <w:tcPr>
            <w:tcW w:w="3119" w:type="dxa"/>
            <w:shd w:val="clear" w:color="auto" w:fill="auto"/>
            <w:vAlign w:val="center"/>
            <w:hideMark/>
          </w:tcPr>
          <w:p w14:paraId="6AF0430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 Circ. Jud. Zona Atlántica (Pococí)</w:t>
            </w:r>
          </w:p>
        </w:tc>
        <w:tc>
          <w:tcPr>
            <w:tcW w:w="2627" w:type="dxa"/>
            <w:shd w:val="clear" w:color="auto" w:fill="auto"/>
            <w:vAlign w:val="center"/>
            <w:hideMark/>
          </w:tcPr>
          <w:p w14:paraId="1E482CD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1756-PLA-EV-2020</w:t>
            </w:r>
          </w:p>
        </w:tc>
        <w:tc>
          <w:tcPr>
            <w:tcW w:w="2508" w:type="dxa"/>
            <w:shd w:val="clear" w:color="auto" w:fill="auto"/>
            <w:vAlign w:val="center"/>
            <w:hideMark/>
          </w:tcPr>
          <w:p w14:paraId="51EC670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53-PLA-EV2021</w:t>
            </w:r>
          </w:p>
        </w:tc>
        <w:tc>
          <w:tcPr>
            <w:tcW w:w="2541" w:type="dxa"/>
            <w:shd w:val="clear" w:color="auto" w:fill="auto"/>
            <w:vAlign w:val="center"/>
            <w:hideMark/>
          </w:tcPr>
          <w:p w14:paraId="75386EB9" w14:textId="3FC3466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CA4B3C">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2-21, artículo XXXVII</w:t>
            </w:r>
          </w:p>
        </w:tc>
      </w:tr>
      <w:tr w:rsidR="00406E38" w:rsidRPr="00406E38" w14:paraId="36E3DEF4" w14:textId="77777777" w:rsidTr="00306313">
        <w:trPr>
          <w:trHeight w:val="651"/>
          <w:jc w:val="center"/>
        </w:trPr>
        <w:tc>
          <w:tcPr>
            <w:tcW w:w="3119" w:type="dxa"/>
            <w:shd w:val="clear" w:color="auto" w:fill="auto"/>
            <w:vAlign w:val="center"/>
            <w:hideMark/>
          </w:tcPr>
          <w:p w14:paraId="44FF8DA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 Circ. Jud. Zona Sur (Pérez Zeledón)</w:t>
            </w:r>
          </w:p>
        </w:tc>
        <w:tc>
          <w:tcPr>
            <w:tcW w:w="2627" w:type="dxa"/>
            <w:shd w:val="clear" w:color="auto" w:fill="auto"/>
            <w:vAlign w:val="center"/>
            <w:hideMark/>
          </w:tcPr>
          <w:p w14:paraId="1AE98D0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1750-PLA-EV-2020</w:t>
            </w:r>
          </w:p>
        </w:tc>
        <w:tc>
          <w:tcPr>
            <w:tcW w:w="2508" w:type="dxa"/>
            <w:shd w:val="clear" w:color="auto" w:fill="auto"/>
            <w:vAlign w:val="center"/>
            <w:hideMark/>
          </w:tcPr>
          <w:p w14:paraId="0CD3B46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51-PLA-EV-2021</w:t>
            </w:r>
          </w:p>
        </w:tc>
        <w:tc>
          <w:tcPr>
            <w:tcW w:w="2541" w:type="dxa"/>
            <w:shd w:val="clear" w:color="auto" w:fill="auto"/>
            <w:vAlign w:val="center"/>
            <w:hideMark/>
          </w:tcPr>
          <w:p w14:paraId="30BBFCF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2-2-21, artículo XXXII</w:t>
            </w:r>
          </w:p>
        </w:tc>
      </w:tr>
      <w:tr w:rsidR="00406E38" w:rsidRPr="00406E38" w14:paraId="0C956842" w14:textId="77777777" w:rsidTr="00306313">
        <w:trPr>
          <w:trHeight w:val="450"/>
          <w:jc w:val="center"/>
        </w:trPr>
        <w:tc>
          <w:tcPr>
            <w:tcW w:w="3119" w:type="dxa"/>
            <w:shd w:val="clear" w:color="auto" w:fill="auto"/>
            <w:vAlign w:val="center"/>
            <w:hideMark/>
          </w:tcPr>
          <w:p w14:paraId="5EED06F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Escazú</w:t>
            </w:r>
          </w:p>
        </w:tc>
        <w:tc>
          <w:tcPr>
            <w:tcW w:w="2627" w:type="dxa"/>
            <w:shd w:val="clear" w:color="auto" w:fill="auto"/>
            <w:vAlign w:val="center"/>
            <w:hideMark/>
          </w:tcPr>
          <w:p w14:paraId="463100C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1757-PLA-MI-2020</w:t>
            </w:r>
          </w:p>
        </w:tc>
        <w:tc>
          <w:tcPr>
            <w:tcW w:w="2508" w:type="dxa"/>
            <w:shd w:val="clear" w:color="auto" w:fill="auto"/>
            <w:vAlign w:val="center"/>
            <w:hideMark/>
          </w:tcPr>
          <w:p w14:paraId="60F7C45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1849-PLA-MI-2020</w:t>
            </w:r>
          </w:p>
        </w:tc>
        <w:tc>
          <w:tcPr>
            <w:tcW w:w="2541" w:type="dxa"/>
            <w:shd w:val="clear" w:color="auto" w:fill="auto"/>
            <w:vAlign w:val="center"/>
            <w:hideMark/>
          </w:tcPr>
          <w:p w14:paraId="1C33DC41" w14:textId="5FE6D600" w:rsidR="00406E38" w:rsidRPr="00406E38" w:rsidRDefault="002757F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2757F8">
              <w:rPr>
                <w:rFonts w:ascii="Book Antiqua" w:eastAsia="Times New Roman" w:hAnsi="Book Antiqua" w:cs="Arial"/>
                <w:color w:val="000000"/>
                <w:lang w:eastAsia="es-CR"/>
              </w:rPr>
              <w:t xml:space="preserve">esión 115-2020 </w:t>
            </w:r>
            <w:r>
              <w:rPr>
                <w:rFonts w:ascii="Book Antiqua" w:eastAsia="Times New Roman" w:hAnsi="Book Antiqua" w:cs="Arial"/>
                <w:color w:val="000000"/>
                <w:lang w:eastAsia="es-CR"/>
              </w:rPr>
              <w:t xml:space="preserve">del </w:t>
            </w:r>
            <w:r w:rsidRPr="002757F8">
              <w:rPr>
                <w:rFonts w:ascii="Book Antiqua" w:eastAsia="Times New Roman" w:hAnsi="Book Antiqua" w:cs="Arial"/>
                <w:color w:val="000000"/>
                <w:lang w:eastAsia="es-CR"/>
              </w:rPr>
              <w:t>01</w:t>
            </w:r>
            <w:r>
              <w:rPr>
                <w:rFonts w:ascii="Book Antiqua" w:eastAsia="Times New Roman" w:hAnsi="Book Antiqua" w:cs="Arial"/>
                <w:color w:val="000000"/>
                <w:lang w:eastAsia="es-CR"/>
              </w:rPr>
              <w:t>-12-</w:t>
            </w:r>
            <w:r w:rsidRPr="002757F8">
              <w:rPr>
                <w:rFonts w:ascii="Book Antiqua" w:eastAsia="Times New Roman" w:hAnsi="Book Antiqua" w:cs="Arial"/>
                <w:color w:val="000000"/>
                <w:lang w:eastAsia="es-CR"/>
              </w:rPr>
              <w:t xml:space="preserve">2020, </w:t>
            </w:r>
            <w:r>
              <w:rPr>
                <w:rFonts w:ascii="Book Antiqua" w:eastAsia="Times New Roman" w:hAnsi="Book Antiqua" w:cs="Arial"/>
                <w:color w:val="000000"/>
                <w:lang w:eastAsia="es-CR"/>
              </w:rPr>
              <w:t>artículo</w:t>
            </w:r>
            <w:r w:rsidRPr="002757F8">
              <w:rPr>
                <w:rFonts w:ascii="Book Antiqua" w:eastAsia="Times New Roman" w:hAnsi="Book Antiqua" w:cs="Arial"/>
                <w:color w:val="000000"/>
                <w:lang w:eastAsia="es-CR"/>
              </w:rPr>
              <w:t xml:space="preserve"> L</w:t>
            </w:r>
            <w:r w:rsidR="00406E38" w:rsidRPr="00406E38">
              <w:rPr>
                <w:rFonts w:ascii="Book Antiqua" w:eastAsia="Times New Roman" w:hAnsi="Book Antiqua" w:cs="Arial"/>
                <w:color w:val="000000"/>
                <w:lang w:eastAsia="es-CR"/>
              </w:rPr>
              <w:t> </w:t>
            </w:r>
          </w:p>
        </w:tc>
      </w:tr>
      <w:tr w:rsidR="00406E38" w:rsidRPr="00406E38" w14:paraId="7426F85B" w14:textId="77777777" w:rsidTr="00306313">
        <w:trPr>
          <w:trHeight w:val="828"/>
          <w:jc w:val="center"/>
        </w:trPr>
        <w:tc>
          <w:tcPr>
            <w:tcW w:w="3119" w:type="dxa"/>
            <w:shd w:val="clear" w:color="auto" w:fill="auto"/>
            <w:vAlign w:val="center"/>
            <w:hideMark/>
          </w:tcPr>
          <w:p w14:paraId="5ACD59C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San José </w:t>
            </w:r>
          </w:p>
        </w:tc>
        <w:tc>
          <w:tcPr>
            <w:tcW w:w="2627" w:type="dxa"/>
            <w:shd w:val="clear" w:color="auto" w:fill="auto"/>
            <w:vAlign w:val="center"/>
            <w:hideMark/>
          </w:tcPr>
          <w:p w14:paraId="12F940A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1760-PLA-EV-2020</w:t>
            </w:r>
          </w:p>
        </w:tc>
        <w:tc>
          <w:tcPr>
            <w:tcW w:w="2508" w:type="dxa"/>
            <w:shd w:val="clear" w:color="auto" w:fill="auto"/>
            <w:vAlign w:val="center"/>
            <w:hideMark/>
          </w:tcPr>
          <w:p w14:paraId="7F31B34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1987-PLA-EV-2020</w:t>
            </w:r>
          </w:p>
        </w:tc>
        <w:tc>
          <w:tcPr>
            <w:tcW w:w="2541" w:type="dxa"/>
            <w:shd w:val="clear" w:color="auto" w:fill="auto"/>
            <w:vAlign w:val="center"/>
            <w:hideMark/>
          </w:tcPr>
          <w:p w14:paraId="30B6E97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17-12-2020, artículo LXVI</w:t>
            </w:r>
          </w:p>
        </w:tc>
      </w:tr>
      <w:tr w:rsidR="00406E38" w:rsidRPr="00406E38" w14:paraId="5B66BC97" w14:textId="77777777" w:rsidTr="00306313">
        <w:trPr>
          <w:trHeight w:val="828"/>
          <w:jc w:val="center"/>
        </w:trPr>
        <w:tc>
          <w:tcPr>
            <w:tcW w:w="3119" w:type="dxa"/>
            <w:shd w:val="clear" w:color="auto" w:fill="auto"/>
            <w:vAlign w:val="center"/>
            <w:hideMark/>
          </w:tcPr>
          <w:p w14:paraId="1612A68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Pensiones Alimentarias y Violencia Doméstica de Siquirres</w:t>
            </w:r>
          </w:p>
        </w:tc>
        <w:tc>
          <w:tcPr>
            <w:tcW w:w="2627" w:type="dxa"/>
            <w:shd w:val="clear" w:color="auto" w:fill="auto"/>
            <w:noWrap/>
            <w:vAlign w:val="center"/>
            <w:hideMark/>
          </w:tcPr>
          <w:p w14:paraId="648A8EF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1747-PLA-EV-2020</w:t>
            </w:r>
          </w:p>
        </w:tc>
        <w:tc>
          <w:tcPr>
            <w:tcW w:w="2508" w:type="dxa"/>
            <w:shd w:val="clear" w:color="auto" w:fill="auto"/>
            <w:vAlign w:val="center"/>
            <w:hideMark/>
          </w:tcPr>
          <w:p w14:paraId="329C3782" w14:textId="25316C09" w:rsidR="00406E38" w:rsidRPr="00406E38" w:rsidRDefault="00CA4B3C" w:rsidP="00406E38">
            <w:pPr>
              <w:spacing w:after="0" w:line="240" w:lineRule="auto"/>
              <w:jc w:val="center"/>
              <w:rPr>
                <w:rFonts w:ascii="Book Antiqua" w:eastAsia="Times New Roman" w:hAnsi="Book Antiqua" w:cs="Arial"/>
                <w:color w:val="000000"/>
                <w:lang w:eastAsia="es-CR"/>
              </w:rPr>
            </w:pPr>
            <w:r w:rsidRPr="00CA4B3C">
              <w:rPr>
                <w:rFonts w:ascii="Book Antiqua" w:eastAsia="Times New Roman" w:hAnsi="Book Antiqua" w:cs="Arial"/>
                <w:color w:val="000000"/>
                <w:lang w:eastAsia="es-CR"/>
              </w:rPr>
              <w:t>272-PLA-EV-2021</w:t>
            </w:r>
            <w:r w:rsidR="00406E38" w:rsidRPr="00406E38">
              <w:rPr>
                <w:rFonts w:ascii="Book Antiqua" w:eastAsia="Times New Roman" w:hAnsi="Book Antiqua" w:cs="Arial"/>
                <w:color w:val="000000"/>
                <w:lang w:eastAsia="es-CR"/>
              </w:rPr>
              <w:t> </w:t>
            </w:r>
          </w:p>
        </w:tc>
        <w:tc>
          <w:tcPr>
            <w:tcW w:w="2541" w:type="dxa"/>
            <w:shd w:val="clear" w:color="auto" w:fill="auto"/>
            <w:vAlign w:val="center"/>
            <w:hideMark/>
          </w:tcPr>
          <w:p w14:paraId="2E0A4786" w14:textId="46838CF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CA4B3C" w:rsidRPr="00CA4B3C">
              <w:rPr>
                <w:rFonts w:ascii="Book Antiqua" w:eastAsia="Times New Roman" w:hAnsi="Book Antiqua" w:cs="Arial"/>
                <w:color w:val="000000"/>
                <w:lang w:eastAsia="es-CR"/>
              </w:rPr>
              <w:t>S</w:t>
            </w:r>
            <w:r w:rsidR="00CA4B3C">
              <w:rPr>
                <w:rFonts w:ascii="Book Antiqua" w:eastAsia="Times New Roman" w:hAnsi="Book Antiqua" w:cs="Arial"/>
                <w:color w:val="000000"/>
                <w:lang w:eastAsia="es-CR"/>
              </w:rPr>
              <w:t>esión</w:t>
            </w:r>
            <w:r w:rsidR="00CA4B3C" w:rsidRPr="00CA4B3C">
              <w:rPr>
                <w:rFonts w:ascii="Book Antiqua" w:eastAsia="Times New Roman" w:hAnsi="Book Antiqua" w:cs="Arial"/>
                <w:color w:val="000000"/>
                <w:lang w:eastAsia="es-CR"/>
              </w:rPr>
              <w:t xml:space="preserve"> 22-</w:t>
            </w:r>
            <w:r w:rsidR="00CA4B3C">
              <w:rPr>
                <w:rFonts w:ascii="Book Antiqua" w:eastAsia="Times New Roman" w:hAnsi="Book Antiqua" w:cs="Arial"/>
                <w:color w:val="000000"/>
                <w:lang w:eastAsia="es-CR"/>
              </w:rPr>
              <w:t>20</w:t>
            </w:r>
            <w:r w:rsidR="00CA4B3C" w:rsidRPr="00CA4B3C">
              <w:rPr>
                <w:rFonts w:ascii="Book Antiqua" w:eastAsia="Times New Roman" w:hAnsi="Book Antiqua" w:cs="Arial"/>
                <w:color w:val="000000"/>
                <w:lang w:eastAsia="es-CR"/>
              </w:rPr>
              <w:t>21</w:t>
            </w:r>
            <w:r w:rsidR="00CA4B3C">
              <w:rPr>
                <w:rFonts w:ascii="Book Antiqua" w:eastAsia="Times New Roman" w:hAnsi="Book Antiqua" w:cs="Arial"/>
                <w:color w:val="000000"/>
                <w:lang w:eastAsia="es-CR"/>
              </w:rPr>
              <w:t xml:space="preserve"> del </w:t>
            </w:r>
            <w:r w:rsidR="00CA4B3C" w:rsidRPr="00CA4B3C">
              <w:rPr>
                <w:rFonts w:ascii="Book Antiqua" w:eastAsia="Times New Roman" w:hAnsi="Book Antiqua" w:cs="Arial"/>
                <w:color w:val="000000"/>
                <w:lang w:eastAsia="es-CR"/>
              </w:rPr>
              <w:t>16</w:t>
            </w:r>
            <w:r w:rsidR="00CA4B3C">
              <w:rPr>
                <w:rFonts w:ascii="Book Antiqua" w:eastAsia="Times New Roman" w:hAnsi="Book Antiqua" w:cs="Arial"/>
                <w:color w:val="000000"/>
                <w:lang w:eastAsia="es-CR"/>
              </w:rPr>
              <w:t>-</w:t>
            </w:r>
            <w:r w:rsidR="00CA4B3C" w:rsidRPr="00CA4B3C">
              <w:rPr>
                <w:rFonts w:ascii="Book Antiqua" w:eastAsia="Times New Roman" w:hAnsi="Book Antiqua" w:cs="Arial"/>
                <w:color w:val="000000"/>
                <w:lang w:eastAsia="es-CR"/>
              </w:rPr>
              <w:t>03</w:t>
            </w:r>
            <w:r w:rsidR="00CA4B3C">
              <w:rPr>
                <w:rFonts w:ascii="Book Antiqua" w:eastAsia="Times New Roman" w:hAnsi="Book Antiqua" w:cs="Arial"/>
                <w:color w:val="000000"/>
                <w:lang w:eastAsia="es-CR"/>
              </w:rPr>
              <w:t>-20</w:t>
            </w:r>
            <w:r w:rsidR="00CA4B3C" w:rsidRPr="00CA4B3C">
              <w:rPr>
                <w:rFonts w:ascii="Book Antiqua" w:eastAsia="Times New Roman" w:hAnsi="Book Antiqua" w:cs="Arial"/>
                <w:color w:val="000000"/>
                <w:lang w:eastAsia="es-CR"/>
              </w:rPr>
              <w:t>21</w:t>
            </w:r>
            <w:r w:rsidR="00CA4B3C">
              <w:rPr>
                <w:rFonts w:ascii="Book Antiqua" w:eastAsia="Times New Roman" w:hAnsi="Book Antiqua" w:cs="Arial"/>
                <w:color w:val="000000"/>
                <w:lang w:eastAsia="es-CR"/>
              </w:rPr>
              <w:t>,</w:t>
            </w:r>
            <w:r w:rsidR="00CA4B3C" w:rsidRPr="00CA4B3C">
              <w:rPr>
                <w:rFonts w:ascii="Book Antiqua" w:eastAsia="Times New Roman" w:hAnsi="Book Antiqua" w:cs="Arial"/>
                <w:color w:val="000000"/>
                <w:lang w:eastAsia="es-CR"/>
              </w:rPr>
              <w:t xml:space="preserve"> </w:t>
            </w:r>
            <w:r w:rsidR="00CA4B3C">
              <w:rPr>
                <w:rFonts w:ascii="Book Antiqua" w:eastAsia="Times New Roman" w:hAnsi="Book Antiqua" w:cs="Arial"/>
                <w:color w:val="000000"/>
                <w:lang w:eastAsia="es-CR"/>
              </w:rPr>
              <w:t>artículo</w:t>
            </w:r>
            <w:r w:rsidR="00CA4B3C" w:rsidRPr="00CA4B3C">
              <w:rPr>
                <w:rFonts w:ascii="Book Antiqua" w:eastAsia="Times New Roman" w:hAnsi="Book Antiqua" w:cs="Arial"/>
                <w:color w:val="000000"/>
                <w:lang w:eastAsia="es-CR"/>
              </w:rPr>
              <w:t xml:space="preserve"> XXXIII</w:t>
            </w:r>
          </w:p>
        </w:tc>
      </w:tr>
      <w:tr w:rsidR="00406E38" w:rsidRPr="00406E38" w14:paraId="617A184C" w14:textId="77777777" w:rsidTr="00306313">
        <w:trPr>
          <w:trHeight w:val="450"/>
          <w:jc w:val="center"/>
        </w:trPr>
        <w:tc>
          <w:tcPr>
            <w:tcW w:w="3119" w:type="dxa"/>
            <w:shd w:val="clear" w:color="auto" w:fill="auto"/>
            <w:vAlign w:val="center"/>
            <w:hideMark/>
          </w:tcPr>
          <w:p w14:paraId="0F5DCFB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III Circ. Jud. San José (Desamparados)</w:t>
            </w:r>
          </w:p>
        </w:tc>
        <w:tc>
          <w:tcPr>
            <w:tcW w:w="2627" w:type="dxa"/>
            <w:shd w:val="clear" w:color="auto" w:fill="auto"/>
            <w:vAlign w:val="center"/>
            <w:hideMark/>
          </w:tcPr>
          <w:p w14:paraId="1CF55CD2"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1761-PLA-MI-2020</w:t>
            </w:r>
          </w:p>
        </w:tc>
        <w:tc>
          <w:tcPr>
            <w:tcW w:w="2508" w:type="dxa"/>
            <w:shd w:val="clear" w:color="auto" w:fill="auto"/>
            <w:vAlign w:val="center"/>
            <w:hideMark/>
          </w:tcPr>
          <w:p w14:paraId="0BF69B84"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97-PLA-EV-2021</w:t>
            </w:r>
          </w:p>
        </w:tc>
        <w:tc>
          <w:tcPr>
            <w:tcW w:w="2541" w:type="dxa"/>
            <w:shd w:val="clear" w:color="auto" w:fill="auto"/>
            <w:vAlign w:val="center"/>
            <w:hideMark/>
          </w:tcPr>
          <w:p w14:paraId="0EB8C569" w14:textId="525D45C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A2659">
              <w:rPr>
                <w:rFonts w:ascii="Book Antiqua" w:eastAsia="Times New Roman" w:hAnsi="Book Antiqua" w:cs="Arial"/>
                <w:color w:val="000000"/>
                <w:lang w:eastAsia="es-CR"/>
              </w:rPr>
              <w:t xml:space="preserve">Sesión </w:t>
            </w:r>
            <w:r w:rsidR="007A2659" w:rsidRPr="007A2659">
              <w:rPr>
                <w:rFonts w:ascii="Book Antiqua" w:eastAsia="Times New Roman" w:hAnsi="Book Antiqua" w:cs="Arial"/>
                <w:color w:val="000000"/>
                <w:lang w:eastAsia="es-CR"/>
              </w:rPr>
              <w:t>009-2021</w:t>
            </w:r>
            <w:r w:rsidR="007A2659">
              <w:rPr>
                <w:rFonts w:ascii="Book Antiqua" w:eastAsia="Times New Roman" w:hAnsi="Book Antiqua" w:cs="Arial"/>
                <w:color w:val="000000"/>
                <w:lang w:eastAsia="es-CR"/>
              </w:rPr>
              <w:t xml:space="preserve"> del </w:t>
            </w:r>
            <w:r w:rsidR="007A2659" w:rsidRPr="007A2659">
              <w:rPr>
                <w:rFonts w:ascii="Book Antiqua" w:eastAsia="Times New Roman" w:hAnsi="Book Antiqua" w:cs="Arial"/>
                <w:color w:val="000000"/>
                <w:lang w:eastAsia="es-CR"/>
              </w:rPr>
              <w:t>02</w:t>
            </w:r>
            <w:r w:rsidR="007A2659">
              <w:rPr>
                <w:rFonts w:ascii="Book Antiqua" w:eastAsia="Times New Roman" w:hAnsi="Book Antiqua" w:cs="Arial"/>
                <w:color w:val="000000"/>
                <w:lang w:eastAsia="es-CR"/>
              </w:rPr>
              <w:t>-02-</w:t>
            </w:r>
            <w:r w:rsidR="007A2659" w:rsidRPr="007A2659">
              <w:rPr>
                <w:rFonts w:ascii="Book Antiqua" w:eastAsia="Times New Roman" w:hAnsi="Book Antiqua" w:cs="Arial"/>
                <w:color w:val="000000"/>
                <w:lang w:eastAsia="es-CR"/>
              </w:rPr>
              <w:t>2021</w:t>
            </w:r>
            <w:r w:rsidR="007A2659">
              <w:rPr>
                <w:rFonts w:ascii="Book Antiqua" w:eastAsia="Times New Roman" w:hAnsi="Book Antiqua" w:cs="Arial"/>
                <w:color w:val="000000"/>
                <w:lang w:eastAsia="es-CR"/>
              </w:rPr>
              <w:t xml:space="preserve">, artículo </w:t>
            </w:r>
            <w:r w:rsidR="007A2659" w:rsidRPr="007A2659">
              <w:rPr>
                <w:rFonts w:ascii="Book Antiqua" w:eastAsia="Times New Roman" w:hAnsi="Book Antiqua" w:cs="Arial"/>
                <w:color w:val="000000"/>
                <w:lang w:eastAsia="es-CR"/>
              </w:rPr>
              <w:t>XXXV</w:t>
            </w:r>
          </w:p>
        </w:tc>
      </w:tr>
      <w:tr w:rsidR="00406E38" w:rsidRPr="00406E38" w14:paraId="5D0FE2A3" w14:textId="77777777" w:rsidTr="00306313">
        <w:trPr>
          <w:trHeight w:val="590"/>
          <w:jc w:val="center"/>
        </w:trPr>
        <w:tc>
          <w:tcPr>
            <w:tcW w:w="3119" w:type="dxa"/>
            <w:shd w:val="clear" w:color="auto" w:fill="auto"/>
            <w:vAlign w:val="center"/>
            <w:hideMark/>
          </w:tcPr>
          <w:p w14:paraId="2402FC9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 Circ. Jud. San José (Goicoechea) /Turno Extraordinario</w:t>
            </w:r>
          </w:p>
        </w:tc>
        <w:tc>
          <w:tcPr>
            <w:tcW w:w="2627" w:type="dxa"/>
            <w:shd w:val="clear" w:color="auto" w:fill="auto"/>
            <w:vAlign w:val="center"/>
            <w:hideMark/>
          </w:tcPr>
          <w:p w14:paraId="21A0222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1744-PLA-EV-2020</w:t>
            </w:r>
          </w:p>
        </w:tc>
        <w:tc>
          <w:tcPr>
            <w:tcW w:w="2508" w:type="dxa"/>
            <w:shd w:val="clear" w:color="auto" w:fill="auto"/>
            <w:vAlign w:val="center"/>
            <w:hideMark/>
          </w:tcPr>
          <w:p w14:paraId="174B76C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194-PLA-MI-2021</w:t>
            </w:r>
          </w:p>
        </w:tc>
        <w:tc>
          <w:tcPr>
            <w:tcW w:w="2541" w:type="dxa"/>
            <w:shd w:val="clear" w:color="auto" w:fill="auto"/>
            <w:vAlign w:val="center"/>
            <w:hideMark/>
          </w:tcPr>
          <w:p w14:paraId="4518A21C" w14:textId="5BBC586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16-2021 del 25-</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21,</w:t>
            </w:r>
            <w:r w:rsidR="007F3528">
              <w:rPr>
                <w:rFonts w:ascii="Book Antiqua" w:eastAsia="Times New Roman" w:hAnsi="Book Antiqua" w:cs="Arial"/>
                <w:color w:val="000000"/>
                <w:lang w:eastAsia="es-CR"/>
              </w:rPr>
              <w:t xml:space="preserve"> artículo</w:t>
            </w:r>
            <w:r w:rsidRPr="00406E38">
              <w:rPr>
                <w:rFonts w:ascii="Book Antiqua" w:eastAsia="Times New Roman" w:hAnsi="Book Antiqua" w:cs="Arial"/>
                <w:color w:val="000000"/>
                <w:lang w:eastAsia="es-CR"/>
              </w:rPr>
              <w:t xml:space="preserve"> LIII</w:t>
            </w:r>
          </w:p>
        </w:tc>
      </w:tr>
      <w:tr w:rsidR="00406E38" w:rsidRPr="00406E38" w14:paraId="111136DE" w14:textId="77777777" w:rsidTr="00306313">
        <w:trPr>
          <w:trHeight w:val="771"/>
          <w:jc w:val="center"/>
        </w:trPr>
        <w:tc>
          <w:tcPr>
            <w:tcW w:w="3119" w:type="dxa"/>
            <w:shd w:val="clear" w:color="auto" w:fill="auto"/>
            <w:vAlign w:val="center"/>
            <w:hideMark/>
          </w:tcPr>
          <w:p w14:paraId="4576789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6CFCBF2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1721-PLA-EV-2020</w:t>
            </w:r>
          </w:p>
        </w:tc>
        <w:tc>
          <w:tcPr>
            <w:tcW w:w="2508" w:type="dxa"/>
            <w:shd w:val="clear" w:color="auto" w:fill="auto"/>
            <w:vAlign w:val="center"/>
            <w:hideMark/>
          </w:tcPr>
          <w:p w14:paraId="373DF88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59-PLA-EV-2021</w:t>
            </w:r>
          </w:p>
        </w:tc>
        <w:tc>
          <w:tcPr>
            <w:tcW w:w="2541" w:type="dxa"/>
            <w:shd w:val="clear" w:color="auto" w:fill="auto"/>
            <w:vAlign w:val="center"/>
            <w:hideMark/>
          </w:tcPr>
          <w:p w14:paraId="5F74709E" w14:textId="4CF597AA"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6D539618" w14:textId="77777777" w:rsidTr="00306313">
        <w:trPr>
          <w:trHeight w:val="450"/>
          <w:jc w:val="center"/>
        </w:trPr>
        <w:tc>
          <w:tcPr>
            <w:tcW w:w="3119" w:type="dxa"/>
            <w:shd w:val="clear" w:color="auto" w:fill="auto"/>
            <w:vAlign w:val="center"/>
            <w:hideMark/>
          </w:tcPr>
          <w:p w14:paraId="5C72917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de Pensiones Alimentarias de Cartago </w:t>
            </w:r>
          </w:p>
        </w:tc>
        <w:tc>
          <w:tcPr>
            <w:tcW w:w="2627" w:type="dxa"/>
            <w:shd w:val="clear" w:color="auto" w:fill="auto"/>
            <w:vAlign w:val="center"/>
            <w:hideMark/>
          </w:tcPr>
          <w:p w14:paraId="3243E35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1773-PLA-EV-2020</w:t>
            </w:r>
          </w:p>
        </w:tc>
        <w:tc>
          <w:tcPr>
            <w:tcW w:w="2508" w:type="dxa"/>
            <w:shd w:val="clear" w:color="auto" w:fill="auto"/>
            <w:vAlign w:val="center"/>
            <w:hideMark/>
          </w:tcPr>
          <w:p w14:paraId="717466C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1861-PLA-EV-2020</w:t>
            </w:r>
          </w:p>
        </w:tc>
        <w:tc>
          <w:tcPr>
            <w:tcW w:w="2541" w:type="dxa"/>
            <w:shd w:val="clear" w:color="auto" w:fill="auto"/>
            <w:vAlign w:val="center"/>
            <w:hideMark/>
          </w:tcPr>
          <w:p w14:paraId="1997BDA8" w14:textId="6161513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w:t>
            </w:r>
          </w:p>
        </w:tc>
      </w:tr>
      <w:tr w:rsidR="00406E38" w:rsidRPr="00406E38" w14:paraId="6EBE430B" w14:textId="77777777" w:rsidTr="00306313">
        <w:trPr>
          <w:trHeight w:val="590"/>
          <w:jc w:val="center"/>
        </w:trPr>
        <w:tc>
          <w:tcPr>
            <w:tcW w:w="3119" w:type="dxa"/>
            <w:shd w:val="clear" w:color="auto" w:fill="auto"/>
            <w:vAlign w:val="center"/>
            <w:hideMark/>
          </w:tcPr>
          <w:p w14:paraId="3AB1FC2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Poás</w:t>
            </w:r>
          </w:p>
        </w:tc>
        <w:tc>
          <w:tcPr>
            <w:tcW w:w="2627" w:type="dxa"/>
            <w:shd w:val="clear" w:color="auto" w:fill="auto"/>
            <w:vAlign w:val="center"/>
            <w:hideMark/>
          </w:tcPr>
          <w:p w14:paraId="5923FBB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1702-PLA-EV-2020</w:t>
            </w:r>
          </w:p>
        </w:tc>
        <w:tc>
          <w:tcPr>
            <w:tcW w:w="2508" w:type="dxa"/>
            <w:shd w:val="clear" w:color="auto" w:fill="auto"/>
            <w:vAlign w:val="center"/>
            <w:hideMark/>
          </w:tcPr>
          <w:p w14:paraId="547CDCF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1989-PLA-EV-2020</w:t>
            </w:r>
          </w:p>
        </w:tc>
        <w:tc>
          <w:tcPr>
            <w:tcW w:w="2541" w:type="dxa"/>
            <w:shd w:val="clear" w:color="auto" w:fill="auto"/>
            <w:vAlign w:val="center"/>
            <w:hideMark/>
          </w:tcPr>
          <w:p w14:paraId="5535099A" w14:textId="06D698C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01-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21 del 5-</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XXXII </w:t>
            </w:r>
          </w:p>
        </w:tc>
      </w:tr>
      <w:tr w:rsidR="00406E38" w:rsidRPr="00406E38" w14:paraId="005B5BBC" w14:textId="77777777" w:rsidTr="00306313">
        <w:trPr>
          <w:trHeight w:val="450"/>
          <w:jc w:val="center"/>
        </w:trPr>
        <w:tc>
          <w:tcPr>
            <w:tcW w:w="3119" w:type="dxa"/>
            <w:shd w:val="clear" w:color="auto" w:fill="auto"/>
            <w:vAlign w:val="center"/>
            <w:hideMark/>
          </w:tcPr>
          <w:p w14:paraId="141EDEA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de Flores (PISAV)</w:t>
            </w:r>
          </w:p>
        </w:tc>
        <w:tc>
          <w:tcPr>
            <w:tcW w:w="2627" w:type="dxa"/>
            <w:shd w:val="clear" w:color="auto" w:fill="auto"/>
            <w:vAlign w:val="center"/>
            <w:hideMark/>
          </w:tcPr>
          <w:p w14:paraId="7F4F940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1810-PLA-EV-2020</w:t>
            </w:r>
          </w:p>
        </w:tc>
        <w:tc>
          <w:tcPr>
            <w:tcW w:w="2508" w:type="dxa"/>
            <w:shd w:val="clear" w:color="auto" w:fill="auto"/>
            <w:vAlign w:val="center"/>
            <w:hideMark/>
          </w:tcPr>
          <w:p w14:paraId="2AEF1D66" w14:textId="7ED0C8D9"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A2659" w:rsidRPr="007A2659">
              <w:rPr>
                <w:rFonts w:ascii="Book Antiqua" w:eastAsia="Times New Roman" w:hAnsi="Book Antiqua" w:cs="Arial"/>
                <w:color w:val="000000"/>
                <w:lang w:eastAsia="es-CR"/>
              </w:rPr>
              <w:t>545-PLA-EV-2021</w:t>
            </w:r>
          </w:p>
        </w:tc>
        <w:tc>
          <w:tcPr>
            <w:tcW w:w="2541" w:type="dxa"/>
            <w:shd w:val="clear" w:color="auto" w:fill="auto"/>
            <w:vAlign w:val="center"/>
            <w:hideMark/>
          </w:tcPr>
          <w:p w14:paraId="32479CE9" w14:textId="0548977F" w:rsidR="00406E38" w:rsidRPr="00406E38" w:rsidRDefault="007A2659" w:rsidP="001D0C10">
            <w:pPr>
              <w:spacing w:after="0" w:line="240" w:lineRule="auto"/>
              <w:jc w:val="both"/>
              <w:rPr>
                <w:rFonts w:ascii="Book Antiqua" w:eastAsia="Times New Roman" w:hAnsi="Book Antiqua" w:cs="Arial"/>
                <w:color w:val="000000"/>
                <w:lang w:eastAsia="es-CR"/>
              </w:rPr>
            </w:pPr>
            <w:r w:rsidRPr="007A2659">
              <w:rPr>
                <w:rFonts w:ascii="Book Antiqua" w:eastAsia="Times New Roman" w:hAnsi="Book Antiqua" w:cs="Arial"/>
                <w:color w:val="000000"/>
                <w:lang w:eastAsia="es-CR"/>
              </w:rPr>
              <w:t>Sesión 43-2021</w:t>
            </w:r>
            <w:r>
              <w:rPr>
                <w:rFonts w:ascii="Book Antiqua" w:eastAsia="Times New Roman" w:hAnsi="Book Antiqua" w:cs="Arial"/>
                <w:color w:val="000000"/>
                <w:lang w:eastAsia="es-CR"/>
              </w:rPr>
              <w:t xml:space="preserve"> </w:t>
            </w:r>
            <w:r w:rsidRPr="007A2659">
              <w:rPr>
                <w:rFonts w:ascii="Book Antiqua" w:eastAsia="Times New Roman" w:hAnsi="Book Antiqua" w:cs="Arial"/>
                <w:color w:val="000000"/>
                <w:lang w:eastAsia="es-CR"/>
              </w:rPr>
              <w:t>del 25</w:t>
            </w:r>
            <w:r>
              <w:rPr>
                <w:rFonts w:ascii="Book Antiqua" w:eastAsia="Times New Roman" w:hAnsi="Book Antiqua" w:cs="Arial"/>
                <w:color w:val="000000"/>
                <w:lang w:eastAsia="es-CR"/>
              </w:rPr>
              <w:t>-05-</w:t>
            </w:r>
            <w:r w:rsidRPr="007A2659">
              <w:rPr>
                <w:rFonts w:ascii="Book Antiqua" w:eastAsia="Times New Roman" w:hAnsi="Book Antiqua" w:cs="Arial"/>
                <w:color w:val="000000"/>
                <w:lang w:eastAsia="es-CR"/>
              </w:rPr>
              <w:t>2021, artículo XXXI</w:t>
            </w:r>
            <w:r w:rsidR="00406E38" w:rsidRPr="00406E38">
              <w:rPr>
                <w:rFonts w:ascii="Book Antiqua" w:eastAsia="Times New Roman" w:hAnsi="Book Antiqua" w:cs="Arial"/>
                <w:color w:val="000000"/>
                <w:lang w:eastAsia="es-CR"/>
              </w:rPr>
              <w:t> </w:t>
            </w:r>
          </w:p>
        </w:tc>
      </w:tr>
      <w:tr w:rsidR="00406E38" w:rsidRPr="00406E38" w14:paraId="270F2DBA" w14:textId="77777777" w:rsidTr="00306313">
        <w:trPr>
          <w:trHeight w:val="828"/>
          <w:jc w:val="center"/>
        </w:trPr>
        <w:tc>
          <w:tcPr>
            <w:tcW w:w="3119" w:type="dxa"/>
            <w:shd w:val="clear" w:color="auto" w:fill="auto"/>
            <w:vAlign w:val="center"/>
            <w:hideMark/>
          </w:tcPr>
          <w:p w14:paraId="4BDADA8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Pavas (PISAV)</w:t>
            </w:r>
          </w:p>
        </w:tc>
        <w:tc>
          <w:tcPr>
            <w:tcW w:w="2627" w:type="dxa"/>
            <w:shd w:val="clear" w:color="auto" w:fill="auto"/>
            <w:vAlign w:val="center"/>
            <w:hideMark/>
          </w:tcPr>
          <w:p w14:paraId="25FED68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1759-PLA-EV-20</w:t>
            </w:r>
          </w:p>
        </w:tc>
        <w:tc>
          <w:tcPr>
            <w:tcW w:w="2508" w:type="dxa"/>
            <w:shd w:val="clear" w:color="auto" w:fill="auto"/>
            <w:vAlign w:val="center"/>
            <w:hideMark/>
          </w:tcPr>
          <w:p w14:paraId="3C78943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15-PLA-EV-2021</w:t>
            </w:r>
          </w:p>
        </w:tc>
        <w:tc>
          <w:tcPr>
            <w:tcW w:w="2541" w:type="dxa"/>
            <w:shd w:val="clear" w:color="auto" w:fill="auto"/>
            <w:vAlign w:val="center"/>
            <w:hideMark/>
          </w:tcPr>
          <w:p w14:paraId="78DBE5E3" w14:textId="1015D4E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7-2021 del 26-</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w:t>
            </w:r>
          </w:p>
        </w:tc>
      </w:tr>
      <w:tr w:rsidR="00406E38" w:rsidRPr="00406E38" w14:paraId="23603B79" w14:textId="77777777" w:rsidTr="00306313">
        <w:trPr>
          <w:trHeight w:val="312"/>
          <w:jc w:val="center"/>
        </w:trPr>
        <w:tc>
          <w:tcPr>
            <w:tcW w:w="3119" w:type="dxa"/>
            <w:shd w:val="clear" w:color="auto" w:fill="auto"/>
            <w:vAlign w:val="center"/>
            <w:hideMark/>
          </w:tcPr>
          <w:p w14:paraId="0C5A0094"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Buenos Aires</w:t>
            </w:r>
          </w:p>
        </w:tc>
        <w:tc>
          <w:tcPr>
            <w:tcW w:w="2627" w:type="dxa"/>
            <w:shd w:val="clear" w:color="auto" w:fill="auto"/>
            <w:vAlign w:val="center"/>
            <w:hideMark/>
          </w:tcPr>
          <w:p w14:paraId="73D4F6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1681-PLA-EV-2020</w:t>
            </w:r>
          </w:p>
        </w:tc>
        <w:tc>
          <w:tcPr>
            <w:tcW w:w="2508" w:type="dxa"/>
            <w:shd w:val="clear" w:color="auto" w:fill="auto"/>
            <w:vAlign w:val="center"/>
            <w:hideMark/>
          </w:tcPr>
          <w:p w14:paraId="4C05145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76-PLA-EV-2021</w:t>
            </w:r>
          </w:p>
        </w:tc>
        <w:tc>
          <w:tcPr>
            <w:tcW w:w="2541" w:type="dxa"/>
            <w:shd w:val="clear" w:color="auto" w:fill="auto"/>
            <w:vAlign w:val="center"/>
            <w:hideMark/>
          </w:tcPr>
          <w:p w14:paraId="79EA0F77" w14:textId="3321118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LI</w:t>
            </w:r>
          </w:p>
        </w:tc>
      </w:tr>
      <w:tr w:rsidR="00406E38" w:rsidRPr="00406E38" w14:paraId="5D48FFB0" w14:textId="77777777" w:rsidTr="00306313">
        <w:trPr>
          <w:trHeight w:val="450"/>
          <w:jc w:val="center"/>
        </w:trPr>
        <w:tc>
          <w:tcPr>
            <w:tcW w:w="3119" w:type="dxa"/>
            <w:shd w:val="clear" w:color="auto" w:fill="auto"/>
            <w:vAlign w:val="center"/>
            <w:hideMark/>
          </w:tcPr>
          <w:p w14:paraId="3DD6528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Santa Ana </w:t>
            </w:r>
          </w:p>
        </w:tc>
        <w:tc>
          <w:tcPr>
            <w:tcW w:w="2627" w:type="dxa"/>
            <w:shd w:val="clear" w:color="auto" w:fill="auto"/>
            <w:vAlign w:val="center"/>
            <w:hideMark/>
          </w:tcPr>
          <w:p w14:paraId="62288FAE"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1667-PLA-MI-2020</w:t>
            </w:r>
          </w:p>
        </w:tc>
        <w:tc>
          <w:tcPr>
            <w:tcW w:w="2508" w:type="dxa"/>
            <w:shd w:val="clear" w:color="auto" w:fill="auto"/>
            <w:vAlign w:val="center"/>
            <w:hideMark/>
          </w:tcPr>
          <w:p w14:paraId="491CFE7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1852-PLA-MI-2020</w:t>
            </w:r>
          </w:p>
        </w:tc>
        <w:tc>
          <w:tcPr>
            <w:tcW w:w="2541" w:type="dxa"/>
            <w:shd w:val="clear" w:color="auto" w:fill="auto"/>
            <w:vAlign w:val="center"/>
            <w:hideMark/>
          </w:tcPr>
          <w:p w14:paraId="785B2FE3" w14:textId="365567B6"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6F6FA79E" w14:textId="77777777" w:rsidTr="00306313">
        <w:trPr>
          <w:trHeight w:val="450"/>
          <w:jc w:val="center"/>
        </w:trPr>
        <w:tc>
          <w:tcPr>
            <w:tcW w:w="3119" w:type="dxa"/>
            <w:shd w:val="clear" w:color="auto" w:fill="auto"/>
            <w:vAlign w:val="center"/>
            <w:hideMark/>
          </w:tcPr>
          <w:p w14:paraId="5485F64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Valverde Vega</w:t>
            </w:r>
          </w:p>
        </w:tc>
        <w:tc>
          <w:tcPr>
            <w:tcW w:w="2627" w:type="dxa"/>
            <w:shd w:val="clear" w:color="auto" w:fill="auto"/>
            <w:vAlign w:val="center"/>
            <w:hideMark/>
          </w:tcPr>
          <w:p w14:paraId="3244E3FF"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1676-PLA-MI-2020</w:t>
            </w:r>
          </w:p>
        </w:tc>
        <w:tc>
          <w:tcPr>
            <w:tcW w:w="2508" w:type="dxa"/>
            <w:shd w:val="clear" w:color="auto" w:fill="auto"/>
            <w:vAlign w:val="center"/>
            <w:hideMark/>
          </w:tcPr>
          <w:p w14:paraId="17EB72F3"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1850-PLA-MI-2020</w:t>
            </w:r>
          </w:p>
        </w:tc>
        <w:tc>
          <w:tcPr>
            <w:tcW w:w="2541" w:type="dxa"/>
            <w:shd w:val="clear" w:color="auto" w:fill="auto"/>
            <w:vAlign w:val="center"/>
            <w:hideMark/>
          </w:tcPr>
          <w:p w14:paraId="3EA5886E" w14:textId="655EDD8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75E83BA1" w14:textId="77777777" w:rsidTr="00306313">
        <w:trPr>
          <w:trHeight w:val="450"/>
          <w:jc w:val="center"/>
        </w:trPr>
        <w:tc>
          <w:tcPr>
            <w:tcW w:w="3119" w:type="dxa"/>
            <w:shd w:val="clear" w:color="auto" w:fill="auto"/>
            <w:vAlign w:val="center"/>
            <w:hideMark/>
          </w:tcPr>
          <w:p w14:paraId="297E596D"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Atenas</w:t>
            </w:r>
          </w:p>
        </w:tc>
        <w:tc>
          <w:tcPr>
            <w:tcW w:w="2627" w:type="dxa"/>
            <w:shd w:val="clear" w:color="auto" w:fill="auto"/>
            <w:vAlign w:val="center"/>
            <w:hideMark/>
          </w:tcPr>
          <w:p w14:paraId="6F397C5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1834-PLA-MI-2020</w:t>
            </w:r>
          </w:p>
        </w:tc>
        <w:tc>
          <w:tcPr>
            <w:tcW w:w="2508" w:type="dxa"/>
            <w:shd w:val="clear" w:color="auto" w:fill="auto"/>
            <w:vAlign w:val="center"/>
            <w:hideMark/>
          </w:tcPr>
          <w:p w14:paraId="0B641C5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75-PLA-EV-2021</w:t>
            </w:r>
          </w:p>
        </w:tc>
        <w:tc>
          <w:tcPr>
            <w:tcW w:w="2541" w:type="dxa"/>
            <w:shd w:val="clear" w:color="auto" w:fill="auto"/>
            <w:vAlign w:val="center"/>
            <w:hideMark/>
          </w:tcPr>
          <w:p w14:paraId="1A9F8CC6" w14:textId="315F31C5" w:rsidR="00406E38" w:rsidRPr="00406E38" w:rsidRDefault="007F352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F3528">
              <w:rPr>
                <w:rFonts w:ascii="Book Antiqua" w:eastAsia="Times New Roman" w:hAnsi="Book Antiqua" w:cs="Arial"/>
                <w:color w:val="000000"/>
                <w:lang w:eastAsia="es-CR"/>
              </w:rPr>
              <w:t xml:space="preserve">010-2021 </w:t>
            </w:r>
            <w:r>
              <w:rPr>
                <w:rFonts w:ascii="Book Antiqua" w:eastAsia="Times New Roman" w:hAnsi="Book Antiqua" w:cs="Arial"/>
                <w:color w:val="000000"/>
                <w:lang w:eastAsia="es-CR"/>
              </w:rPr>
              <w:t xml:space="preserve">del </w:t>
            </w:r>
            <w:r w:rsidRPr="007F3528">
              <w:rPr>
                <w:rFonts w:ascii="Book Antiqua" w:eastAsia="Times New Roman" w:hAnsi="Book Antiqua" w:cs="Arial"/>
                <w:color w:val="000000"/>
                <w:lang w:eastAsia="es-CR"/>
              </w:rPr>
              <w:t>04</w:t>
            </w:r>
            <w:r>
              <w:rPr>
                <w:rFonts w:ascii="Book Antiqua" w:eastAsia="Times New Roman" w:hAnsi="Book Antiqua" w:cs="Arial"/>
                <w:color w:val="000000"/>
                <w:lang w:eastAsia="es-CR"/>
              </w:rPr>
              <w:t>-02-</w:t>
            </w:r>
            <w:r w:rsidRPr="007F3528">
              <w:rPr>
                <w:rFonts w:ascii="Book Antiqua" w:eastAsia="Times New Roman" w:hAnsi="Book Antiqua" w:cs="Arial"/>
                <w:color w:val="000000"/>
                <w:lang w:eastAsia="es-CR"/>
              </w:rPr>
              <w:t>2021</w:t>
            </w:r>
            <w:r>
              <w:rPr>
                <w:rFonts w:ascii="Book Antiqua" w:eastAsia="Times New Roman" w:hAnsi="Book Antiqua" w:cs="Arial"/>
                <w:color w:val="000000"/>
                <w:lang w:eastAsia="es-CR"/>
              </w:rPr>
              <w:t>, artículo</w:t>
            </w:r>
            <w:r w:rsidRPr="007F3528">
              <w:rPr>
                <w:rFonts w:ascii="Book Antiqua" w:eastAsia="Times New Roman" w:hAnsi="Book Antiqua" w:cs="Arial"/>
                <w:color w:val="000000"/>
                <w:lang w:eastAsia="es-CR"/>
              </w:rPr>
              <w:t xml:space="preserve"> LII</w:t>
            </w:r>
            <w:r w:rsidR="00406E38" w:rsidRPr="00406E38">
              <w:rPr>
                <w:rFonts w:ascii="Book Antiqua" w:eastAsia="Times New Roman" w:hAnsi="Book Antiqua" w:cs="Arial"/>
                <w:color w:val="000000"/>
                <w:lang w:eastAsia="es-CR"/>
              </w:rPr>
              <w:t> </w:t>
            </w:r>
          </w:p>
        </w:tc>
      </w:tr>
      <w:tr w:rsidR="00406E38" w:rsidRPr="00406E38" w14:paraId="362A8436" w14:textId="77777777" w:rsidTr="00306313">
        <w:trPr>
          <w:trHeight w:val="450"/>
          <w:jc w:val="center"/>
        </w:trPr>
        <w:tc>
          <w:tcPr>
            <w:tcW w:w="3119" w:type="dxa"/>
            <w:shd w:val="clear" w:color="auto" w:fill="auto"/>
            <w:vAlign w:val="center"/>
            <w:hideMark/>
          </w:tcPr>
          <w:p w14:paraId="6944761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Naranjo</w:t>
            </w:r>
          </w:p>
        </w:tc>
        <w:tc>
          <w:tcPr>
            <w:tcW w:w="2627" w:type="dxa"/>
            <w:shd w:val="clear" w:color="auto" w:fill="auto"/>
            <w:vAlign w:val="center"/>
            <w:hideMark/>
          </w:tcPr>
          <w:p w14:paraId="0272374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1680-PLA-MI-2020</w:t>
            </w:r>
          </w:p>
        </w:tc>
        <w:tc>
          <w:tcPr>
            <w:tcW w:w="2508" w:type="dxa"/>
            <w:shd w:val="clear" w:color="auto" w:fill="auto"/>
            <w:vAlign w:val="center"/>
            <w:hideMark/>
          </w:tcPr>
          <w:p w14:paraId="72BF751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1865-PLA-MI-2020</w:t>
            </w:r>
          </w:p>
        </w:tc>
        <w:tc>
          <w:tcPr>
            <w:tcW w:w="2541" w:type="dxa"/>
            <w:shd w:val="clear" w:color="auto" w:fill="auto"/>
            <w:vAlign w:val="center"/>
            <w:hideMark/>
          </w:tcPr>
          <w:p w14:paraId="35FC969B" w14:textId="415366D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XLVII</w:t>
            </w:r>
          </w:p>
        </w:tc>
      </w:tr>
      <w:tr w:rsidR="00406E38" w:rsidRPr="00406E38" w14:paraId="27A64D68" w14:textId="77777777" w:rsidTr="00306313">
        <w:trPr>
          <w:trHeight w:val="450"/>
          <w:jc w:val="center"/>
        </w:trPr>
        <w:tc>
          <w:tcPr>
            <w:tcW w:w="3119" w:type="dxa"/>
            <w:shd w:val="clear" w:color="auto" w:fill="auto"/>
            <w:vAlign w:val="center"/>
            <w:hideMark/>
          </w:tcPr>
          <w:p w14:paraId="181EE58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Palmares</w:t>
            </w:r>
          </w:p>
        </w:tc>
        <w:tc>
          <w:tcPr>
            <w:tcW w:w="2627" w:type="dxa"/>
            <w:shd w:val="clear" w:color="auto" w:fill="auto"/>
            <w:vAlign w:val="center"/>
            <w:hideMark/>
          </w:tcPr>
          <w:p w14:paraId="74586B0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1662-PLA-MI-2020</w:t>
            </w:r>
          </w:p>
        </w:tc>
        <w:tc>
          <w:tcPr>
            <w:tcW w:w="2508" w:type="dxa"/>
            <w:shd w:val="clear" w:color="auto" w:fill="auto"/>
            <w:vAlign w:val="center"/>
            <w:hideMark/>
          </w:tcPr>
          <w:p w14:paraId="7F0F80A0"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1883-PLA-EV-2020</w:t>
            </w:r>
          </w:p>
        </w:tc>
        <w:tc>
          <w:tcPr>
            <w:tcW w:w="2541" w:type="dxa"/>
            <w:shd w:val="clear" w:color="auto" w:fill="auto"/>
            <w:vAlign w:val="center"/>
            <w:hideMark/>
          </w:tcPr>
          <w:p w14:paraId="10C66F3E" w14:textId="401A05A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w:t>
            </w:r>
          </w:p>
        </w:tc>
      </w:tr>
      <w:tr w:rsidR="00406E38" w:rsidRPr="00406E38" w14:paraId="30A47D80" w14:textId="77777777" w:rsidTr="00306313">
        <w:trPr>
          <w:trHeight w:val="651"/>
          <w:jc w:val="center"/>
        </w:trPr>
        <w:tc>
          <w:tcPr>
            <w:tcW w:w="3119" w:type="dxa"/>
            <w:shd w:val="clear" w:color="auto" w:fill="auto"/>
            <w:vAlign w:val="center"/>
            <w:hideMark/>
          </w:tcPr>
          <w:p w14:paraId="31F444E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Puriscal</w:t>
            </w:r>
          </w:p>
        </w:tc>
        <w:tc>
          <w:tcPr>
            <w:tcW w:w="2627" w:type="dxa"/>
            <w:shd w:val="clear" w:color="auto" w:fill="auto"/>
            <w:vAlign w:val="center"/>
            <w:hideMark/>
          </w:tcPr>
          <w:p w14:paraId="03034B2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                                                                                                                       1669-PLA-EV-2020</w:t>
            </w:r>
          </w:p>
        </w:tc>
        <w:tc>
          <w:tcPr>
            <w:tcW w:w="2508" w:type="dxa"/>
            <w:shd w:val="clear" w:color="auto" w:fill="auto"/>
            <w:vAlign w:val="center"/>
            <w:hideMark/>
          </w:tcPr>
          <w:p w14:paraId="3065C6D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1889-PLA-EV-2020</w:t>
            </w:r>
          </w:p>
        </w:tc>
        <w:tc>
          <w:tcPr>
            <w:tcW w:w="2541" w:type="dxa"/>
            <w:shd w:val="clear" w:color="auto" w:fill="auto"/>
            <w:vAlign w:val="center"/>
            <w:hideMark/>
          </w:tcPr>
          <w:p w14:paraId="4B8B0DFD"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XLVI</w:t>
            </w:r>
          </w:p>
        </w:tc>
      </w:tr>
      <w:tr w:rsidR="00406E38" w:rsidRPr="00406E38" w14:paraId="0FBF0FD3" w14:textId="77777777" w:rsidTr="00306313">
        <w:trPr>
          <w:trHeight w:val="450"/>
          <w:jc w:val="center"/>
        </w:trPr>
        <w:tc>
          <w:tcPr>
            <w:tcW w:w="3119" w:type="dxa"/>
            <w:shd w:val="clear" w:color="auto" w:fill="auto"/>
            <w:vAlign w:val="center"/>
            <w:hideMark/>
          </w:tcPr>
          <w:p w14:paraId="316F622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Jiménez</w:t>
            </w:r>
          </w:p>
        </w:tc>
        <w:tc>
          <w:tcPr>
            <w:tcW w:w="2627" w:type="dxa"/>
            <w:shd w:val="clear" w:color="auto" w:fill="auto"/>
            <w:vAlign w:val="center"/>
            <w:hideMark/>
          </w:tcPr>
          <w:p w14:paraId="1914628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1723-PLA-EV-2020</w:t>
            </w:r>
          </w:p>
        </w:tc>
        <w:tc>
          <w:tcPr>
            <w:tcW w:w="2508" w:type="dxa"/>
            <w:shd w:val="clear" w:color="auto" w:fill="auto"/>
            <w:vAlign w:val="center"/>
            <w:hideMark/>
          </w:tcPr>
          <w:p w14:paraId="3E14CD6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1855-PLA-EV-2020</w:t>
            </w:r>
          </w:p>
        </w:tc>
        <w:tc>
          <w:tcPr>
            <w:tcW w:w="2541" w:type="dxa"/>
            <w:shd w:val="clear" w:color="auto" w:fill="auto"/>
            <w:vAlign w:val="center"/>
            <w:hideMark/>
          </w:tcPr>
          <w:p w14:paraId="3F17D123" w14:textId="15ED6D5F"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115-2020, del 1-12-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4C862FA6" w14:textId="77777777" w:rsidTr="00306313">
        <w:trPr>
          <w:trHeight w:val="731"/>
          <w:jc w:val="center"/>
        </w:trPr>
        <w:tc>
          <w:tcPr>
            <w:tcW w:w="3119" w:type="dxa"/>
            <w:shd w:val="clear" w:color="auto" w:fill="auto"/>
            <w:vAlign w:val="center"/>
            <w:hideMark/>
          </w:tcPr>
          <w:p w14:paraId="2FCEB88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Quepos</w:t>
            </w:r>
          </w:p>
        </w:tc>
        <w:tc>
          <w:tcPr>
            <w:tcW w:w="2627" w:type="dxa"/>
            <w:shd w:val="clear" w:color="auto" w:fill="auto"/>
            <w:vAlign w:val="center"/>
            <w:hideMark/>
          </w:tcPr>
          <w:p w14:paraId="288A6A6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1677-PLA-EV-2020</w:t>
            </w:r>
          </w:p>
        </w:tc>
        <w:tc>
          <w:tcPr>
            <w:tcW w:w="2508" w:type="dxa"/>
            <w:shd w:val="clear" w:color="auto" w:fill="auto"/>
            <w:vAlign w:val="center"/>
            <w:hideMark/>
          </w:tcPr>
          <w:p w14:paraId="6120332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1979-PLA-EV-2020</w:t>
            </w:r>
          </w:p>
        </w:tc>
        <w:tc>
          <w:tcPr>
            <w:tcW w:w="2541" w:type="dxa"/>
            <w:shd w:val="clear" w:color="auto" w:fill="auto"/>
            <w:vAlign w:val="center"/>
            <w:hideMark/>
          </w:tcPr>
          <w:p w14:paraId="2B573B2E" w14:textId="03C701E3"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6D0CFDEB" w14:textId="77777777" w:rsidTr="00306313">
        <w:trPr>
          <w:trHeight w:val="450"/>
          <w:jc w:val="center"/>
        </w:trPr>
        <w:tc>
          <w:tcPr>
            <w:tcW w:w="3119" w:type="dxa"/>
            <w:shd w:val="clear" w:color="auto" w:fill="auto"/>
            <w:vAlign w:val="center"/>
            <w:hideMark/>
          </w:tcPr>
          <w:p w14:paraId="52DEC84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Hojancha</w:t>
            </w:r>
          </w:p>
        </w:tc>
        <w:tc>
          <w:tcPr>
            <w:tcW w:w="2627" w:type="dxa"/>
            <w:shd w:val="clear" w:color="auto" w:fill="auto"/>
            <w:vAlign w:val="center"/>
            <w:hideMark/>
          </w:tcPr>
          <w:p w14:paraId="47B5FE8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1722-PLA-EV-2020</w:t>
            </w:r>
          </w:p>
        </w:tc>
        <w:tc>
          <w:tcPr>
            <w:tcW w:w="2508" w:type="dxa"/>
            <w:shd w:val="clear" w:color="auto" w:fill="auto"/>
            <w:vAlign w:val="center"/>
            <w:hideMark/>
          </w:tcPr>
          <w:p w14:paraId="2BF20D0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1845-PLA-EV-2020</w:t>
            </w:r>
          </w:p>
        </w:tc>
        <w:tc>
          <w:tcPr>
            <w:tcW w:w="2541" w:type="dxa"/>
            <w:shd w:val="clear" w:color="auto" w:fill="auto"/>
            <w:vAlign w:val="center"/>
            <w:hideMark/>
          </w:tcPr>
          <w:p w14:paraId="7FEAC824" w14:textId="6CBA5F8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XXXVIII</w:t>
            </w:r>
          </w:p>
        </w:tc>
      </w:tr>
      <w:tr w:rsidR="00406E38" w:rsidRPr="00406E38" w14:paraId="4DCC8BC8" w14:textId="77777777" w:rsidTr="00306313">
        <w:trPr>
          <w:trHeight w:val="450"/>
          <w:jc w:val="center"/>
        </w:trPr>
        <w:tc>
          <w:tcPr>
            <w:tcW w:w="3119" w:type="dxa"/>
            <w:shd w:val="clear" w:color="auto" w:fill="auto"/>
            <w:vAlign w:val="center"/>
            <w:hideMark/>
          </w:tcPr>
          <w:p w14:paraId="26760F7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Alvarado</w:t>
            </w:r>
          </w:p>
        </w:tc>
        <w:tc>
          <w:tcPr>
            <w:tcW w:w="2627" w:type="dxa"/>
            <w:shd w:val="clear" w:color="auto" w:fill="auto"/>
            <w:vAlign w:val="center"/>
            <w:hideMark/>
          </w:tcPr>
          <w:p w14:paraId="1A3D16A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1726-PLA-EV-2020</w:t>
            </w:r>
          </w:p>
        </w:tc>
        <w:tc>
          <w:tcPr>
            <w:tcW w:w="2508" w:type="dxa"/>
            <w:shd w:val="clear" w:color="auto" w:fill="auto"/>
            <w:vAlign w:val="center"/>
            <w:hideMark/>
          </w:tcPr>
          <w:p w14:paraId="349A381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1876-PLA-EV-2020</w:t>
            </w:r>
          </w:p>
        </w:tc>
        <w:tc>
          <w:tcPr>
            <w:tcW w:w="2541" w:type="dxa"/>
            <w:shd w:val="clear" w:color="auto" w:fill="auto"/>
            <w:vAlign w:val="center"/>
            <w:hideMark/>
          </w:tcPr>
          <w:p w14:paraId="1B66B222"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LVI</w:t>
            </w:r>
          </w:p>
        </w:tc>
      </w:tr>
      <w:tr w:rsidR="00406E38" w:rsidRPr="00406E38" w14:paraId="514F4DDB" w14:textId="77777777" w:rsidTr="00306313">
        <w:trPr>
          <w:trHeight w:val="828"/>
          <w:jc w:val="center"/>
        </w:trPr>
        <w:tc>
          <w:tcPr>
            <w:tcW w:w="3119" w:type="dxa"/>
            <w:shd w:val="clear" w:color="auto" w:fill="auto"/>
            <w:vAlign w:val="center"/>
            <w:hideMark/>
          </w:tcPr>
          <w:p w14:paraId="3B1B51C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Hatillo</w:t>
            </w:r>
          </w:p>
        </w:tc>
        <w:tc>
          <w:tcPr>
            <w:tcW w:w="2627" w:type="dxa"/>
            <w:shd w:val="clear" w:color="auto" w:fill="auto"/>
            <w:vAlign w:val="center"/>
            <w:hideMark/>
          </w:tcPr>
          <w:p w14:paraId="221DC64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1685-PLA-EV-2020</w:t>
            </w:r>
          </w:p>
        </w:tc>
        <w:tc>
          <w:tcPr>
            <w:tcW w:w="2508" w:type="dxa"/>
            <w:shd w:val="clear" w:color="auto" w:fill="auto"/>
            <w:vAlign w:val="center"/>
            <w:hideMark/>
          </w:tcPr>
          <w:p w14:paraId="6B4CF42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1882-PLA-EV-2020</w:t>
            </w:r>
          </w:p>
        </w:tc>
        <w:tc>
          <w:tcPr>
            <w:tcW w:w="2541" w:type="dxa"/>
            <w:shd w:val="clear" w:color="auto" w:fill="auto"/>
            <w:vAlign w:val="center"/>
            <w:hideMark/>
          </w:tcPr>
          <w:p w14:paraId="023F4BE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LVI</w:t>
            </w:r>
          </w:p>
        </w:tc>
      </w:tr>
      <w:tr w:rsidR="00406E38" w:rsidRPr="00406E38" w14:paraId="2D80E7D7" w14:textId="77777777" w:rsidTr="00306313">
        <w:trPr>
          <w:trHeight w:val="300"/>
          <w:jc w:val="center"/>
        </w:trPr>
        <w:tc>
          <w:tcPr>
            <w:tcW w:w="3119" w:type="dxa"/>
            <w:shd w:val="clear" w:color="auto" w:fill="auto"/>
            <w:vAlign w:val="center"/>
            <w:hideMark/>
          </w:tcPr>
          <w:p w14:paraId="6A6AB734"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San Sebastián</w:t>
            </w:r>
          </w:p>
        </w:tc>
        <w:tc>
          <w:tcPr>
            <w:tcW w:w="2627" w:type="dxa"/>
            <w:shd w:val="clear" w:color="auto" w:fill="auto"/>
            <w:vAlign w:val="center"/>
            <w:hideMark/>
          </w:tcPr>
          <w:p w14:paraId="1B03454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1736-PLA-MI-2020</w:t>
            </w:r>
          </w:p>
        </w:tc>
        <w:tc>
          <w:tcPr>
            <w:tcW w:w="2508" w:type="dxa"/>
            <w:shd w:val="clear" w:color="auto" w:fill="auto"/>
            <w:vAlign w:val="center"/>
            <w:hideMark/>
          </w:tcPr>
          <w:p w14:paraId="678539D0" w14:textId="16BFA0A7" w:rsidR="00406E38" w:rsidRPr="00406E38" w:rsidRDefault="00732B48" w:rsidP="00406E38">
            <w:pPr>
              <w:spacing w:after="0" w:line="240" w:lineRule="auto"/>
              <w:jc w:val="center"/>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419-PLA-MI-2021</w:t>
            </w:r>
            <w:r w:rsidR="00406E38" w:rsidRPr="00406E38">
              <w:rPr>
                <w:rFonts w:ascii="Book Antiqua" w:eastAsia="Times New Roman" w:hAnsi="Book Antiqua" w:cs="Arial"/>
                <w:color w:val="000000"/>
                <w:lang w:eastAsia="es-CR"/>
              </w:rPr>
              <w:t> </w:t>
            </w:r>
          </w:p>
        </w:tc>
        <w:tc>
          <w:tcPr>
            <w:tcW w:w="2541" w:type="dxa"/>
            <w:shd w:val="clear" w:color="auto" w:fill="auto"/>
            <w:vAlign w:val="center"/>
            <w:hideMark/>
          </w:tcPr>
          <w:p w14:paraId="7D07C0EB" w14:textId="0197A7B1" w:rsidR="00406E38" w:rsidRPr="00406E38" w:rsidRDefault="00732B4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732B48">
              <w:rPr>
                <w:rFonts w:ascii="Book Antiqua" w:eastAsia="Times New Roman" w:hAnsi="Book Antiqua" w:cs="Arial"/>
                <w:color w:val="000000"/>
                <w:lang w:eastAsia="es-CR"/>
              </w:rPr>
              <w:t xml:space="preserve">esión 33-2021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 xml:space="preserve">el 27 </w:t>
            </w:r>
            <w:r>
              <w:rPr>
                <w:rFonts w:ascii="Book Antiqua" w:eastAsia="Times New Roman" w:hAnsi="Book Antiqua" w:cs="Arial"/>
                <w:color w:val="000000"/>
                <w:lang w:eastAsia="es-CR"/>
              </w:rPr>
              <w:t>-04-</w:t>
            </w:r>
            <w:r w:rsidRPr="00732B48">
              <w:rPr>
                <w:rFonts w:ascii="Book Antiqua" w:eastAsia="Times New Roman" w:hAnsi="Book Antiqua" w:cs="Arial"/>
                <w:color w:val="000000"/>
                <w:lang w:eastAsia="es-CR"/>
              </w:rPr>
              <w:t xml:space="preserve">2021, </w:t>
            </w:r>
            <w:r>
              <w:rPr>
                <w:rFonts w:ascii="Book Antiqua" w:eastAsia="Times New Roman" w:hAnsi="Book Antiqua" w:cs="Arial"/>
                <w:color w:val="000000"/>
                <w:lang w:eastAsia="es-CR"/>
              </w:rPr>
              <w:t xml:space="preserve">artículo </w:t>
            </w:r>
            <w:r w:rsidRPr="00732B48">
              <w:rPr>
                <w:rFonts w:ascii="Book Antiqua" w:eastAsia="Times New Roman" w:hAnsi="Book Antiqua" w:cs="Arial"/>
                <w:color w:val="000000"/>
                <w:lang w:eastAsia="es-CR"/>
              </w:rPr>
              <w:t>XXXV</w:t>
            </w:r>
            <w:r w:rsidR="00406E38" w:rsidRPr="00406E38">
              <w:rPr>
                <w:rFonts w:ascii="Book Antiqua" w:eastAsia="Times New Roman" w:hAnsi="Book Antiqua" w:cs="Arial"/>
                <w:color w:val="000000"/>
                <w:lang w:eastAsia="es-CR"/>
              </w:rPr>
              <w:t> </w:t>
            </w:r>
          </w:p>
        </w:tc>
      </w:tr>
      <w:tr w:rsidR="00406E38" w:rsidRPr="00406E38" w14:paraId="6F39111C" w14:textId="77777777" w:rsidTr="00306313">
        <w:trPr>
          <w:trHeight w:val="612"/>
          <w:jc w:val="center"/>
        </w:trPr>
        <w:tc>
          <w:tcPr>
            <w:tcW w:w="3119" w:type="dxa"/>
            <w:shd w:val="clear" w:color="auto" w:fill="auto"/>
            <w:vAlign w:val="center"/>
            <w:hideMark/>
          </w:tcPr>
          <w:p w14:paraId="454AEF4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San Rafael</w:t>
            </w:r>
          </w:p>
        </w:tc>
        <w:tc>
          <w:tcPr>
            <w:tcW w:w="2627" w:type="dxa"/>
            <w:shd w:val="clear" w:color="auto" w:fill="auto"/>
            <w:vAlign w:val="center"/>
            <w:hideMark/>
          </w:tcPr>
          <w:p w14:paraId="66CB791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1727-PLA-EV-2020</w:t>
            </w:r>
          </w:p>
        </w:tc>
        <w:tc>
          <w:tcPr>
            <w:tcW w:w="2508" w:type="dxa"/>
            <w:shd w:val="clear" w:color="auto" w:fill="auto"/>
            <w:vAlign w:val="center"/>
            <w:hideMark/>
          </w:tcPr>
          <w:p w14:paraId="26F288C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1856-PLA-EV-2020</w:t>
            </w:r>
          </w:p>
        </w:tc>
        <w:tc>
          <w:tcPr>
            <w:tcW w:w="2541" w:type="dxa"/>
            <w:shd w:val="clear" w:color="auto" w:fill="auto"/>
            <w:vAlign w:val="center"/>
            <w:hideMark/>
          </w:tcPr>
          <w:p w14:paraId="4176376C"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LIX</w:t>
            </w:r>
          </w:p>
        </w:tc>
      </w:tr>
      <w:tr w:rsidR="00406E38" w:rsidRPr="00406E38" w14:paraId="6FD49234" w14:textId="77777777" w:rsidTr="00306313">
        <w:trPr>
          <w:trHeight w:val="624"/>
          <w:jc w:val="center"/>
        </w:trPr>
        <w:tc>
          <w:tcPr>
            <w:tcW w:w="3119" w:type="dxa"/>
            <w:shd w:val="clear" w:color="auto" w:fill="auto"/>
            <w:vAlign w:val="center"/>
            <w:hideMark/>
          </w:tcPr>
          <w:p w14:paraId="7B52481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Alajuelita</w:t>
            </w:r>
          </w:p>
        </w:tc>
        <w:tc>
          <w:tcPr>
            <w:tcW w:w="2627" w:type="dxa"/>
            <w:shd w:val="clear" w:color="auto" w:fill="auto"/>
            <w:vAlign w:val="center"/>
            <w:hideMark/>
          </w:tcPr>
          <w:p w14:paraId="1EA3BFC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1686-PLA-EV-2020</w:t>
            </w:r>
          </w:p>
        </w:tc>
        <w:tc>
          <w:tcPr>
            <w:tcW w:w="2508" w:type="dxa"/>
            <w:shd w:val="clear" w:color="auto" w:fill="auto"/>
            <w:vAlign w:val="center"/>
            <w:hideMark/>
          </w:tcPr>
          <w:p w14:paraId="0B00AB5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1879-PLA-EV-2020</w:t>
            </w:r>
          </w:p>
        </w:tc>
        <w:tc>
          <w:tcPr>
            <w:tcW w:w="2541" w:type="dxa"/>
            <w:shd w:val="clear" w:color="auto" w:fill="auto"/>
            <w:vAlign w:val="center"/>
            <w:hideMark/>
          </w:tcPr>
          <w:p w14:paraId="33B9894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LXII</w:t>
            </w:r>
          </w:p>
        </w:tc>
      </w:tr>
      <w:tr w:rsidR="00406E38" w:rsidRPr="00406E38" w14:paraId="0A222BA0" w14:textId="77777777" w:rsidTr="00306313">
        <w:trPr>
          <w:trHeight w:val="689"/>
          <w:jc w:val="center"/>
        </w:trPr>
        <w:tc>
          <w:tcPr>
            <w:tcW w:w="3119" w:type="dxa"/>
            <w:shd w:val="clear" w:color="auto" w:fill="auto"/>
            <w:vAlign w:val="center"/>
            <w:hideMark/>
          </w:tcPr>
          <w:p w14:paraId="48F9C92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Aserrí</w:t>
            </w:r>
          </w:p>
        </w:tc>
        <w:tc>
          <w:tcPr>
            <w:tcW w:w="2627" w:type="dxa"/>
            <w:shd w:val="clear" w:color="auto" w:fill="auto"/>
            <w:vAlign w:val="center"/>
            <w:hideMark/>
          </w:tcPr>
          <w:p w14:paraId="31A7BFF4"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1738-PLA-MI-2020</w:t>
            </w:r>
          </w:p>
        </w:tc>
        <w:tc>
          <w:tcPr>
            <w:tcW w:w="2508" w:type="dxa"/>
            <w:shd w:val="clear" w:color="auto" w:fill="auto"/>
            <w:vAlign w:val="center"/>
            <w:hideMark/>
          </w:tcPr>
          <w:p w14:paraId="0B7BD01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1853-PLA-MI-2020</w:t>
            </w:r>
          </w:p>
        </w:tc>
        <w:tc>
          <w:tcPr>
            <w:tcW w:w="2541" w:type="dxa"/>
            <w:shd w:val="clear" w:color="auto" w:fill="auto"/>
            <w:vAlign w:val="center"/>
            <w:hideMark/>
          </w:tcPr>
          <w:p w14:paraId="27EB54D5" w14:textId="1F46A37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32B48">
              <w:rPr>
                <w:rFonts w:ascii="Book Antiqua" w:eastAsia="Times New Roman" w:hAnsi="Book Antiqua" w:cs="Arial"/>
                <w:color w:val="000000"/>
                <w:lang w:eastAsia="es-CR"/>
              </w:rPr>
              <w:t>S</w:t>
            </w:r>
            <w:r w:rsidR="00732B48" w:rsidRPr="00732B48">
              <w:rPr>
                <w:rFonts w:ascii="Book Antiqua" w:eastAsia="Times New Roman" w:hAnsi="Book Antiqua" w:cs="Arial"/>
                <w:color w:val="000000"/>
                <w:lang w:eastAsia="es-CR"/>
              </w:rPr>
              <w:t xml:space="preserve">esión 118-2020 </w:t>
            </w:r>
            <w:r w:rsidR="00732B48">
              <w:rPr>
                <w:rFonts w:ascii="Book Antiqua" w:eastAsia="Times New Roman" w:hAnsi="Book Antiqua" w:cs="Arial"/>
                <w:color w:val="000000"/>
                <w:lang w:eastAsia="es-CR"/>
              </w:rPr>
              <w:t>d</w:t>
            </w:r>
            <w:r w:rsidR="00732B48" w:rsidRPr="00732B48">
              <w:rPr>
                <w:rFonts w:ascii="Book Antiqua" w:eastAsia="Times New Roman" w:hAnsi="Book Antiqua" w:cs="Arial"/>
                <w:color w:val="000000"/>
                <w:lang w:eastAsia="es-CR"/>
              </w:rPr>
              <w:t>el 10</w:t>
            </w:r>
            <w:r w:rsidR="00732B48">
              <w:rPr>
                <w:rFonts w:ascii="Book Antiqua" w:eastAsia="Times New Roman" w:hAnsi="Book Antiqua" w:cs="Arial"/>
                <w:color w:val="000000"/>
                <w:lang w:eastAsia="es-CR"/>
              </w:rPr>
              <w:t>-12-</w:t>
            </w:r>
            <w:r w:rsidR="00732B48" w:rsidRPr="00732B48">
              <w:rPr>
                <w:rFonts w:ascii="Book Antiqua" w:eastAsia="Times New Roman" w:hAnsi="Book Antiqua" w:cs="Arial"/>
                <w:color w:val="000000"/>
                <w:lang w:eastAsia="es-CR"/>
              </w:rPr>
              <w:t xml:space="preserve">2020, </w:t>
            </w:r>
            <w:r w:rsidR="00732B48">
              <w:rPr>
                <w:rFonts w:ascii="Book Antiqua" w:eastAsia="Times New Roman" w:hAnsi="Book Antiqua" w:cs="Arial"/>
                <w:color w:val="000000"/>
                <w:lang w:eastAsia="es-CR"/>
              </w:rPr>
              <w:t>artículo</w:t>
            </w:r>
            <w:r w:rsidR="00732B48" w:rsidRPr="00732B48">
              <w:rPr>
                <w:rFonts w:ascii="Book Antiqua" w:eastAsia="Times New Roman" w:hAnsi="Book Antiqua" w:cs="Arial"/>
                <w:color w:val="000000"/>
                <w:lang w:eastAsia="es-CR"/>
              </w:rPr>
              <w:t xml:space="preserve"> LV</w:t>
            </w:r>
          </w:p>
        </w:tc>
      </w:tr>
      <w:tr w:rsidR="00406E38" w:rsidRPr="00406E38" w14:paraId="3325A1CE" w14:textId="77777777" w:rsidTr="00306313">
        <w:trPr>
          <w:trHeight w:val="648"/>
          <w:jc w:val="center"/>
        </w:trPr>
        <w:tc>
          <w:tcPr>
            <w:tcW w:w="3119" w:type="dxa"/>
            <w:shd w:val="clear" w:color="auto" w:fill="auto"/>
            <w:vAlign w:val="center"/>
            <w:hideMark/>
          </w:tcPr>
          <w:p w14:paraId="5BF04E1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Acosta</w:t>
            </w:r>
          </w:p>
        </w:tc>
        <w:tc>
          <w:tcPr>
            <w:tcW w:w="2627" w:type="dxa"/>
            <w:shd w:val="clear" w:color="auto" w:fill="auto"/>
            <w:vAlign w:val="center"/>
            <w:hideMark/>
          </w:tcPr>
          <w:p w14:paraId="2CF0FF0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1745-PLA-MI-2020</w:t>
            </w:r>
          </w:p>
        </w:tc>
        <w:tc>
          <w:tcPr>
            <w:tcW w:w="2508" w:type="dxa"/>
            <w:shd w:val="clear" w:color="auto" w:fill="auto"/>
            <w:vAlign w:val="center"/>
            <w:hideMark/>
          </w:tcPr>
          <w:p w14:paraId="3474A99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197-PLA-MI-2021 </w:t>
            </w:r>
          </w:p>
        </w:tc>
        <w:tc>
          <w:tcPr>
            <w:tcW w:w="2541" w:type="dxa"/>
            <w:shd w:val="clear" w:color="auto" w:fill="auto"/>
            <w:vAlign w:val="center"/>
            <w:hideMark/>
          </w:tcPr>
          <w:p w14:paraId="7A9B4EA9" w14:textId="40292A3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16-2021 del 25-</w:t>
            </w:r>
            <w:r w:rsidR="00732B4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XLXL</w:t>
            </w:r>
          </w:p>
        </w:tc>
      </w:tr>
      <w:tr w:rsidR="00406E38" w:rsidRPr="00406E38" w14:paraId="1BD9FCC0" w14:textId="77777777" w:rsidTr="00306313">
        <w:trPr>
          <w:trHeight w:val="686"/>
          <w:jc w:val="center"/>
        </w:trPr>
        <w:tc>
          <w:tcPr>
            <w:tcW w:w="3119" w:type="dxa"/>
            <w:shd w:val="clear" w:color="auto" w:fill="auto"/>
            <w:vAlign w:val="center"/>
            <w:hideMark/>
          </w:tcPr>
          <w:p w14:paraId="45BD31C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Upala</w:t>
            </w:r>
          </w:p>
        </w:tc>
        <w:tc>
          <w:tcPr>
            <w:tcW w:w="2627" w:type="dxa"/>
            <w:shd w:val="clear" w:color="auto" w:fill="auto"/>
            <w:vAlign w:val="center"/>
            <w:hideMark/>
          </w:tcPr>
          <w:p w14:paraId="062B864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1675-PLA-EV-2020</w:t>
            </w:r>
          </w:p>
        </w:tc>
        <w:tc>
          <w:tcPr>
            <w:tcW w:w="2508" w:type="dxa"/>
            <w:shd w:val="clear" w:color="auto" w:fill="auto"/>
            <w:vAlign w:val="center"/>
            <w:hideMark/>
          </w:tcPr>
          <w:p w14:paraId="4EC9E86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55-PLA-EV-2021</w:t>
            </w:r>
          </w:p>
        </w:tc>
        <w:tc>
          <w:tcPr>
            <w:tcW w:w="2541" w:type="dxa"/>
            <w:shd w:val="clear" w:color="auto" w:fill="auto"/>
            <w:vAlign w:val="center"/>
            <w:hideMark/>
          </w:tcPr>
          <w:p w14:paraId="32E52570" w14:textId="75E3D32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32B4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XXXIII</w:t>
            </w:r>
          </w:p>
        </w:tc>
      </w:tr>
      <w:tr w:rsidR="00406E38" w:rsidRPr="00406E38" w14:paraId="5FE9B96D" w14:textId="77777777" w:rsidTr="00306313">
        <w:trPr>
          <w:trHeight w:val="701"/>
          <w:jc w:val="center"/>
        </w:trPr>
        <w:tc>
          <w:tcPr>
            <w:tcW w:w="3119" w:type="dxa"/>
            <w:shd w:val="clear" w:color="auto" w:fill="auto"/>
            <w:vAlign w:val="center"/>
            <w:hideMark/>
          </w:tcPr>
          <w:p w14:paraId="14C21B0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Santo Domingo</w:t>
            </w:r>
          </w:p>
        </w:tc>
        <w:tc>
          <w:tcPr>
            <w:tcW w:w="2627" w:type="dxa"/>
            <w:shd w:val="clear" w:color="auto" w:fill="auto"/>
            <w:vAlign w:val="center"/>
            <w:hideMark/>
          </w:tcPr>
          <w:p w14:paraId="7593CE1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1731-PLA-EV-2020</w:t>
            </w:r>
          </w:p>
        </w:tc>
        <w:tc>
          <w:tcPr>
            <w:tcW w:w="2508" w:type="dxa"/>
            <w:shd w:val="clear" w:color="auto" w:fill="auto"/>
            <w:vAlign w:val="center"/>
            <w:hideMark/>
          </w:tcPr>
          <w:p w14:paraId="4256D79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1858-PLA-EV-2020</w:t>
            </w:r>
          </w:p>
        </w:tc>
        <w:tc>
          <w:tcPr>
            <w:tcW w:w="2541" w:type="dxa"/>
            <w:shd w:val="clear" w:color="auto" w:fill="auto"/>
            <w:vAlign w:val="center"/>
            <w:hideMark/>
          </w:tcPr>
          <w:p w14:paraId="1899D0BE" w14:textId="4214FA7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w:t>
            </w:r>
          </w:p>
        </w:tc>
      </w:tr>
      <w:tr w:rsidR="00406E38" w:rsidRPr="00406E38" w14:paraId="55CCC057" w14:textId="77777777" w:rsidTr="00306313">
        <w:trPr>
          <w:trHeight w:val="644"/>
          <w:jc w:val="center"/>
        </w:trPr>
        <w:tc>
          <w:tcPr>
            <w:tcW w:w="3119" w:type="dxa"/>
            <w:shd w:val="clear" w:color="auto" w:fill="auto"/>
            <w:vAlign w:val="center"/>
            <w:hideMark/>
          </w:tcPr>
          <w:p w14:paraId="247B717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Grecia</w:t>
            </w:r>
          </w:p>
        </w:tc>
        <w:tc>
          <w:tcPr>
            <w:tcW w:w="2627" w:type="dxa"/>
            <w:shd w:val="clear" w:color="auto" w:fill="auto"/>
            <w:vAlign w:val="center"/>
            <w:hideMark/>
          </w:tcPr>
          <w:p w14:paraId="2EBD17D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1790-PLA-MI-2020</w:t>
            </w:r>
          </w:p>
        </w:tc>
        <w:tc>
          <w:tcPr>
            <w:tcW w:w="2508" w:type="dxa"/>
            <w:shd w:val="clear" w:color="auto" w:fill="auto"/>
            <w:vAlign w:val="center"/>
            <w:hideMark/>
          </w:tcPr>
          <w:p w14:paraId="274911C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176-PLA-MI-2021</w:t>
            </w:r>
          </w:p>
        </w:tc>
        <w:tc>
          <w:tcPr>
            <w:tcW w:w="2541" w:type="dxa"/>
            <w:shd w:val="clear" w:color="auto" w:fill="auto"/>
            <w:vAlign w:val="center"/>
            <w:hideMark/>
          </w:tcPr>
          <w:p w14:paraId="393C3512" w14:textId="7FF4106C" w:rsidR="00406E38" w:rsidRPr="00406E38" w:rsidRDefault="00732B48" w:rsidP="001D0C10">
            <w:pPr>
              <w:spacing w:after="0" w:line="240" w:lineRule="auto"/>
              <w:jc w:val="both"/>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Sesión 14-</w:t>
            </w:r>
            <w:r>
              <w:rPr>
                <w:rFonts w:ascii="Book Antiqua" w:eastAsia="Times New Roman" w:hAnsi="Book Antiqua" w:cs="Arial"/>
                <w:color w:val="000000"/>
                <w:lang w:eastAsia="es-CR"/>
              </w:rPr>
              <w:t>20</w:t>
            </w:r>
            <w:r w:rsidRPr="00732B48">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el 28</w:t>
            </w:r>
            <w:r>
              <w:rPr>
                <w:rFonts w:ascii="Book Antiqua" w:eastAsia="Times New Roman" w:hAnsi="Book Antiqua" w:cs="Arial"/>
                <w:color w:val="000000"/>
                <w:lang w:eastAsia="es-CR"/>
              </w:rPr>
              <w:t>-01-20</w:t>
            </w:r>
            <w:r w:rsidRPr="00732B48">
              <w:rPr>
                <w:rFonts w:ascii="Book Antiqua" w:eastAsia="Times New Roman" w:hAnsi="Book Antiqua" w:cs="Arial"/>
                <w:color w:val="000000"/>
                <w:lang w:eastAsia="es-CR"/>
              </w:rPr>
              <w:t>21, artículo XLII</w:t>
            </w:r>
            <w:r w:rsidR="00406E38" w:rsidRPr="00406E38">
              <w:rPr>
                <w:rFonts w:ascii="Book Antiqua" w:eastAsia="Times New Roman" w:hAnsi="Book Antiqua" w:cs="Arial"/>
                <w:color w:val="000000"/>
                <w:lang w:eastAsia="es-CR"/>
              </w:rPr>
              <w:t> </w:t>
            </w:r>
          </w:p>
        </w:tc>
      </w:tr>
      <w:tr w:rsidR="00406E38" w:rsidRPr="00406E38" w14:paraId="3635DA16" w14:textId="77777777" w:rsidTr="00306313">
        <w:trPr>
          <w:trHeight w:val="828"/>
          <w:jc w:val="center"/>
        </w:trPr>
        <w:tc>
          <w:tcPr>
            <w:tcW w:w="3119" w:type="dxa"/>
            <w:shd w:val="clear" w:color="auto" w:fill="auto"/>
            <w:vAlign w:val="center"/>
            <w:hideMark/>
          </w:tcPr>
          <w:p w14:paraId="2AFBAA6A" w14:textId="537E4E54"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 </w:t>
            </w:r>
            <w:r w:rsidR="00E85731" w:rsidRPr="00406E38">
              <w:rPr>
                <w:rFonts w:ascii="Book Antiqua" w:eastAsia="Times New Roman" w:hAnsi="Book Antiqua" w:cs="Arial"/>
                <w:color w:val="000000"/>
                <w:lang w:eastAsia="es-CR"/>
              </w:rPr>
              <w:t>Y</w:t>
            </w:r>
            <w:r w:rsidRPr="00406E38">
              <w:rPr>
                <w:rFonts w:ascii="Book Antiqua" w:eastAsia="Times New Roman" w:hAnsi="Book Antiqua" w:cs="Arial"/>
                <w:color w:val="000000"/>
                <w:lang w:eastAsia="es-CR"/>
              </w:rPr>
              <w:t xml:space="preserve"> Pens. Alimen. III Circ. Jud. Alajuela (San Ramón) </w:t>
            </w:r>
          </w:p>
        </w:tc>
        <w:tc>
          <w:tcPr>
            <w:tcW w:w="2627" w:type="dxa"/>
            <w:shd w:val="clear" w:color="auto" w:fill="auto"/>
            <w:vAlign w:val="center"/>
            <w:hideMark/>
          </w:tcPr>
          <w:p w14:paraId="13C57210"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1755-PLA-MI-2020</w:t>
            </w:r>
          </w:p>
        </w:tc>
        <w:tc>
          <w:tcPr>
            <w:tcW w:w="2508" w:type="dxa"/>
            <w:shd w:val="clear" w:color="auto" w:fill="auto"/>
            <w:vAlign w:val="center"/>
            <w:hideMark/>
          </w:tcPr>
          <w:p w14:paraId="18B58337" w14:textId="00E2F128" w:rsidR="00406E38" w:rsidRPr="00406E38" w:rsidRDefault="00732B48" w:rsidP="00406E38">
            <w:pPr>
              <w:spacing w:after="0" w:line="240" w:lineRule="auto"/>
              <w:jc w:val="center"/>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418-PLA-MI-2021</w:t>
            </w:r>
          </w:p>
        </w:tc>
        <w:tc>
          <w:tcPr>
            <w:tcW w:w="2541" w:type="dxa"/>
            <w:shd w:val="clear" w:color="auto" w:fill="auto"/>
            <w:vAlign w:val="center"/>
            <w:hideMark/>
          </w:tcPr>
          <w:p w14:paraId="06779FB0" w14:textId="3A427F2A" w:rsidR="00406E38" w:rsidRPr="00406E38" w:rsidRDefault="00732B4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732B48">
              <w:rPr>
                <w:rFonts w:ascii="Book Antiqua" w:eastAsia="Times New Roman" w:hAnsi="Book Antiqua" w:cs="Arial"/>
                <w:color w:val="000000"/>
                <w:lang w:eastAsia="es-CR"/>
              </w:rPr>
              <w:t xml:space="preserve">esión 33-2021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el 27</w:t>
            </w:r>
            <w:r>
              <w:rPr>
                <w:rFonts w:ascii="Book Antiqua" w:eastAsia="Times New Roman" w:hAnsi="Book Antiqua" w:cs="Arial"/>
                <w:color w:val="000000"/>
                <w:lang w:eastAsia="es-CR"/>
              </w:rPr>
              <w:t>-04-</w:t>
            </w:r>
            <w:r w:rsidRPr="00732B48">
              <w:rPr>
                <w:rFonts w:ascii="Book Antiqua" w:eastAsia="Times New Roman" w:hAnsi="Book Antiqua" w:cs="Arial"/>
                <w:color w:val="000000"/>
                <w:lang w:eastAsia="es-CR"/>
              </w:rPr>
              <w:t xml:space="preserve">2021, </w:t>
            </w:r>
            <w:r>
              <w:rPr>
                <w:rFonts w:ascii="Book Antiqua" w:eastAsia="Times New Roman" w:hAnsi="Book Antiqua" w:cs="Arial"/>
                <w:color w:val="000000"/>
                <w:lang w:eastAsia="es-CR"/>
              </w:rPr>
              <w:t xml:space="preserve">artículo </w:t>
            </w:r>
            <w:r w:rsidRPr="00732B48">
              <w:rPr>
                <w:rFonts w:ascii="Book Antiqua" w:eastAsia="Times New Roman" w:hAnsi="Book Antiqua" w:cs="Arial"/>
                <w:color w:val="000000"/>
                <w:lang w:eastAsia="es-CR"/>
              </w:rPr>
              <w:t>XXXVI</w:t>
            </w:r>
            <w:r w:rsidR="00406E38" w:rsidRPr="00406E38">
              <w:rPr>
                <w:rFonts w:ascii="Book Antiqua" w:eastAsia="Times New Roman" w:hAnsi="Book Antiqua" w:cs="Arial"/>
                <w:color w:val="000000"/>
                <w:lang w:eastAsia="es-CR"/>
              </w:rPr>
              <w:t> </w:t>
            </w:r>
          </w:p>
        </w:tc>
      </w:tr>
      <w:tr w:rsidR="00406E38" w:rsidRPr="00406E38" w14:paraId="18481B8E" w14:textId="77777777" w:rsidTr="00306313">
        <w:trPr>
          <w:trHeight w:val="635"/>
          <w:jc w:val="center"/>
        </w:trPr>
        <w:tc>
          <w:tcPr>
            <w:tcW w:w="3119" w:type="dxa"/>
            <w:shd w:val="clear" w:color="auto" w:fill="auto"/>
            <w:vAlign w:val="center"/>
            <w:hideMark/>
          </w:tcPr>
          <w:p w14:paraId="4AFC4BD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Turrialba</w:t>
            </w:r>
          </w:p>
        </w:tc>
        <w:tc>
          <w:tcPr>
            <w:tcW w:w="2627" w:type="dxa"/>
            <w:shd w:val="clear" w:color="auto" w:fill="auto"/>
            <w:vAlign w:val="center"/>
            <w:hideMark/>
          </w:tcPr>
          <w:p w14:paraId="4BF66CB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1735-PLA-EV-2020</w:t>
            </w:r>
          </w:p>
        </w:tc>
        <w:tc>
          <w:tcPr>
            <w:tcW w:w="2508" w:type="dxa"/>
            <w:shd w:val="clear" w:color="auto" w:fill="auto"/>
            <w:vAlign w:val="center"/>
            <w:hideMark/>
          </w:tcPr>
          <w:p w14:paraId="47B6959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1890-PLA-EV-2020</w:t>
            </w:r>
          </w:p>
        </w:tc>
        <w:tc>
          <w:tcPr>
            <w:tcW w:w="2541" w:type="dxa"/>
            <w:shd w:val="clear" w:color="auto" w:fill="auto"/>
            <w:vAlign w:val="center"/>
            <w:hideMark/>
          </w:tcPr>
          <w:p w14:paraId="42963A51"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LIII</w:t>
            </w:r>
          </w:p>
        </w:tc>
      </w:tr>
      <w:tr w:rsidR="00406E38" w:rsidRPr="00406E38" w14:paraId="4902E3B0" w14:textId="77777777" w:rsidTr="00306313">
        <w:trPr>
          <w:trHeight w:val="552"/>
          <w:jc w:val="center"/>
        </w:trPr>
        <w:tc>
          <w:tcPr>
            <w:tcW w:w="3119" w:type="dxa"/>
            <w:shd w:val="clear" w:color="auto" w:fill="auto"/>
            <w:vAlign w:val="center"/>
            <w:hideMark/>
          </w:tcPr>
          <w:p w14:paraId="2155E02B" w14:textId="20A05621" w:rsidR="00406E38" w:rsidRPr="00406E38" w:rsidRDefault="00732B4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w:t>
            </w:r>
            <w:r w:rsidR="00406E38" w:rsidRPr="00406E38">
              <w:rPr>
                <w:rFonts w:ascii="Book Antiqua" w:eastAsia="Times New Roman" w:hAnsi="Book Antiqua" w:cs="Arial"/>
                <w:color w:val="000000"/>
                <w:lang w:eastAsia="es-CR"/>
              </w:rPr>
              <w:t>. Alimen. II Circ. Jud. Guanacaste (Nicoya)</w:t>
            </w:r>
          </w:p>
        </w:tc>
        <w:tc>
          <w:tcPr>
            <w:tcW w:w="2627" w:type="dxa"/>
            <w:shd w:val="clear" w:color="auto" w:fill="auto"/>
            <w:vAlign w:val="center"/>
            <w:hideMark/>
          </w:tcPr>
          <w:p w14:paraId="7685935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1754-PLA-EV-2020</w:t>
            </w:r>
          </w:p>
        </w:tc>
        <w:tc>
          <w:tcPr>
            <w:tcW w:w="2508" w:type="dxa"/>
            <w:shd w:val="clear" w:color="auto" w:fill="auto"/>
            <w:vAlign w:val="center"/>
            <w:hideMark/>
          </w:tcPr>
          <w:p w14:paraId="7D72092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60-PLA-EV-2021</w:t>
            </w:r>
          </w:p>
        </w:tc>
        <w:tc>
          <w:tcPr>
            <w:tcW w:w="2541" w:type="dxa"/>
            <w:shd w:val="clear" w:color="auto" w:fill="auto"/>
            <w:vAlign w:val="center"/>
            <w:hideMark/>
          </w:tcPr>
          <w:p w14:paraId="1AD719BB" w14:textId="07AD95F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6-2021 del 21-</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1-2021, artículo XXXIX</w:t>
            </w:r>
          </w:p>
        </w:tc>
      </w:tr>
      <w:tr w:rsidR="00406E38" w:rsidRPr="00406E38" w14:paraId="4A5A61A4" w14:textId="77777777" w:rsidTr="00306313">
        <w:trPr>
          <w:trHeight w:val="728"/>
          <w:jc w:val="center"/>
        </w:trPr>
        <w:tc>
          <w:tcPr>
            <w:tcW w:w="3119" w:type="dxa"/>
            <w:shd w:val="clear" w:color="auto" w:fill="auto"/>
            <w:vAlign w:val="center"/>
            <w:hideMark/>
          </w:tcPr>
          <w:p w14:paraId="0EE5BF1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Parrita</w:t>
            </w:r>
          </w:p>
        </w:tc>
        <w:tc>
          <w:tcPr>
            <w:tcW w:w="2627" w:type="dxa"/>
            <w:shd w:val="clear" w:color="auto" w:fill="auto"/>
            <w:vAlign w:val="center"/>
            <w:hideMark/>
          </w:tcPr>
          <w:p w14:paraId="1EE09B4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1684-PLA-EV-2020</w:t>
            </w:r>
          </w:p>
        </w:tc>
        <w:tc>
          <w:tcPr>
            <w:tcW w:w="2508" w:type="dxa"/>
            <w:shd w:val="clear" w:color="auto" w:fill="auto"/>
            <w:vAlign w:val="center"/>
            <w:hideMark/>
          </w:tcPr>
          <w:p w14:paraId="29B1453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56-PLA-EV-2021</w:t>
            </w:r>
          </w:p>
        </w:tc>
        <w:tc>
          <w:tcPr>
            <w:tcW w:w="2541" w:type="dxa"/>
            <w:shd w:val="clear" w:color="auto" w:fill="auto"/>
            <w:vAlign w:val="center"/>
            <w:hideMark/>
          </w:tcPr>
          <w:p w14:paraId="10B9FE38" w14:textId="025811C0"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XXXIV</w:t>
            </w:r>
          </w:p>
        </w:tc>
      </w:tr>
      <w:tr w:rsidR="00406E38" w:rsidRPr="00406E38" w14:paraId="13093C85" w14:textId="77777777" w:rsidTr="00306313">
        <w:trPr>
          <w:trHeight w:val="561"/>
          <w:jc w:val="center"/>
        </w:trPr>
        <w:tc>
          <w:tcPr>
            <w:tcW w:w="3119" w:type="dxa"/>
            <w:shd w:val="clear" w:color="auto" w:fill="auto"/>
            <w:vAlign w:val="center"/>
            <w:hideMark/>
          </w:tcPr>
          <w:p w14:paraId="0860AC5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y Pensiones Alimentarias Santa Cruz</w:t>
            </w:r>
          </w:p>
        </w:tc>
        <w:tc>
          <w:tcPr>
            <w:tcW w:w="2627" w:type="dxa"/>
            <w:shd w:val="clear" w:color="auto" w:fill="auto"/>
            <w:vAlign w:val="center"/>
            <w:hideMark/>
          </w:tcPr>
          <w:p w14:paraId="7FC1592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1670-PLA-EV-2020</w:t>
            </w:r>
          </w:p>
        </w:tc>
        <w:tc>
          <w:tcPr>
            <w:tcW w:w="2508" w:type="dxa"/>
            <w:shd w:val="clear" w:color="auto" w:fill="auto"/>
            <w:vAlign w:val="center"/>
            <w:hideMark/>
          </w:tcPr>
          <w:p w14:paraId="37871B0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1857-PLA-EV-2020</w:t>
            </w:r>
          </w:p>
        </w:tc>
        <w:tc>
          <w:tcPr>
            <w:tcW w:w="2541" w:type="dxa"/>
            <w:shd w:val="clear" w:color="auto" w:fill="auto"/>
            <w:vAlign w:val="center"/>
            <w:hideMark/>
          </w:tcPr>
          <w:p w14:paraId="55254D0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116-2020 del 3-12-2020, artículo XXXIV</w:t>
            </w:r>
          </w:p>
        </w:tc>
      </w:tr>
      <w:tr w:rsidR="00406E38" w:rsidRPr="00406E38" w14:paraId="3FC19770" w14:textId="77777777" w:rsidTr="00306313">
        <w:trPr>
          <w:trHeight w:val="863"/>
          <w:jc w:val="center"/>
        </w:trPr>
        <w:tc>
          <w:tcPr>
            <w:tcW w:w="3119" w:type="dxa"/>
            <w:shd w:val="clear" w:color="auto" w:fill="auto"/>
            <w:vAlign w:val="center"/>
            <w:hideMark/>
          </w:tcPr>
          <w:p w14:paraId="6463838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Cobro, Menor Cuantía y Contravencional Golfito</w:t>
            </w:r>
          </w:p>
        </w:tc>
        <w:tc>
          <w:tcPr>
            <w:tcW w:w="2627" w:type="dxa"/>
            <w:shd w:val="clear" w:color="auto" w:fill="auto"/>
            <w:vAlign w:val="center"/>
            <w:hideMark/>
          </w:tcPr>
          <w:p w14:paraId="58B970E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1703-PLA-EV-2020</w:t>
            </w:r>
          </w:p>
        </w:tc>
        <w:tc>
          <w:tcPr>
            <w:tcW w:w="2508" w:type="dxa"/>
            <w:shd w:val="clear" w:color="auto" w:fill="auto"/>
            <w:vAlign w:val="center"/>
            <w:hideMark/>
          </w:tcPr>
          <w:p w14:paraId="5D2D948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73-PLA-EV-2021</w:t>
            </w:r>
          </w:p>
        </w:tc>
        <w:tc>
          <w:tcPr>
            <w:tcW w:w="2541" w:type="dxa"/>
            <w:shd w:val="clear" w:color="auto" w:fill="auto"/>
            <w:vAlign w:val="center"/>
            <w:hideMark/>
          </w:tcPr>
          <w:p w14:paraId="38A8D35E" w14:textId="4F762436"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XLVIII</w:t>
            </w:r>
          </w:p>
        </w:tc>
      </w:tr>
      <w:tr w:rsidR="00406E38" w:rsidRPr="00406E38" w14:paraId="1F8CC6C1" w14:textId="77777777" w:rsidTr="00306313">
        <w:trPr>
          <w:trHeight w:val="732"/>
          <w:jc w:val="center"/>
        </w:trPr>
        <w:tc>
          <w:tcPr>
            <w:tcW w:w="3119" w:type="dxa"/>
            <w:shd w:val="clear" w:color="auto" w:fill="auto"/>
            <w:vAlign w:val="center"/>
            <w:hideMark/>
          </w:tcPr>
          <w:p w14:paraId="00DB78C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Osa</w:t>
            </w:r>
          </w:p>
        </w:tc>
        <w:tc>
          <w:tcPr>
            <w:tcW w:w="2627" w:type="dxa"/>
            <w:shd w:val="clear" w:color="auto" w:fill="auto"/>
            <w:vAlign w:val="center"/>
            <w:hideMark/>
          </w:tcPr>
          <w:p w14:paraId="7EB65DD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1737-PLA-EV-2020</w:t>
            </w:r>
          </w:p>
        </w:tc>
        <w:tc>
          <w:tcPr>
            <w:tcW w:w="2508" w:type="dxa"/>
            <w:shd w:val="clear" w:color="auto" w:fill="auto"/>
            <w:vAlign w:val="center"/>
            <w:hideMark/>
          </w:tcPr>
          <w:p w14:paraId="353BB7C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67-PLA-EV-2021</w:t>
            </w:r>
          </w:p>
        </w:tc>
        <w:tc>
          <w:tcPr>
            <w:tcW w:w="2541" w:type="dxa"/>
            <w:shd w:val="clear" w:color="auto" w:fill="auto"/>
            <w:vAlign w:val="center"/>
            <w:hideMark/>
          </w:tcPr>
          <w:p w14:paraId="4F057600" w14:textId="71DD3CE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XLIX</w:t>
            </w:r>
          </w:p>
        </w:tc>
      </w:tr>
      <w:tr w:rsidR="00406E38" w:rsidRPr="00406E38" w14:paraId="3C440D6E" w14:textId="77777777" w:rsidTr="00306313">
        <w:trPr>
          <w:trHeight w:val="312"/>
          <w:jc w:val="center"/>
        </w:trPr>
        <w:tc>
          <w:tcPr>
            <w:tcW w:w="3119" w:type="dxa"/>
            <w:shd w:val="clear" w:color="auto" w:fill="auto"/>
            <w:vAlign w:val="center"/>
            <w:hideMark/>
          </w:tcPr>
          <w:p w14:paraId="76B18B0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II Circ. Jud. Zona Sur (Corredores)</w:t>
            </w:r>
          </w:p>
        </w:tc>
        <w:tc>
          <w:tcPr>
            <w:tcW w:w="2627" w:type="dxa"/>
            <w:shd w:val="clear" w:color="auto" w:fill="auto"/>
            <w:vAlign w:val="center"/>
            <w:hideMark/>
          </w:tcPr>
          <w:p w14:paraId="142FEFE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1688-PLA-EV-2020</w:t>
            </w:r>
          </w:p>
        </w:tc>
        <w:tc>
          <w:tcPr>
            <w:tcW w:w="2508" w:type="dxa"/>
            <w:shd w:val="clear" w:color="auto" w:fill="auto"/>
            <w:vAlign w:val="center"/>
            <w:hideMark/>
          </w:tcPr>
          <w:p w14:paraId="0E14232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68-PLA-EV-2021</w:t>
            </w:r>
          </w:p>
        </w:tc>
        <w:tc>
          <w:tcPr>
            <w:tcW w:w="2541" w:type="dxa"/>
            <w:shd w:val="clear" w:color="auto" w:fill="auto"/>
            <w:vAlign w:val="center"/>
            <w:hideMark/>
          </w:tcPr>
          <w:p w14:paraId="359550A8"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LVIII</w:t>
            </w:r>
          </w:p>
        </w:tc>
      </w:tr>
      <w:tr w:rsidR="00406E38" w:rsidRPr="00406E38" w14:paraId="316DF73E" w14:textId="77777777" w:rsidTr="00306313">
        <w:trPr>
          <w:trHeight w:val="616"/>
          <w:jc w:val="center"/>
        </w:trPr>
        <w:tc>
          <w:tcPr>
            <w:tcW w:w="3119" w:type="dxa"/>
            <w:shd w:val="clear" w:color="auto" w:fill="auto"/>
            <w:vAlign w:val="center"/>
            <w:hideMark/>
          </w:tcPr>
          <w:p w14:paraId="19C40AF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Mora </w:t>
            </w:r>
          </w:p>
        </w:tc>
        <w:tc>
          <w:tcPr>
            <w:tcW w:w="2627" w:type="dxa"/>
            <w:shd w:val="clear" w:color="auto" w:fill="auto"/>
            <w:vAlign w:val="center"/>
            <w:hideMark/>
          </w:tcPr>
          <w:p w14:paraId="10E606B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1687-PLA-EV-2020</w:t>
            </w:r>
          </w:p>
        </w:tc>
        <w:tc>
          <w:tcPr>
            <w:tcW w:w="2508" w:type="dxa"/>
            <w:shd w:val="clear" w:color="auto" w:fill="auto"/>
            <w:vAlign w:val="center"/>
            <w:hideMark/>
          </w:tcPr>
          <w:p w14:paraId="639D6C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1977-PLA-EV-2020</w:t>
            </w:r>
          </w:p>
        </w:tc>
        <w:tc>
          <w:tcPr>
            <w:tcW w:w="2541" w:type="dxa"/>
            <w:shd w:val="clear" w:color="auto" w:fill="auto"/>
            <w:vAlign w:val="center"/>
            <w:hideMark/>
          </w:tcPr>
          <w:p w14:paraId="2954B34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 del 17-12-2020, artículo LXX</w:t>
            </w:r>
          </w:p>
        </w:tc>
      </w:tr>
      <w:tr w:rsidR="00406E38" w:rsidRPr="00406E38" w14:paraId="68688A86" w14:textId="77777777" w:rsidTr="00306313">
        <w:trPr>
          <w:trHeight w:val="695"/>
          <w:jc w:val="center"/>
        </w:trPr>
        <w:tc>
          <w:tcPr>
            <w:tcW w:w="3119" w:type="dxa"/>
            <w:shd w:val="clear" w:color="auto" w:fill="auto"/>
            <w:vAlign w:val="center"/>
            <w:hideMark/>
          </w:tcPr>
          <w:p w14:paraId="62B2E08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Turrubares</w:t>
            </w:r>
          </w:p>
        </w:tc>
        <w:tc>
          <w:tcPr>
            <w:tcW w:w="2627" w:type="dxa"/>
            <w:shd w:val="clear" w:color="auto" w:fill="auto"/>
            <w:vAlign w:val="center"/>
            <w:hideMark/>
          </w:tcPr>
          <w:p w14:paraId="035DC26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1719-PLA-EV-2020</w:t>
            </w:r>
          </w:p>
        </w:tc>
        <w:tc>
          <w:tcPr>
            <w:tcW w:w="2508" w:type="dxa"/>
            <w:shd w:val="clear" w:color="auto" w:fill="auto"/>
            <w:vAlign w:val="center"/>
            <w:hideMark/>
          </w:tcPr>
          <w:p w14:paraId="3EF7342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1848-PLA-EV-2020</w:t>
            </w:r>
          </w:p>
        </w:tc>
        <w:tc>
          <w:tcPr>
            <w:tcW w:w="2541" w:type="dxa"/>
            <w:shd w:val="clear" w:color="auto" w:fill="auto"/>
            <w:vAlign w:val="center"/>
            <w:hideMark/>
          </w:tcPr>
          <w:p w14:paraId="2C9843AA"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117-20 del 8-12-2020, artículo XL</w:t>
            </w:r>
          </w:p>
        </w:tc>
      </w:tr>
      <w:tr w:rsidR="00406E38" w:rsidRPr="00406E38" w14:paraId="259064B2" w14:textId="77777777" w:rsidTr="00306313">
        <w:trPr>
          <w:trHeight w:val="828"/>
          <w:jc w:val="center"/>
        </w:trPr>
        <w:tc>
          <w:tcPr>
            <w:tcW w:w="3119" w:type="dxa"/>
            <w:shd w:val="clear" w:color="auto" w:fill="auto"/>
            <w:vAlign w:val="center"/>
            <w:hideMark/>
          </w:tcPr>
          <w:p w14:paraId="0D97389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Esparza</w:t>
            </w:r>
          </w:p>
        </w:tc>
        <w:tc>
          <w:tcPr>
            <w:tcW w:w="2627" w:type="dxa"/>
            <w:shd w:val="clear" w:color="auto" w:fill="auto"/>
            <w:vAlign w:val="center"/>
            <w:hideMark/>
          </w:tcPr>
          <w:p w14:paraId="7D636AC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1697-PLA-EV-2020</w:t>
            </w:r>
          </w:p>
        </w:tc>
        <w:tc>
          <w:tcPr>
            <w:tcW w:w="2508" w:type="dxa"/>
            <w:shd w:val="clear" w:color="auto" w:fill="auto"/>
            <w:vAlign w:val="center"/>
            <w:hideMark/>
          </w:tcPr>
          <w:p w14:paraId="6A0501C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65-PLA-EV-2021</w:t>
            </w:r>
          </w:p>
        </w:tc>
        <w:tc>
          <w:tcPr>
            <w:tcW w:w="2541" w:type="dxa"/>
            <w:shd w:val="clear" w:color="auto" w:fill="auto"/>
            <w:vAlign w:val="center"/>
            <w:hideMark/>
          </w:tcPr>
          <w:p w14:paraId="5D2312AD" w14:textId="60E5FB0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w:t>
            </w:r>
          </w:p>
        </w:tc>
      </w:tr>
      <w:tr w:rsidR="00406E38" w:rsidRPr="00406E38" w14:paraId="297FAFF7" w14:textId="77777777" w:rsidTr="00306313">
        <w:trPr>
          <w:trHeight w:val="717"/>
          <w:jc w:val="center"/>
        </w:trPr>
        <w:tc>
          <w:tcPr>
            <w:tcW w:w="3119" w:type="dxa"/>
            <w:shd w:val="clear" w:color="auto" w:fill="auto"/>
            <w:vAlign w:val="center"/>
            <w:hideMark/>
          </w:tcPr>
          <w:p w14:paraId="2F73BF1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Montes de Oro</w:t>
            </w:r>
          </w:p>
        </w:tc>
        <w:tc>
          <w:tcPr>
            <w:tcW w:w="2627" w:type="dxa"/>
            <w:shd w:val="clear" w:color="auto" w:fill="auto"/>
            <w:vAlign w:val="center"/>
            <w:hideMark/>
          </w:tcPr>
          <w:p w14:paraId="067647D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1729-PLA-EV-2020</w:t>
            </w:r>
          </w:p>
        </w:tc>
        <w:tc>
          <w:tcPr>
            <w:tcW w:w="2508" w:type="dxa"/>
            <w:shd w:val="clear" w:color="auto" w:fill="auto"/>
            <w:vAlign w:val="center"/>
            <w:hideMark/>
          </w:tcPr>
          <w:p w14:paraId="02AFF52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1851-PLA-EV-2020</w:t>
            </w:r>
          </w:p>
        </w:tc>
        <w:tc>
          <w:tcPr>
            <w:tcW w:w="2541" w:type="dxa"/>
            <w:shd w:val="clear" w:color="auto" w:fill="auto"/>
            <w:vAlign w:val="center"/>
            <w:hideMark/>
          </w:tcPr>
          <w:p w14:paraId="335D9DE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115-2020 del 1-12-2020, artículo LII</w:t>
            </w:r>
          </w:p>
        </w:tc>
      </w:tr>
      <w:tr w:rsidR="00406E38" w:rsidRPr="00406E38" w14:paraId="4F5B8DF2" w14:textId="77777777" w:rsidTr="00306313">
        <w:trPr>
          <w:trHeight w:val="585"/>
          <w:jc w:val="center"/>
        </w:trPr>
        <w:tc>
          <w:tcPr>
            <w:tcW w:w="3119" w:type="dxa"/>
            <w:shd w:val="clear" w:color="auto" w:fill="auto"/>
            <w:vAlign w:val="center"/>
            <w:hideMark/>
          </w:tcPr>
          <w:p w14:paraId="228E69A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San Mateo </w:t>
            </w:r>
          </w:p>
        </w:tc>
        <w:tc>
          <w:tcPr>
            <w:tcW w:w="2627" w:type="dxa"/>
            <w:shd w:val="clear" w:color="auto" w:fill="auto"/>
            <w:vAlign w:val="center"/>
            <w:hideMark/>
          </w:tcPr>
          <w:p w14:paraId="4C78EE9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1720-PLA-EV-2020</w:t>
            </w:r>
          </w:p>
        </w:tc>
        <w:tc>
          <w:tcPr>
            <w:tcW w:w="2508" w:type="dxa"/>
            <w:shd w:val="clear" w:color="auto" w:fill="auto"/>
            <w:vAlign w:val="center"/>
            <w:hideMark/>
          </w:tcPr>
          <w:p w14:paraId="5666AB9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64-PLA-EV-2021</w:t>
            </w:r>
          </w:p>
        </w:tc>
        <w:tc>
          <w:tcPr>
            <w:tcW w:w="2541" w:type="dxa"/>
            <w:shd w:val="clear" w:color="auto" w:fill="auto"/>
            <w:vAlign w:val="center"/>
            <w:hideMark/>
          </w:tcPr>
          <w:p w14:paraId="3BD0ABCC" w14:textId="3CA6AA7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L</w:t>
            </w:r>
          </w:p>
        </w:tc>
      </w:tr>
      <w:tr w:rsidR="00406E38" w:rsidRPr="00406E38" w14:paraId="034A803B" w14:textId="77777777" w:rsidTr="00306313">
        <w:trPr>
          <w:trHeight w:val="807"/>
          <w:jc w:val="center"/>
        </w:trPr>
        <w:tc>
          <w:tcPr>
            <w:tcW w:w="3119" w:type="dxa"/>
            <w:shd w:val="clear" w:color="auto" w:fill="auto"/>
            <w:vAlign w:val="center"/>
            <w:hideMark/>
          </w:tcPr>
          <w:p w14:paraId="066158C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Orotina </w:t>
            </w:r>
          </w:p>
        </w:tc>
        <w:tc>
          <w:tcPr>
            <w:tcW w:w="2627" w:type="dxa"/>
            <w:shd w:val="clear" w:color="auto" w:fill="auto"/>
            <w:vAlign w:val="center"/>
            <w:hideMark/>
          </w:tcPr>
          <w:p w14:paraId="5F97984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1659-PLA-EV-2020</w:t>
            </w:r>
          </w:p>
        </w:tc>
        <w:tc>
          <w:tcPr>
            <w:tcW w:w="2508" w:type="dxa"/>
            <w:shd w:val="clear" w:color="auto" w:fill="auto"/>
            <w:vAlign w:val="center"/>
            <w:hideMark/>
          </w:tcPr>
          <w:p w14:paraId="55BA527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1886-PLA-EV-2020</w:t>
            </w:r>
          </w:p>
        </w:tc>
        <w:tc>
          <w:tcPr>
            <w:tcW w:w="2541" w:type="dxa"/>
            <w:shd w:val="clear" w:color="auto" w:fill="auto"/>
            <w:vAlign w:val="center"/>
            <w:hideMark/>
          </w:tcPr>
          <w:p w14:paraId="67FA2AD8" w14:textId="4FC11099"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117-2020 del 8-12-2020,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XXXVIII</w:t>
            </w:r>
          </w:p>
        </w:tc>
      </w:tr>
      <w:tr w:rsidR="00406E38" w:rsidRPr="00406E38" w14:paraId="61D2D62F" w14:textId="77777777" w:rsidTr="00306313">
        <w:trPr>
          <w:trHeight w:val="450"/>
          <w:jc w:val="center"/>
        </w:trPr>
        <w:tc>
          <w:tcPr>
            <w:tcW w:w="3119" w:type="dxa"/>
            <w:shd w:val="clear" w:color="auto" w:fill="auto"/>
            <w:vAlign w:val="center"/>
            <w:hideMark/>
          </w:tcPr>
          <w:p w14:paraId="5C26102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Los Chiles</w:t>
            </w:r>
          </w:p>
        </w:tc>
        <w:tc>
          <w:tcPr>
            <w:tcW w:w="2627" w:type="dxa"/>
            <w:shd w:val="clear" w:color="auto" w:fill="auto"/>
            <w:vAlign w:val="center"/>
            <w:hideMark/>
          </w:tcPr>
          <w:p w14:paraId="3B46954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1652-PLA-EV-2020</w:t>
            </w:r>
          </w:p>
        </w:tc>
        <w:tc>
          <w:tcPr>
            <w:tcW w:w="2508" w:type="dxa"/>
            <w:shd w:val="clear" w:color="auto" w:fill="auto"/>
            <w:vAlign w:val="center"/>
            <w:hideMark/>
          </w:tcPr>
          <w:p w14:paraId="1DD92E2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1888-PLA-EV-2020</w:t>
            </w:r>
          </w:p>
        </w:tc>
        <w:tc>
          <w:tcPr>
            <w:tcW w:w="2541" w:type="dxa"/>
            <w:shd w:val="clear" w:color="auto" w:fill="auto"/>
            <w:vAlign w:val="center"/>
            <w:hideMark/>
          </w:tcPr>
          <w:p w14:paraId="2FCCE0A5" w14:textId="6240861B"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LVIII</w:t>
            </w:r>
          </w:p>
        </w:tc>
      </w:tr>
      <w:tr w:rsidR="00406E38" w:rsidRPr="00406E38" w14:paraId="79621CE5" w14:textId="77777777" w:rsidTr="00306313">
        <w:trPr>
          <w:trHeight w:val="450"/>
          <w:jc w:val="center"/>
        </w:trPr>
        <w:tc>
          <w:tcPr>
            <w:tcW w:w="3119" w:type="dxa"/>
            <w:shd w:val="clear" w:color="auto" w:fill="auto"/>
            <w:vAlign w:val="center"/>
            <w:hideMark/>
          </w:tcPr>
          <w:p w14:paraId="706FA46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Guatuso</w:t>
            </w:r>
          </w:p>
        </w:tc>
        <w:tc>
          <w:tcPr>
            <w:tcW w:w="2627" w:type="dxa"/>
            <w:shd w:val="clear" w:color="auto" w:fill="auto"/>
            <w:vAlign w:val="center"/>
            <w:hideMark/>
          </w:tcPr>
          <w:p w14:paraId="06033A1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1646-PLA-EV-2020</w:t>
            </w:r>
          </w:p>
        </w:tc>
        <w:tc>
          <w:tcPr>
            <w:tcW w:w="2508" w:type="dxa"/>
            <w:shd w:val="clear" w:color="auto" w:fill="auto"/>
            <w:vAlign w:val="center"/>
            <w:hideMark/>
          </w:tcPr>
          <w:p w14:paraId="44D87E9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1880-PLA-EV-2020</w:t>
            </w:r>
          </w:p>
        </w:tc>
        <w:tc>
          <w:tcPr>
            <w:tcW w:w="2541" w:type="dxa"/>
            <w:shd w:val="clear" w:color="auto" w:fill="auto"/>
            <w:vAlign w:val="center"/>
            <w:hideMark/>
          </w:tcPr>
          <w:p w14:paraId="407C3DF8" w14:textId="645873B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0A35244B" w14:textId="77777777" w:rsidTr="00306313">
        <w:trPr>
          <w:trHeight w:val="579"/>
          <w:jc w:val="center"/>
        </w:trPr>
        <w:tc>
          <w:tcPr>
            <w:tcW w:w="3119" w:type="dxa"/>
            <w:shd w:val="clear" w:color="auto" w:fill="auto"/>
            <w:vAlign w:val="center"/>
            <w:hideMark/>
          </w:tcPr>
          <w:p w14:paraId="43FB7A2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La Fortuna</w:t>
            </w:r>
          </w:p>
        </w:tc>
        <w:tc>
          <w:tcPr>
            <w:tcW w:w="2627" w:type="dxa"/>
            <w:shd w:val="clear" w:color="auto" w:fill="auto"/>
            <w:vAlign w:val="center"/>
            <w:hideMark/>
          </w:tcPr>
          <w:p w14:paraId="218AC2E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1649-PLA-EV-2020</w:t>
            </w:r>
          </w:p>
        </w:tc>
        <w:tc>
          <w:tcPr>
            <w:tcW w:w="2508" w:type="dxa"/>
            <w:shd w:val="clear" w:color="auto" w:fill="auto"/>
            <w:vAlign w:val="center"/>
            <w:hideMark/>
          </w:tcPr>
          <w:p w14:paraId="6364C8E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1878-PLA-EV-2020</w:t>
            </w:r>
          </w:p>
        </w:tc>
        <w:tc>
          <w:tcPr>
            <w:tcW w:w="2541" w:type="dxa"/>
            <w:shd w:val="clear" w:color="auto" w:fill="auto"/>
            <w:vAlign w:val="center"/>
            <w:hideMark/>
          </w:tcPr>
          <w:p w14:paraId="2C7B1DDB" w14:textId="2BDFA0FD"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LVIII</w:t>
            </w:r>
          </w:p>
        </w:tc>
      </w:tr>
      <w:tr w:rsidR="00406E38" w:rsidRPr="00406E38" w14:paraId="188A2E8D" w14:textId="77777777" w:rsidTr="00306313">
        <w:trPr>
          <w:trHeight w:val="450"/>
          <w:jc w:val="center"/>
        </w:trPr>
        <w:tc>
          <w:tcPr>
            <w:tcW w:w="3119" w:type="dxa"/>
            <w:shd w:val="clear" w:color="auto" w:fill="auto"/>
            <w:vAlign w:val="center"/>
            <w:hideMark/>
          </w:tcPr>
          <w:p w14:paraId="33BDFA8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Zarcero </w:t>
            </w:r>
          </w:p>
        </w:tc>
        <w:tc>
          <w:tcPr>
            <w:tcW w:w="2627" w:type="dxa"/>
            <w:shd w:val="clear" w:color="auto" w:fill="auto"/>
            <w:vAlign w:val="center"/>
            <w:hideMark/>
          </w:tcPr>
          <w:p w14:paraId="1A41107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1651-PLA-EV-2020</w:t>
            </w:r>
          </w:p>
        </w:tc>
        <w:tc>
          <w:tcPr>
            <w:tcW w:w="2508" w:type="dxa"/>
            <w:shd w:val="clear" w:color="auto" w:fill="auto"/>
            <w:vAlign w:val="center"/>
            <w:hideMark/>
          </w:tcPr>
          <w:p w14:paraId="4D2195F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1873-PLA-EV-2020</w:t>
            </w:r>
          </w:p>
        </w:tc>
        <w:tc>
          <w:tcPr>
            <w:tcW w:w="2541" w:type="dxa"/>
            <w:shd w:val="clear" w:color="auto" w:fill="auto"/>
            <w:vAlign w:val="center"/>
            <w:hideMark/>
          </w:tcPr>
          <w:p w14:paraId="1C843FA4" w14:textId="12CC864A"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77260" w:rsidRPr="00777260">
              <w:rPr>
                <w:rFonts w:ascii="Book Antiqua" w:eastAsia="Times New Roman" w:hAnsi="Book Antiqua" w:cs="Arial"/>
                <w:color w:val="000000"/>
                <w:lang w:eastAsia="es-CR"/>
              </w:rPr>
              <w:t>S</w:t>
            </w:r>
            <w:r w:rsidR="00777260">
              <w:rPr>
                <w:rFonts w:ascii="Book Antiqua" w:eastAsia="Times New Roman" w:hAnsi="Book Antiqua" w:cs="Arial"/>
                <w:color w:val="000000"/>
                <w:lang w:eastAsia="es-CR"/>
              </w:rPr>
              <w:t>esión</w:t>
            </w:r>
            <w:r w:rsidR="00777260" w:rsidRPr="00777260">
              <w:rPr>
                <w:rFonts w:ascii="Book Antiqua" w:eastAsia="Times New Roman" w:hAnsi="Book Antiqua" w:cs="Arial"/>
                <w:color w:val="000000"/>
                <w:lang w:eastAsia="es-CR"/>
              </w:rPr>
              <w:t xml:space="preserve"> 116-2020 </w:t>
            </w:r>
            <w:r w:rsidR="00777260">
              <w:rPr>
                <w:rFonts w:ascii="Book Antiqua" w:eastAsia="Times New Roman" w:hAnsi="Book Antiqua" w:cs="Arial"/>
                <w:color w:val="000000"/>
                <w:lang w:eastAsia="es-CR"/>
              </w:rPr>
              <w:t xml:space="preserve">del </w:t>
            </w:r>
            <w:r w:rsidR="00777260" w:rsidRPr="00777260">
              <w:rPr>
                <w:rFonts w:ascii="Book Antiqua" w:eastAsia="Times New Roman" w:hAnsi="Book Antiqua" w:cs="Arial"/>
                <w:color w:val="000000"/>
                <w:lang w:eastAsia="es-CR"/>
              </w:rPr>
              <w:t>03</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12</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2020</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 xml:space="preserve"> </w:t>
            </w:r>
            <w:r w:rsidR="00777260">
              <w:rPr>
                <w:rFonts w:ascii="Book Antiqua" w:eastAsia="Times New Roman" w:hAnsi="Book Antiqua" w:cs="Arial"/>
                <w:color w:val="000000"/>
                <w:lang w:eastAsia="es-CR"/>
              </w:rPr>
              <w:t>artículo</w:t>
            </w:r>
            <w:r w:rsidR="00777260" w:rsidRPr="00777260">
              <w:rPr>
                <w:rFonts w:ascii="Book Antiqua" w:eastAsia="Times New Roman" w:hAnsi="Book Antiqua" w:cs="Arial"/>
                <w:color w:val="000000"/>
                <w:lang w:eastAsia="es-CR"/>
              </w:rPr>
              <w:t xml:space="preserve"> XXXV</w:t>
            </w:r>
          </w:p>
        </w:tc>
      </w:tr>
      <w:tr w:rsidR="00406E38" w:rsidRPr="00406E38" w14:paraId="27A2DA5B" w14:textId="77777777" w:rsidTr="00306313">
        <w:trPr>
          <w:trHeight w:val="828"/>
          <w:jc w:val="center"/>
        </w:trPr>
        <w:tc>
          <w:tcPr>
            <w:tcW w:w="3119" w:type="dxa"/>
            <w:shd w:val="clear" w:color="auto" w:fill="auto"/>
            <w:vAlign w:val="center"/>
            <w:hideMark/>
          </w:tcPr>
          <w:p w14:paraId="0828A50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Paraíso </w:t>
            </w:r>
          </w:p>
        </w:tc>
        <w:tc>
          <w:tcPr>
            <w:tcW w:w="2627" w:type="dxa"/>
            <w:shd w:val="clear" w:color="auto" w:fill="auto"/>
            <w:vAlign w:val="center"/>
            <w:hideMark/>
          </w:tcPr>
          <w:p w14:paraId="1A4EB94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1734-PLA-EV-2020</w:t>
            </w:r>
          </w:p>
        </w:tc>
        <w:tc>
          <w:tcPr>
            <w:tcW w:w="2508" w:type="dxa"/>
            <w:shd w:val="clear" w:color="auto" w:fill="auto"/>
            <w:vAlign w:val="center"/>
            <w:hideMark/>
          </w:tcPr>
          <w:p w14:paraId="5927CA0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1881-PLA-EV-2020</w:t>
            </w:r>
          </w:p>
        </w:tc>
        <w:tc>
          <w:tcPr>
            <w:tcW w:w="2541" w:type="dxa"/>
            <w:shd w:val="clear" w:color="auto" w:fill="auto"/>
            <w:vAlign w:val="center"/>
            <w:hideMark/>
          </w:tcPr>
          <w:p w14:paraId="667EC044" w14:textId="50B037A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LXVII</w:t>
            </w:r>
          </w:p>
        </w:tc>
      </w:tr>
      <w:tr w:rsidR="00406E38" w:rsidRPr="00406E38" w14:paraId="3FA0E027" w14:textId="77777777" w:rsidTr="00306313">
        <w:trPr>
          <w:trHeight w:val="722"/>
          <w:jc w:val="center"/>
        </w:trPr>
        <w:tc>
          <w:tcPr>
            <w:tcW w:w="3119" w:type="dxa"/>
            <w:shd w:val="clear" w:color="auto" w:fill="auto"/>
            <w:vAlign w:val="center"/>
            <w:hideMark/>
          </w:tcPr>
          <w:p w14:paraId="2D9F8CE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Tarrazú, Dota y León Cortés </w:t>
            </w:r>
          </w:p>
        </w:tc>
        <w:tc>
          <w:tcPr>
            <w:tcW w:w="2627" w:type="dxa"/>
            <w:shd w:val="clear" w:color="auto" w:fill="auto"/>
            <w:vAlign w:val="center"/>
            <w:hideMark/>
          </w:tcPr>
          <w:p w14:paraId="5CEC79F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1671-PLA-EV-2020</w:t>
            </w:r>
          </w:p>
        </w:tc>
        <w:tc>
          <w:tcPr>
            <w:tcW w:w="2508" w:type="dxa"/>
            <w:shd w:val="clear" w:color="auto" w:fill="auto"/>
            <w:vAlign w:val="center"/>
            <w:hideMark/>
          </w:tcPr>
          <w:p w14:paraId="112B1A0A" w14:textId="07945962" w:rsidR="00406E38" w:rsidRPr="00406E38" w:rsidRDefault="00777260" w:rsidP="00406E38">
            <w:pPr>
              <w:spacing w:after="0" w:line="240" w:lineRule="auto"/>
              <w:jc w:val="both"/>
              <w:rPr>
                <w:rFonts w:ascii="Book Antiqua" w:eastAsia="Times New Roman" w:hAnsi="Book Antiqua" w:cs="Arial"/>
                <w:color w:val="000000"/>
                <w:lang w:eastAsia="es-CR"/>
              </w:rPr>
            </w:pPr>
            <w:r w:rsidRPr="00777260">
              <w:rPr>
                <w:rFonts w:ascii="Book Antiqua" w:eastAsia="Times New Roman" w:hAnsi="Book Antiqua" w:cs="Arial"/>
                <w:color w:val="000000"/>
                <w:lang w:eastAsia="es-CR"/>
              </w:rPr>
              <w:t>524-PLA-EV-2021</w:t>
            </w:r>
          </w:p>
        </w:tc>
        <w:tc>
          <w:tcPr>
            <w:tcW w:w="2541" w:type="dxa"/>
            <w:shd w:val="clear" w:color="auto" w:fill="auto"/>
            <w:vAlign w:val="center"/>
            <w:hideMark/>
          </w:tcPr>
          <w:p w14:paraId="3D92B119" w14:textId="5EC566AC" w:rsidR="00406E38" w:rsidRPr="00406E38" w:rsidRDefault="00777260" w:rsidP="001D0C10">
            <w:pPr>
              <w:spacing w:after="0" w:line="240" w:lineRule="auto"/>
              <w:jc w:val="both"/>
              <w:rPr>
                <w:rFonts w:ascii="Book Antiqua" w:eastAsia="Times New Roman" w:hAnsi="Book Antiqua" w:cs="Arial"/>
                <w:color w:val="000000"/>
                <w:lang w:eastAsia="es-CR"/>
              </w:rPr>
            </w:pPr>
            <w:r w:rsidRPr="00777260">
              <w:rPr>
                <w:rFonts w:ascii="Book Antiqua" w:eastAsia="Times New Roman" w:hAnsi="Book Antiqua" w:cs="Arial"/>
                <w:color w:val="000000"/>
                <w:lang w:eastAsia="es-CR"/>
              </w:rPr>
              <w:t>S</w:t>
            </w:r>
            <w:r>
              <w:rPr>
                <w:rFonts w:ascii="Book Antiqua" w:eastAsia="Times New Roman" w:hAnsi="Book Antiqua" w:cs="Arial"/>
                <w:color w:val="000000"/>
                <w:lang w:eastAsia="es-CR"/>
              </w:rPr>
              <w:t>esión</w:t>
            </w:r>
            <w:r w:rsidRPr="00777260">
              <w:rPr>
                <w:rFonts w:ascii="Book Antiqua" w:eastAsia="Times New Roman" w:hAnsi="Book Antiqua" w:cs="Arial"/>
                <w:color w:val="000000"/>
                <w:lang w:eastAsia="es-CR"/>
              </w:rPr>
              <w:t xml:space="preserve"> 42-21 </w:t>
            </w:r>
            <w:r>
              <w:rPr>
                <w:rFonts w:ascii="Book Antiqua" w:eastAsia="Times New Roman" w:hAnsi="Book Antiqua" w:cs="Arial"/>
                <w:color w:val="000000"/>
                <w:lang w:eastAsia="es-CR"/>
              </w:rPr>
              <w:t>del</w:t>
            </w:r>
            <w:r w:rsidRPr="00777260">
              <w:rPr>
                <w:rFonts w:ascii="Book Antiqua" w:eastAsia="Times New Roman" w:hAnsi="Book Antiqua" w:cs="Arial"/>
                <w:color w:val="000000"/>
                <w:lang w:eastAsia="es-CR"/>
              </w:rPr>
              <w:t xml:space="preserve"> 20</w:t>
            </w:r>
            <w:r>
              <w:rPr>
                <w:rFonts w:ascii="Book Antiqua" w:eastAsia="Times New Roman" w:hAnsi="Book Antiqua" w:cs="Arial"/>
                <w:color w:val="000000"/>
                <w:lang w:eastAsia="es-CR"/>
              </w:rPr>
              <w:t>-</w:t>
            </w:r>
            <w:r w:rsidRPr="00777260">
              <w:rPr>
                <w:rFonts w:ascii="Book Antiqua" w:eastAsia="Times New Roman" w:hAnsi="Book Antiqua" w:cs="Arial"/>
                <w:color w:val="000000"/>
                <w:lang w:eastAsia="es-CR"/>
              </w:rPr>
              <w:t>05</w:t>
            </w:r>
            <w:r>
              <w:rPr>
                <w:rFonts w:ascii="Book Antiqua" w:eastAsia="Times New Roman" w:hAnsi="Book Antiqua" w:cs="Arial"/>
                <w:color w:val="000000"/>
                <w:lang w:eastAsia="es-CR"/>
              </w:rPr>
              <w:t>-20</w:t>
            </w:r>
            <w:r w:rsidRPr="00777260">
              <w:rPr>
                <w:rFonts w:ascii="Book Antiqua" w:eastAsia="Times New Roman" w:hAnsi="Book Antiqua" w:cs="Arial"/>
                <w:color w:val="000000"/>
                <w:lang w:eastAsia="es-CR"/>
              </w:rPr>
              <w:t>21</w:t>
            </w:r>
            <w:r>
              <w:rPr>
                <w:rFonts w:ascii="Book Antiqua" w:eastAsia="Times New Roman" w:hAnsi="Book Antiqua" w:cs="Arial"/>
                <w:color w:val="000000"/>
                <w:lang w:eastAsia="es-CR"/>
              </w:rPr>
              <w:t>,</w:t>
            </w:r>
            <w:r w:rsidRPr="00777260">
              <w:rPr>
                <w:rFonts w:ascii="Book Antiqua" w:eastAsia="Times New Roman" w:hAnsi="Book Antiqua" w:cs="Arial"/>
                <w:color w:val="000000"/>
                <w:lang w:eastAsia="es-CR"/>
              </w:rPr>
              <w:t xml:space="preserve"> </w:t>
            </w:r>
            <w:r>
              <w:rPr>
                <w:rFonts w:ascii="Book Antiqua" w:eastAsia="Times New Roman" w:hAnsi="Book Antiqua" w:cs="Arial"/>
                <w:color w:val="000000"/>
                <w:lang w:eastAsia="es-CR"/>
              </w:rPr>
              <w:t>artículo</w:t>
            </w:r>
            <w:r w:rsidRPr="00777260">
              <w:rPr>
                <w:rFonts w:ascii="Book Antiqua" w:eastAsia="Times New Roman" w:hAnsi="Book Antiqua" w:cs="Arial"/>
                <w:color w:val="000000"/>
                <w:lang w:eastAsia="es-CR"/>
              </w:rPr>
              <w:t xml:space="preserve"> XXXIV</w:t>
            </w:r>
            <w:r w:rsidR="00406E38" w:rsidRPr="00406E38">
              <w:rPr>
                <w:rFonts w:ascii="Book Antiqua" w:eastAsia="Times New Roman" w:hAnsi="Book Antiqua" w:cs="Arial"/>
                <w:color w:val="000000"/>
                <w:lang w:eastAsia="es-CR"/>
              </w:rPr>
              <w:t> </w:t>
            </w:r>
          </w:p>
        </w:tc>
      </w:tr>
      <w:tr w:rsidR="00406E38" w:rsidRPr="00406E38" w14:paraId="59D000B1" w14:textId="77777777" w:rsidTr="00306313">
        <w:trPr>
          <w:trHeight w:val="828"/>
          <w:jc w:val="center"/>
        </w:trPr>
        <w:tc>
          <w:tcPr>
            <w:tcW w:w="3119" w:type="dxa"/>
            <w:shd w:val="clear" w:color="auto" w:fill="auto"/>
            <w:vAlign w:val="center"/>
            <w:hideMark/>
          </w:tcPr>
          <w:p w14:paraId="19C40A5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Tilarán </w:t>
            </w:r>
          </w:p>
        </w:tc>
        <w:tc>
          <w:tcPr>
            <w:tcW w:w="2627" w:type="dxa"/>
            <w:shd w:val="clear" w:color="auto" w:fill="auto"/>
            <w:vAlign w:val="center"/>
            <w:hideMark/>
          </w:tcPr>
          <w:p w14:paraId="10CE75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1700-PLA-EV-2020</w:t>
            </w:r>
          </w:p>
        </w:tc>
        <w:tc>
          <w:tcPr>
            <w:tcW w:w="2508" w:type="dxa"/>
            <w:shd w:val="clear" w:color="auto" w:fill="auto"/>
            <w:vAlign w:val="center"/>
            <w:hideMark/>
          </w:tcPr>
          <w:p w14:paraId="5B81F9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71-PLA-EV-2021</w:t>
            </w:r>
          </w:p>
        </w:tc>
        <w:tc>
          <w:tcPr>
            <w:tcW w:w="2541" w:type="dxa"/>
            <w:shd w:val="clear" w:color="auto" w:fill="auto"/>
            <w:vAlign w:val="center"/>
            <w:hideMark/>
          </w:tcPr>
          <w:p w14:paraId="245130F6" w14:textId="4C04E5B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LV</w:t>
            </w:r>
          </w:p>
        </w:tc>
      </w:tr>
      <w:tr w:rsidR="00406E38" w:rsidRPr="00406E38" w14:paraId="1D8ED72A" w14:textId="77777777" w:rsidTr="00306313">
        <w:trPr>
          <w:trHeight w:val="715"/>
          <w:jc w:val="center"/>
        </w:trPr>
        <w:tc>
          <w:tcPr>
            <w:tcW w:w="3119" w:type="dxa"/>
            <w:shd w:val="clear" w:color="auto" w:fill="auto"/>
            <w:vAlign w:val="center"/>
            <w:hideMark/>
          </w:tcPr>
          <w:p w14:paraId="1BB7706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Abangares </w:t>
            </w:r>
          </w:p>
        </w:tc>
        <w:tc>
          <w:tcPr>
            <w:tcW w:w="2627" w:type="dxa"/>
            <w:shd w:val="clear" w:color="auto" w:fill="auto"/>
            <w:vAlign w:val="center"/>
            <w:hideMark/>
          </w:tcPr>
          <w:p w14:paraId="675FDAA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1642-PLA-EV-2020</w:t>
            </w:r>
          </w:p>
        </w:tc>
        <w:tc>
          <w:tcPr>
            <w:tcW w:w="2508" w:type="dxa"/>
            <w:shd w:val="clear" w:color="auto" w:fill="auto"/>
            <w:vAlign w:val="center"/>
            <w:hideMark/>
          </w:tcPr>
          <w:p w14:paraId="63555F6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1990-PLA-EV-2020</w:t>
            </w:r>
          </w:p>
        </w:tc>
        <w:tc>
          <w:tcPr>
            <w:tcW w:w="2541" w:type="dxa"/>
            <w:shd w:val="clear" w:color="auto" w:fill="auto"/>
            <w:vAlign w:val="center"/>
            <w:hideMark/>
          </w:tcPr>
          <w:p w14:paraId="5D3A384D" w14:textId="37DFBCFD"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77260" w:rsidRPr="00777260">
              <w:rPr>
                <w:rFonts w:ascii="Book Antiqua" w:eastAsia="Times New Roman" w:hAnsi="Book Antiqua" w:cs="Arial"/>
                <w:color w:val="000000"/>
                <w:lang w:eastAsia="es-CR"/>
              </w:rPr>
              <w:t>S</w:t>
            </w:r>
            <w:r w:rsidR="00777260">
              <w:rPr>
                <w:rFonts w:ascii="Book Antiqua" w:eastAsia="Times New Roman" w:hAnsi="Book Antiqua" w:cs="Arial"/>
                <w:color w:val="000000"/>
                <w:lang w:eastAsia="es-CR"/>
              </w:rPr>
              <w:t>esión</w:t>
            </w:r>
            <w:r w:rsidR="00777260" w:rsidRPr="00777260">
              <w:rPr>
                <w:rFonts w:ascii="Book Antiqua" w:eastAsia="Times New Roman" w:hAnsi="Book Antiqua" w:cs="Arial"/>
                <w:color w:val="000000"/>
                <w:lang w:eastAsia="es-CR"/>
              </w:rPr>
              <w:t xml:space="preserve"> 001-2021</w:t>
            </w:r>
            <w:r w:rsidR="00777260">
              <w:rPr>
                <w:rFonts w:ascii="Book Antiqua" w:eastAsia="Times New Roman" w:hAnsi="Book Antiqua" w:cs="Arial"/>
                <w:color w:val="000000"/>
                <w:lang w:eastAsia="es-CR"/>
              </w:rPr>
              <w:t xml:space="preserve"> del </w:t>
            </w:r>
            <w:r w:rsidR="00777260" w:rsidRPr="00777260">
              <w:rPr>
                <w:rFonts w:ascii="Book Antiqua" w:eastAsia="Times New Roman" w:hAnsi="Book Antiqua" w:cs="Arial"/>
                <w:color w:val="000000"/>
                <w:lang w:eastAsia="es-CR"/>
              </w:rPr>
              <w:t>05</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01</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2021</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 xml:space="preserve"> </w:t>
            </w:r>
            <w:r w:rsidR="00777260">
              <w:rPr>
                <w:rFonts w:ascii="Book Antiqua" w:eastAsia="Times New Roman" w:hAnsi="Book Antiqua" w:cs="Arial"/>
                <w:color w:val="000000"/>
                <w:lang w:eastAsia="es-CR"/>
              </w:rPr>
              <w:t xml:space="preserve">artículo </w:t>
            </w:r>
            <w:r w:rsidR="00777260" w:rsidRPr="00777260">
              <w:rPr>
                <w:rFonts w:ascii="Book Antiqua" w:eastAsia="Times New Roman" w:hAnsi="Book Antiqua" w:cs="Arial"/>
                <w:color w:val="000000"/>
                <w:lang w:eastAsia="es-CR"/>
              </w:rPr>
              <w:t>XXXV</w:t>
            </w:r>
          </w:p>
        </w:tc>
      </w:tr>
      <w:tr w:rsidR="00406E38" w:rsidRPr="00406E38" w14:paraId="3D99F96B" w14:textId="77777777" w:rsidTr="00306313">
        <w:trPr>
          <w:trHeight w:val="450"/>
          <w:jc w:val="center"/>
        </w:trPr>
        <w:tc>
          <w:tcPr>
            <w:tcW w:w="3119" w:type="dxa"/>
            <w:shd w:val="clear" w:color="auto" w:fill="auto"/>
            <w:vAlign w:val="center"/>
            <w:hideMark/>
          </w:tcPr>
          <w:p w14:paraId="0BE11D0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Bagaces </w:t>
            </w:r>
          </w:p>
        </w:tc>
        <w:tc>
          <w:tcPr>
            <w:tcW w:w="2627" w:type="dxa"/>
            <w:shd w:val="clear" w:color="auto" w:fill="auto"/>
            <w:vAlign w:val="center"/>
            <w:hideMark/>
          </w:tcPr>
          <w:p w14:paraId="56238D4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1647-PLA-EV-2020</w:t>
            </w:r>
          </w:p>
        </w:tc>
        <w:tc>
          <w:tcPr>
            <w:tcW w:w="2508" w:type="dxa"/>
            <w:shd w:val="clear" w:color="auto" w:fill="auto"/>
            <w:vAlign w:val="center"/>
            <w:hideMark/>
          </w:tcPr>
          <w:p w14:paraId="2CEFC0A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1867-PLA-EV-2020</w:t>
            </w:r>
          </w:p>
        </w:tc>
        <w:tc>
          <w:tcPr>
            <w:tcW w:w="2541" w:type="dxa"/>
            <w:shd w:val="clear" w:color="auto" w:fill="auto"/>
            <w:vAlign w:val="center"/>
            <w:hideMark/>
          </w:tcPr>
          <w:p w14:paraId="04BF6533" w14:textId="79C2E84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w:t>
            </w:r>
          </w:p>
        </w:tc>
      </w:tr>
      <w:tr w:rsidR="00406E38" w:rsidRPr="00406E38" w14:paraId="102AAA65" w14:textId="77777777" w:rsidTr="00306313">
        <w:trPr>
          <w:trHeight w:val="450"/>
          <w:jc w:val="center"/>
        </w:trPr>
        <w:tc>
          <w:tcPr>
            <w:tcW w:w="3119" w:type="dxa"/>
            <w:shd w:val="clear" w:color="auto" w:fill="auto"/>
            <w:vAlign w:val="center"/>
            <w:hideMark/>
          </w:tcPr>
          <w:p w14:paraId="570257E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La Cruz </w:t>
            </w:r>
          </w:p>
        </w:tc>
        <w:tc>
          <w:tcPr>
            <w:tcW w:w="2627" w:type="dxa"/>
            <w:shd w:val="clear" w:color="auto" w:fill="auto"/>
            <w:vAlign w:val="center"/>
            <w:hideMark/>
          </w:tcPr>
          <w:p w14:paraId="0FF452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1650-PLA-EV-2020</w:t>
            </w:r>
          </w:p>
        </w:tc>
        <w:tc>
          <w:tcPr>
            <w:tcW w:w="2508" w:type="dxa"/>
            <w:shd w:val="clear" w:color="auto" w:fill="auto"/>
            <w:vAlign w:val="center"/>
            <w:hideMark/>
          </w:tcPr>
          <w:p w14:paraId="2B0A067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 1981-PLA-EV-2020</w:t>
            </w:r>
          </w:p>
        </w:tc>
        <w:tc>
          <w:tcPr>
            <w:tcW w:w="2541" w:type="dxa"/>
            <w:shd w:val="clear" w:color="auto" w:fill="auto"/>
            <w:vAlign w:val="center"/>
            <w:hideMark/>
          </w:tcPr>
          <w:p w14:paraId="3AA612C4" w14:textId="77BE679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01-21 del 05-</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XXXIII </w:t>
            </w:r>
          </w:p>
        </w:tc>
      </w:tr>
      <w:tr w:rsidR="00406E38" w:rsidRPr="00406E38" w14:paraId="0D3C9DF9" w14:textId="77777777" w:rsidTr="00306313">
        <w:trPr>
          <w:trHeight w:val="450"/>
          <w:jc w:val="center"/>
        </w:trPr>
        <w:tc>
          <w:tcPr>
            <w:tcW w:w="3119" w:type="dxa"/>
            <w:shd w:val="clear" w:color="auto" w:fill="auto"/>
            <w:vAlign w:val="center"/>
            <w:hideMark/>
          </w:tcPr>
          <w:p w14:paraId="4FD7993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Nandayure </w:t>
            </w:r>
          </w:p>
        </w:tc>
        <w:tc>
          <w:tcPr>
            <w:tcW w:w="2627" w:type="dxa"/>
            <w:shd w:val="clear" w:color="auto" w:fill="auto"/>
            <w:vAlign w:val="center"/>
            <w:hideMark/>
          </w:tcPr>
          <w:p w14:paraId="1D1DB97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1733-PLA-EV-2020</w:t>
            </w:r>
          </w:p>
        </w:tc>
        <w:tc>
          <w:tcPr>
            <w:tcW w:w="2508" w:type="dxa"/>
            <w:shd w:val="clear" w:color="auto" w:fill="auto"/>
            <w:vAlign w:val="center"/>
            <w:hideMark/>
          </w:tcPr>
          <w:p w14:paraId="1861901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1864-PLA-EV-2020</w:t>
            </w:r>
          </w:p>
        </w:tc>
        <w:tc>
          <w:tcPr>
            <w:tcW w:w="2541" w:type="dxa"/>
            <w:shd w:val="clear" w:color="auto" w:fill="auto"/>
            <w:vAlign w:val="center"/>
            <w:hideMark/>
          </w:tcPr>
          <w:p w14:paraId="71E22F47" w14:textId="0DE0CCA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XXXIV</w:t>
            </w:r>
          </w:p>
        </w:tc>
      </w:tr>
      <w:tr w:rsidR="00406E38" w:rsidRPr="00406E38" w14:paraId="667C2FD8" w14:textId="77777777" w:rsidTr="00306313">
        <w:trPr>
          <w:trHeight w:val="619"/>
          <w:jc w:val="center"/>
        </w:trPr>
        <w:tc>
          <w:tcPr>
            <w:tcW w:w="3119" w:type="dxa"/>
            <w:shd w:val="clear" w:color="auto" w:fill="auto"/>
            <w:vAlign w:val="center"/>
            <w:hideMark/>
          </w:tcPr>
          <w:p w14:paraId="6985119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Carrillo </w:t>
            </w:r>
          </w:p>
        </w:tc>
        <w:tc>
          <w:tcPr>
            <w:tcW w:w="2627" w:type="dxa"/>
            <w:shd w:val="clear" w:color="auto" w:fill="auto"/>
            <w:vAlign w:val="center"/>
            <w:hideMark/>
          </w:tcPr>
          <w:p w14:paraId="3100367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1728-PLA-EV-2020</w:t>
            </w:r>
          </w:p>
        </w:tc>
        <w:tc>
          <w:tcPr>
            <w:tcW w:w="2508" w:type="dxa"/>
            <w:shd w:val="clear" w:color="auto" w:fill="auto"/>
            <w:vAlign w:val="center"/>
            <w:hideMark/>
          </w:tcPr>
          <w:p w14:paraId="7036CCB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1877-PLA-EV-2020</w:t>
            </w:r>
          </w:p>
        </w:tc>
        <w:tc>
          <w:tcPr>
            <w:tcW w:w="2541" w:type="dxa"/>
            <w:shd w:val="clear" w:color="auto" w:fill="auto"/>
            <w:vAlign w:val="center"/>
            <w:hideMark/>
          </w:tcPr>
          <w:p w14:paraId="0159A0D8" w14:textId="7900F711"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L</w:t>
            </w:r>
          </w:p>
        </w:tc>
      </w:tr>
      <w:tr w:rsidR="00406E38" w:rsidRPr="00406E38" w14:paraId="64EF678E" w14:textId="77777777" w:rsidTr="00306313">
        <w:trPr>
          <w:trHeight w:val="618"/>
          <w:jc w:val="center"/>
        </w:trPr>
        <w:tc>
          <w:tcPr>
            <w:tcW w:w="3119" w:type="dxa"/>
            <w:shd w:val="clear" w:color="auto" w:fill="auto"/>
            <w:vAlign w:val="center"/>
            <w:hideMark/>
          </w:tcPr>
          <w:p w14:paraId="4544663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Jicaral </w:t>
            </w:r>
          </w:p>
        </w:tc>
        <w:tc>
          <w:tcPr>
            <w:tcW w:w="2627" w:type="dxa"/>
            <w:shd w:val="clear" w:color="auto" w:fill="auto"/>
            <w:vAlign w:val="center"/>
            <w:hideMark/>
          </w:tcPr>
          <w:p w14:paraId="6C11E4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1730-PLA-EV-2020</w:t>
            </w:r>
          </w:p>
        </w:tc>
        <w:tc>
          <w:tcPr>
            <w:tcW w:w="2508" w:type="dxa"/>
            <w:shd w:val="clear" w:color="auto" w:fill="auto"/>
            <w:vAlign w:val="center"/>
            <w:hideMark/>
          </w:tcPr>
          <w:p w14:paraId="05744BD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1854-PLA-EV-2020</w:t>
            </w:r>
          </w:p>
        </w:tc>
        <w:tc>
          <w:tcPr>
            <w:tcW w:w="2541" w:type="dxa"/>
            <w:shd w:val="clear" w:color="auto" w:fill="auto"/>
            <w:vAlign w:val="center"/>
            <w:hideMark/>
          </w:tcPr>
          <w:p w14:paraId="598F2E48" w14:textId="6146CE2B"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115-2020 del 1-12-2020,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LI</w:t>
            </w:r>
          </w:p>
        </w:tc>
      </w:tr>
      <w:tr w:rsidR="00406E38" w:rsidRPr="00406E38" w14:paraId="2FA8D825" w14:textId="77777777" w:rsidTr="00306313">
        <w:trPr>
          <w:trHeight w:val="623"/>
          <w:jc w:val="center"/>
        </w:trPr>
        <w:tc>
          <w:tcPr>
            <w:tcW w:w="3119" w:type="dxa"/>
            <w:shd w:val="clear" w:color="auto" w:fill="auto"/>
            <w:vAlign w:val="center"/>
            <w:hideMark/>
          </w:tcPr>
          <w:p w14:paraId="4F64A5E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Garabito </w:t>
            </w:r>
          </w:p>
        </w:tc>
        <w:tc>
          <w:tcPr>
            <w:tcW w:w="2627" w:type="dxa"/>
            <w:shd w:val="clear" w:color="auto" w:fill="auto"/>
            <w:vAlign w:val="center"/>
            <w:hideMark/>
          </w:tcPr>
          <w:p w14:paraId="633D574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1732-PLA-EV-2020</w:t>
            </w:r>
          </w:p>
        </w:tc>
        <w:tc>
          <w:tcPr>
            <w:tcW w:w="2508" w:type="dxa"/>
            <w:shd w:val="clear" w:color="auto" w:fill="auto"/>
            <w:vAlign w:val="center"/>
            <w:hideMark/>
          </w:tcPr>
          <w:p w14:paraId="434AEA4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54-PLA-EV-2021</w:t>
            </w:r>
          </w:p>
        </w:tc>
        <w:tc>
          <w:tcPr>
            <w:tcW w:w="2541" w:type="dxa"/>
            <w:shd w:val="clear" w:color="auto" w:fill="auto"/>
            <w:vAlign w:val="center"/>
            <w:hideMark/>
          </w:tcPr>
          <w:p w14:paraId="2C0AA6AC" w14:textId="6E3E12C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XXXVI</w:t>
            </w:r>
          </w:p>
        </w:tc>
      </w:tr>
      <w:tr w:rsidR="00406E38" w:rsidRPr="00406E38" w14:paraId="5338996E" w14:textId="77777777" w:rsidTr="00306313">
        <w:trPr>
          <w:trHeight w:val="575"/>
          <w:jc w:val="center"/>
        </w:trPr>
        <w:tc>
          <w:tcPr>
            <w:tcW w:w="3119" w:type="dxa"/>
            <w:shd w:val="clear" w:color="auto" w:fill="auto"/>
            <w:vAlign w:val="center"/>
            <w:hideMark/>
          </w:tcPr>
          <w:p w14:paraId="7B78DE1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Cóbano </w:t>
            </w:r>
          </w:p>
        </w:tc>
        <w:tc>
          <w:tcPr>
            <w:tcW w:w="2627" w:type="dxa"/>
            <w:shd w:val="clear" w:color="auto" w:fill="auto"/>
            <w:vAlign w:val="center"/>
            <w:hideMark/>
          </w:tcPr>
          <w:p w14:paraId="66ED836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1749-PLA-EV-2020</w:t>
            </w:r>
          </w:p>
        </w:tc>
        <w:tc>
          <w:tcPr>
            <w:tcW w:w="2508" w:type="dxa"/>
            <w:shd w:val="clear" w:color="auto" w:fill="auto"/>
            <w:vAlign w:val="center"/>
            <w:hideMark/>
          </w:tcPr>
          <w:p w14:paraId="40D6FF4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270-PLA-EV-2021</w:t>
            </w:r>
          </w:p>
        </w:tc>
        <w:tc>
          <w:tcPr>
            <w:tcW w:w="2541" w:type="dxa"/>
            <w:shd w:val="clear" w:color="auto" w:fill="auto"/>
            <w:vAlign w:val="center"/>
            <w:hideMark/>
          </w:tcPr>
          <w:p w14:paraId="130C201C" w14:textId="3D18749A" w:rsidR="00406E38" w:rsidRPr="00406E38" w:rsidRDefault="00793A9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93A98">
              <w:rPr>
                <w:rFonts w:ascii="Book Antiqua" w:eastAsia="Times New Roman" w:hAnsi="Book Antiqua" w:cs="Arial"/>
                <w:color w:val="000000"/>
                <w:lang w:eastAsia="es-CR"/>
              </w:rPr>
              <w:t>22-2021 del 16-</w:t>
            </w:r>
            <w:r>
              <w:rPr>
                <w:rFonts w:ascii="Book Antiqua" w:eastAsia="Times New Roman" w:hAnsi="Book Antiqua" w:cs="Arial"/>
                <w:color w:val="000000"/>
                <w:lang w:eastAsia="es-CR"/>
              </w:rPr>
              <w:t>0</w:t>
            </w:r>
            <w:r w:rsidRPr="00793A98">
              <w:rPr>
                <w:rFonts w:ascii="Book Antiqua" w:eastAsia="Times New Roman" w:hAnsi="Book Antiqua" w:cs="Arial"/>
                <w:color w:val="000000"/>
                <w:lang w:eastAsia="es-CR"/>
              </w:rPr>
              <w:t>3-2021, artículo XXXI</w:t>
            </w:r>
            <w:r w:rsidR="00406E38" w:rsidRPr="00406E38">
              <w:rPr>
                <w:rFonts w:ascii="Book Antiqua" w:eastAsia="Times New Roman" w:hAnsi="Book Antiqua" w:cs="Arial"/>
                <w:color w:val="000000"/>
                <w:lang w:eastAsia="es-CR"/>
              </w:rPr>
              <w:t> </w:t>
            </w:r>
          </w:p>
        </w:tc>
      </w:tr>
      <w:tr w:rsidR="00406E38" w:rsidRPr="00406E38" w14:paraId="111E9710" w14:textId="77777777" w:rsidTr="00306313">
        <w:trPr>
          <w:trHeight w:val="698"/>
          <w:jc w:val="center"/>
        </w:trPr>
        <w:tc>
          <w:tcPr>
            <w:tcW w:w="3119" w:type="dxa"/>
            <w:shd w:val="clear" w:color="auto" w:fill="auto"/>
            <w:vAlign w:val="center"/>
            <w:hideMark/>
          </w:tcPr>
          <w:p w14:paraId="3D62E0D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Monteverde</w:t>
            </w:r>
          </w:p>
        </w:tc>
        <w:tc>
          <w:tcPr>
            <w:tcW w:w="2627" w:type="dxa"/>
            <w:shd w:val="clear" w:color="auto" w:fill="auto"/>
            <w:vAlign w:val="center"/>
            <w:hideMark/>
          </w:tcPr>
          <w:p w14:paraId="15583D5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1753-PLA-EV-2020</w:t>
            </w:r>
          </w:p>
        </w:tc>
        <w:tc>
          <w:tcPr>
            <w:tcW w:w="2508" w:type="dxa"/>
            <w:shd w:val="clear" w:color="auto" w:fill="auto"/>
            <w:vAlign w:val="center"/>
            <w:hideMark/>
          </w:tcPr>
          <w:p w14:paraId="75363D5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173-PLA-EV-2021</w:t>
            </w:r>
          </w:p>
        </w:tc>
        <w:tc>
          <w:tcPr>
            <w:tcW w:w="2541" w:type="dxa"/>
            <w:shd w:val="clear" w:color="auto" w:fill="auto"/>
            <w:vAlign w:val="center"/>
            <w:hideMark/>
          </w:tcPr>
          <w:p w14:paraId="3CDD4EA3" w14:textId="38EAD79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14-2021 del 18-</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XLIII </w:t>
            </w:r>
          </w:p>
        </w:tc>
      </w:tr>
      <w:tr w:rsidR="00406E38" w:rsidRPr="00406E38" w14:paraId="5F98BA73" w14:textId="77777777" w:rsidTr="00306313">
        <w:trPr>
          <w:trHeight w:val="693"/>
          <w:jc w:val="center"/>
        </w:trPr>
        <w:tc>
          <w:tcPr>
            <w:tcW w:w="3119" w:type="dxa"/>
            <w:shd w:val="clear" w:color="auto" w:fill="auto"/>
            <w:vAlign w:val="center"/>
            <w:hideMark/>
          </w:tcPr>
          <w:p w14:paraId="5D95FE1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Coto Brus</w:t>
            </w:r>
          </w:p>
        </w:tc>
        <w:tc>
          <w:tcPr>
            <w:tcW w:w="2627" w:type="dxa"/>
            <w:shd w:val="clear" w:color="auto" w:fill="auto"/>
            <w:vAlign w:val="center"/>
            <w:hideMark/>
          </w:tcPr>
          <w:p w14:paraId="5E421B9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1666-PLA-EV-2020</w:t>
            </w:r>
          </w:p>
        </w:tc>
        <w:tc>
          <w:tcPr>
            <w:tcW w:w="2508" w:type="dxa"/>
            <w:shd w:val="clear" w:color="auto" w:fill="auto"/>
            <w:vAlign w:val="center"/>
            <w:hideMark/>
          </w:tcPr>
          <w:p w14:paraId="292A2CA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1887-PLA-EV-2020</w:t>
            </w:r>
          </w:p>
        </w:tc>
        <w:tc>
          <w:tcPr>
            <w:tcW w:w="2541" w:type="dxa"/>
            <w:shd w:val="clear" w:color="auto" w:fill="auto"/>
            <w:vAlign w:val="center"/>
            <w:hideMark/>
          </w:tcPr>
          <w:p w14:paraId="51FFDB9B" w14:textId="543A0C7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116-2020 del 3-12-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w:t>
            </w:r>
          </w:p>
        </w:tc>
      </w:tr>
      <w:tr w:rsidR="00406E38" w:rsidRPr="00406E38" w14:paraId="75433D44" w14:textId="77777777" w:rsidTr="00306313">
        <w:trPr>
          <w:trHeight w:val="577"/>
          <w:jc w:val="center"/>
        </w:trPr>
        <w:tc>
          <w:tcPr>
            <w:tcW w:w="3119" w:type="dxa"/>
            <w:shd w:val="clear" w:color="auto" w:fill="auto"/>
            <w:vAlign w:val="center"/>
            <w:hideMark/>
          </w:tcPr>
          <w:p w14:paraId="0135B24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Golfito, Sede Puerto Jiménez  </w:t>
            </w:r>
          </w:p>
        </w:tc>
        <w:tc>
          <w:tcPr>
            <w:tcW w:w="2627" w:type="dxa"/>
            <w:shd w:val="clear" w:color="auto" w:fill="auto"/>
            <w:vAlign w:val="center"/>
            <w:hideMark/>
          </w:tcPr>
          <w:p w14:paraId="040457B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1658-PLA-EV-2020</w:t>
            </w:r>
          </w:p>
        </w:tc>
        <w:tc>
          <w:tcPr>
            <w:tcW w:w="2508" w:type="dxa"/>
            <w:shd w:val="clear" w:color="auto" w:fill="auto"/>
            <w:vAlign w:val="center"/>
            <w:hideMark/>
          </w:tcPr>
          <w:p w14:paraId="35A58A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1988-PLA-EV-2020</w:t>
            </w:r>
          </w:p>
        </w:tc>
        <w:tc>
          <w:tcPr>
            <w:tcW w:w="2541" w:type="dxa"/>
            <w:shd w:val="clear" w:color="auto" w:fill="auto"/>
            <w:vAlign w:val="center"/>
            <w:hideMark/>
          </w:tcPr>
          <w:p w14:paraId="2ABB79FA" w14:textId="3AD68F0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w:t>
            </w:r>
            <w:r w:rsidRPr="00406E38">
              <w:rPr>
                <w:rFonts w:ascii="Book Antiqua" w:eastAsia="Times New Roman" w:hAnsi="Book Antiqua" w:cs="Arial"/>
                <w:color w:val="000000"/>
                <w:lang w:eastAsia="es-CR"/>
              </w:rPr>
              <w:t>t</w:t>
            </w:r>
            <w:r w:rsidR="00793A98">
              <w:rPr>
                <w:rFonts w:ascii="Book Antiqua" w:eastAsia="Times New Roman" w:hAnsi="Book Antiqua" w:cs="Arial"/>
                <w:color w:val="000000"/>
                <w:lang w:eastAsia="es-CR"/>
              </w:rPr>
              <w:t>ículo</w:t>
            </w:r>
            <w:r w:rsidRPr="00406E38">
              <w:rPr>
                <w:rFonts w:ascii="Book Antiqua" w:eastAsia="Times New Roman" w:hAnsi="Book Antiqua" w:cs="Arial"/>
                <w:color w:val="000000"/>
                <w:lang w:eastAsia="es-CR"/>
              </w:rPr>
              <w:t xml:space="preserve"> LXVII</w:t>
            </w:r>
          </w:p>
        </w:tc>
      </w:tr>
      <w:tr w:rsidR="00406E38" w:rsidRPr="00406E38" w14:paraId="6F84E958" w14:textId="77777777" w:rsidTr="00306313">
        <w:trPr>
          <w:trHeight w:val="300"/>
          <w:jc w:val="center"/>
        </w:trPr>
        <w:tc>
          <w:tcPr>
            <w:tcW w:w="3119" w:type="dxa"/>
            <w:shd w:val="clear" w:color="auto" w:fill="auto"/>
            <w:vAlign w:val="center"/>
            <w:hideMark/>
          </w:tcPr>
          <w:p w14:paraId="2F92448D"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Bribri </w:t>
            </w:r>
          </w:p>
        </w:tc>
        <w:tc>
          <w:tcPr>
            <w:tcW w:w="2627" w:type="dxa"/>
            <w:shd w:val="clear" w:color="auto" w:fill="auto"/>
            <w:vAlign w:val="center"/>
            <w:hideMark/>
          </w:tcPr>
          <w:p w14:paraId="195CAFF7"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1746-PLA-MI-2020</w:t>
            </w:r>
          </w:p>
        </w:tc>
        <w:tc>
          <w:tcPr>
            <w:tcW w:w="2508" w:type="dxa"/>
            <w:shd w:val="clear" w:color="auto" w:fill="auto"/>
            <w:vAlign w:val="center"/>
            <w:hideMark/>
          </w:tcPr>
          <w:p w14:paraId="13D748E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1985-PLA-EV-2020</w:t>
            </w:r>
          </w:p>
        </w:tc>
        <w:tc>
          <w:tcPr>
            <w:tcW w:w="2541" w:type="dxa"/>
            <w:shd w:val="clear" w:color="auto" w:fill="auto"/>
            <w:vAlign w:val="center"/>
            <w:hideMark/>
          </w:tcPr>
          <w:p w14:paraId="4515C720" w14:textId="033C4959"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LXXI</w:t>
            </w:r>
          </w:p>
        </w:tc>
      </w:tr>
      <w:tr w:rsidR="00406E38" w:rsidRPr="00406E38" w14:paraId="09417358" w14:textId="77777777" w:rsidTr="00306313">
        <w:trPr>
          <w:trHeight w:val="300"/>
          <w:jc w:val="center"/>
        </w:trPr>
        <w:tc>
          <w:tcPr>
            <w:tcW w:w="3119" w:type="dxa"/>
            <w:shd w:val="clear" w:color="auto" w:fill="auto"/>
            <w:vAlign w:val="center"/>
            <w:hideMark/>
          </w:tcPr>
          <w:p w14:paraId="58F8C33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Matina </w:t>
            </w:r>
          </w:p>
        </w:tc>
        <w:tc>
          <w:tcPr>
            <w:tcW w:w="2627" w:type="dxa"/>
            <w:shd w:val="clear" w:color="auto" w:fill="auto"/>
            <w:vAlign w:val="center"/>
            <w:hideMark/>
          </w:tcPr>
          <w:p w14:paraId="5A64E9C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1751-PLA-MI-2020</w:t>
            </w:r>
          </w:p>
        </w:tc>
        <w:tc>
          <w:tcPr>
            <w:tcW w:w="2508" w:type="dxa"/>
            <w:shd w:val="clear" w:color="auto" w:fill="auto"/>
            <w:vAlign w:val="center"/>
            <w:hideMark/>
          </w:tcPr>
          <w:p w14:paraId="6C690288" w14:textId="3EA46CD2" w:rsidR="00406E38" w:rsidRPr="00406E38" w:rsidRDefault="00793A98" w:rsidP="00406E38">
            <w:pPr>
              <w:spacing w:after="0" w:line="240" w:lineRule="auto"/>
              <w:jc w:val="center"/>
              <w:rPr>
                <w:rFonts w:ascii="Book Antiqua" w:eastAsia="Times New Roman" w:hAnsi="Book Antiqua" w:cs="Arial"/>
                <w:color w:val="000000"/>
                <w:lang w:eastAsia="es-CR"/>
              </w:rPr>
            </w:pPr>
            <w:r w:rsidRPr="00793A98">
              <w:rPr>
                <w:rFonts w:ascii="Book Antiqua" w:eastAsia="Times New Roman" w:hAnsi="Book Antiqua" w:cs="Arial"/>
                <w:color w:val="000000"/>
                <w:lang w:eastAsia="es-CR"/>
              </w:rPr>
              <w:t>414-PLA-MI-2020</w:t>
            </w:r>
          </w:p>
        </w:tc>
        <w:tc>
          <w:tcPr>
            <w:tcW w:w="2541" w:type="dxa"/>
            <w:shd w:val="clear" w:color="auto" w:fill="auto"/>
            <w:vAlign w:val="center"/>
            <w:hideMark/>
          </w:tcPr>
          <w:p w14:paraId="1392FEB0" w14:textId="3D5CC052" w:rsidR="00406E38" w:rsidRPr="00406E38" w:rsidRDefault="00793A98" w:rsidP="001D0C10">
            <w:pPr>
              <w:spacing w:after="0" w:line="240" w:lineRule="auto"/>
              <w:jc w:val="both"/>
              <w:rPr>
                <w:rFonts w:ascii="Book Antiqua" w:eastAsia="Times New Roman" w:hAnsi="Book Antiqua" w:cs="Arial"/>
                <w:color w:val="000000"/>
                <w:lang w:eastAsia="es-CR"/>
              </w:rPr>
            </w:pPr>
            <w:r w:rsidRPr="00793A98">
              <w:rPr>
                <w:rFonts w:ascii="Book Antiqua" w:eastAsia="Times New Roman" w:hAnsi="Book Antiqua" w:cs="Arial"/>
                <w:color w:val="000000"/>
                <w:lang w:eastAsia="es-CR"/>
              </w:rPr>
              <w:t>Sesión 32-</w:t>
            </w:r>
            <w:r>
              <w:rPr>
                <w:rFonts w:ascii="Book Antiqua" w:eastAsia="Times New Roman" w:hAnsi="Book Antiqua" w:cs="Arial"/>
                <w:color w:val="000000"/>
                <w:lang w:eastAsia="es-CR"/>
              </w:rPr>
              <w:t>20</w:t>
            </w:r>
            <w:r w:rsidRPr="00793A98">
              <w:rPr>
                <w:rFonts w:ascii="Book Antiqua" w:eastAsia="Times New Roman" w:hAnsi="Book Antiqua" w:cs="Arial"/>
                <w:color w:val="000000"/>
                <w:lang w:eastAsia="es-CR"/>
              </w:rPr>
              <w:t>21</w:t>
            </w:r>
            <w:r>
              <w:rPr>
                <w:rFonts w:ascii="Book Antiqua" w:eastAsia="Times New Roman" w:hAnsi="Book Antiqua" w:cs="Arial"/>
                <w:color w:val="000000"/>
                <w:lang w:eastAsia="es-CR"/>
              </w:rPr>
              <w:t xml:space="preserve"> del </w:t>
            </w:r>
            <w:r w:rsidRPr="00793A98">
              <w:rPr>
                <w:rFonts w:ascii="Book Antiqua" w:eastAsia="Times New Roman" w:hAnsi="Book Antiqua" w:cs="Arial"/>
                <w:color w:val="000000"/>
                <w:lang w:eastAsia="es-CR"/>
              </w:rPr>
              <w:t>22</w:t>
            </w:r>
            <w:r>
              <w:rPr>
                <w:rFonts w:ascii="Book Antiqua" w:eastAsia="Times New Roman" w:hAnsi="Book Antiqua" w:cs="Arial"/>
                <w:color w:val="000000"/>
                <w:lang w:eastAsia="es-CR"/>
              </w:rPr>
              <w:t>-04-20</w:t>
            </w:r>
            <w:r w:rsidRPr="00793A98">
              <w:rPr>
                <w:rFonts w:ascii="Book Antiqua" w:eastAsia="Times New Roman" w:hAnsi="Book Antiqua" w:cs="Arial"/>
                <w:color w:val="000000"/>
                <w:lang w:eastAsia="es-CR"/>
              </w:rPr>
              <w:t>021, artículo XL</w:t>
            </w:r>
            <w:r w:rsidR="00406E38" w:rsidRPr="00406E38">
              <w:rPr>
                <w:rFonts w:ascii="Book Antiqua" w:eastAsia="Times New Roman" w:hAnsi="Book Antiqua" w:cs="Arial"/>
                <w:color w:val="000000"/>
                <w:lang w:eastAsia="es-CR"/>
              </w:rPr>
              <w:t> </w:t>
            </w:r>
          </w:p>
        </w:tc>
      </w:tr>
      <w:tr w:rsidR="00406E38" w:rsidRPr="00406E38" w14:paraId="76C801C3" w14:textId="77777777" w:rsidTr="00306313">
        <w:trPr>
          <w:trHeight w:val="567"/>
          <w:jc w:val="center"/>
        </w:trPr>
        <w:tc>
          <w:tcPr>
            <w:tcW w:w="3119" w:type="dxa"/>
            <w:shd w:val="clear" w:color="auto" w:fill="auto"/>
            <w:vAlign w:val="center"/>
            <w:hideMark/>
          </w:tcPr>
          <w:p w14:paraId="2EF29C6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Guácimo</w:t>
            </w:r>
          </w:p>
        </w:tc>
        <w:tc>
          <w:tcPr>
            <w:tcW w:w="2627" w:type="dxa"/>
            <w:shd w:val="clear" w:color="auto" w:fill="auto"/>
            <w:vAlign w:val="center"/>
            <w:hideMark/>
          </w:tcPr>
          <w:p w14:paraId="2C68214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1656-PLA-EV-2020</w:t>
            </w:r>
          </w:p>
        </w:tc>
        <w:tc>
          <w:tcPr>
            <w:tcW w:w="2508" w:type="dxa"/>
            <w:shd w:val="clear" w:color="auto" w:fill="auto"/>
            <w:vAlign w:val="center"/>
            <w:hideMark/>
          </w:tcPr>
          <w:p w14:paraId="31D130D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1866-PLA-EV-2020</w:t>
            </w:r>
          </w:p>
        </w:tc>
        <w:tc>
          <w:tcPr>
            <w:tcW w:w="2541" w:type="dxa"/>
            <w:shd w:val="clear" w:color="auto" w:fill="auto"/>
            <w:vAlign w:val="center"/>
            <w:hideMark/>
          </w:tcPr>
          <w:p w14:paraId="414B09E9" w14:textId="5E627C0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XLVIII</w:t>
            </w:r>
          </w:p>
        </w:tc>
      </w:tr>
      <w:tr w:rsidR="00406E38" w:rsidRPr="00406E38" w14:paraId="7A399B87" w14:textId="77777777" w:rsidTr="00306313">
        <w:trPr>
          <w:trHeight w:val="567"/>
          <w:jc w:val="center"/>
        </w:trPr>
        <w:tc>
          <w:tcPr>
            <w:tcW w:w="3119" w:type="dxa"/>
            <w:shd w:val="clear" w:color="auto" w:fill="auto"/>
            <w:vAlign w:val="center"/>
            <w:hideMark/>
          </w:tcPr>
          <w:p w14:paraId="71F8990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San Isidro </w:t>
            </w:r>
          </w:p>
        </w:tc>
        <w:tc>
          <w:tcPr>
            <w:tcW w:w="2627" w:type="dxa"/>
            <w:shd w:val="clear" w:color="auto" w:fill="auto"/>
            <w:vAlign w:val="center"/>
            <w:hideMark/>
          </w:tcPr>
          <w:p w14:paraId="6913F09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1839-PLA-EV-2020</w:t>
            </w:r>
          </w:p>
        </w:tc>
        <w:tc>
          <w:tcPr>
            <w:tcW w:w="2508" w:type="dxa"/>
            <w:shd w:val="clear" w:color="auto" w:fill="auto"/>
            <w:vAlign w:val="center"/>
            <w:hideMark/>
          </w:tcPr>
          <w:p w14:paraId="3D00E61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58-PLA-EV-2021 </w:t>
            </w:r>
          </w:p>
        </w:tc>
        <w:tc>
          <w:tcPr>
            <w:tcW w:w="2541" w:type="dxa"/>
            <w:shd w:val="clear" w:color="auto" w:fill="auto"/>
            <w:vAlign w:val="center"/>
            <w:hideMark/>
          </w:tcPr>
          <w:p w14:paraId="668793AF"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XLIV</w:t>
            </w:r>
          </w:p>
        </w:tc>
      </w:tr>
      <w:tr w:rsidR="00406E38" w:rsidRPr="00406E38" w14:paraId="5913A5C8" w14:textId="77777777" w:rsidTr="00306313">
        <w:trPr>
          <w:trHeight w:val="689"/>
          <w:jc w:val="center"/>
        </w:trPr>
        <w:tc>
          <w:tcPr>
            <w:tcW w:w="3119" w:type="dxa"/>
            <w:shd w:val="clear" w:color="auto" w:fill="auto"/>
            <w:vAlign w:val="center"/>
            <w:hideMark/>
          </w:tcPr>
          <w:p w14:paraId="0F108D0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Pensiones Alimentarias de Sarapiquí</w:t>
            </w:r>
          </w:p>
        </w:tc>
        <w:tc>
          <w:tcPr>
            <w:tcW w:w="2627" w:type="dxa"/>
            <w:shd w:val="clear" w:color="auto" w:fill="auto"/>
            <w:vAlign w:val="center"/>
            <w:hideMark/>
          </w:tcPr>
          <w:p w14:paraId="08FEBFC7"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1756-PLA-MI-2020</w:t>
            </w:r>
          </w:p>
        </w:tc>
        <w:tc>
          <w:tcPr>
            <w:tcW w:w="2508" w:type="dxa"/>
            <w:shd w:val="clear" w:color="auto" w:fill="auto"/>
            <w:vAlign w:val="center"/>
            <w:hideMark/>
          </w:tcPr>
          <w:p w14:paraId="300FE94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63-PLA-EV-2021</w:t>
            </w:r>
          </w:p>
        </w:tc>
        <w:tc>
          <w:tcPr>
            <w:tcW w:w="2541" w:type="dxa"/>
            <w:shd w:val="clear" w:color="auto" w:fill="auto"/>
            <w:vAlign w:val="center"/>
            <w:hideMark/>
          </w:tcPr>
          <w:p w14:paraId="6D75BE5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LVI</w:t>
            </w:r>
          </w:p>
        </w:tc>
      </w:tr>
      <w:tr w:rsidR="00406E38" w:rsidRPr="00406E38" w14:paraId="3100CB07" w14:textId="77777777" w:rsidTr="00306313">
        <w:trPr>
          <w:trHeight w:val="555"/>
          <w:jc w:val="center"/>
        </w:trPr>
        <w:tc>
          <w:tcPr>
            <w:tcW w:w="3119" w:type="dxa"/>
            <w:shd w:val="clear" w:color="auto" w:fill="auto"/>
            <w:vAlign w:val="center"/>
            <w:hideMark/>
          </w:tcPr>
          <w:p w14:paraId="61CBE0D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Cañas</w:t>
            </w:r>
          </w:p>
        </w:tc>
        <w:tc>
          <w:tcPr>
            <w:tcW w:w="2627" w:type="dxa"/>
            <w:shd w:val="clear" w:color="auto" w:fill="auto"/>
            <w:vAlign w:val="center"/>
            <w:hideMark/>
          </w:tcPr>
          <w:p w14:paraId="657E7E1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1806-PLA-EV-2020</w:t>
            </w:r>
          </w:p>
        </w:tc>
        <w:tc>
          <w:tcPr>
            <w:tcW w:w="2508" w:type="dxa"/>
            <w:shd w:val="clear" w:color="auto" w:fill="auto"/>
            <w:vAlign w:val="center"/>
            <w:hideMark/>
          </w:tcPr>
          <w:p w14:paraId="40B8F3B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70-PLA-EV-2021</w:t>
            </w:r>
          </w:p>
        </w:tc>
        <w:tc>
          <w:tcPr>
            <w:tcW w:w="2541" w:type="dxa"/>
            <w:shd w:val="clear" w:color="auto" w:fill="auto"/>
            <w:vAlign w:val="center"/>
            <w:hideMark/>
          </w:tcPr>
          <w:p w14:paraId="126B1491"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XLIII</w:t>
            </w:r>
          </w:p>
        </w:tc>
      </w:tr>
      <w:tr w:rsidR="00406E38" w:rsidRPr="00406E38" w14:paraId="1FF64C0D" w14:textId="77777777" w:rsidTr="00306313">
        <w:trPr>
          <w:trHeight w:val="432"/>
          <w:jc w:val="center"/>
        </w:trPr>
        <w:tc>
          <w:tcPr>
            <w:tcW w:w="3119" w:type="dxa"/>
            <w:shd w:val="clear" w:color="auto" w:fill="auto"/>
            <w:vAlign w:val="center"/>
            <w:hideMark/>
          </w:tcPr>
          <w:p w14:paraId="0679A8E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La Unión (PISAV)</w:t>
            </w:r>
          </w:p>
        </w:tc>
        <w:tc>
          <w:tcPr>
            <w:tcW w:w="2627" w:type="dxa"/>
            <w:shd w:val="clear" w:color="auto" w:fill="auto"/>
            <w:vAlign w:val="center"/>
            <w:hideMark/>
          </w:tcPr>
          <w:p w14:paraId="04518C3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1741-PLA-EV-2020</w:t>
            </w:r>
          </w:p>
        </w:tc>
        <w:tc>
          <w:tcPr>
            <w:tcW w:w="2508" w:type="dxa"/>
            <w:shd w:val="clear" w:color="auto" w:fill="auto"/>
            <w:vAlign w:val="center"/>
            <w:hideMark/>
          </w:tcPr>
          <w:p w14:paraId="477C31AE" w14:textId="3CAC4F8B" w:rsidR="00406E38" w:rsidRPr="00406E38" w:rsidRDefault="00174DEB" w:rsidP="00406E38">
            <w:pPr>
              <w:spacing w:after="0" w:line="240" w:lineRule="auto"/>
              <w:jc w:val="center"/>
              <w:rPr>
                <w:rFonts w:ascii="Book Antiqua" w:eastAsia="Times New Roman" w:hAnsi="Book Antiqua" w:cs="Arial"/>
                <w:color w:val="000000"/>
                <w:lang w:eastAsia="es-CR"/>
              </w:rPr>
            </w:pPr>
            <w:r w:rsidRPr="00174DEB">
              <w:rPr>
                <w:rFonts w:ascii="Book Antiqua" w:eastAsia="Times New Roman" w:hAnsi="Book Antiqua" w:cs="Arial"/>
                <w:color w:val="000000"/>
                <w:lang w:eastAsia="es-CR"/>
              </w:rPr>
              <w:t>546-PLA-EV-2021</w:t>
            </w:r>
          </w:p>
        </w:tc>
        <w:tc>
          <w:tcPr>
            <w:tcW w:w="2541" w:type="dxa"/>
            <w:shd w:val="clear" w:color="auto" w:fill="auto"/>
            <w:vAlign w:val="center"/>
            <w:hideMark/>
          </w:tcPr>
          <w:p w14:paraId="028AC00C" w14:textId="3B27192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174DEB" w:rsidRPr="00174DEB">
              <w:rPr>
                <w:rFonts w:ascii="Book Antiqua" w:eastAsia="Times New Roman" w:hAnsi="Book Antiqua" w:cs="Arial"/>
                <w:color w:val="000000"/>
                <w:lang w:eastAsia="es-CR"/>
              </w:rPr>
              <w:t>S</w:t>
            </w:r>
            <w:r w:rsidR="00174DEB">
              <w:rPr>
                <w:rFonts w:ascii="Book Antiqua" w:eastAsia="Times New Roman" w:hAnsi="Book Antiqua" w:cs="Arial"/>
                <w:color w:val="000000"/>
                <w:lang w:eastAsia="es-CR"/>
              </w:rPr>
              <w:t>esión</w:t>
            </w:r>
            <w:r w:rsidR="00174DEB" w:rsidRPr="00174DEB">
              <w:rPr>
                <w:rFonts w:ascii="Book Antiqua" w:eastAsia="Times New Roman" w:hAnsi="Book Antiqua" w:cs="Arial"/>
                <w:color w:val="000000"/>
                <w:lang w:eastAsia="es-CR"/>
              </w:rPr>
              <w:t xml:space="preserve"> 43-</w:t>
            </w:r>
            <w:r w:rsidR="00174DEB">
              <w:rPr>
                <w:rFonts w:ascii="Book Antiqua" w:eastAsia="Times New Roman" w:hAnsi="Book Antiqua" w:cs="Arial"/>
                <w:color w:val="000000"/>
                <w:lang w:eastAsia="es-CR"/>
              </w:rPr>
              <w:t>20</w:t>
            </w:r>
            <w:r w:rsidR="00174DEB" w:rsidRPr="00174DEB">
              <w:rPr>
                <w:rFonts w:ascii="Book Antiqua" w:eastAsia="Times New Roman" w:hAnsi="Book Antiqua" w:cs="Arial"/>
                <w:color w:val="000000"/>
                <w:lang w:eastAsia="es-CR"/>
              </w:rPr>
              <w:t>21</w:t>
            </w:r>
            <w:r w:rsidR="00174DEB">
              <w:rPr>
                <w:rFonts w:ascii="Book Antiqua" w:eastAsia="Times New Roman" w:hAnsi="Book Antiqua" w:cs="Arial"/>
                <w:color w:val="000000"/>
                <w:lang w:eastAsia="es-CR"/>
              </w:rPr>
              <w:t xml:space="preserve"> del </w:t>
            </w:r>
            <w:r w:rsidR="00174DEB" w:rsidRPr="00174DEB">
              <w:rPr>
                <w:rFonts w:ascii="Book Antiqua" w:eastAsia="Times New Roman" w:hAnsi="Book Antiqua" w:cs="Arial"/>
                <w:color w:val="000000"/>
                <w:lang w:eastAsia="es-CR"/>
              </w:rPr>
              <w:t>25</w:t>
            </w:r>
            <w:r w:rsidR="00174DEB">
              <w:rPr>
                <w:rFonts w:ascii="Book Antiqua" w:eastAsia="Times New Roman" w:hAnsi="Book Antiqua" w:cs="Arial"/>
                <w:color w:val="000000"/>
                <w:lang w:eastAsia="es-CR"/>
              </w:rPr>
              <w:t>-</w:t>
            </w:r>
            <w:r w:rsidR="00174DEB" w:rsidRPr="00174DEB">
              <w:rPr>
                <w:rFonts w:ascii="Book Antiqua" w:eastAsia="Times New Roman" w:hAnsi="Book Antiqua" w:cs="Arial"/>
                <w:color w:val="000000"/>
                <w:lang w:eastAsia="es-CR"/>
              </w:rPr>
              <w:t>05</w:t>
            </w:r>
            <w:r w:rsidR="00174DEB">
              <w:rPr>
                <w:rFonts w:ascii="Book Antiqua" w:eastAsia="Times New Roman" w:hAnsi="Book Antiqua" w:cs="Arial"/>
                <w:color w:val="000000"/>
                <w:lang w:eastAsia="es-CR"/>
              </w:rPr>
              <w:t>-20</w:t>
            </w:r>
            <w:r w:rsidR="00174DEB" w:rsidRPr="00174DEB">
              <w:rPr>
                <w:rFonts w:ascii="Book Antiqua" w:eastAsia="Times New Roman" w:hAnsi="Book Antiqua" w:cs="Arial"/>
                <w:color w:val="000000"/>
                <w:lang w:eastAsia="es-CR"/>
              </w:rPr>
              <w:t>21</w:t>
            </w:r>
            <w:r w:rsidR="00174DEB">
              <w:rPr>
                <w:rFonts w:ascii="Book Antiqua" w:eastAsia="Times New Roman" w:hAnsi="Book Antiqua" w:cs="Arial"/>
                <w:color w:val="000000"/>
                <w:lang w:eastAsia="es-CR"/>
              </w:rPr>
              <w:t>, artículo</w:t>
            </w:r>
            <w:r w:rsidR="00174DEB" w:rsidRPr="00174DEB">
              <w:rPr>
                <w:rFonts w:ascii="Book Antiqua" w:eastAsia="Times New Roman" w:hAnsi="Book Antiqua" w:cs="Arial"/>
                <w:color w:val="000000"/>
                <w:lang w:eastAsia="es-CR"/>
              </w:rPr>
              <w:t xml:space="preserve"> XXXV</w:t>
            </w:r>
          </w:p>
        </w:tc>
      </w:tr>
    </w:tbl>
    <w:p w14:paraId="547DECFD" w14:textId="4E7397F5" w:rsidR="00835544" w:rsidRPr="00406E38" w:rsidRDefault="00406E38" w:rsidP="00406E38">
      <w:pPr>
        <w:spacing w:after="0"/>
        <w:ind w:left="-1021"/>
        <w:rPr>
          <w:rFonts w:ascii="Book Antiqua" w:hAnsi="Book Antiqua"/>
          <w:i/>
          <w:iCs/>
          <w:lang w:val="es-ES"/>
        </w:rPr>
      </w:pPr>
      <w:r w:rsidRPr="006906D4">
        <w:rPr>
          <w:rFonts w:ascii="Book Antiqua" w:hAnsi="Book Antiqua"/>
          <w:b/>
          <w:bCs/>
          <w:i/>
          <w:iCs/>
          <w:lang w:val="es-ES"/>
        </w:rPr>
        <w:t>Fuente:</w:t>
      </w:r>
      <w:r w:rsidRPr="00406E38">
        <w:rPr>
          <w:rFonts w:ascii="Book Antiqua" w:hAnsi="Book Antiqua"/>
          <w:i/>
          <w:iCs/>
          <w:lang w:val="es-ES"/>
        </w:rPr>
        <w:t xml:space="preserve"> Subproceso de Modernización Institucional</w:t>
      </w:r>
      <w:r w:rsidR="003A5A9F">
        <w:rPr>
          <w:rFonts w:ascii="Book Antiqua" w:hAnsi="Book Antiqua"/>
          <w:i/>
          <w:iCs/>
          <w:lang w:val="es-ES"/>
        </w:rPr>
        <w:t>.</w:t>
      </w:r>
    </w:p>
    <w:p w14:paraId="7F8AD929" w14:textId="38DB27AF" w:rsidR="00036F7A" w:rsidRDefault="00036F7A" w:rsidP="00036F7A">
      <w:pPr>
        <w:rPr>
          <w:lang w:val="es-ES"/>
        </w:rPr>
      </w:pPr>
    </w:p>
    <w:p w14:paraId="505D4AFD" w14:textId="116F6143" w:rsidR="008A5896" w:rsidRPr="00B366F3"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B366F3">
        <w:rPr>
          <w:rFonts w:ascii="Book Antiqua" w:eastAsiaTheme="majorEastAsia" w:hAnsi="Book Antiqua" w:cstheme="majorBidi"/>
          <w:b/>
          <w:color w:val="1F3864" w:themeColor="accent1" w:themeShade="80"/>
          <w:sz w:val="24"/>
          <w:lang w:val="es-ES"/>
        </w:rPr>
        <w:t>Coordinación con otras Instancias</w:t>
      </w:r>
    </w:p>
    <w:p w14:paraId="34DDA361" w14:textId="250C35F6" w:rsidR="008A5896" w:rsidRDefault="008A5896" w:rsidP="00036F7A">
      <w:pPr>
        <w:rPr>
          <w:lang w:val="es-ES"/>
        </w:rPr>
      </w:pPr>
    </w:p>
    <w:p w14:paraId="607EDBE2" w14:textId="6E1622CC" w:rsidR="00CA58D9" w:rsidRDefault="00DF7B76" w:rsidP="001D0C10">
      <w:pPr>
        <w:spacing w:line="276" w:lineRule="auto"/>
        <w:jc w:val="both"/>
        <w:rPr>
          <w:rFonts w:ascii="Book Antiqua" w:hAnsi="Book Antiqua"/>
          <w:sz w:val="24"/>
          <w:szCs w:val="24"/>
          <w:lang w:val="es-ES"/>
        </w:rPr>
      </w:pPr>
      <w:r w:rsidRPr="001D0C10">
        <w:rPr>
          <w:rFonts w:ascii="Book Antiqua" w:hAnsi="Book Antiqua"/>
          <w:sz w:val="24"/>
          <w:szCs w:val="24"/>
          <w:lang w:val="es-ES"/>
        </w:rPr>
        <w:t>De parte del Poder Judicial se han realizado esfuerzos para coordinar con la DTI</w:t>
      </w:r>
      <w:r w:rsidR="003A5A9F">
        <w:rPr>
          <w:rFonts w:ascii="Book Antiqua" w:hAnsi="Book Antiqua"/>
          <w:sz w:val="24"/>
          <w:szCs w:val="24"/>
          <w:lang w:val="es-ES"/>
        </w:rPr>
        <w:t>C</w:t>
      </w:r>
      <w:r w:rsidRPr="001D0C10">
        <w:rPr>
          <w:rFonts w:ascii="Book Antiqua" w:hAnsi="Book Antiqua"/>
          <w:sz w:val="24"/>
          <w:szCs w:val="24"/>
          <w:lang w:val="es-ES"/>
        </w:rPr>
        <w:t xml:space="preserve"> </w:t>
      </w:r>
      <w:r>
        <w:rPr>
          <w:rFonts w:ascii="Book Antiqua" w:hAnsi="Book Antiqua"/>
          <w:sz w:val="24"/>
          <w:szCs w:val="24"/>
          <w:lang w:val="es-ES"/>
        </w:rPr>
        <w:t>y el Ministerio de Seguridad Pública, y mejorar el enlace institucional. Incluso se valoró otorgar accesos de GH en línea a las Delegaciones, sin embargo por la falta de recurso</w:t>
      </w:r>
      <w:r w:rsidR="003A5A9F">
        <w:rPr>
          <w:rFonts w:ascii="Book Antiqua" w:hAnsi="Book Antiqua"/>
          <w:sz w:val="24"/>
          <w:szCs w:val="24"/>
          <w:lang w:val="es-ES"/>
        </w:rPr>
        <w:t>s</w:t>
      </w:r>
      <w:r>
        <w:rPr>
          <w:rFonts w:ascii="Book Antiqua" w:hAnsi="Book Antiqua"/>
          <w:sz w:val="24"/>
          <w:szCs w:val="24"/>
          <w:lang w:val="es-ES"/>
        </w:rPr>
        <w:t xml:space="preserve"> tecnológicos en ese Ministerio a la fecha no ha sido </w:t>
      </w:r>
      <w:r w:rsidR="00F95013">
        <w:rPr>
          <w:rFonts w:ascii="Book Antiqua" w:hAnsi="Book Antiqua"/>
          <w:sz w:val="24"/>
          <w:szCs w:val="24"/>
          <w:lang w:val="es-ES"/>
        </w:rPr>
        <w:t>p</w:t>
      </w:r>
      <w:r>
        <w:rPr>
          <w:rFonts w:ascii="Book Antiqua" w:hAnsi="Book Antiqua"/>
          <w:sz w:val="24"/>
          <w:szCs w:val="24"/>
          <w:lang w:val="es-ES"/>
        </w:rPr>
        <w:t xml:space="preserve">osible. </w:t>
      </w:r>
    </w:p>
    <w:p w14:paraId="50BEAFD7" w14:textId="7F7C9B83" w:rsidR="008A5896" w:rsidRPr="00B366F3"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B366F3">
        <w:rPr>
          <w:rFonts w:ascii="Book Antiqua" w:eastAsiaTheme="majorEastAsia" w:hAnsi="Book Antiqua" w:cstheme="majorBidi"/>
          <w:b/>
          <w:color w:val="1F3864" w:themeColor="accent1" w:themeShade="80"/>
          <w:sz w:val="24"/>
          <w:lang w:val="es-ES"/>
        </w:rPr>
        <w:t>Sistemas Informáticos</w:t>
      </w:r>
    </w:p>
    <w:p w14:paraId="43E8B042" w14:textId="77777777" w:rsidR="008A5896" w:rsidRDefault="008A5896" w:rsidP="00036F7A">
      <w:pPr>
        <w:rPr>
          <w:lang w:val="es-ES"/>
        </w:rPr>
      </w:pPr>
    </w:p>
    <w:p w14:paraId="24D438B6" w14:textId="77777777"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En todos los Juzgados competentes en Pensiones Alimentarias están implementados los siguientes sistemas:</w:t>
      </w:r>
    </w:p>
    <w:p w14:paraId="7C906AEA" w14:textId="77777777" w:rsidR="00547E8A" w:rsidRPr="00547E8A" w:rsidRDefault="00547E8A" w:rsidP="00547E8A">
      <w:pPr>
        <w:spacing w:after="0" w:line="276" w:lineRule="auto"/>
        <w:jc w:val="both"/>
        <w:rPr>
          <w:rFonts w:ascii="Book Antiqua" w:eastAsia="Calibri" w:hAnsi="Book Antiqua" w:cs="Arial"/>
          <w:sz w:val="24"/>
          <w:szCs w:val="24"/>
        </w:rPr>
      </w:pPr>
    </w:p>
    <w:p w14:paraId="4B629A2E" w14:textId="33F61C16"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Gestión en Línea</w:t>
      </w:r>
      <w:r w:rsidR="003A5A9F">
        <w:rPr>
          <w:rFonts w:ascii="Book Antiqua" w:eastAsia="Calibri" w:hAnsi="Book Antiqua" w:cs="Arial"/>
          <w:sz w:val="24"/>
          <w:szCs w:val="24"/>
          <w:lang w:eastAsia="es-CR"/>
        </w:rPr>
        <w:t>.</w:t>
      </w:r>
      <w:r w:rsidRPr="00547E8A">
        <w:rPr>
          <w:rFonts w:ascii="Book Antiqua" w:eastAsia="Calibri" w:hAnsi="Book Antiqua" w:cs="Arial"/>
          <w:sz w:val="24"/>
          <w:szCs w:val="24"/>
          <w:lang w:eastAsia="es-CR"/>
        </w:rPr>
        <w:t xml:space="preserve"> </w:t>
      </w:r>
    </w:p>
    <w:p w14:paraId="20C1A444"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3FC7781B" w14:textId="03A04912"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Gestión de Despachos Judiciales</w:t>
      </w:r>
      <w:r w:rsidR="003A5A9F">
        <w:rPr>
          <w:rFonts w:ascii="Book Antiqua" w:eastAsia="Calibri" w:hAnsi="Book Antiqua" w:cs="Arial"/>
          <w:sz w:val="24"/>
          <w:szCs w:val="24"/>
          <w:lang w:eastAsia="es-CR"/>
        </w:rPr>
        <w:t>.</w:t>
      </w:r>
    </w:p>
    <w:p w14:paraId="62576E83" w14:textId="371FD92F"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Itineraciones</w:t>
      </w:r>
      <w:r w:rsidR="003A5A9F">
        <w:rPr>
          <w:rFonts w:ascii="Book Antiqua" w:eastAsia="Calibri" w:hAnsi="Book Antiqua" w:cs="Arial"/>
          <w:sz w:val="24"/>
          <w:szCs w:val="24"/>
          <w:lang w:eastAsia="es-CR"/>
        </w:rPr>
        <w:t>.</w:t>
      </w:r>
    </w:p>
    <w:p w14:paraId="4F37751A" w14:textId="5BDBA8E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Depósitos Judiciales</w:t>
      </w:r>
      <w:r w:rsidR="003A5A9F">
        <w:rPr>
          <w:rFonts w:ascii="Book Antiqua" w:eastAsia="Calibri" w:hAnsi="Book Antiqua" w:cs="Arial"/>
          <w:sz w:val="24"/>
          <w:szCs w:val="24"/>
          <w:lang w:eastAsia="es-CR"/>
        </w:rPr>
        <w:t>.</w:t>
      </w:r>
    </w:p>
    <w:p w14:paraId="1D94344C" w14:textId="14EB950A"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Rol de Peritos</w:t>
      </w:r>
      <w:r w:rsidR="003A5A9F">
        <w:rPr>
          <w:rFonts w:ascii="Book Antiqua" w:eastAsia="Calibri" w:hAnsi="Book Antiqua" w:cs="Arial"/>
          <w:sz w:val="24"/>
          <w:szCs w:val="24"/>
          <w:lang w:eastAsia="es-CR"/>
        </w:rPr>
        <w:t>.</w:t>
      </w:r>
    </w:p>
    <w:p w14:paraId="59A716E2" w14:textId="2CC1626C"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Electrónico de Mandamientos</w:t>
      </w:r>
      <w:r w:rsidR="003A5A9F">
        <w:rPr>
          <w:rFonts w:ascii="Book Antiqua" w:eastAsia="Calibri" w:hAnsi="Book Antiqua" w:cs="Arial"/>
          <w:sz w:val="24"/>
          <w:szCs w:val="24"/>
          <w:lang w:eastAsia="es-CR"/>
        </w:rPr>
        <w:t>.</w:t>
      </w:r>
    </w:p>
    <w:p w14:paraId="7A25BCAE" w14:textId="11E98F25"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Obligados Alimentarios y Penal-PA</w:t>
      </w:r>
      <w:r w:rsidR="003A5A9F">
        <w:rPr>
          <w:rFonts w:ascii="Book Antiqua" w:eastAsia="Calibri" w:hAnsi="Book Antiqua" w:cs="Arial"/>
          <w:sz w:val="24"/>
          <w:szCs w:val="24"/>
          <w:lang w:eastAsia="es-CR"/>
        </w:rPr>
        <w:t>.</w:t>
      </w:r>
    </w:p>
    <w:p w14:paraId="14C46496" w14:textId="482543FA"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Obligados Alimentarios y Penal-ME</w:t>
      </w:r>
      <w:r w:rsidR="003A5A9F">
        <w:rPr>
          <w:rFonts w:ascii="Book Antiqua" w:eastAsia="Calibri" w:hAnsi="Book Antiqua" w:cs="Arial"/>
          <w:sz w:val="24"/>
          <w:szCs w:val="24"/>
          <w:lang w:eastAsia="es-CR"/>
        </w:rPr>
        <w:t>.</w:t>
      </w:r>
      <w:r w:rsidRPr="00547E8A">
        <w:rPr>
          <w:rFonts w:ascii="Book Antiqua" w:eastAsia="Calibri" w:hAnsi="Book Antiqua" w:cs="Arial"/>
          <w:sz w:val="24"/>
          <w:szCs w:val="24"/>
          <w:lang w:eastAsia="es-CR"/>
        </w:rPr>
        <w:t xml:space="preserve"> </w:t>
      </w:r>
    </w:p>
    <w:p w14:paraId="4D538E41" w14:textId="58AD96E0"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Agenda Cronos</w:t>
      </w:r>
      <w:r w:rsidR="003A5A9F">
        <w:rPr>
          <w:rFonts w:ascii="Book Antiqua" w:eastAsia="Calibri" w:hAnsi="Book Antiqua" w:cs="Arial"/>
          <w:sz w:val="24"/>
          <w:szCs w:val="24"/>
          <w:lang w:eastAsia="es-CR"/>
        </w:rPr>
        <w:t>.</w:t>
      </w:r>
    </w:p>
    <w:p w14:paraId="1985438F" w14:textId="1681ED0A"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envíos archivo FTP (edictos)</w:t>
      </w:r>
      <w:r w:rsidR="003A5A9F">
        <w:rPr>
          <w:rFonts w:ascii="Book Antiqua" w:eastAsia="Calibri" w:hAnsi="Book Antiqua" w:cs="Arial"/>
          <w:sz w:val="24"/>
          <w:szCs w:val="24"/>
          <w:lang w:eastAsia="es-CR"/>
        </w:rPr>
        <w:t>.</w:t>
      </w:r>
    </w:p>
    <w:p w14:paraId="287D86AA" w14:textId="77777777" w:rsidR="00547E8A" w:rsidRPr="00547E8A" w:rsidRDefault="00547E8A" w:rsidP="00547E8A">
      <w:pPr>
        <w:spacing w:after="0" w:line="276" w:lineRule="auto"/>
        <w:jc w:val="both"/>
        <w:rPr>
          <w:rFonts w:ascii="Book Antiqua" w:eastAsia="Calibri" w:hAnsi="Book Antiqua" w:cs="Arial"/>
          <w:sz w:val="24"/>
          <w:szCs w:val="24"/>
        </w:rPr>
      </w:pPr>
    </w:p>
    <w:p w14:paraId="72A3E6B2" w14:textId="64991CE3" w:rsidR="00547E8A" w:rsidRDefault="00547E8A" w:rsidP="00547E8A">
      <w:pPr>
        <w:spacing w:after="0" w:line="276" w:lineRule="auto"/>
        <w:jc w:val="both"/>
        <w:rPr>
          <w:rFonts w:ascii="Book Antiqua" w:eastAsia="Calibri" w:hAnsi="Book Antiqua" w:cs="Arial"/>
          <w:b/>
          <w:bCs/>
          <w:i/>
          <w:iCs/>
          <w:sz w:val="24"/>
          <w:szCs w:val="24"/>
        </w:rPr>
      </w:pPr>
      <w:r w:rsidRPr="00547E8A">
        <w:rPr>
          <w:rFonts w:ascii="Book Antiqua" w:eastAsia="Calibri" w:hAnsi="Book Antiqua" w:cs="Arial"/>
          <w:sz w:val="24"/>
          <w:szCs w:val="24"/>
        </w:rPr>
        <w:t>Al finalizar 2020 todos Juzgados que atienden la materia de Pensiones cuentan con los sistemas debidamente implementados por parte de la Dirección de Tecnología de la Información</w:t>
      </w:r>
      <w:r w:rsidR="003A5A9F">
        <w:rPr>
          <w:rFonts w:ascii="Book Antiqua" w:eastAsia="Calibri" w:hAnsi="Book Antiqua" w:cs="Arial"/>
          <w:sz w:val="24"/>
          <w:szCs w:val="24"/>
        </w:rPr>
        <w:t xml:space="preserve"> y Comunicaciones.</w:t>
      </w:r>
      <w:r w:rsidRPr="00547E8A">
        <w:rPr>
          <w:rFonts w:ascii="Book Antiqua" w:eastAsia="Calibri" w:hAnsi="Book Antiqua" w:cs="Arial"/>
          <w:sz w:val="24"/>
          <w:szCs w:val="24"/>
        </w:rPr>
        <w:t xml:space="preserve"> La información se certificó como entregable dentro del Proyecto de implementación del CPF, </w:t>
      </w:r>
      <w:r w:rsidR="003A5A9F">
        <w:rPr>
          <w:rFonts w:ascii="Book Antiqua" w:eastAsia="Calibri" w:hAnsi="Book Antiqua" w:cs="Arial"/>
          <w:sz w:val="24"/>
          <w:szCs w:val="24"/>
        </w:rPr>
        <w:t>(</w:t>
      </w:r>
      <w:r w:rsidRPr="00392DE0">
        <w:rPr>
          <w:rFonts w:ascii="Book Antiqua" w:eastAsia="Calibri" w:hAnsi="Book Antiqua" w:cs="Arial"/>
          <w:b/>
          <w:bCs/>
          <w:i/>
          <w:iCs/>
          <w:sz w:val="24"/>
          <w:szCs w:val="24"/>
        </w:rPr>
        <w:t>anexo 9</w:t>
      </w:r>
      <w:r w:rsidR="003A5A9F">
        <w:rPr>
          <w:rFonts w:ascii="Book Antiqua" w:eastAsia="Calibri" w:hAnsi="Book Antiqua" w:cs="Arial"/>
          <w:b/>
          <w:bCs/>
          <w:i/>
          <w:iCs/>
          <w:sz w:val="24"/>
          <w:szCs w:val="24"/>
        </w:rPr>
        <w:t>)</w:t>
      </w:r>
      <w:r w:rsidRPr="00392DE0">
        <w:rPr>
          <w:rFonts w:ascii="Book Antiqua" w:eastAsia="Calibri" w:hAnsi="Book Antiqua" w:cs="Arial"/>
          <w:b/>
          <w:bCs/>
          <w:i/>
          <w:iCs/>
          <w:sz w:val="24"/>
          <w:szCs w:val="24"/>
        </w:rPr>
        <w:t>.</w:t>
      </w:r>
    </w:p>
    <w:p w14:paraId="60F623DA" w14:textId="77777777" w:rsidR="00EF2097" w:rsidRDefault="00EF2097" w:rsidP="00547E8A">
      <w:pPr>
        <w:spacing w:after="0" w:line="276" w:lineRule="auto"/>
        <w:jc w:val="both"/>
        <w:rPr>
          <w:rFonts w:ascii="Book Antiqua" w:eastAsia="Calibri" w:hAnsi="Book Antiqua" w:cs="Arial"/>
          <w:b/>
          <w:bCs/>
          <w:i/>
          <w:iCs/>
          <w:sz w:val="24"/>
          <w:szCs w:val="24"/>
        </w:rPr>
      </w:pPr>
    </w:p>
    <w:p w14:paraId="7D5F69F7" w14:textId="3B50BF02"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Libros de Control</w:t>
      </w:r>
    </w:p>
    <w:p w14:paraId="7A0F62DD" w14:textId="77777777" w:rsidR="00330700" w:rsidRDefault="00330700" w:rsidP="00547E8A">
      <w:pPr>
        <w:spacing w:after="0" w:line="276" w:lineRule="auto"/>
        <w:jc w:val="both"/>
        <w:rPr>
          <w:rFonts w:ascii="Book Antiqua" w:eastAsia="Calibri" w:hAnsi="Book Antiqua" w:cs="Arial"/>
          <w:sz w:val="24"/>
          <w:szCs w:val="24"/>
        </w:rPr>
      </w:pPr>
    </w:p>
    <w:p w14:paraId="1081B008" w14:textId="047BE3D3" w:rsidR="00547E8A" w:rsidRDefault="00CA58D9" w:rsidP="00547E8A">
      <w:pPr>
        <w:spacing w:after="0" w:line="276" w:lineRule="auto"/>
        <w:jc w:val="both"/>
        <w:rPr>
          <w:rFonts w:ascii="Book Antiqua" w:eastAsia="Calibri" w:hAnsi="Book Antiqua" w:cs="Arial"/>
          <w:sz w:val="24"/>
          <w:szCs w:val="24"/>
        </w:rPr>
      </w:pPr>
      <w:r w:rsidRPr="00CA58D9">
        <w:rPr>
          <w:rFonts w:ascii="Book Antiqua" w:eastAsia="Calibri" w:hAnsi="Book Antiqua" w:cs="Arial"/>
          <w:sz w:val="24"/>
          <w:szCs w:val="24"/>
        </w:rPr>
        <w:t>L</w:t>
      </w:r>
      <w:r w:rsidR="00547E8A" w:rsidRPr="00547E8A">
        <w:rPr>
          <w:rFonts w:ascii="Book Antiqua" w:eastAsia="Calibri" w:hAnsi="Book Antiqua" w:cs="Arial"/>
          <w:sz w:val="24"/>
          <w:szCs w:val="24"/>
        </w:rPr>
        <w:t>os Juzgados de Pensiones Alimentarias deberán llevar como mínimo los siguientes libros de control:</w:t>
      </w:r>
    </w:p>
    <w:p w14:paraId="1FDFB713" w14:textId="77777777" w:rsidR="003647DC" w:rsidRPr="00547E8A" w:rsidRDefault="003647DC" w:rsidP="00547E8A">
      <w:pPr>
        <w:spacing w:after="0" w:line="276" w:lineRule="auto"/>
        <w:jc w:val="both"/>
        <w:rPr>
          <w:rFonts w:ascii="Book Antiqua" w:eastAsia="Calibri" w:hAnsi="Book Antiqua" w:cs="Arial"/>
          <w:sz w:val="24"/>
          <w:szCs w:val="24"/>
        </w:rPr>
      </w:pPr>
    </w:p>
    <w:p w14:paraId="06EC3E4D" w14:textId="12FCAA94"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pase a fallo y utilización módulo de pase a fallo en el Escritorio Virtual</w:t>
      </w:r>
      <w:r w:rsidR="003A5A9F">
        <w:rPr>
          <w:rFonts w:ascii="Book Antiqua" w:eastAsia="Calibri" w:hAnsi="Book Antiqua" w:cs="Arial"/>
          <w:sz w:val="24"/>
          <w:szCs w:val="24"/>
          <w:lang w:eastAsia="es-CR"/>
        </w:rPr>
        <w:t>.</w:t>
      </w:r>
    </w:p>
    <w:p w14:paraId="301EB3F1" w14:textId="0228A8F1"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juramentaciones</w:t>
      </w:r>
      <w:r w:rsidR="003A5A9F">
        <w:rPr>
          <w:rFonts w:ascii="Book Antiqua" w:eastAsia="Calibri" w:hAnsi="Book Antiqua" w:cs="Arial"/>
          <w:sz w:val="24"/>
          <w:szCs w:val="24"/>
          <w:lang w:eastAsia="es-CR"/>
        </w:rPr>
        <w:t>.</w:t>
      </w:r>
    </w:p>
    <w:p w14:paraId="24E9DF39" w14:textId="6CE5C95D"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remisión de recursos al Juzgado de Familia</w:t>
      </w:r>
      <w:r w:rsidR="003A5A9F">
        <w:rPr>
          <w:rFonts w:ascii="Book Antiqua" w:eastAsia="Calibri" w:hAnsi="Book Antiqua" w:cs="Arial"/>
          <w:sz w:val="24"/>
          <w:szCs w:val="24"/>
          <w:lang w:eastAsia="es-CR"/>
        </w:rPr>
        <w:t>.</w:t>
      </w:r>
      <w:r w:rsidRPr="00547E8A">
        <w:rPr>
          <w:rFonts w:ascii="Book Antiqua" w:eastAsia="Calibri" w:hAnsi="Book Antiqua" w:cs="Arial"/>
          <w:sz w:val="24"/>
          <w:szCs w:val="24"/>
          <w:lang w:eastAsia="es-CR"/>
        </w:rPr>
        <w:t xml:space="preserve"> </w:t>
      </w:r>
    </w:p>
    <w:p w14:paraId="086DABF6" w14:textId="27E2B4EA" w:rsidR="00BE57E9" w:rsidRDefault="00BE57E9" w:rsidP="00036F7A">
      <w:pPr>
        <w:rPr>
          <w:lang w:val="es-ES"/>
        </w:rPr>
      </w:pPr>
    </w:p>
    <w:p w14:paraId="0F9741A9" w14:textId="10F8A319" w:rsidR="00547E8A" w:rsidRPr="00547E8A" w:rsidRDefault="00547E8A" w:rsidP="00547E8A">
      <w:pPr>
        <w:spacing w:after="0" w:line="276" w:lineRule="auto"/>
        <w:jc w:val="both"/>
        <w:rPr>
          <w:rFonts w:ascii="Book Antiqua" w:eastAsia="Calibri" w:hAnsi="Book Antiqua" w:cs="Calibri"/>
          <w:sz w:val="24"/>
          <w:szCs w:val="24"/>
          <w:lang w:eastAsia="es-CR"/>
        </w:rPr>
      </w:pPr>
      <w:r w:rsidRPr="00547E8A">
        <w:rPr>
          <w:rFonts w:ascii="Book Antiqua" w:eastAsia="Calibri" w:hAnsi="Book Antiqua" w:cs="Calibri"/>
          <w:sz w:val="24"/>
          <w:szCs w:val="24"/>
          <w:lang w:eastAsia="es-CR"/>
        </w:rPr>
        <w:t xml:space="preserve">De conformidad con la circular 223-2020 </w:t>
      </w:r>
      <w:r w:rsidRPr="00547E8A">
        <w:rPr>
          <w:rFonts w:ascii="Book Antiqua" w:eastAsia="Calibri" w:hAnsi="Book Antiqua" w:cs="Calibri"/>
          <w:i/>
          <w:iCs/>
          <w:sz w:val="24"/>
          <w:szCs w:val="24"/>
          <w:lang w:eastAsia="es-CR"/>
        </w:rPr>
        <w:t>“</w:t>
      </w:r>
      <w:r w:rsidRPr="00547E8A">
        <w:rPr>
          <w:rFonts w:ascii="Book Antiqua" w:eastAsia="Calibri" w:hAnsi="Book Antiqua" w:cs="Times New Roman"/>
          <w:i/>
          <w:iCs/>
          <w:color w:val="201F1E"/>
          <w:sz w:val="24"/>
          <w:szCs w:val="24"/>
          <w:shd w:val="clear" w:color="auto" w:fill="FFFFFF"/>
          <w:lang w:eastAsia="es-CR"/>
        </w:rPr>
        <w:t>Obligación de uso del libro de pase a fallo y de reparto automático de asuntos en materias de Familia y Pensiones Alimentarias</w:t>
      </w:r>
      <w:r w:rsidRPr="00547E8A">
        <w:rPr>
          <w:rFonts w:ascii="Book Antiqua" w:eastAsia="Calibri" w:hAnsi="Book Antiqua" w:cs="Calibri"/>
          <w:i/>
          <w:iCs/>
          <w:sz w:val="24"/>
          <w:szCs w:val="24"/>
          <w:lang w:eastAsia="es-CR"/>
        </w:rPr>
        <w:t xml:space="preserve">” </w:t>
      </w:r>
      <w:r w:rsidRPr="00547E8A">
        <w:rPr>
          <w:rFonts w:ascii="Book Antiqua" w:eastAsia="Calibri" w:hAnsi="Book Antiqua" w:cs="Calibri"/>
          <w:sz w:val="24"/>
          <w:szCs w:val="24"/>
          <w:lang w:eastAsia="es-CR"/>
        </w:rPr>
        <w:t xml:space="preserve">comunicada el 7 de octubre de 2020, todas las oficinas competentes en materia de Familia y Pensiones Alimentarias deben hacer uso del módulo de pase a fallo en Escritorio Virtual. Para ello fueron configuradas por parte de la Dirección de Tecnología de la Información </w:t>
      </w:r>
      <w:r w:rsidR="003A5A9F">
        <w:rPr>
          <w:rFonts w:ascii="Book Antiqua" w:eastAsia="Calibri" w:hAnsi="Book Antiqua" w:cs="Calibri"/>
          <w:sz w:val="24"/>
          <w:szCs w:val="24"/>
          <w:lang w:eastAsia="es-CR"/>
        </w:rPr>
        <w:t xml:space="preserve">y Comunicaciones </w:t>
      </w:r>
      <w:r w:rsidRPr="00547E8A">
        <w:rPr>
          <w:rFonts w:ascii="Book Antiqua" w:eastAsia="Calibri" w:hAnsi="Book Antiqua" w:cs="Calibri"/>
          <w:sz w:val="24"/>
          <w:szCs w:val="24"/>
          <w:lang w:eastAsia="es-CR"/>
        </w:rPr>
        <w:t>las tareas y plazos definidos con el Juez Gestor en la materia y validadas por la Comisión de Familia, Niñez y Adolescencia; y también se brindó la respectiva capacitación a las oficinas en el uso de la herramienta por parte de DTI (oficio 2374-DTI-2020).</w:t>
      </w:r>
    </w:p>
    <w:p w14:paraId="056D8A81" w14:textId="77777777" w:rsidR="00547E8A" w:rsidRPr="00547E8A" w:rsidRDefault="00547E8A" w:rsidP="00547E8A">
      <w:pPr>
        <w:spacing w:after="0" w:line="276" w:lineRule="auto"/>
        <w:jc w:val="both"/>
        <w:rPr>
          <w:rFonts w:ascii="Book Antiqua" w:eastAsia="Calibri" w:hAnsi="Book Antiqua" w:cs="Calibri"/>
          <w:sz w:val="24"/>
          <w:szCs w:val="24"/>
          <w:lang w:eastAsia="es-CR"/>
        </w:rPr>
      </w:pPr>
      <w:r w:rsidRPr="00547E8A">
        <w:rPr>
          <w:rFonts w:ascii="Book Antiqua" w:eastAsia="Calibri" w:hAnsi="Book Antiqua" w:cs="Calibri"/>
          <w:sz w:val="24"/>
          <w:szCs w:val="24"/>
          <w:lang w:eastAsia="es-CR"/>
        </w:rPr>
        <w:t>Adicionalmente, de conformidad con lo acordado por el Consejo Superior en sesión 97-2020 celebrada el 08 de octubre del 2020, artículo LI, las oficinas de Familia y Pensiones a nivel nacional deben llevar tanto el libro de pase a fallo “</w:t>
      </w:r>
      <w:r w:rsidRPr="00547E8A">
        <w:rPr>
          <w:rFonts w:ascii="Book Antiqua" w:eastAsia="Calibri" w:hAnsi="Book Antiqua" w:cs="Calibri"/>
          <w:i/>
          <w:iCs/>
          <w:sz w:val="24"/>
          <w:szCs w:val="24"/>
          <w:lang w:eastAsia="es-CR"/>
        </w:rPr>
        <w:t>Excel</w:t>
      </w:r>
      <w:r w:rsidRPr="00547E8A">
        <w:rPr>
          <w:rFonts w:ascii="Book Antiqua" w:eastAsia="Calibri" w:hAnsi="Book Antiqua" w:cs="Calibri"/>
          <w:sz w:val="24"/>
          <w:szCs w:val="24"/>
          <w:lang w:eastAsia="es-CR"/>
        </w:rPr>
        <w:t xml:space="preserve">” como el registro en el módulo de Escritorio Virtual de forma paralela por al menos 6 meses, así como el correspondiente registro que se obtiene de SIGMA.  </w:t>
      </w:r>
    </w:p>
    <w:p w14:paraId="56673833" w14:textId="77777777" w:rsidR="00547E8A" w:rsidRPr="00547E8A" w:rsidRDefault="00547E8A" w:rsidP="00547E8A">
      <w:pPr>
        <w:spacing w:after="0" w:line="276" w:lineRule="auto"/>
        <w:rPr>
          <w:rFonts w:ascii="Book Antiqua" w:eastAsia="Calibri" w:hAnsi="Book Antiqua" w:cs="Calibri"/>
          <w:i/>
          <w:iCs/>
          <w:sz w:val="24"/>
          <w:szCs w:val="24"/>
          <w:lang w:eastAsia="es-CR"/>
        </w:rPr>
      </w:pPr>
    </w:p>
    <w:p w14:paraId="50E3E55A"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r w:rsidRPr="00547E8A">
        <w:rPr>
          <w:rFonts w:ascii="Book Antiqua" w:eastAsia="Calibri" w:hAnsi="Book Antiqua" w:cs="Arial"/>
          <w:b/>
          <w:i/>
          <w:iCs/>
          <w:sz w:val="24"/>
          <w:szCs w:val="24"/>
          <w:lang w:val="es-419"/>
        </w:rPr>
        <w:t xml:space="preserve">“Se acordó: 1.) </w:t>
      </w:r>
      <w:r w:rsidRPr="00547E8A">
        <w:rPr>
          <w:rFonts w:ascii="Book Antiqua" w:eastAsia="Calibri" w:hAnsi="Book Antiqua" w:cs="Arial"/>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Pr="00547E8A">
        <w:rPr>
          <w:rFonts w:ascii="Book Antiqua" w:eastAsia="Calibri" w:hAnsi="Book Antiqua" w:cs="Arial"/>
          <w:b/>
          <w:i/>
          <w:iCs/>
          <w:sz w:val="24"/>
          <w:szCs w:val="24"/>
          <w:lang w:val="es-419"/>
        </w:rPr>
        <w:t>. 2.)</w:t>
      </w:r>
      <w:r w:rsidRPr="00547E8A">
        <w:rPr>
          <w:rFonts w:ascii="Book Antiqua" w:eastAsia="Calibri" w:hAnsi="Book Antiqua" w:cs="Arial"/>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Pr="00547E8A">
        <w:rPr>
          <w:rFonts w:ascii="Book Antiqua" w:eastAsia="Calibri" w:hAnsi="Book Antiqua" w:cs="Arial"/>
          <w:b/>
          <w:i/>
          <w:iCs/>
          <w:sz w:val="24"/>
          <w:szCs w:val="24"/>
          <w:u w:val="single"/>
          <w:lang w:val="es-419"/>
        </w:rPr>
        <w:t>al diseño y establecimiento formal de la herramienta de “pase a fallo”.</w:t>
      </w:r>
      <w:r w:rsidRPr="00547E8A">
        <w:rPr>
          <w:rFonts w:ascii="Book Antiqua" w:eastAsia="Calibri" w:hAnsi="Book Antiqua" w:cs="Arial"/>
          <w:b/>
          <w:i/>
          <w:iCs/>
          <w:sz w:val="24"/>
          <w:szCs w:val="24"/>
          <w:lang w:val="es-419"/>
        </w:rPr>
        <w:t xml:space="preserve"> 3.) </w:t>
      </w:r>
      <w:r w:rsidRPr="00547E8A">
        <w:rPr>
          <w:rFonts w:ascii="Book Antiqua" w:eastAsia="Calibri" w:hAnsi="Book Antiqua" w:cs="Arial"/>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51E28BF4"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p>
    <w:p w14:paraId="7B1FFCCF"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r w:rsidRPr="00547E8A">
        <w:rPr>
          <w:rFonts w:ascii="Book Antiqua" w:eastAsia="Calibri" w:hAnsi="Book Antiqua" w:cs="Arial"/>
          <w:i/>
          <w:iCs/>
          <w:sz w:val="24"/>
          <w:szCs w:val="24"/>
          <w:lang w:val="es-419"/>
        </w:rPr>
        <w:t>La Comisión de la Jurisdicción de Familia y la Dirección de Planificación, tomarán nota para lo que corresponda. Se declara acuerdo firme.”.</w:t>
      </w:r>
    </w:p>
    <w:p w14:paraId="582B747F" w14:textId="77777777" w:rsidR="008879F8" w:rsidRDefault="00547E8A" w:rsidP="00547E8A">
      <w:pPr>
        <w:spacing w:after="0" w:line="276" w:lineRule="auto"/>
        <w:jc w:val="both"/>
        <w:rPr>
          <w:rFonts w:ascii="Book Antiqua" w:eastAsia="Calibri" w:hAnsi="Book Antiqua" w:cs="Arial"/>
          <w:lang w:val="es-419"/>
        </w:rPr>
      </w:pPr>
      <w:r w:rsidRPr="00547E8A">
        <w:rPr>
          <w:rFonts w:ascii="Book Antiqua" w:eastAsia="Calibri" w:hAnsi="Book Antiqua" w:cs="Arial"/>
          <w:lang w:val="es-419"/>
        </w:rPr>
        <w:t xml:space="preserve"> </w:t>
      </w:r>
    </w:p>
    <w:p w14:paraId="4DFE653D" w14:textId="018FD78F"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Respecto a</w:t>
      </w:r>
      <w:r>
        <w:rPr>
          <w:rFonts w:ascii="Book Antiqua" w:eastAsia="Calibri" w:hAnsi="Book Antiqua" w:cs="Arial"/>
          <w:sz w:val="24"/>
          <w:szCs w:val="24"/>
        </w:rPr>
        <w:t>l</w:t>
      </w:r>
      <w:r w:rsidRPr="00547E8A">
        <w:rPr>
          <w:rFonts w:ascii="Book Antiqua" w:eastAsia="Calibri" w:hAnsi="Book Antiqua" w:cs="Arial"/>
          <w:sz w:val="24"/>
          <w:szCs w:val="24"/>
        </w:rPr>
        <w:t xml:space="preserve"> reporte en SIGMA del módulo de pase a fallo</w:t>
      </w:r>
      <w:r w:rsidR="003A5A9F">
        <w:rPr>
          <w:rFonts w:ascii="Book Antiqua" w:eastAsia="Calibri" w:hAnsi="Book Antiqua" w:cs="Arial"/>
          <w:sz w:val="24"/>
          <w:szCs w:val="24"/>
        </w:rPr>
        <w:t>,</w:t>
      </w:r>
      <w:r w:rsidRPr="00547E8A">
        <w:rPr>
          <w:rFonts w:ascii="Book Antiqua" w:eastAsia="Calibri" w:hAnsi="Book Antiqua" w:cs="Arial"/>
          <w:sz w:val="24"/>
          <w:szCs w:val="24"/>
        </w:rPr>
        <w:t xml:space="preserve"> se emiti</w:t>
      </w:r>
      <w:r w:rsidR="003A5A9F">
        <w:rPr>
          <w:rFonts w:ascii="Book Antiqua" w:eastAsia="Calibri" w:hAnsi="Book Antiqua" w:cs="Arial"/>
          <w:sz w:val="24"/>
          <w:szCs w:val="24"/>
        </w:rPr>
        <w:t>eron</w:t>
      </w:r>
      <w:r w:rsidRPr="00547E8A">
        <w:rPr>
          <w:rFonts w:ascii="Book Antiqua" w:eastAsia="Calibri" w:hAnsi="Book Antiqua" w:cs="Arial"/>
          <w:sz w:val="24"/>
          <w:szCs w:val="24"/>
        </w:rPr>
        <w:t xml:space="preserve"> también la</w:t>
      </w:r>
      <w:r w:rsidR="003A5A9F">
        <w:rPr>
          <w:rFonts w:ascii="Book Antiqua" w:eastAsia="Calibri" w:hAnsi="Book Antiqua" w:cs="Arial"/>
          <w:sz w:val="24"/>
          <w:szCs w:val="24"/>
        </w:rPr>
        <w:t>s</w:t>
      </w:r>
      <w:r w:rsidRPr="00547E8A">
        <w:rPr>
          <w:rFonts w:ascii="Book Antiqua" w:eastAsia="Calibri" w:hAnsi="Book Antiqua" w:cs="Arial"/>
          <w:sz w:val="24"/>
          <w:szCs w:val="24"/>
        </w:rPr>
        <w:t xml:space="preserve"> circular</w:t>
      </w:r>
      <w:r w:rsidR="003A5A9F">
        <w:rPr>
          <w:rFonts w:ascii="Book Antiqua" w:eastAsia="Calibri" w:hAnsi="Book Antiqua" w:cs="Arial"/>
          <w:sz w:val="24"/>
          <w:szCs w:val="24"/>
        </w:rPr>
        <w:t>es</w:t>
      </w:r>
      <w:r w:rsidRPr="00547E8A">
        <w:rPr>
          <w:rFonts w:ascii="Book Antiqua" w:eastAsia="Calibri" w:hAnsi="Book Antiqua" w:cs="Arial"/>
          <w:sz w:val="24"/>
          <w:szCs w:val="24"/>
        </w:rPr>
        <w:t xml:space="preserve"> externa</w:t>
      </w:r>
      <w:r w:rsidR="003A5A9F">
        <w:rPr>
          <w:rFonts w:ascii="Book Antiqua" w:eastAsia="Calibri" w:hAnsi="Book Antiqua" w:cs="Arial"/>
          <w:sz w:val="24"/>
          <w:szCs w:val="24"/>
        </w:rPr>
        <w:t>s</w:t>
      </w:r>
      <w:r w:rsidRPr="00547E8A">
        <w:rPr>
          <w:rFonts w:ascii="Book Antiqua" w:eastAsia="Calibri" w:hAnsi="Book Antiqua" w:cs="Arial"/>
          <w:sz w:val="24"/>
          <w:szCs w:val="24"/>
        </w:rPr>
        <w:t xml:space="preserve"> 4-2021</w:t>
      </w:r>
      <w:r w:rsidR="00DF7B76">
        <w:rPr>
          <w:rFonts w:ascii="Book Antiqua" w:eastAsia="Calibri" w:hAnsi="Book Antiqua" w:cs="Arial"/>
          <w:sz w:val="24"/>
          <w:szCs w:val="24"/>
        </w:rPr>
        <w:t xml:space="preserve"> y 7-2021</w:t>
      </w:r>
      <w:r w:rsidRPr="00547E8A">
        <w:rPr>
          <w:rFonts w:ascii="Book Antiqua" w:eastAsia="Calibri" w:hAnsi="Book Antiqua" w:cs="Arial"/>
          <w:sz w:val="24"/>
          <w:szCs w:val="24"/>
        </w:rPr>
        <w:t xml:space="preserve"> </w:t>
      </w:r>
      <w:r w:rsidR="003A5A9F">
        <w:rPr>
          <w:rFonts w:ascii="Book Antiqua" w:eastAsia="Calibri" w:hAnsi="Book Antiqua" w:cs="Arial"/>
          <w:sz w:val="24"/>
          <w:szCs w:val="24"/>
        </w:rPr>
        <w:t xml:space="preserve">de la Dirección de Planificación, </w:t>
      </w:r>
      <w:r w:rsidRPr="00547E8A">
        <w:rPr>
          <w:rFonts w:ascii="Book Antiqua" w:eastAsia="Calibri" w:hAnsi="Book Antiqua" w:cs="Arial"/>
          <w:sz w:val="24"/>
          <w:szCs w:val="24"/>
        </w:rPr>
        <w:t>donde se les solicita a las oficinas hacer uso del reporte</w:t>
      </w:r>
      <w:r w:rsidR="003A5A9F">
        <w:rPr>
          <w:rFonts w:ascii="Book Antiqua" w:eastAsia="Calibri" w:hAnsi="Book Antiqua" w:cs="Arial"/>
          <w:sz w:val="24"/>
          <w:szCs w:val="24"/>
        </w:rPr>
        <w:t xml:space="preserve"> y</w:t>
      </w:r>
      <w:r w:rsidRPr="00547E8A">
        <w:rPr>
          <w:rFonts w:ascii="Book Antiqua" w:eastAsia="Calibri" w:hAnsi="Book Antiqua" w:cs="Arial"/>
          <w:sz w:val="24"/>
          <w:szCs w:val="24"/>
        </w:rPr>
        <w:t xml:space="preserve"> certificar al Subproceso de Estadística de la Dirección de Planificación que la información es consistente con el registro en Excel. </w:t>
      </w:r>
    </w:p>
    <w:p w14:paraId="337EB751" w14:textId="77777777"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 xml:space="preserve"> </w:t>
      </w:r>
    </w:p>
    <w:p w14:paraId="1F4B7652" w14:textId="4C9BD73E"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Se aclara que para que la información se visualice correctamente en el reporte en SIGMA</w:t>
      </w:r>
      <w:r>
        <w:rPr>
          <w:rFonts w:ascii="Book Antiqua" w:eastAsia="Calibri" w:hAnsi="Book Antiqua" w:cs="Arial"/>
          <w:sz w:val="24"/>
          <w:szCs w:val="24"/>
        </w:rPr>
        <w:t>,</w:t>
      </w:r>
      <w:r w:rsidRPr="00547E8A">
        <w:rPr>
          <w:rFonts w:ascii="Book Antiqua" w:eastAsia="Calibri" w:hAnsi="Book Antiqua" w:cs="Arial"/>
          <w:sz w:val="24"/>
          <w:szCs w:val="24"/>
        </w:rPr>
        <w:t xml:space="preserve"> debe hacerse el registro adecuado por parte de las oficinas.</w:t>
      </w:r>
    </w:p>
    <w:p w14:paraId="2D06DDBD" w14:textId="77777777" w:rsidR="00547E8A" w:rsidRPr="00547E8A" w:rsidRDefault="00547E8A" w:rsidP="00547E8A">
      <w:pPr>
        <w:spacing w:after="0" w:line="276" w:lineRule="auto"/>
        <w:jc w:val="both"/>
        <w:rPr>
          <w:rFonts w:ascii="Book Antiqua" w:eastAsia="Calibri" w:hAnsi="Book Antiqua" w:cs="Arial"/>
          <w:sz w:val="24"/>
          <w:szCs w:val="24"/>
        </w:rPr>
      </w:pPr>
    </w:p>
    <w:p w14:paraId="7B756D1B" w14:textId="064D305E" w:rsid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De forma adicional se emitió el oficio 45-PLA-MI-2021 con un explicativo para las oficinas sobre el uso de la herramienta</w:t>
      </w:r>
      <w:r w:rsidR="00DF7B76">
        <w:rPr>
          <w:rFonts w:ascii="Book Antiqua" w:eastAsia="Calibri" w:hAnsi="Book Antiqua" w:cs="Arial"/>
          <w:sz w:val="24"/>
          <w:szCs w:val="24"/>
        </w:rPr>
        <w:t xml:space="preserve"> así como </w:t>
      </w:r>
      <w:r w:rsidR="003A5A9F">
        <w:rPr>
          <w:rFonts w:ascii="Book Antiqua" w:eastAsia="Calibri" w:hAnsi="Book Antiqua" w:cs="Arial"/>
          <w:sz w:val="24"/>
          <w:szCs w:val="24"/>
        </w:rPr>
        <w:t>l</w:t>
      </w:r>
      <w:r w:rsidR="00DF7B76">
        <w:rPr>
          <w:rFonts w:ascii="Book Antiqua" w:eastAsia="Calibri" w:hAnsi="Book Antiqua" w:cs="Arial"/>
          <w:sz w:val="24"/>
          <w:szCs w:val="24"/>
        </w:rPr>
        <w:t>a circular 6</w:t>
      </w:r>
      <w:r w:rsidR="00584BE8">
        <w:rPr>
          <w:rFonts w:ascii="Book Antiqua" w:eastAsia="Calibri" w:hAnsi="Book Antiqua" w:cs="Arial"/>
          <w:sz w:val="24"/>
          <w:szCs w:val="24"/>
        </w:rPr>
        <w:t>1</w:t>
      </w:r>
      <w:r w:rsidR="00DF7B76">
        <w:rPr>
          <w:rFonts w:ascii="Book Antiqua" w:eastAsia="Calibri" w:hAnsi="Book Antiqua" w:cs="Arial"/>
          <w:sz w:val="24"/>
          <w:szCs w:val="24"/>
        </w:rPr>
        <w:t>-2021</w:t>
      </w:r>
      <w:r w:rsidR="00584BE8">
        <w:rPr>
          <w:rFonts w:ascii="Book Antiqua" w:eastAsia="Calibri" w:hAnsi="Book Antiqua" w:cs="Arial"/>
          <w:sz w:val="24"/>
          <w:szCs w:val="24"/>
        </w:rPr>
        <w:t>.</w:t>
      </w:r>
    </w:p>
    <w:p w14:paraId="02FEF827" w14:textId="77777777" w:rsidR="00F37FEE" w:rsidRPr="00547E8A" w:rsidRDefault="00F37FEE" w:rsidP="00547E8A">
      <w:pPr>
        <w:spacing w:after="0" w:line="276" w:lineRule="auto"/>
        <w:jc w:val="both"/>
        <w:rPr>
          <w:rFonts w:ascii="Book Antiqua" w:eastAsia="Calibri" w:hAnsi="Book Antiqua" w:cs="Arial"/>
          <w:sz w:val="24"/>
          <w:szCs w:val="24"/>
        </w:rPr>
      </w:pPr>
    </w:p>
    <w:p w14:paraId="53C3B920" w14:textId="5ED02290" w:rsidR="008A5896" w:rsidRPr="00392DE0" w:rsidRDefault="00547E8A" w:rsidP="00654343">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7E8A">
        <w:rPr>
          <w:rFonts w:ascii="Book Antiqua" w:eastAsia="Calibri" w:hAnsi="Book Antiqua" w:cs="Arial"/>
          <w:sz w:val="24"/>
          <w:szCs w:val="24"/>
        </w:rPr>
        <w:t xml:space="preserve">  </w:t>
      </w:r>
      <w:r w:rsidR="00CA58D9" w:rsidRPr="00392DE0">
        <w:rPr>
          <w:rFonts w:ascii="Book Antiqua" w:eastAsiaTheme="majorEastAsia" w:hAnsi="Book Antiqua" w:cstheme="majorBidi"/>
          <w:b/>
          <w:color w:val="1F3864" w:themeColor="accent1" w:themeShade="80"/>
          <w:sz w:val="24"/>
          <w:lang w:val="es-ES"/>
        </w:rPr>
        <w:t>Modelo de Sostenibilidad y Seguimiento de los proyectos de rediseño de oficinas en materia de Pensiones Alimentarias</w:t>
      </w:r>
    </w:p>
    <w:p w14:paraId="7AB12A8F" w14:textId="777C3292" w:rsidR="00BE57E9" w:rsidRDefault="00BE57E9" w:rsidP="00036F7A">
      <w:pPr>
        <w:rPr>
          <w:lang w:val="es-ES"/>
        </w:rPr>
      </w:pPr>
    </w:p>
    <w:p w14:paraId="0C5267D4" w14:textId="420009D6"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establecimiento de cuotas de trabajo a las personas juzgadoras y técnicas judiciales así como la implementación del Modelo de Sostenibilidad y Rediseño de despachos en los despachos de Familia, permitieron que a diciembre 2020, la totalidad de los despachos competentes en materia de Familia en primera instancia, cuenten con el Modelo implementado donde interactúan los </w:t>
      </w:r>
      <w:r w:rsidR="003A5A9F">
        <w:rPr>
          <w:rFonts w:ascii="Book Antiqua" w:eastAsia="Calibri" w:hAnsi="Book Antiqua" w:cs="Arial"/>
          <w:sz w:val="24"/>
          <w:szCs w:val="24"/>
        </w:rPr>
        <w:t>E</w:t>
      </w:r>
      <w:r w:rsidRPr="00A554BE">
        <w:rPr>
          <w:rFonts w:ascii="Book Antiqua" w:eastAsia="Calibri" w:hAnsi="Book Antiqua" w:cs="Arial"/>
          <w:sz w:val="24"/>
          <w:szCs w:val="24"/>
        </w:rPr>
        <w:t xml:space="preserve">quipos de </w:t>
      </w:r>
      <w:r w:rsidR="003A5A9F">
        <w:rPr>
          <w:rFonts w:ascii="Book Antiqua" w:eastAsia="Calibri" w:hAnsi="Book Antiqua" w:cs="Arial"/>
          <w:sz w:val="24"/>
          <w:szCs w:val="24"/>
        </w:rPr>
        <w:t>M</w:t>
      </w:r>
      <w:r w:rsidRPr="00A554BE">
        <w:rPr>
          <w:rFonts w:ascii="Book Antiqua" w:eastAsia="Calibri" w:hAnsi="Book Antiqua" w:cs="Arial"/>
          <w:sz w:val="24"/>
          <w:szCs w:val="24"/>
        </w:rPr>
        <w:t>ejora de los despachos, la Administración Regional, el Consejo de Administración, la Dirección de Planificación y el Centro de Apoyo, Coordinación y Mejoramiento de la Función Jurisdiccional.</w:t>
      </w:r>
    </w:p>
    <w:p w14:paraId="6E4E3C08"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14:paraId="4A61EFAC" w14:textId="77777777" w:rsidR="00A554BE" w:rsidRPr="00A554BE" w:rsidRDefault="00A554BE" w:rsidP="00A554BE">
      <w:pPr>
        <w:spacing w:after="0" w:line="276" w:lineRule="auto"/>
        <w:jc w:val="both"/>
        <w:rPr>
          <w:rFonts w:ascii="Book Antiqua" w:eastAsia="Calibri" w:hAnsi="Book Antiqua" w:cs="Arial"/>
          <w:sz w:val="24"/>
          <w:szCs w:val="24"/>
        </w:rPr>
      </w:pPr>
    </w:p>
    <w:p w14:paraId="2A348190"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r w:rsidRPr="00A554BE">
        <w:rPr>
          <w:rFonts w:ascii="Book Antiqua" w:eastAsia="Calibri" w:hAnsi="Book Antiqua" w:cs="Arial"/>
          <w:i/>
          <w:iCs/>
          <w:sz w:val="24"/>
          <w:szCs w:val="24"/>
        </w:rPr>
        <w:t>“5.3.</w:t>
      </w:r>
      <w:r w:rsidRPr="00A554BE">
        <w:rPr>
          <w:rFonts w:ascii="Book Antiqua" w:eastAsia="Calibri" w:hAnsi="Book Antiqua" w:cs="Arial"/>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C02700C"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r w:rsidRPr="00A554BE">
        <w:rPr>
          <w:rFonts w:ascii="Book Antiqua" w:eastAsia="Calibri" w:hAnsi="Book Antiqua" w:cs="Arial"/>
          <w:i/>
          <w:iCs/>
          <w:sz w:val="24"/>
          <w:szCs w:val="24"/>
        </w:rPr>
        <w:t>5.4.</w:t>
      </w:r>
      <w:r w:rsidRPr="00A554BE">
        <w:rPr>
          <w:rFonts w:ascii="Book Antiqua" w:eastAsia="Calibri" w:hAnsi="Book Antiqua" w:cs="Arial"/>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649151B3" w14:textId="77777777" w:rsidR="00A554BE" w:rsidRPr="00A554BE" w:rsidRDefault="00A554BE" w:rsidP="00A554BE">
      <w:pPr>
        <w:spacing w:after="0" w:line="276" w:lineRule="auto"/>
        <w:jc w:val="both"/>
        <w:rPr>
          <w:rFonts w:ascii="Book Antiqua" w:eastAsia="Calibri" w:hAnsi="Book Antiqua" w:cs="Arial"/>
          <w:sz w:val="24"/>
          <w:szCs w:val="24"/>
        </w:rPr>
      </w:pPr>
    </w:p>
    <w:p w14:paraId="35F83BF6"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Cada Juzgado cuenta con su equipo de mejora conformado y además cuenta con la matriz de indicadores que se les diseño y para lo cual fueron capacitados por la Dirección de Planificación sobre la forma de completar esa matriz.  </w:t>
      </w:r>
    </w:p>
    <w:p w14:paraId="338D5004" w14:textId="77777777" w:rsidR="00A554BE" w:rsidRPr="00A554BE" w:rsidRDefault="00A554BE" w:rsidP="009B71C9">
      <w:pPr>
        <w:spacing w:line="276" w:lineRule="auto"/>
        <w:jc w:val="both"/>
        <w:rPr>
          <w:rFonts w:ascii="Book Antiqua" w:eastAsia="Calibri" w:hAnsi="Book Antiqua" w:cs="Arial"/>
          <w:sz w:val="24"/>
          <w:szCs w:val="24"/>
        </w:rPr>
      </w:pPr>
      <w:r w:rsidRPr="00A554BE">
        <w:rPr>
          <w:rFonts w:ascii="Book Antiqua" w:eastAsia="Calibri" w:hAnsi="Book Antiqua" w:cs="Arial"/>
          <w:sz w:val="24"/>
          <w:szCs w:val="24"/>
        </w:rPr>
        <w:t>Lo anterior, también como parte de un proceso de retroalimentación en atención de la recomendación 4.7 de informe  DFOE-PG-0098 (2683)-2020, relacionado con el informe DFOE-PG-IF-00002-2020 “</w:t>
      </w:r>
      <w:r w:rsidRPr="00A554BE">
        <w:rPr>
          <w:rFonts w:ascii="Book Antiqua" w:eastAsia="Calibri" w:hAnsi="Book Antiqua" w:cs="Arial"/>
          <w:i/>
          <w:iCs/>
          <w:sz w:val="24"/>
          <w:szCs w:val="24"/>
        </w:rPr>
        <w:t>Informe de Auditoría Operativa sobre</w:t>
      </w:r>
      <w:r>
        <w:rPr>
          <w:rFonts w:ascii="Book Antiqua" w:eastAsia="Calibri" w:hAnsi="Book Antiqua" w:cs="Arial"/>
          <w:i/>
          <w:iCs/>
          <w:sz w:val="24"/>
          <w:szCs w:val="24"/>
        </w:rPr>
        <w:t xml:space="preserve"> </w:t>
      </w:r>
      <w:r w:rsidRPr="00A554BE">
        <w:rPr>
          <w:rFonts w:ascii="Book Antiqua" w:eastAsia="Calibri" w:hAnsi="Book Antiqua" w:cs="Arial"/>
          <w:i/>
          <w:iCs/>
          <w:sz w:val="24"/>
          <w:szCs w:val="24"/>
        </w:rPr>
        <w:t xml:space="preserve">la gestión del Poder Judicial en cuanto a la oportunidad de la prestación del servicio público de administración de la justicia de los juzgados de Familia y de Pensiones alimentarias” </w:t>
      </w:r>
      <w:r w:rsidRPr="00A554BE">
        <w:rPr>
          <w:rFonts w:ascii="Book Antiqua" w:eastAsia="Calibri" w:hAnsi="Book Antiqua" w:cs="Arial"/>
          <w:sz w:val="24"/>
          <w:szCs w:val="24"/>
        </w:rPr>
        <w:t>y donde el Consejo Superior aprueba el oficio 2058-PLA-EV-2020 en sesión 2-2021 celebrada el 07 de enero del 2021, artículo XXXIX y dispuso:</w:t>
      </w:r>
    </w:p>
    <w:p w14:paraId="4F437175"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p>
    <w:p w14:paraId="696484B2" w14:textId="5F718C89" w:rsidR="00A554BE" w:rsidRPr="00A554BE" w:rsidRDefault="00A554BE" w:rsidP="00A554BE">
      <w:pPr>
        <w:spacing w:after="0" w:line="276" w:lineRule="auto"/>
        <w:ind w:left="567" w:right="616"/>
        <w:jc w:val="both"/>
        <w:rPr>
          <w:rFonts w:ascii="Book Antiqua" w:eastAsia="Calibri" w:hAnsi="Book Antiqua" w:cs="Times New Roman"/>
          <w:i/>
          <w:iCs/>
          <w:sz w:val="24"/>
          <w:szCs w:val="24"/>
          <w:lang w:eastAsia="es-CR"/>
        </w:rPr>
      </w:pPr>
      <w:r w:rsidRPr="00A554BE">
        <w:rPr>
          <w:rFonts w:ascii="Book Antiqua" w:eastAsia="Calibri" w:hAnsi="Book Antiqua" w:cs="Calibri"/>
          <w:i/>
          <w:iCs/>
          <w:sz w:val="24"/>
          <w:szCs w:val="24"/>
          <w:lang w:eastAsia="es-CR"/>
        </w:rPr>
        <w:t>“</w:t>
      </w:r>
      <w:r w:rsidRPr="00A554BE">
        <w:rPr>
          <w:rFonts w:ascii="Book Antiqua" w:eastAsia="Calibri" w:hAnsi="Book Antiqua" w:cs="Times New Roman"/>
          <w:b/>
          <w:bCs/>
          <w:i/>
          <w:iCs/>
          <w:sz w:val="24"/>
          <w:szCs w:val="24"/>
          <w:lang w:eastAsia="es-CR"/>
        </w:rPr>
        <w:t xml:space="preserve">Se acordó: 1.) </w:t>
      </w:r>
      <w:r w:rsidRPr="00A554BE">
        <w:rPr>
          <w:rFonts w:ascii="Book Antiqua" w:eastAsia="Calibri" w:hAnsi="Book Antiqua" w:cs="Times New Roman"/>
          <w:i/>
          <w:iCs/>
          <w:sz w:val="24"/>
          <w:szCs w:val="24"/>
          <w:lang w:eastAsia="es-CR"/>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A554BE">
        <w:rPr>
          <w:rFonts w:ascii="Book Antiqua" w:eastAsia="Calibri" w:hAnsi="Book Antiqua" w:cs="Times New Roman"/>
          <w:b/>
          <w:bCs/>
          <w:i/>
          <w:iCs/>
          <w:sz w:val="24"/>
          <w:szCs w:val="24"/>
          <w:lang w:eastAsia="es-CR"/>
        </w:rPr>
        <w:t xml:space="preserve">2.) </w:t>
      </w:r>
      <w:r w:rsidRPr="00A554BE">
        <w:rPr>
          <w:rFonts w:ascii="Book Antiqua" w:eastAsia="Calibri" w:hAnsi="Book Antiqua" w:cs="Times New Roman"/>
          <w:i/>
          <w:iCs/>
          <w:sz w:val="24"/>
          <w:szCs w:val="24"/>
          <w:lang w:eastAsia="es-CR"/>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A554BE">
        <w:rPr>
          <w:rFonts w:ascii="Book Antiqua" w:eastAsia="Calibri" w:hAnsi="Book Antiqua" w:cs="Times New Roman"/>
          <w:b/>
          <w:bCs/>
          <w:i/>
          <w:iCs/>
          <w:sz w:val="24"/>
          <w:szCs w:val="24"/>
          <w:lang w:eastAsia="es-CR"/>
        </w:rPr>
        <w:t>3.)</w:t>
      </w:r>
      <w:r w:rsidRPr="00A554BE">
        <w:rPr>
          <w:rFonts w:ascii="Book Antiqua" w:eastAsia="Calibri" w:hAnsi="Book Antiqua" w:cs="Times New Roman"/>
          <w:i/>
          <w:iCs/>
          <w:sz w:val="24"/>
          <w:szCs w:val="24"/>
          <w:lang w:eastAsia="es-CR"/>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A554BE">
        <w:rPr>
          <w:rFonts w:ascii="Book Antiqua" w:eastAsia="Calibri" w:hAnsi="Book Antiqua" w:cs="Times New Roman"/>
          <w:b/>
          <w:bCs/>
          <w:i/>
          <w:iCs/>
          <w:sz w:val="24"/>
          <w:szCs w:val="24"/>
          <w:lang w:eastAsia="es-CR"/>
        </w:rPr>
        <w:t xml:space="preserve">4.) </w:t>
      </w:r>
      <w:r w:rsidRPr="00A554BE">
        <w:rPr>
          <w:rFonts w:ascii="Book Antiqua" w:eastAsia="Calibri" w:hAnsi="Book Antiqua" w:cs="Times New Roman"/>
          <w:i/>
          <w:iCs/>
          <w:sz w:val="24"/>
          <w:szCs w:val="24"/>
          <w:lang w:eastAsia="es-CR"/>
        </w:rPr>
        <w:t>Comisionar a la Secretaría General de la Corte para que tramite la remisión del contenido completo del informe N° 2058-PLA-EV-2020 de</w:t>
      </w:r>
      <w:r w:rsidR="00FB7CBF">
        <w:rPr>
          <w:rFonts w:ascii="Book Antiqua" w:eastAsia="Calibri" w:hAnsi="Book Antiqua" w:cs="Times New Roman"/>
          <w:i/>
          <w:iCs/>
          <w:sz w:val="24"/>
          <w:szCs w:val="24"/>
          <w:lang w:eastAsia="es-CR"/>
        </w:rPr>
        <w:t xml:space="preserve"> </w:t>
      </w:r>
      <w:r w:rsidR="00F864FD">
        <w:rPr>
          <w:rFonts w:ascii="Book Antiqua" w:eastAsia="Calibri" w:hAnsi="Book Antiqua" w:cs="Times New Roman"/>
          <w:i/>
          <w:iCs/>
          <w:sz w:val="24"/>
          <w:szCs w:val="24"/>
          <w:lang w:eastAsia="es-CR"/>
        </w:rPr>
        <w:t xml:space="preserve">18 de diciembre </w:t>
      </w:r>
      <w:r w:rsidRPr="00A554BE">
        <w:rPr>
          <w:rFonts w:ascii="Book Antiqua" w:eastAsia="Calibri" w:hAnsi="Book Antiqua" w:cs="Times New Roman"/>
          <w:i/>
          <w:iCs/>
          <w:sz w:val="24"/>
          <w:szCs w:val="24"/>
          <w:lang w:eastAsia="es-CR"/>
        </w:rPr>
        <w:t>de 2020, a la Contraloría General de la República.</w:t>
      </w:r>
    </w:p>
    <w:p w14:paraId="4AEFD3CE" w14:textId="1686312F" w:rsidR="00A554BE" w:rsidRPr="00A554BE" w:rsidRDefault="00A554BE" w:rsidP="003A5A9F">
      <w:pPr>
        <w:spacing w:after="0" w:line="276" w:lineRule="auto"/>
        <w:ind w:left="567" w:right="616"/>
        <w:rPr>
          <w:rFonts w:ascii="Book Antiqua" w:eastAsia="Calibri" w:hAnsi="Book Antiqua" w:cs="Times New Roman"/>
          <w:i/>
          <w:iCs/>
          <w:sz w:val="24"/>
          <w:szCs w:val="24"/>
          <w:lang w:eastAsia="es-CR"/>
        </w:rPr>
      </w:pPr>
      <w:r w:rsidRPr="00A554BE">
        <w:rPr>
          <w:rFonts w:ascii="Book Antiqua" w:eastAsia="Calibri" w:hAnsi="Book Antiqua" w:cs="Times New Roman"/>
          <w:i/>
          <w:iCs/>
          <w:sz w:val="24"/>
          <w:szCs w:val="24"/>
          <w:lang w:val="es-ES" w:eastAsia="es-CR"/>
        </w:rPr>
        <w:t> </w:t>
      </w:r>
      <w:r w:rsidRPr="00A554BE">
        <w:rPr>
          <w:rFonts w:ascii="Book Antiqua" w:eastAsia="Calibri" w:hAnsi="Book Antiqua" w:cs="Times New Roman"/>
          <w:i/>
          <w:iCs/>
          <w:sz w:val="24"/>
          <w:szCs w:val="24"/>
          <w:lang w:eastAsia="es-CR"/>
        </w:rPr>
        <w:t xml:space="preserve">La Dirección de Planificación tomará nota para los fines consiguientes. </w:t>
      </w:r>
      <w:r w:rsidRPr="00A554BE">
        <w:rPr>
          <w:rFonts w:ascii="Book Antiqua" w:eastAsia="Calibri" w:hAnsi="Book Antiqua" w:cs="Times New Roman"/>
          <w:b/>
          <w:bCs/>
          <w:i/>
          <w:iCs/>
          <w:sz w:val="24"/>
          <w:szCs w:val="24"/>
          <w:lang w:eastAsia="es-CR"/>
        </w:rPr>
        <w:t>Se declara acuerdo firme.</w:t>
      </w:r>
      <w:r w:rsidRPr="00A554BE">
        <w:rPr>
          <w:rFonts w:ascii="Book Antiqua" w:eastAsia="Calibri" w:hAnsi="Book Antiqua" w:cs="Times New Roman"/>
          <w:i/>
          <w:iCs/>
          <w:sz w:val="24"/>
          <w:szCs w:val="24"/>
          <w:lang w:val="es-ES" w:eastAsia="es-CR"/>
        </w:rPr>
        <w:t>”.</w:t>
      </w:r>
    </w:p>
    <w:p w14:paraId="6D9D721B" w14:textId="77777777" w:rsidR="00A554BE" w:rsidRPr="00A554BE" w:rsidRDefault="00A554BE" w:rsidP="00A554BE">
      <w:pPr>
        <w:spacing w:after="0" w:line="276" w:lineRule="auto"/>
        <w:ind w:left="851" w:right="851"/>
        <w:jc w:val="both"/>
        <w:rPr>
          <w:rFonts w:ascii="Times New Roman" w:eastAsia="Calibri" w:hAnsi="Times New Roman" w:cs="Times New Roman"/>
          <w:sz w:val="24"/>
          <w:szCs w:val="24"/>
          <w:lang w:eastAsia="es-CR"/>
        </w:rPr>
      </w:pPr>
      <w:r w:rsidRPr="00A554BE">
        <w:rPr>
          <w:rFonts w:ascii="Times New Roman" w:eastAsia="Calibri" w:hAnsi="Times New Roman" w:cs="Times New Roman"/>
          <w:lang w:val="es-ES" w:eastAsia="es-CR"/>
        </w:rPr>
        <w:t> </w:t>
      </w:r>
    </w:p>
    <w:p w14:paraId="4C2F61B4"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Adicionalmente el Consejo Superior acuerda en sesión 82-2020 celebrada el 20 de agosto del 2020, artículo XLI emitir las circulares 193-2020 </w:t>
      </w:r>
      <w:r w:rsidRPr="00A554BE">
        <w:rPr>
          <w:rFonts w:ascii="Book Antiqua" w:eastAsia="Calibri" w:hAnsi="Book Antiqua" w:cs="Arial"/>
          <w:i/>
          <w:iCs/>
          <w:sz w:val="24"/>
          <w:szCs w:val="24"/>
        </w:rPr>
        <w:t>“Responsabilidades asociadas al Modelo de Sostenibilidad y Seguimientos de los proyectos de rediseño de oficinas”</w:t>
      </w:r>
      <w:r w:rsidRPr="00A554BE">
        <w:rPr>
          <w:rFonts w:ascii="Book Antiqua" w:eastAsia="Calibri" w:hAnsi="Book Antiqua" w:cs="Arial"/>
          <w:sz w:val="24"/>
          <w:szCs w:val="24"/>
        </w:rPr>
        <w:t xml:space="preserve"> y 194-2020 </w:t>
      </w:r>
      <w:r w:rsidRPr="00A554BE">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A554BE">
        <w:rPr>
          <w:rFonts w:ascii="Book Antiqua" w:eastAsia="Calibri" w:hAnsi="Book Antiqua" w:cs="Arial"/>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A554BE">
        <w:rPr>
          <w:rFonts w:ascii="Book Antiqua" w:eastAsia="Calibri"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50C425CF" w14:textId="77777777" w:rsidR="00A554BE" w:rsidRPr="00A554BE" w:rsidRDefault="00A554BE" w:rsidP="00A554BE">
      <w:pPr>
        <w:spacing w:after="0" w:line="276" w:lineRule="auto"/>
        <w:jc w:val="both"/>
        <w:rPr>
          <w:rFonts w:ascii="Book Antiqua" w:eastAsia="Calibri" w:hAnsi="Book Antiqua" w:cs="Arial"/>
          <w:sz w:val="24"/>
          <w:szCs w:val="24"/>
        </w:rPr>
      </w:pPr>
    </w:p>
    <w:p w14:paraId="462A9A5D" w14:textId="77777777" w:rsidR="00A554BE" w:rsidRPr="00330700" w:rsidRDefault="00A554BE"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Indicadores de Gestión en Despachos Rediseñados</w:t>
      </w:r>
    </w:p>
    <w:p w14:paraId="72AD0133" w14:textId="51FCFAB5" w:rsidR="00A554BE" w:rsidRDefault="00A554BE" w:rsidP="00A554BE">
      <w:pPr>
        <w:rPr>
          <w:lang w:val="es-ES"/>
        </w:rPr>
      </w:pPr>
    </w:p>
    <w:p w14:paraId="0068B896"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diseño de la matriz de indicadores de gestión para los despachos competentes en materia de Pensiones Alimentarias se categoriza de la siguiente manera: </w:t>
      </w:r>
    </w:p>
    <w:p w14:paraId="4C7DFCAD" w14:textId="77777777" w:rsidR="00A554BE" w:rsidRPr="00A554BE" w:rsidRDefault="00A554BE" w:rsidP="00A554BE">
      <w:pPr>
        <w:spacing w:after="0" w:line="276" w:lineRule="auto"/>
        <w:jc w:val="both"/>
        <w:rPr>
          <w:rFonts w:ascii="Book Antiqua" w:eastAsia="Calibri" w:hAnsi="Book Antiqua" w:cs="Arial"/>
          <w:sz w:val="24"/>
        </w:rPr>
      </w:pPr>
    </w:p>
    <w:p w14:paraId="67C04FDF" w14:textId="77777777" w:rsidR="00A554BE" w:rsidRPr="00A554BE" w:rsidRDefault="00A554BE" w:rsidP="00A554BE">
      <w:pPr>
        <w:spacing w:after="0" w:line="276" w:lineRule="auto"/>
        <w:jc w:val="both"/>
        <w:rPr>
          <w:rFonts w:ascii="Book Antiqua" w:eastAsia="Calibri" w:hAnsi="Book Antiqua" w:cs="Arial"/>
          <w:sz w:val="24"/>
        </w:rPr>
      </w:pPr>
      <w:r w:rsidRPr="00A554BE">
        <w:rPr>
          <w:rFonts w:ascii="Book Antiqua" w:eastAsia="Calibri" w:hAnsi="Book Antiqua" w:cs="Arial"/>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57C50DB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3DAC921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206DE11D"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3261DE11"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6F91056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2989D282" w14:textId="5DD60560" w:rsid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La matriz fue aprobada por el Consejo Superior en sesión 10, del 4 de febrero, artículo XL, oficio 47-PLA-EV-2021.</w:t>
      </w:r>
    </w:p>
    <w:p w14:paraId="27F6EF06" w14:textId="6A61C306" w:rsidR="00BB0C4F" w:rsidRDefault="00BB0C4F" w:rsidP="00A554B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Por otra parte, de los seguimientos realizados durante el 2021, se detectaron oportunidades de mejora en la matriz </w:t>
      </w:r>
      <w:r w:rsidRPr="00BB0C4F">
        <w:rPr>
          <w:rFonts w:ascii="Book Antiqua" w:eastAsia="Calibri" w:hAnsi="Book Antiqua" w:cs="Arial"/>
          <w:sz w:val="24"/>
          <w:szCs w:val="24"/>
          <w:lang w:eastAsia="es-CR"/>
        </w:rPr>
        <w:t>indicadores de gestión de los despachos de Pensiones Alimentarias</w:t>
      </w:r>
      <w:r>
        <w:rPr>
          <w:rFonts w:ascii="Book Antiqua" w:eastAsia="Calibri" w:hAnsi="Book Antiqua" w:cs="Arial"/>
          <w:sz w:val="24"/>
          <w:szCs w:val="24"/>
          <w:lang w:eastAsia="es-CR"/>
        </w:rPr>
        <w:t>,</w:t>
      </w:r>
      <w:r w:rsidRPr="00BB0C4F">
        <w:rPr>
          <w:rFonts w:ascii="Book Antiqua" w:eastAsia="Calibri" w:hAnsi="Book Antiqua" w:cs="Arial"/>
          <w:sz w:val="24"/>
          <w:szCs w:val="24"/>
          <w:lang w:eastAsia="es-CR"/>
        </w:rPr>
        <w:t xml:space="preserve"> </w:t>
      </w:r>
      <w:r>
        <w:rPr>
          <w:rFonts w:ascii="Book Antiqua" w:eastAsia="Calibri" w:hAnsi="Book Antiqua" w:cs="Arial"/>
          <w:sz w:val="24"/>
          <w:szCs w:val="24"/>
          <w:lang w:eastAsia="es-CR"/>
        </w:rPr>
        <w:t xml:space="preserve">por lo que </w:t>
      </w:r>
      <w:r w:rsidRPr="00BB0C4F">
        <w:rPr>
          <w:rFonts w:ascii="Book Antiqua" w:eastAsia="Calibri" w:hAnsi="Book Antiqua" w:cs="Arial"/>
          <w:sz w:val="24"/>
          <w:szCs w:val="24"/>
          <w:lang w:eastAsia="es-CR"/>
        </w:rPr>
        <w:t xml:space="preserve">se realizaron ajustes a las matrices, lo anterior, de la mano del compromiso con la mejora continua de los servicios que se brindan a nivel institucional, </w:t>
      </w:r>
      <w:r>
        <w:rPr>
          <w:rFonts w:ascii="Book Antiqua" w:eastAsia="Calibri" w:hAnsi="Book Antiqua" w:cs="Arial"/>
          <w:sz w:val="24"/>
          <w:szCs w:val="24"/>
          <w:lang w:eastAsia="es-CR"/>
        </w:rPr>
        <w:t xml:space="preserve">dichas modificaciones se comunicaron a los despachos mediante correo electrónico y se realizó una capacitación en la que se explicó los cambios realizados en la matriz de indicadores de gestión, los cuales se comunicaron al Consejos Superior </w:t>
      </w:r>
      <w:r w:rsidR="006F10C7">
        <w:rPr>
          <w:rFonts w:ascii="Book Antiqua" w:eastAsia="Calibri" w:hAnsi="Book Antiqua" w:cs="Arial"/>
          <w:sz w:val="24"/>
          <w:szCs w:val="24"/>
          <w:lang w:eastAsia="es-CR"/>
        </w:rPr>
        <w:t xml:space="preserve">mediante </w:t>
      </w:r>
      <w:r>
        <w:rPr>
          <w:rFonts w:ascii="Book Antiqua" w:eastAsia="Calibri" w:hAnsi="Book Antiqua" w:cs="Arial"/>
          <w:sz w:val="24"/>
          <w:szCs w:val="24"/>
          <w:lang w:eastAsia="es-CR"/>
        </w:rPr>
        <w:t>el informe</w:t>
      </w:r>
      <w:r w:rsidR="00A46B83">
        <w:rPr>
          <w:rFonts w:ascii="Book Antiqua" w:eastAsia="Calibri" w:hAnsi="Book Antiqua" w:cs="Arial"/>
          <w:sz w:val="24"/>
          <w:szCs w:val="24"/>
          <w:lang w:eastAsia="es-CR"/>
        </w:rPr>
        <w:t xml:space="preserve"> </w:t>
      </w:r>
      <w:bookmarkStart w:id="81" w:name="_Hlk97808575"/>
      <w:r w:rsidR="00A46B83">
        <w:rPr>
          <w:rFonts w:ascii="Book Antiqua" w:eastAsia="Calibri" w:hAnsi="Book Antiqua" w:cs="Arial"/>
          <w:sz w:val="24"/>
          <w:szCs w:val="24"/>
          <w:lang w:eastAsia="es-CR"/>
        </w:rPr>
        <w:t>de cierre de Pensiones Alimentarias 46-PLA-MI-2022</w:t>
      </w:r>
      <w:r w:rsidR="004412A7">
        <w:rPr>
          <w:rFonts w:ascii="Book Antiqua" w:eastAsia="Calibri" w:hAnsi="Book Antiqua" w:cs="Arial"/>
          <w:sz w:val="24"/>
          <w:szCs w:val="24"/>
          <w:lang w:eastAsia="es-CR"/>
        </w:rPr>
        <w:t xml:space="preserve">, aprobado por el Consejo Superior en la sesión </w:t>
      </w:r>
      <w:r w:rsidR="00AE2DCD">
        <w:rPr>
          <w:rFonts w:ascii="Book Antiqua" w:eastAsia="Calibri" w:hAnsi="Book Antiqua" w:cs="Arial"/>
          <w:sz w:val="24"/>
          <w:szCs w:val="24"/>
          <w:lang w:eastAsia="es-CR"/>
        </w:rPr>
        <w:t xml:space="preserve">11-2022 celebrada el </w:t>
      </w:r>
      <w:r w:rsidR="006700A1">
        <w:rPr>
          <w:rFonts w:ascii="Book Antiqua" w:eastAsia="Calibri" w:hAnsi="Book Antiqua" w:cs="Arial"/>
          <w:sz w:val="24"/>
          <w:szCs w:val="24"/>
          <w:lang w:eastAsia="es-CR"/>
        </w:rPr>
        <w:t xml:space="preserve">8 de febrero de 2022, artículo </w:t>
      </w:r>
      <w:r w:rsidR="0029774D">
        <w:rPr>
          <w:rFonts w:ascii="Book Antiqua" w:eastAsia="Calibri" w:hAnsi="Book Antiqua" w:cs="Arial"/>
          <w:sz w:val="24"/>
          <w:szCs w:val="24"/>
          <w:lang w:eastAsia="es-CR"/>
        </w:rPr>
        <w:t>XXXII</w:t>
      </w:r>
      <w:bookmarkEnd w:id="81"/>
      <w:r w:rsidR="00A46B83">
        <w:rPr>
          <w:rFonts w:ascii="Book Antiqua" w:eastAsia="Calibri" w:hAnsi="Book Antiqua" w:cs="Arial"/>
          <w:sz w:val="24"/>
          <w:szCs w:val="24"/>
          <w:lang w:eastAsia="es-CR"/>
        </w:rPr>
        <w:t>.</w:t>
      </w:r>
    </w:p>
    <w:p w14:paraId="4383B8F6" w14:textId="2F5B91E8" w:rsidR="006A5AF4" w:rsidRDefault="006A5AF4" w:rsidP="00A554BE">
      <w:pPr>
        <w:spacing w:after="0" w:line="276" w:lineRule="auto"/>
        <w:contextualSpacing/>
        <w:jc w:val="both"/>
        <w:rPr>
          <w:rFonts w:ascii="Book Antiqua" w:eastAsia="Calibri" w:hAnsi="Book Antiqua" w:cs="Arial"/>
          <w:sz w:val="24"/>
          <w:szCs w:val="24"/>
          <w:lang w:eastAsia="es-CR"/>
        </w:rPr>
      </w:pPr>
    </w:p>
    <w:p w14:paraId="66F93145" w14:textId="00E4028E" w:rsidR="006A5AF4" w:rsidRDefault="006A5AF4" w:rsidP="00A554BE">
      <w:pPr>
        <w:spacing w:after="0" w:line="276" w:lineRule="auto"/>
        <w:contextualSpacing/>
        <w:jc w:val="both"/>
        <w:rPr>
          <w:rFonts w:ascii="Book Antiqua" w:eastAsia="Calibri" w:hAnsi="Book Antiqua" w:cs="Arial"/>
          <w:sz w:val="24"/>
          <w:szCs w:val="24"/>
          <w:lang w:eastAsia="es-CR"/>
        </w:rPr>
      </w:pPr>
    </w:p>
    <w:p w14:paraId="4642B6EF" w14:textId="0870D542" w:rsidR="006A5AF4" w:rsidRDefault="006A5AF4" w:rsidP="00A554BE">
      <w:pPr>
        <w:spacing w:after="0" w:line="276" w:lineRule="auto"/>
        <w:contextualSpacing/>
        <w:jc w:val="both"/>
        <w:rPr>
          <w:rFonts w:ascii="Book Antiqua" w:eastAsia="Calibri" w:hAnsi="Book Antiqua" w:cs="Arial"/>
          <w:sz w:val="24"/>
          <w:szCs w:val="24"/>
          <w:lang w:eastAsia="es-CR"/>
        </w:rPr>
      </w:pPr>
    </w:p>
    <w:p w14:paraId="275D89CA" w14:textId="77777777" w:rsidR="00A554BE" w:rsidRPr="00A554BE" w:rsidRDefault="00A554BE" w:rsidP="00A554BE">
      <w:pPr>
        <w:spacing w:after="0" w:line="276" w:lineRule="auto"/>
        <w:jc w:val="both"/>
        <w:rPr>
          <w:rFonts w:ascii="Book Antiqua" w:eastAsia="Calibri" w:hAnsi="Book Antiqua" w:cs="Arial"/>
          <w:sz w:val="24"/>
          <w:szCs w:val="24"/>
        </w:rPr>
      </w:pPr>
    </w:p>
    <w:p w14:paraId="5BBC2025" w14:textId="0BF7334E" w:rsidR="00692388" w:rsidRPr="00330700" w:rsidRDefault="00692388"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82" w:name="_Hlk97041973"/>
      <w:r w:rsidRPr="00330700">
        <w:rPr>
          <w:rFonts w:ascii="Book Antiqua" w:eastAsiaTheme="majorEastAsia" w:hAnsi="Book Antiqua" w:cstheme="majorBidi"/>
          <w:b/>
          <w:color w:val="1F3864" w:themeColor="accent1" w:themeShade="80"/>
          <w:sz w:val="24"/>
          <w:lang w:val="es-ES"/>
        </w:rPr>
        <w:t xml:space="preserve">Impacto del Código Procesal de Familia en materia de Pensiones Alimentarias </w:t>
      </w:r>
    </w:p>
    <w:bookmarkEnd w:id="82"/>
    <w:p w14:paraId="1E41933B" w14:textId="36591039" w:rsidR="00A554BE" w:rsidRDefault="00A554BE" w:rsidP="00036F7A">
      <w:pPr>
        <w:rPr>
          <w:lang w:val="es-ES"/>
        </w:rPr>
      </w:pPr>
    </w:p>
    <w:p w14:paraId="07929E7B" w14:textId="53626EC7" w:rsidR="00692388" w:rsidRPr="00330700" w:rsidRDefault="00692388"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Análisis de cargas de trabajo actual y proyectada</w:t>
      </w:r>
      <w:r w:rsidR="00A46B83" w:rsidRPr="00330700">
        <w:rPr>
          <w:rFonts w:ascii="Book Antiqua" w:eastAsia="Calibri" w:hAnsi="Book Antiqua" w:cs="Arial"/>
          <w:b/>
          <w:bCs/>
          <w:sz w:val="24"/>
          <w:szCs w:val="24"/>
        </w:rPr>
        <w:t>: considerando la entrada de nuevos + procesos de modificación + apremios.</w:t>
      </w:r>
    </w:p>
    <w:p w14:paraId="72072E88" w14:textId="77777777" w:rsidR="006F10C7" w:rsidRDefault="006F10C7" w:rsidP="00692388">
      <w:pPr>
        <w:spacing w:after="0" w:line="276" w:lineRule="auto"/>
        <w:jc w:val="both"/>
        <w:rPr>
          <w:rFonts w:ascii="Book Antiqua" w:eastAsia="Calibri" w:hAnsi="Book Antiqua" w:cs="Arial"/>
          <w:sz w:val="24"/>
          <w:szCs w:val="24"/>
        </w:rPr>
      </w:pPr>
    </w:p>
    <w:p w14:paraId="07487123" w14:textId="0255D7CF"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Con la finalidad de conocer el estado actual de los juzgados que atienden la materia de Pensiones Alimentarias, se analiza el comportamiento de los 12 despachos especializados que conocen esta materia, según los datos de 2017 a 20</w:t>
      </w:r>
      <w:r w:rsidR="00D13D1F">
        <w:rPr>
          <w:rFonts w:ascii="Book Antiqua" w:eastAsia="Calibri" w:hAnsi="Book Antiqua" w:cs="Arial"/>
          <w:sz w:val="24"/>
          <w:szCs w:val="24"/>
        </w:rPr>
        <w:t>2</w:t>
      </w:r>
      <w:r w:rsidR="00F67BF4">
        <w:rPr>
          <w:rFonts w:ascii="Book Antiqua" w:eastAsia="Calibri" w:hAnsi="Book Antiqua" w:cs="Arial"/>
          <w:sz w:val="24"/>
          <w:szCs w:val="24"/>
        </w:rPr>
        <w:t>2</w:t>
      </w:r>
      <w:r w:rsidRPr="00692388">
        <w:rPr>
          <w:rFonts w:ascii="Book Antiqua" w:eastAsia="Calibri" w:hAnsi="Book Antiqua" w:cs="Arial"/>
          <w:sz w:val="24"/>
          <w:szCs w:val="24"/>
        </w:rPr>
        <w:t>, a fin de establecer los valores promedio mensual de asuntos entrados.</w:t>
      </w:r>
    </w:p>
    <w:p w14:paraId="043A3C13" w14:textId="48E24014" w:rsidR="00A554BE" w:rsidRDefault="00A554BE" w:rsidP="00036F7A">
      <w:pPr>
        <w:rPr>
          <w:lang w:val="es-ES"/>
        </w:rPr>
      </w:pPr>
    </w:p>
    <w:p w14:paraId="334B69E8" w14:textId="1B62E7C7" w:rsidR="00692388" w:rsidRP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t xml:space="preserve">Cuadro </w:t>
      </w:r>
      <w:r w:rsidRPr="00692388">
        <w:rPr>
          <w:rFonts w:ascii="Book Antiqua" w:eastAsia="Calibri" w:hAnsi="Book Antiqua" w:cs="Arial"/>
          <w:b/>
          <w:bCs/>
          <w:color w:val="1F497D"/>
          <w:szCs w:val="24"/>
          <w:lang w:val="es-ES" w:eastAsia="es-ES"/>
        </w:rPr>
        <w:fldChar w:fldCharType="begin"/>
      </w:r>
      <w:r w:rsidRPr="00692388">
        <w:rPr>
          <w:rFonts w:ascii="Book Antiqua" w:eastAsia="Calibri" w:hAnsi="Book Antiqua" w:cs="Arial"/>
          <w:b/>
          <w:bCs/>
          <w:color w:val="1F497D"/>
          <w:szCs w:val="24"/>
          <w:lang w:val="es-ES" w:eastAsia="es-ES"/>
        </w:rPr>
        <w:instrText xml:space="preserve"> SEQ Cuadro \* ARABIC </w:instrText>
      </w:r>
      <w:r w:rsidRPr="00692388">
        <w:rPr>
          <w:rFonts w:ascii="Book Antiqua" w:eastAsia="Calibri" w:hAnsi="Book Antiqua" w:cs="Arial"/>
          <w:b/>
          <w:bCs/>
          <w:color w:val="1F497D"/>
          <w:szCs w:val="24"/>
          <w:lang w:val="es-ES" w:eastAsia="es-ES"/>
        </w:rPr>
        <w:fldChar w:fldCharType="separate"/>
      </w:r>
      <w:r w:rsidR="00950574">
        <w:rPr>
          <w:rFonts w:ascii="Book Antiqua" w:eastAsia="Calibri" w:hAnsi="Book Antiqua" w:cs="Arial"/>
          <w:b/>
          <w:bCs/>
          <w:noProof/>
          <w:color w:val="1F497D"/>
          <w:szCs w:val="24"/>
          <w:lang w:val="es-ES" w:eastAsia="es-ES"/>
        </w:rPr>
        <w:t>69</w:t>
      </w:r>
      <w:r w:rsidRPr="00692388">
        <w:rPr>
          <w:rFonts w:ascii="Book Antiqua" w:eastAsia="Calibri" w:hAnsi="Book Antiqua" w:cs="Arial"/>
          <w:b/>
          <w:bCs/>
          <w:color w:val="1F497D"/>
          <w:szCs w:val="24"/>
          <w:lang w:val="es-ES" w:eastAsia="es-ES"/>
        </w:rPr>
        <w:fldChar w:fldCharType="end"/>
      </w:r>
      <w:r w:rsidRPr="00692388">
        <w:rPr>
          <w:rFonts w:ascii="Book Antiqua" w:eastAsia="Calibri" w:hAnsi="Book Antiqua" w:cs="Arial"/>
          <w:b/>
          <w:bCs/>
          <w:color w:val="1F497D"/>
          <w:szCs w:val="24"/>
          <w:lang w:val="es-ES" w:eastAsia="es-ES"/>
        </w:rPr>
        <w:t xml:space="preserve"> </w:t>
      </w:r>
    </w:p>
    <w:p w14:paraId="6F2AB10F" w14:textId="77777777" w:rsidR="00692388" w:rsidRPr="0035206B"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06B">
        <w:rPr>
          <w:rFonts w:ascii="Book Antiqua" w:eastAsia="Calibri" w:hAnsi="Book Antiqua" w:cs="Arial"/>
          <w:b/>
          <w:bCs/>
          <w:color w:val="1F497D"/>
          <w:szCs w:val="24"/>
          <w:lang w:val="es-ES" w:eastAsia="es-ES"/>
        </w:rPr>
        <w:t xml:space="preserve">Movimiento histórico de los asuntos en los Juzgados </w:t>
      </w:r>
    </w:p>
    <w:p w14:paraId="53D78D1A" w14:textId="07B52ED2" w:rsid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06B">
        <w:rPr>
          <w:rFonts w:ascii="Book Antiqua" w:eastAsia="Calibri" w:hAnsi="Book Antiqua" w:cs="Arial"/>
          <w:b/>
          <w:bCs/>
          <w:color w:val="1F497D"/>
          <w:szCs w:val="24"/>
          <w:lang w:val="es-ES" w:eastAsia="es-ES"/>
        </w:rPr>
        <w:t>Especializados de la materia de Pensiones Alimentarias, del 2017 al 20</w:t>
      </w:r>
      <w:r w:rsidR="00D13D1F" w:rsidRPr="0035206B">
        <w:rPr>
          <w:rFonts w:ascii="Book Antiqua" w:eastAsia="Calibri" w:hAnsi="Book Antiqua" w:cs="Arial"/>
          <w:b/>
          <w:bCs/>
          <w:color w:val="1F497D"/>
          <w:szCs w:val="24"/>
          <w:lang w:val="es-ES" w:eastAsia="es-ES"/>
        </w:rPr>
        <w:t>2</w:t>
      </w:r>
      <w:r w:rsidR="00F67BF4" w:rsidRPr="0035206B">
        <w:rPr>
          <w:rFonts w:ascii="Book Antiqua" w:eastAsia="Calibri" w:hAnsi="Book Antiqua" w:cs="Arial"/>
          <w:b/>
          <w:bCs/>
          <w:color w:val="1F497D"/>
          <w:szCs w:val="24"/>
          <w:lang w:val="es-ES" w:eastAsia="es-ES"/>
        </w:rPr>
        <w:t>2</w:t>
      </w:r>
    </w:p>
    <w:tbl>
      <w:tblPr>
        <w:tblW w:w="11220" w:type="dxa"/>
        <w:jc w:val="center"/>
        <w:tblCellMar>
          <w:left w:w="70" w:type="dxa"/>
          <w:right w:w="70" w:type="dxa"/>
        </w:tblCellMar>
        <w:tblLook w:val="04A0" w:firstRow="1" w:lastRow="0" w:firstColumn="1" w:lastColumn="0" w:noHBand="0" w:noVBand="1"/>
      </w:tblPr>
      <w:tblGrid>
        <w:gridCol w:w="4000"/>
        <w:gridCol w:w="1200"/>
        <w:gridCol w:w="1220"/>
        <w:gridCol w:w="1200"/>
        <w:gridCol w:w="1200"/>
        <w:gridCol w:w="1200"/>
        <w:gridCol w:w="1200"/>
      </w:tblGrid>
      <w:tr w:rsidR="0035206B" w:rsidRPr="0035206B" w14:paraId="06A29E34" w14:textId="77777777" w:rsidTr="0035206B">
        <w:trPr>
          <w:trHeight w:val="710"/>
          <w:jc w:val="center"/>
        </w:trPr>
        <w:tc>
          <w:tcPr>
            <w:tcW w:w="402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88E27AB" w14:textId="77777777" w:rsidR="0035206B" w:rsidRPr="0035206B" w:rsidRDefault="0035206B" w:rsidP="0035206B">
            <w:pPr>
              <w:spacing w:after="0" w:line="240" w:lineRule="auto"/>
              <w:jc w:val="center"/>
              <w:rPr>
                <w:rFonts w:ascii="Book Antiqua" w:eastAsia="Times New Roman" w:hAnsi="Book Antiqua" w:cs="Calibri"/>
                <w:b/>
                <w:bCs/>
                <w:color w:val="FFFFFF"/>
                <w:sz w:val="18"/>
                <w:szCs w:val="18"/>
                <w:lang w:eastAsia="es-CR"/>
              </w:rPr>
            </w:pPr>
            <w:r w:rsidRPr="0035206B">
              <w:rPr>
                <w:rFonts w:ascii="Book Antiqua" w:eastAsia="Times New Roman" w:hAnsi="Book Antiqua" w:cs="Calibri"/>
                <w:b/>
                <w:bCs/>
                <w:color w:val="FFFFFF"/>
                <w:sz w:val="18"/>
                <w:szCs w:val="18"/>
                <w:lang w:eastAsia="es-CR"/>
              </w:rPr>
              <w:t>Despacho</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09494B3" w14:textId="77777777" w:rsidR="0035206B" w:rsidRPr="0035206B" w:rsidRDefault="0035206B" w:rsidP="0035206B">
            <w:pPr>
              <w:spacing w:after="0" w:line="240" w:lineRule="auto"/>
              <w:jc w:val="center"/>
              <w:rPr>
                <w:rFonts w:ascii="Book Antiqua" w:eastAsia="Times New Roman" w:hAnsi="Book Antiqua" w:cs="Calibri"/>
                <w:b/>
                <w:bCs/>
                <w:color w:val="FFFFFF"/>
                <w:sz w:val="18"/>
                <w:szCs w:val="18"/>
                <w:lang w:eastAsia="es-CR"/>
              </w:rPr>
            </w:pPr>
            <w:r w:rsidRPr="0035206B">
              <w:rPr>
                <w:rFonts w:ascii="Book Antiqua" w:eastAsia="Times New Roman" w:hAnsi="Book Antiqua" w:cs="Calibri"/>
                <w:b/>
                <w:bCs/>
                <w:color w:val="FFFFFF"/>
                <w:sz w:val="18"/>
                <w:szCs w:val="18"/>
                <w:lang w:eastAsia="es-CR"/>
              </w:rPr>
              <w:t>Promedio de Entrados totales 2017 a 2022 (A)</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F197F1B" w14:textId="77777777" w:rsidR="0035206B" w:rsidRPr="0035206B" w:rsidRDefault="0035206B" w:rsidP="0035206B">
            <w:pPr>
              <w:spacing w:after="0" w:line="240" w:lineRule="auto"/>
              <w:jc w:val="center"/>
              <w:rPr>
                <w:rFonts w:ascii="Book Antiqua" w:eastAsia="Times New Roman" w:hAnsi="Book Antiqua" w:cs="Calibri"/>
                <w:b/>
                <w:bCs/>
                <w:color w:val="FFFFFF"/>
                <w:sz w:val="18"/>
                <w:szCs w:val="18"/>
                <w:lang w:eastAsia="es-CR"/>
              </w:rPr>
            </w:pPr>
            <w:r w:rsidRPr="0035206B">
              <w:rPr>
                <w:rFonts w:ascii="Book Antiqua" w:eastAsia="Times New Roman" w:hAnsi="Book Antiqua" w:cs="Calibri"/>
                <w:b/>
                <w:bCs/>
                <w:color w:val="FFFFFF"/>
                <w:sz w:val="18"/>
                <w:szCs w:val="18"/>
                <w:lang w:eastAsia="es-CR"/>
              </w:rPr>
              <w:t>Promedio de procesos de modificación de fallo entrados 2017 a 2021 (B)</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02DEDC0" w14:textId="77777777" w:rsidR="0035206B" w:rsidRPr="0035206B" w:rsidRDefault="0035206B" w:rsidP="0035206B">
            <w:pPr>
              <w:spacing w:after="0" w:line="240" w:lineRule="auto"/>
              <w:jc w:val="center"/>
              <w:rPr>
                <w:rFonts w:ascii="Book Antiqua" w:eastAsia="Times New Roman" w:hAnsi="Book Antiqua" w:cs="Calibri"/>
                <w:b/>
                <w:bCs/>
                <w:color w:val="FFFFFF"/>
                <w:sz w:val="18"/>
                <w:szCs w:val="18"/>
                <w:lang w:eastAsia="es-CR"/>
              </w:rPr>
            </w:pPr>
            <w:r w:rsidRPr="0035206B">
              <w:rPr>
                <w:rFonts w:ascii="Book Antiqua" w:eastAsia="Times New Roman" w:hAnsi="Book Antiqua" w:cs="Calibri"/>
                <w:b/>
                <w:bCs/>
                <w:color w:val="FFFFFF"/>
                <w:sz w:val="18"/>
                <w:szCs w:val="18"/>
                <w:lang w:eastAsia="es-CR"/>
              </w:rPr>
              <w:t>Apremios 2021 (C)</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D06A867" w14:textId="77777777" w:rsidR="0035206B" w:rsidRPr="0035206B" w:rsidRDefault="0035206B" w:rsidP="0035206B">
            <w:pPr>
              <w:spacing w:after="0" w:line="240" w:lineRule="auto"/>
              <w:jc w:val="center"/>
              <w:rPr>
                <w:rFonts w:ascii="Book Antiqua" w:eastAsia="Times New Roman" w:hAnsi="Book Antiqua" w:cs="Calibri"/>
                <w:b/>
                <w:bCs/>
                <w:color w:val="FFFFFF"/>
                <w:sz w:val="18"/>
                <w:szCs w:val="18"/>
                <w:lang w:eastAsia="es-CR"/>
              </w:rPr>
            </w:pPr>
            <w:r w:rsidRPr="0035206B">
              <w:rPr>
                <w:rFonts w:ascii="Book Antiqua" w:eastAsia="Times New Roman" w:hAnsi="Book Antiqua" w:cs="Calibri"/>
                <w:b/>
                <w:bCs/>
                <w:color w:val="FFFFFF"/>
                <w:sz w:val="18"/>
                <w:szCs w:val="18"/>
                <w:lang w:eastAsia="es-CR"/>
              </w:rPr>
              <w:t>Entrados Mensuales promedio (A+B+C)</w:t>
            </w:r>
          </w:p>
        </w:tc>
        <w:tc>
          <w:tcPr>
            <w:tcW w:w="2400" w:type="dxa"/>
            <w:gridSpan w:val="2"/>
            <w:tcBorders>
              <w:top w:val="single" w:sz="8" w:space="0" w:color="auto"/>
              <w:left w:val="nil"/>
              <w:bottom w:val="single" w:sz="8" w:space="0" w:color="auto"/>
              <w:right w:val="single" w:sz="8" w:space="0" w:color="000000"/>
            </w:tcBorders>
            <w:shd w:val="clear" w:color="000000" w:fill="002060"/>
            <w:vAlign w:val="center"/>
            <w:hideMark/>
          </w:tcPr>
          <w:p w14:paraId="33776676" w14:textId="77777777" w:rsidR="0035206B" w:rsidRPr="0035206B" w:rsidRDefault="0035206B" w:rsidP="0035206B">
            <w:pPr>
              <w:spacing w:after="0" w:line="240" w:lineRule="auto"/>
              <w:jc w:val="center"/>
              <w:rPr>
                <w:rFonts w:ascii="Book Antiqua" w:eastAsia="Times New Roman" w:hAnsi="Book Antiqua" w:cs="Calibri"/>
                <w:b/>
                <w:bCs/>
                <w:color w:val="FFFFFF"/>
                <w:sz w:val="18"/>
                <w:szCs w:val="18"/>
                <w:lang w:eastAsia="es-CR"/>
              </w:rPr>
            </w:pPr>
            <w:r w:rsidRPr="0035206B">
              <w:rPr>
                <w:rFonts w:ascii="Book Antiqua" w:eastAsia="Times New Roman" w:hAnsi="Book Antiqua" w:cs="Calibri"/>
                <w:b/>
                <w:bCs/>
                <w:color w:val="FFFFFF"/>
                <w:sz w:val="18"/>
                <w:szCs w:val="18"/>
                <w:lang w:eastAsia="es-CR"/>
              </w:rPr>
              <w:t>Entrados mensuales</w:t>
            </w:r>
          </w:p>
        </w:tc>
      </w:tr>
      <w:tr w:rsidR="0035206B" w:rsidRPr="0035206B" w14:paraId="20F7583F" w14:textId="77777777" w:rsidTr="0035206B">
        <w:trPr>
          <w:trHeight w:val="730"/>
          <w:jc w:val="center"/>
        </w:trPr>
        <w:tc>
          <w:tcPr>
            <w:tcW w:w="4020" w:type="dxa"/>
            <w:vMerge/>
            <w:tcBorders>
              <w:top w:val="single" w:sz="8" w:space="0" w:color="auto"/>
              <w:left w:val="single" w:sz="8" w:space="0" w:color="auto"/>
              <w:bottom w:val="single" w:sz="8" w:space="0" w:color="000000"/>
              <w:right w:val="single" w:sz="8" w:space="0" w:color="auto"/>
            </w:tcBorders>
            <w:vAlign w:val="center"/>
            <w:hideMark/>
          </w:tcPr>
          <w:p w14:paraId="279BE27F" w14:textId="77777777" w:rsidR="0035206B" w:rsidRPr="0035206B" w:rsidRDefault="0035206B" w:rsidP="0035206B">
            <w:pPr>
              <w:spacing w:after="0" w:line="240" w:lineRule="auto"/>
              <w:rPr>
                <w:rFonts w:ascii="Book Antiqua" w:eastAsia="Times New Roman" w:hAnsi="Book Antiqua" w:cs="Calibri"/>
                <w:b/>
                <w:bCs/>
                <w:color w:val="FFFFFF"/>
                <w:sz w:val="18"/>
                <w:szCs w:val="18"/>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224CDF0E" w14:textId="77777777" w:rsidR="0035206B" w:rsidRPr="0035206B" w:rsidRDefault="0035206B" w:rsidP="0035206B">
            <w:pPr>
              <w:spacing w:after="0" w:line="240" w:lineRule="auto"/>
              <w:rPr>
                <w:rFonts w:ascii="Book Antiqua" w:eastAsia="Times New Roman" w:hAnsi="Book Antiqua" w:cs="Calibri"/>
                <w:b/>
                <w:bCs/>
                <w:color w:val="FFFFFF"/>
                <w:sz w:val="18"/>
                <w:szCs w:val="18"/>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7A15E969" w14:textId="77777777" w:rsidR="0035206B" w:rsidRPr="0035206B" w:rsidRDefault="0035206B" w:rsidP="0035206B">
            <w:pPr>
              <w:spacing w:after="0" w:line="240" w:lineRule="auto"/>
              <w:rPr>
                <w:rFonts w:ascii="Book Antiqua" w:eastAsia="Times New Roman" w:hAnsi="Book Antiqua" w:cs="Calibri"/>
                <w:b/>
                <w:bCs/>
                <w:color w:val="FFFFFF"/>
                <w:sz w:val="18"/>
                <w:szCs w:val="18"/>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35A84C5E" w14:textId="77777777" w:rsidR="0035206B" w:rsidRPr="0035206B" w:rsidRDefault="0035206B" w:rsidP="0035206B">
            <w:pPr>
              <w:spacing w:after="0" w:line="240" w:lineRule="auto"/>
              <w:rPr>
                <w:rFonts w:ascii="Book Antiqua" w:eastAsia="Times New Roman" w:hAnsi="Book Antiqua" w:cs="Calibri"/>
                <w:b/>
                <w:bCs/>
                <w:color w:val="FFFFFF"/>
                <w:sz w:val="18"/>
                <w:szCs w:val="18"/>
                <w:lang w:eastAsia="es-CR"/>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1486894B" w14:textId="77777777" w:rsidR="0035206B" w:rsidRPr="0035206B" w:rsidRDefault="0035206B" w:rsidP="0035206B">
            <w:pPr>
              <w:spacing w:after="0" w:line="240" w:lineRule="auto"/>
              <w:rPr>
                <w:rFonts w:ascii="Book Antiqua" w:eastAsia="Times New Roman" w:hAnsi="Book Antiqua" w:cs="Calibri"/>
                <w:b/>
                <w:bCs/>
                <w:color w:val="FFFFFF"/>
                <w:sz w:val="18"/>
                <w:szCs w:val="18"/>
                <w:lang w:eastAsia="es-CR"/>
              </w:rPr>
            </w:pPr>
          </w:p>
        </w:tc>
        <w:tc>
          <w:tcPr>
            <w:tcW w:w="1200" w:type="dxa"/>
            <w:tcBorders>
              <w:top w:val="nil"/>
              <w:left w:val="nil"/>
              <w:bottom w:val="single" w:sz="8" w:space="0" w:color="auto"/>
              <w:right w:val="single" w:sz="8" w:space="0" w:color="auto"/>
            </w:tcBorders>
            <w:shd w:val="clear" w:color="000000" w:fill="002060"/>
            <w:vAlign w:val="center"/>
            <w:hideMark/>
          </w:tcPr>
          <w:p w14:paraId="084DBF3E" w14:textId="77777777" w:rsidR="0035206B" w:rsidRPr="0035206B" w:rsidRDefault="0035206B" w:rsidP="0035206B">
            <w:pPr>
              <w:spacing w:after="0" w:line="240" w:lineRule="auto"/>
              <w:jc w:val="center"/>
              <w:rPr>
                <w:rFonts w:ascii="Book Antiqua" w:eastAsia="Times New Roman" w:hAnsi="Book Antiqua" w:cs="Calibri"/>
                <w:b/>
                <w:bCs/>
                <w:color w:val="FFFFFF"/>
                <w:sz w:val="18"/>
                <w:szCs w:val="18"/>
                <w:lang w:eastAsia="es-CR"/>
              </w:rPr>
            </w:pPr>
            <w:r w:rsidRPr="0035206B">
              <w:rPr>
                <w:rFonts w:ascii="Book Antiqua" w:eastAsia="Times New Roman" w:hAnsi="Book Antiqua" w:cs="Calibri"/>
                <w:b/>
                <w:bCs/>
                <w:color w:val="FFFFFF"/>
                <w:sz w:val="18"/>
                <w:szCs w:val="18"/>
                <w:lang w:eastAsia="es-CR"/>
              </w:rPr>
              <w:t>Jueza o Juez</w:t>
            </w:r>
          </w:p>
        </w:tc>
        <w:tc>
          <w:tcPr>
            <w:tcW w:w="1200" w:type="dxa"/>
            <w:tcBorders>
              <w:top w:val="nil"/>
              <w:left w:val="nil"/>
              <w:bottom w:val="single" w:sz="8" w:space="0" w:color="auto"/>
              <w:right w:val="single" w:sz="8" w:space="0" w:color="auto"/>
            </w:tcBorders>
            <w:shd w:val="clear" w:color="000000" w:fill="002060"/>
            <w:vAlign w:val="center"/>
            <w:hideMark/>
          </w:tcPr>
          <w:p w14:paraId="29AE5B75" w14:textId="77777777" w:rsidR="0035206B" w:rsidRPr="0035206B" w:rsidRDefault="0035206B" w:rsidP="0035206B">
            <w:pPr>
              <w:spacing w:after="0" w:line="240" w:lineRule="auto"/>
              <w:jc w:val="center"/>
              <w:rPr>
                <w:rFonts w:ascii="Book Antiqua" w:eastAsia="Times New Roman" w:hAnsi="Book Antiqua" w:cs="Calibri"/>
                <w:b/>
                <w:bCs/>
                <w:color w:val="FFFFFF"/>
                <w:sz w:val="18"/>
                <w:szCs w:val="18"/>
                <w:lang w:eastAsia="es-CR"/>
              </w:rPr>
            </w:pPr>
            <w:r w:rsidRPr="0035206B">
              <w:rPr>
                <w:rFonts w:ascii="Book Antiqua" w:eastAsia="Times New Roman" w:hAnsi="Book Antiqua" w:cs="Calibri"/>
                <w:b/>
                <w:bCs/>
                <w:color w:val="FFFFFF"/>
                <w:sz w:val="18"/>
                <w:szCs w:val="18"/>
                <w:lang w:eastAsia="es-CR"/>
              </w:rPr>
              <w:t>Técnicas o Técnicos Judiciales</w:t>
            </w:r>
          </w:p>
        </w:tc>
      </w:tr>
      <w:tr w:rsidR="0035206B" w:rsidRPr="0035206B" w14:paraId="1F52967F"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4C0119F7"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Cartago</w:t>
            </w:r>
          </w:p>
        </w:tc>
        <w:tc>
          <w:tcPr>
            <w:tcW w:w="1200" w:type="dxa"/>
            <w:tcBorders>
              <w:top w:val="nil"/>
              <w:left w:val="nil"/>
              <w:bottom w:val="single" w:sz="8" w:space="0" w:color="auto"/>
              <w:right w:val="single" w:sz="8" w:space="0" w:color="auto"/>
            </w:tcBorders>
            <w:shd w:val="clear" w:color="auto" w:fill="auto"/>
            <w:noWrap/>
            <w:vAlign w:val="center"/>
            <w:hideMark/>
          </w:tcPr>
          <w:p w14:paraId="614DF198"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2215</w:t>
            </w:r>
          </w:p>
        </w:tc>
        <w:tc>
          <w:tcPr>
            <w:tcW w:w="1200" w:type="dxa"/>
            <w:tcBorders>
              <w:top w:val="nil"/>
              <w:left w:val="nil"/>
              <w:bottom w:val="single" w:sz="8" w:space="0" w:color="auto"/>
              <w:right w:val="single" w:sz="8" w:space="0" w:color="auto"/>
            </w:tcBorders>
            <w:shd w:val="clear" w:color="auto" w:fill="auto"/>
            <w:noWrap/>
            <w:vAlign w:val="center"/>
            <w:hideMark/>
          </w:tcPr>
          <w:p w14:paraId="063A3E65"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654</w:t>
            </w:r>
          </w:p>
        </w:tc>
        <w:tc>
          <w:tcPr>
            <w:tcW w:w="1200" w:type="dxa"/>
            <w:tcBorders>
              <w:top w:val="nil"/>
              <w:left w:val="nil"/>
              <w:bottom w:val="single" w:sz="8" w:space="0" w:color="auto"/>
              <w:right w:val="single" w:sz="8" w:space="0" w:color="auto"/>
            </w:tcBorders>
            <w:shd w:val="clear" w:color="auto" w:fill="auto"/>
            <w:noWrap/>
            <w:vAlign w:val="center"/>
            <w:hideMark/>
          </w:tcPr>
          <w:p w14:paraId="03786AEF"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1927</w:t>
            </w:r>
          </w:p>
        </w:tc>
        <w:tc>
          <w:tcPr>
            <w:tcW w:w="1200" w:type="dxa"/>
            <w:tcBorders>
              <w:top w:val="nil"/>
              <w:left w:val="nil"/>
              <w:bottom w:val="single" w:sz="8" w:space="0" w:color="auto"/>
              <w:right w:val="single" w:sz="8" w:space="0" w:color="auto"/>
            </w:tcBorders>
            <w:shd w:val="clear" w:color="auto" w:fill="auto"/>
            <w:noWrap/>
            <w:vAlign w:val="center"/>
            <w:hideMark/>
          </w:tcPr>
          <w:p w14:paraId="3DAAF5D1"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426</w:t>
            </w:r>
          </w:p>
        </w:tc>
        <w:tc>
          <w:tcPr>
            <w:tcW w:w="1200" w:type="dxa"/>
            <w:tcBorders>
              <w:top w:val="nil"/>
              <w:left w:val="nil"/>
              <w:bottom w:val="single" w:sz="8" w:space="0" w:color="auto"/>
              <w:right w:val="single" w:sz="8" w:space="0" w:color="auto"/>
            </w:tcBorders>
            <w:shd w:val="clear" w:color="auto" w:fill="auto"/>
            <w:noWrap/>
            <w:vAlign w:val="center"/>
            <w:hideMark/>
          </w:tcPr>
          <w:p w14:paraId="62A52618"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51</w:t>
            </w:r>
          </w:p>
        </w:tc>
        <w:tc>
          <w:tcPr>
            <w:tcW w:w="1200" w:type="dxa"/>
            <w:tcBorders>
              <w:top w:val="nil"/>
              <w:left w:val="nil"/>
              <w:bottom w:val="single" w:sz="8" w:space="0" w:color="auto"/>
              <w:right w:val="single" w:sz="8" w:space="0" w:color="auto"/>
            </w:tcBorders>
            <w:shd w:val="clear" w:color="auto" w:fill="auto"/>
            <w:noWrap/>
            <w:vAlign w:val="center"/>
            <w:hideMark/>
          </w:tcPr>
          <w:p w14:paraId="74B35862"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41</w:t>
            </w:r>
          </w:p>
        </w:tc>
      </w:tr>
      <w:tr w:rsidR="0035206B" w:rsidRPr="0035206B" w14:paraId="69D7BE1D"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3E645962"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Heredia</w:t>
            </w:r>
          </w:p>
        </w:tc>
        <w:tc>
          <w:tcPr>
            <w:tcW w:w="1200" w:type="dxa"/>
            <w:tcBorders>
              <w:top w:val="nil"/>
              <w:left w:val="nil"/>
              <w:bottom w:val="single" w:sz="8" w:space="0" w:color="auto"/>
              <w:right w:val="single" w:sz="8" w:space="0" w:color="auto"/>
            </w:tcBorders>
            <w:shd w:val="clear" w:color="auto" w:fill="auto"/>
            <w:noWrap/>
            <w:vAlign w:val="center"/>
            <w:hideMark/>
          </w:tcPr>
          <w:p w14:paraId="2AC5D6E0"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2351</w:t>
            </w:r>
          </w:p>
        </w:tc>
        <w:tc>
          <w:tcPr>
            <w:tcW w:w="1200" w:type="dxa"/>
            <w:tcBorders>
              <w:top w:val="nil"/>
              <w:left w:val="nil"/>
              <w:bottom w:val="single" w:sz="8" w:space="0" w:color="auto"/>
              <w:right w:val="single" w:sz="8" w:space="0" w:color="auto"/>
            </w:tcBorders>
            <w:shd w:val="clear" w:color="auto" w:fill="auto"/>
            <w:noWrap/>
            <w:vAlign w:val="center"/>
            <w:hideMark/>
          </w:tcPr>
          <w:p w14:paraId="02D113CA"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778</w:t>
            </w:r>
          </w:p>
        </w:tc>
        <w:tc>
          <w:tcPr>
            <w:tcW w:w="1200" w:type="dxa"/>
            <w:tcBorders>
              <w:top w:val="nil"/>
              <w:left w:val="nil"/>
              <w:bottom w:val="single" w:sz="8" w:space="0" w:color="auto"/>
              <w:right w:val="single" w:sz="8" w:space="0" w:color="auto"/>
            </w:tcBorders>
            <w:shd w:val="clear" w:color="auto" w:fill="auto"/>
            <w:noWrap/>
            <w:vAlign w:val="center"/>
            <w:hideMark/>
          </w:tcPr>
          <w:p w14:paraId="29F0D9A4"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1330</w:t>
            </w:r>
          </w:p>
        </w:tc>
        <w:tc>
          <w:tcPr>
            <w:tcW w:w="1200" w:type="dxa"/>
            <w:tcBorders>
              <w:top w:val="nil"/>
              <w:left w:val="nil"/>
              <w:bottom w:val="single" w:sz="8" w:space="0" w:color="auto"/>
              <w:right w:val="single" w:sz="8" w:space="0" w:color="auto"/>
            </w:tcBorders>
            <w:shd w:val="clear" w:color="auto" w:fill="auto"/>
            <w:noWrap/>
            <w:vAlign w:val="center"/>
            <w:hideMark/>
          </w:tcPr>
          <w:p w14:paraId="17DA3755"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396</w:t>
            </w:r>
          </w:p>
        </w:tc>
        <w:tc>
          <w:tcPr>
            <w:tcW w:w="1200" w:type="dxa"/>
            <w:tcBorders>
              <w:top w:val="nil"/>
              <w:left w:val="nil"/>
              <w:bottom w:val="single" w:sz="8" w:space="0" w:color="auto"/>
              <w:right w:val="single" w:sz="8" w:space="0" w:color="auto"/>
            </w:tcBorders>
            <w:shd w:val="clear" w:color="auto" w:fill="auto"/>
            <w:noWrap/>
            <w:vAlign w:val="center"/>
            <w:hideMark/>
          </w:tcPr>
          <w:p w14:paraId="29897EB0"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56</w:t>
            </w:r>
          </w:p>
        </w:tc>
        <w:tc>
          <w:tcPr>
            <w:tcW w:w="1200" w:type="dxa"/>
            <w:tcBorders>
              <w:top w:val="nil"/>
              <w:left w:val="nil"/>
              <w:bottom w:val="single" w:sz="8" w:space="0" w:color="auto"/>
              <w:right w:val="single" w:sz="8" w:space="0" w:color="auto"/>
            </w:tcBorders>
            <w:shd w:val="clear" w:color="auto" w:fill="auto"/>
            <w:noWrap/>
            <w:vAlign w:val="center"/>
            <w:hideMark/>
          </w:tcPr>
          <w:p w14:paraId="1ACDF25E"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36</w:t>
            </w:r>
          </w:p>
        </w:tc>
      </w:tr>
      <w:tr w:rsidR="0035206B" w:rsidRPr="0035206B" w14:paraId="23AF67BF"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14A540B2"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 xml:space="preserve">Juzgado Pensiones Alimentarias I Circ. Jud. Alajuela </w:t>
            </w:r>
          </w:p>
        </w:tc>
        <w:tc>
          <w:tcPr>
            <w:tcW w:w="1200" w:type="dxa"/>
            <w:tcBorders>
              <w:top w:val="nil"/>
              <w:left w:val="nil"/>
              <w:bottom w:val="single" w:sz="8" w:space="0" w:color="auto"/>
              <w:right w:val="single" w:sz="8" w:space="0" w:color="auto"/>
            </w:tcBorders>
            <w:shd w:val="clear" w:color="auto" w:fill="auto"/>
            <w:noWrap/>
            <w:vAlign w:val="center"/>
            <w:hideMark/>
          </w:tcPr>
          <w:p w14:paraId="22AF9E32"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3533</w:t>
            </w:r>
          </w:p>
        </w:tc>
        <w:tc>
          <w:tcPr>
            <w:tcW w:w="1200" w:type="dxa"/>
            <w:tcBorders>
              <w:top w:val="nil"/>
              <w:left w:val="nil"/>
              <w:bottom w:val="single" w:sz="8" w:space="0" w:color="auto"/>
              <w:right w:val="single" w:sz="8" w:space="0" w:color="auto"/>
            </w:tcBorders>
            <w:shd w:val="clear" w:color="auto" w:fill="auto"/>
            <w:noWrap/>
            <w:vAlign w:val="center"/>
            <w:hideMark/>
          </w:tcPr>
          <w:p w14:paraId="46549A1D"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684</w:t>
            </w:r>
          </w:p>
        </w:tc>
        <w:tc>
          <w:tcPr>
            <w:tcW w:w="1200" w:type="dxa"/>
            <w:tcBorders>
              <w:top w:val="nil"/>
              <w:left w:val="nil"/>
              <w:bottom w:val="single" w:sz="8" w:space="0" w:color="auto"/>
              <w:right w:val="single" w:sz="8" w:space="0" w:color="auto"/>
            </w:tcBorders>
            <w:shd w:val="clear" w:color="auto" w:fill="auto"/>
            <w:noWrap/>
            <w:vAlign w:val="center"/>
            <w:hideMark/>
          </w:tcPr>
          <w:p w14:paraId="36A91BFC"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1996</w:t>
            </w:r>
          </w:p>
        </w:tc>
        <w:tc>
          <w:tcPr>
            <w:tcW w:w="1200" w:type="dxa"/>
            <w:tcBorders>
              <w:top w:val="nil"/>
              <w:left w:val="nil"/>
              <w:bottom w:val="single" w:sz="8" w:space="0" w:color="auto"/>
              <w:right w:val="single" w:sz="8" w:space="0" w:color="auto"/>
            </w:tcBorders>
            <w:shd w:val="clear" w:color="auto" w:fill="auto"/>
            <w:noWrap/>
            <w:vAlign w:val="center"/>
            <w:hideMark/>
          </w:tcPr>
          <w:p w14:paraId="10A35709"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552</w:t>
            </w:r>
          </w:p>
        </w:tc>
        <w:tc>
          <w:tcPr>
            <w:tcW w:w="1200" w:type="dxa"/>
            <w:tcBorders>
              <w:top w:val="nil"/>
              <w:left w:val="nil"/>
              <w:bottom w:val="single" w:sz="8" w:space="0" w:color="auto"/>
              <w:right w:val="single" w:sz="8" w:space="0" w:color="auto"/>
            </w:tcBorders>
            <w:shd w:val="clear" w:color="auto" w:fill="auto"/>
            <w:noWrap/>
            <w:vAlign w:val="center"/>
            <w:hideMark/>
          </w:tcPr>
          <w:p w14:paraId="654EA87E"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62</w:t>
            </w:r>
          </w:p>
        </w:tc>
        <w:tc>
          <w:tcPr>
            <w:tcW w:w="1200" w:type="dxa"/>
            <w:tcBorders>
              <w:top w:val="nil"/>
              <w:left w:val="nil"/>
              <w:bottom w:val="single" w:sz="8" w:space="0" w:color="auto"/>
              <w:right w:val="single" w:sz="8" w:space="0" w:color="auto"/>
            </w:tcBorders>
            <w:shd w:val="clear" w:color="auto" w:fill="auto"/>
            <w:noWrap/>
            <w:vAlign w:val="center"/>
            <w:hideMark/>
          </w:tcPr>
          <w:p w14:paraId="15A2DAC5"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46</w:t>
            </w:r>
          </w:p>
        </w:tc>
      </w:tr>
      <w:tr w:rsidR="0035206B" w:rsidRPr="0035206B" w14:paraId="3D89DF3D"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1B2BDC5C"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 xml:space="preserve">Juzgado Pensiones Alimentarias I Circ. Jud. San José </w:t>
            </w:r>
          </w:p>
        </w:tc>
        <w:tc>
          <w:tcPr>
            <w:tcW w:w="1200" w:type="dxa"/>
            <w:tcBorders>
              <w:top w:val="nil"/>
              <w:left w:val="nil"/>
              <w:bottom w:val="single" w:sz="8" w:space="0" w:color="auto"/>
              <w:right w:val="single" w:sz="8" w:space="0" w:color="auto"/>
            </w:tcBorders>
            <w:shd w:val="clear" w:color="auto" w:fill="auto"/>
            <w:noWrap/>
            <w:vAlign w:val="center"/>
            <w:hideMark/>
          </w:tcPr>
          <w:p w14:paraId="7CB18451"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2470</w:t>
            </w:r>
          </w:p>
        </w:tc>
        <w:tc>
          <w:tcPr>
            <w:tcW w:w="1200" w:type="dxa"/>
            <w:tcBorders>
              <w:top w:val="nil"/>
              <w:left w:val="nil"/>
              <w:bottom w:val="single" w:sz="8" w:space="0" w:color="auto"/>
              <w:right w:val="single" w:sz="8" w:space="0" w:color="auto"/>
            </w:tcBorders>
            <w:shd w:val="clear" w:color="auto" w:fill="auto"/>
            <w:noWrap/>
            <w:vAlign w:val="center"/>
            <w:hideMark/>
          </w:tcPr>
          <w:p w14:paraId="412E21E5"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362</w:t>
            </w:r>
          </w:p>
        </w:tc>
        <w:tc>
          <w:tcPr>
            <w:tcW w:w="1200" w:type="dxa"/>
            <w:tcBorders>
              <w:top w:val="nil"/>
              <w:left w:val="nil"/>
              <w:bottom w:val="single" w:sz="8" w:space="0" w:color="auto"/>
              <w:right w:val="single" w:sz="8" w:space="0" w:color="auto"/>
            </w:tcBorders>
            <w:shd w:val="clear" w:color="auto" w:fill="auto"/>
            <w:noWrap/>
            <w:vAlign w:val="center"/>
            <w:hideMark/>
          </w:tcPr>
          <w:p w14:paraId="21D71B72"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1101</w:t>
            </w:r>
          </w:p>
        </w:tc>
        <w:tc>
          <w:tcPr>
            <w:tcW w:w="1200" w:type="dxa"/>
            <w:tcBorders>
              <w:top w:val="nil"/>
              <w:left w:val="nil"/>
              <w:bottom w:val="single" w:sz="8" w:space="0" w:color="auto"/>
              <w:right w:val="single" w:sz="8" w:space="0" w:color="auto"/>
            </w:tcBorders>
            <w:shd w:val="clear" w:color="auto" w:fill="auto"/>
            <w:noWrap/>
            <w:vAlign w:val="center"/>
            <w:hideMark/>
          </w:tcPr>
          <w:p w14:paraId="5444A24E"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350</w:t>
            </w:r>
          </w:p>
        </w:tc>
        <w:tc>
          <w:tcPr>
            <w:tcW w:w="1200" w:type="dxa"/>
            <w:tcBorders>
              <w:top w:val="nil"/>
              <w:left w:val="nil"/>
              <w:bottom w:val="single" w:sz="8" w:space="0" w:color="auto"/>
              <w:right w:val="single" w:sz="8" w:space="0" w:color="auto"/>
            </w:tcBorders>
            <w:shd w:val="clear" w:color="auto" w:fill="auto"/>
            <w:noWrap/>
            <w:vAlign w:val="center"/>
            <w:hideMark/>
          </w:tcPr>
          <w:p w14:paraId="68136586"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63</w:t>
            </w:r>
          </w:p>
        </w:tc>
        <w:tc>
          <w:tcPr>
            <w:tcW w:w="1200" w:type="dxa"/>
            <w:tcBorders>
              <w:top w:val="nil"/>
              <w:left w:val="nil"/>
              <w:bottom w:val="single" w:sz="8" w:space="0" w:color="auto"/>
              <w:right w:val="single" w:sz="8" w:space="0" w:color="auto"/>
            </w:tcBorders>
            <w:shd w:val="clear" w:color="auto" w:fill="auto"/>
            <w:noWrap/>
            <w:vAlign w:val="center"/>
            <w:hideMark/>
          </w:tcPr>
          <w:p w14:paraId="4B2AA1B1"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45</w:t>
            </w:r>
          </w:p>
        </w:tc>
      </w:tr>
      <w:tr w:rsidR="0035206B" w:rsidRPr="0035206B" w14:paraId="24689D50"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6D45FC20"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 xml:space="preserve">Juzgado Pensiones Alimentarias I Circ. Jud. Zona Atlántica (Limón) </w:t>
            </w:r>
          </w:p>
        </w:tc>
        <w:tc>
          <w:tcPr>
            <w:tcW w:w="1200" w:type="dxa"/>
            <w:tcBorders>
              <w:top w:val="nil"/>
              <w:left w:val="nil"/>
              <w:bottom w:val="single" w:sz="8" w:space="0" w:color="auto"/>
              <w:right w:val="single" w:sz="8" w:space="0" w:color="auto"/>
            </w:tcBorders>
            <w:shd w:val="clear" w:color="auto" w:fill="auto"/>
            <w:noWrap/>
            <w:vAlign w:val="center"/>
            <w:hideMark/>
          </w:tcPr>
          <w:p w14:paraId="30E65714"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1670</w:t>
            </w:r>
          </w:p>
        </w:tc>
        <w:tc>
          <w:tcPr>
            <w:tcW w:w="1200" w:type="dxa"/>
            <w:tcBorders>
              <w:top w:val="nil"/>
              <w:left w:val="nil"/>
              <w:bottom w:val="single" w:sz="8" w:space="0" w:color="auto"/>
              <w:right w:val="single" w:sz="8" w:space="0" w:color="auto"/>
            </w:tcBorders>
            <w:shd w:val="clear" w:color="auto" w:fill="auto"/>
            <w:noWrap/>
            <w:vAlign w:val="center"/>
            <w:hideMark/>
          </w:tcPr>
          <w:p w14:paraId="0FA7730F"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376</w:t>
            </w:r>
          </w:p>
        </w:tc>
        <w:tc>
          <w:tcPr>
            <w:tcW w:w="1200" w:type="dxa"/>
            <w:tcBorders>
              <w:top w:val="nil"/>
              <w:left w:val="nil"/>
              <w:bottom w:val="single" w:sz="8" w:space="0" w:color="auto"/>
              <w:right w:val="single" w:sz="8" w:space="0" w:color="auto"/>
            </w:tcBorders>
            <w:shd w:val="clear" w:color="auto" w:fill="auto"/>
            <w:noWrap/>
            <w:vAlign w:val="center"/>
            <w:hideMark/>
          </w:tcPr>
          <w:p w14:paraId="25F5C34B"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1063</w:t>
            </w:r>
          </w:p>
        </w:tc>
        <w:tc>
          <w:tcPr>
            <w:tcW w:w="1200" w:type="dxa"/>
            <w:tcBorders>
              <w:top w:val="nil"/>
              <w:left w:val="nil"/>
              <w:bottom w:val="single" w:sz="8" w:space="0" w:color="auto"/>
              <w:right w:val="single" w:sz="8" w:space="0" w:color="auto"/>
            </w:tcBorders>
            <w:shd w:val="clear" w:color="auto" w:fill="auto"/>
            <w:noWrap/>
            <w:vAlign w:val="center"/>
            <w:hideMark/>
          </w:tcPr>
          <w:p w14:paraId="6051DA9A"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276</w:t>
            </w:r>
          </w:p>
        </w:tc>
        <w:tc>
          <w:tcPr>
            <w:tcW w:w="1200" w:type="dxa"/>
            <w:tcBorders>
              <w:top w:val="nil"/>
              <w:left w:val="nil"/>
              <w:bottom w:val="single" w:sz="8" w:space="0" w:color="auto"/>
              <w:right w:val="single" w:sz="8" w:space="0" w:color="auto"/>
            </w:tcBorders>
            <w:shd w:val="clear" w:color="auto" w:fill="auto"/>
            <w:noWrap/>
            <w:vAlign w:val="center"/>
            <w:hideMark/>
          </w:tcPr>
          <w:p w14:paraId="3F3C354A"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61</w:t>
            </w:r>
          </w:p>
        </w:tc>
        <w:tc>
          <w:tcPr>
            <w:tcW w:w="1200" w:type="dxa"/>
            <w:tcBorders>
              <w:top w:val="nil"/>
              <w:left w:val="nil"/>
              <w:bottom w:val="single" w:sz="8" w:space="0" w:color="auto"/>
              <w:right w:val="single" w:sz="8" w:space="0" w:color="auto"/>
            </w:tcBorders>
            <w:shd w:val="clear" w:color="auto" w:fill="auto"/>
            <w:noWrap/>
            <w:vAlign w:val="center"/>
            <w:hideMark/>
          </w:tcPr>
          <w:p w14:paraId="03D52E94"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36</w:t>
            </w:r>
          </w:p>
        </w:tc>
      </w:tr>
      <w:tr w:rsidR="0035206B" w:rsidRPr="0035206B" w14:paraId="5F60E80A"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5C67CCB8"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I Circ. Jud. Zona Sur (Pérez Zeledón)</w:t>
            </w:r>
          </w:p>
        </w:tc>
        <w:tc>
          <w:tcPr>
            <w:tcW w:w="1200" w:type="dxa"/>
            <w:tcBorders>
              <w:top w:val="nil"/>
              <w:left w:val="nil"/>
              <w:bottom w:val="single" w:sz="8" w:space="0" w:color="auto"/>
              <w:right w:val="single" w:sz="8" w:space="0" w:color="auto"/>
            </w:tcBorders>
            <w:shd w:val="clear" w:color="auto" w:fill="auto"/>
            <w:noWrap/>
            <w:vAlign w:val="center"/>
            <w:hideMark/>
          </w:tcPr>
          <w:p w14:paraId="152593B3"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1347</w:t>
            </w:r>
          </w:p>
        </w:tc>
        <w:tc>
          <w:tcPr>
            <w:tcW w:w="1200" w:type="dxa"/>
            <w:tcBorders>
              <w:top w:val="nil"/>
              <w:left w:val="nil"/>
              <w:bottom w:val="single" w:sz="8" w:space="0" w:color="auto"/>
              <w:right w:val="single" w:sz="8" w:space="0" w:color="auto"/>
            </w:tcBorders>
            <w:shd w:val="clear" w:color="auto" w:fill="auto"/>
            <w:noWrap/>
            <w:vAlign w:val="center"/>
            <w:hideMark/>
          </w:tcPr>
          <w:p w14:paraId="5DA0003C"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278</w:t>
            </w:r>
          </w:p>
        </w:tc>
        <w:tc>
          <w:tcPr>
            <w:tcW w:w="1200" w:type="dxa"/>
            <w:tcBorders>
              <w:top w:val="nil"/>
              <w:left w:val="nil"/>
              <w:bottom w:val="single" w:sz="8" w:space="0" w:color="auto"/>
              <w:right w:val="single" w:sz="8" w:space="0" w:color="auto"/>
            </w:tcBorders>
            <w:shd w:val="clear" w:color="auto" w:fill="auto"/>
            <w:noWrap/>
            <w:vAlign w:val="center"/>
            <w:hideMark/>
          </w:tcPr>
          <w:p w14:paraId="5E35DF34"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912</w:t>
            </w:r>
          </w:p>
        </w:tc>
        <w:tc>
          <w:tcPr>
            <w:tcW w:w="1200" w:type="dxa"/>
            <w:tcBorders>
              <w:top w:val="nil"/>
              <w:left w:val="nil"/>
              <w:bottom w:val="single" w:sz="8" w:space="0" w:color="auto"/>
              <w:right w:val="single" w:sz="8" w:space="0" w:color="auto"/>
            </w:tcBorders>
            <w:shd w:val="clear" w:color="auto" w:fill="auto"/>
            <w:noWrap/>
            <w:vAlign w:val="center"/>
            <w:hideMark/>
          </w:tcPr>
          <w:p w14:paraId="53C0ACD3"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225</w:t>
            </w:r>
          </w:p>
        </w:tc>
        <w:tc>
          <w:tcPr>
            <w:tcW w:w="1200" w:type="dxa"/>
            <w:tcBorders>
              <w:top w:val="nil"/>
              <w:left w:val="nil"/>
              <w:bottom w:val="single" w:sz="8" w:space="0" w:color="auto"/>
              <w:right w:val="single" w:sz="8" w:space="0" w:color="auto"/>
            </w:tcBorders>
            <w:shd w:val="clear" w:color="auto" w:fill="auto"/>
            <w:noWrap/>
            <w:vAlign w:val="center"/>
            <w:hideMark/>
          </w:tcPr>
          <w:p w14:paraId="21B2F9D0"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48</w:t>
            </w:r>
          </w:p>
        </w:tc>
        <w:tc>
          <w:tcPr>
            <w:tcW w:w="1200" w:type="dxa"/>
            <w:tcBorders>
              <w:top w:val="nil"/>
              <w:left w:val="nil"/>
              <w:bottom w:val="single" w:sz="8" w:space="0" w:color="auto"/>
              <w:right w:val="single" w:sz="8" w:space="0" w:color="auto"/>
            </w:tcBorders>
            <w:shd w:val="clear" w:color="auto" w:fill="auto"/>
            <w:noWrap/>
            <w:vAlign w:val="center"/>
            <w:hideMark/>
          </w:tcPr>
          <w:p w14:paraId="6A266E43"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33</w:t>
            </w:r>
          </w:p>
        </w:tc>
      </w:tr>
      <w:tr w:rsidR="0035206B" w:rsidRPr="0035206B" w14:paraId="177145D9"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23B2B076"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II Circ. Jud. San José (Goicoechea)</w:t>
            </w:r>
          </w:p>
        </w:tc>
        <w:tc>
          <w:tcPr>
            <w:tcW w:w="1200" w:type="dxa"/>
            <w:tcBorders>
              <w:top w:val="nil"/>
              <w:left w:val="nil"/>
              <w:bottom w:val="single" w:sz="8" w:space="0" w:color="auto"/>
              <w:right w:val="single" w:sz="8" w:space="0" w:color="auto"/>
            </w:tcBorders>
            <w:shd w:val="clear" w:color="auto" w:fill="auto"/>
            <w:noWrap/>
            <w:vAlign w:val="center"/>
            <w:hideMark/>
          </w:tcPr>
          <w:p w14:paraId="192856C4"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4877</w:t>
            </w:r>
          </w:p>
        </w:tc>
        <w:tc>
          <w:tcPr>
            <w:tcW w:w="1200" w:type="dxa"/>
            <w:tcBorders>
              <w:top w:val="nil"/>
              <w:left w:val="nil"/>
              <w:bottom w:val="single" w:sz="8" w:space="0" w:color="auto"/>
              <w:right w:val="single" w:sz="8" w:space="0" w:color="auto"/>
            </w:tcBorders>
            <w:shd w:val="clear" w:color="auto" w:fill="auto"/>
            <w:noWrap/>
            <w:vAlign w:val="center"/>
            <w:hideMark/>
          </w:tcPr>
          <w:p w14:paraId="3B956403"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1120</w:t>
            </w:r>
          </w:p>
        </w:tc>
        <w:tc>
          <w:tcPr>
            <w:tcW w:w="1200" w:type="dxa"/>
            <w:tcBorders>
              <w:top w:val="nil"/>
              <w:left w:val="nil"/>
              <w:bottom w:val="single" w:sz="8" w:space="0" w:color="auto"/>
              <w:right w:val="single" w:sz="8" w:space="0" w:color="auto"/>
            </w:tcBorders>
            <w:shd w:val="clear" w:color="auto" w:fill="auto"/>
            <w:noWrap/>
            <w:vAlign w:val="center"/>
            <w:hideMark/>
          </w:tcPr>
          <w:p w14:paraId="6D2A9384"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3379</w:t>
            </w:r>
          </w:p>
        </w:tc>
        <w:tc>
          <w:tcPr>
            <w:tcW w:w="1200" w:type="dxa"/>
            <w:tcBorders>
              <w:top w:val="nil"/>
              <w:left w:val="nil"/>
              <w:bottom w:val="single" w:sz="8" w:space="0" w:color="auto"/>
              <w:right w:val="single" w:sz="8" w:space="0" w:color="auto"/>
            </w:tcBorders>
            <w:shd w:val="clear" w:color="auto" w:fill="auto"/>
            <w:noWrap/>
            <w:vAlign w:val="center"/>
            <w:hideMark/>
          </w:tcPr>
          <w:p w14:paraId="156A1349"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833</w:t>
            </w:r>
          </w:p>
        </w:tc>
        <w:tc>
          <w:tcPr>
            <w:tcW w:w="1200" w:type="dxa"/>
            <w:tcBorders>
              <w:top w:val="nil"/>
              <w:left w:val="nil"/>
              <w:bottom w:val="single" w:sz="8" w:space="0" w:color="auto"/>
              <w:right w:val="single" w:sz="8" w:space="0" w:color="auto"/>
            </w:tcBorders>
            <w:shd w:val="clear" w:color="auto" w:fill="auto"/>
            <w:noWrap/>
            <w:vAlign w:val="center"/>
            <w:hideMark/>
          </w:tcPr>
          <w:p w14:paraId="21729364"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44</w:t>
            </w:r>
          </w:p>
        </w:tc>
        <w:tc>
          <w:tcPr>
            <w:tcW w:w="1200" w:type="dxa"/>
            <w:tcBorders>
              <w:top w:val="nil"/>
              <w:left w:val="nil"/>
              <w:bottom w:val="single" w:sz="8" w:space="0" w:color="auto"/>
              <w:right w:val="single" w:sz="8" w:space="0" w:color="auto"/>
            </w:tcBorders>
            <w:shd w:val="clear" w:color="auto" w:fill="auto"/>
            <w:noWrap/>
            <w:vAlign w:val="center"/>
            <w:hideMark/>
          </w:tcPr>
          <w:p w14:paraId="438D1BD3"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37</w:t>
            </w:r>
          </w:p>
        </w:tc>
      </w:tr>
      <w:tr w:rsidR="0035206B" w:rsidRPr="0035206B" w14:paraId="0DD38E19"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6F91414A"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II Circ. Jud. Zona Atlántica (Pococí)</w:t>
            </w:r>
          </w:p>
        </w:tc>
        <w:tc>
          <w:tcPr>
            <w:tcW w:w="1200" w:type="dxa"/>
            <w:tcBorders>
              <w:top w:val="nil"/>
              <w:left w:val="nil"/>
              <w:bottom w:val="single" w:sz="8" w:space="0" w:color="auto"/>
              <w:right w:val="single" w:sz="8" w:space="0" w:color="auto"/>
            </w:tcBorders>
            <w:shd w:val="clear" w:color="auto" w:fill="auto"/>
            <w:noWrap/>
            <w:vAlign w:val="center"/>
            <w:hideMark/>
          </w:tcPr>
          <w:p w14:paraId="32829B36"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2454</w:t>
            </w:r>
          </w:p>
        </w:tc>
        <w:tc>
          <w:tcPr>
            <w:tcW w:w="1200" w:type="dxa"/>
            <w:tcBorders>
              <w:top w:val="nil"/>
              <w:left w:val="nil"/>
              <w:bottom w:val="single" w:sz="8" w:space="0" w:color="auto"/>
              <w:right w:val="single" w:sz="8" w:space="0" w:color="auto"/>
            </w:tcBorders>
            <w:shd w:val="clear" w:color="auto" w:fill="auto"/>
            <w:noWrap/>
            <w:vAlign w:val="center"/>
            <w:hideMark/>
          </w:tcPr>
          <w:p w14:paraId="57892CAD"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353</w:t>
            </w:r>
          </w:p>
        </w:tc>
        <w:tc>
          <w:tcPr>
            <w:tcW w:w="1200" w:type="dxa"/>
            <w:tcBorders>
              <w:top w:val="nil"/>
              <w:left w:val="nil"/>
              <w:bottom w:val="single" w:sz="8" w:space="0" w:color="auto"/>
              <w:right w:val="single" w:sz="8" w:space="0" w:color="auto"/>
            </w:tcBorders>
            <w:shd w:val="clear" w:color="auto" w:fill="auto"/>
            <w:noWrap/>
            <w:vAlign w:val="center"/>
            <w:hideMark/>
          </w:tcPr>
          <w:p w14:paraId="4483BC51"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1983</w:t>
            </w:r>
          </w:p>
        </w:tc>
        <w:tc>
          <w:tcPr>
            <w:tcW w:w="1200" w:type="dxa"/>
            <w:tcBorders>
              <w:top w:val="nil"/>
              <w:left w:val="nil"/>
              <w:bottom w:val="single" w:sz="8" w:space="0" w:color="auto"/>
              <w:right w:val="single" w:sz="8" w:space="0" w:color="auto"/>
            </w:tcBorders>
            <w:shd w:val="clear" w:color="auto" w:fill="auto"/>
            <w:noWrap/>
            <w:vAlign w:val="center"/>
            <w:hideMark/>
          </w:tcPr>
          <w:p w14:paraId="0CDC569B"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426</w:t>
            </w:r>
          </w:p>
        </w:tc>
        <w:tc>
          <w:tcPr>
            <w:tcW w:w="1200" w:type="dxa"/>
            <w:tcBorders>
              <w:top w:val="nil"/>
              <w:left w:val="nil"/>
              <w:bottom w:val="single" w:sz="8" w:space="0" w:color="auto"/>
              <w:right w:val="single" w:sz="8" w:space="0" w:color="auto"/>
            </w:tcBorders>
            <w:shd w:val="clear" w:color="auto" w:fill="auto"/>
            <w:noWrap/>
            <w:vAlign w:val="center"/>
            <w:hideMark/>
          </w:tcPr>
          <w:p w14:paraId="7BF3305A"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83</w:t>
            </w:r>
          </w:p>
        </w:tc>
        <w:tc>
          <w:tcPr>
            <w:tcW w:w="1200" w:type="dxa"/>
            <w:tcBorders>
              <w:top w:val="nil"/>
              <w:left w:val="nil"/>
              <w:bottom w:val="single" w:sz="8" w:space="0" w:color="auto"/>
              <w:right w:val="single" w:sz="8" w:space="0" w:color="auto"/>
            </w:tcBorders>
            <w:shd w:val="clear" w:color="auto" w:fill="auto"/>
            <w:noWrap/>
            <w:vAlign w:val="center"/>
            <w:hideMark/>
          </w:tcPr>
          <w:p w14:paraId="3B92E7CE"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61</w:t>
            </w:r>
          </w:p>
        </w:tc>
      </w:tr>
      <w:tr w:rsidR="0035206B" w:rsidRPr="0035206B" w14:paraId="23E12674"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07FF1AC5"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III Circ. Jud. San José (Desamparados)</w:t>
            </w:r>
          </w:p>
        </w:tc>
        <w:tc>
          <w:tcPr>
            <w:tcW w:w="1200" w:type="dxa"/>
            <w:tcBorders>
              <w:top w:val="nil"/>
              <w:left w:val="nil"/>
              <w:bottom w:val="single" w:sz="8" w:space="0" w:color="auto"/>
              <w:right w:val="single" w:sz="8" w:space="0" w:color="auto"/>
            </w:tcBorders>
            <w:shd w:val="clear" w:color="auto" w:fill="auto"/>
            <w:noWrap/>
            <w:vAlign w:val="center"/>
            <w:hideMark/>
          </w:tcPr>
          <w:p w14:paraId="60B2A831"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3037</w:t>
            </w:r>
          </w:p>
        </w:tc>
        <w:tc>
          <w:tcPr>
            <w:tcW w:w="1200" w:type="dxa"/>
            <w:tcBorders>
              <w:top w:val="nil"/>
              <w:left w:val="nil"/>
              <w:bottom w:val="single" w:sz="8" w:space="0" w:color="auto"/>
              <w:right w:val="single" w:sz="8" w:space="0" w:color="auto"/>
            </w:tcBorders>
            <w:shd w:val="clear" w:color="auto" w:fill="auto"/>
            <w:noWrap/>
            <w:vAlign w:val="center"/>
            <w:hideMark/>
          </w:tcPr>
          <w:p w14:paraId="40EB5B95"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401</w:t>
            </w:r>
          </w:p>
        </w:tc>
        <w:tc>
          <w:tcPr>
            <w:tcW w:w="1200" w:type="dxa"/>
            <w:tcBorders>
              <w:top w:val="nil"/>
              <w:left w:val="nil"/>
              <w:bottom w:val="single" w:sz="8" w:space="0" w:color="auto"/>
              <w:right w:val="single" w:sz="8" w:space="0" w:color="auto"/>
            </w:tcBorders>
            <w:shd w:val="clear" w:color="auto" w:fill="auto"/>
            <w:noWrap/>
            <w:vAlign w:val="center"/>
            <w:hideMark/>
          </w:tcPr>
          <w:p w14:paraId="20253FAB"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2626</w:t>
            </w:r>
          </w:p>
        </w:tc>
        <w:tc>
          <w:tcPr>
            <w:tcW w:w="1200" w:type="dxa"/>
            <w:tcBorders>
              <w:top w:val="nil"/>
              <w:left w:val="nil"/>
              <w:bottom w:val="single" w:sz="8" w:space="0" w:color="auto"/>
              <w:right w:val="single" w:sz="8" w:space="0" w:color="auto"/>
            </w:tcBorders>
            <w:shd w:val="clear" w:color="auto" w:fill="auto"/>
            <w:noWrap/>
            <w:vAlign w:val="center"/>
            <w:hideMark/>
          </w:tcPr>
          <w:p w14:paraId="5008431C"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539</w:t>
            </w:r>
          </w:p>
        </w:tc>
        <w:tc>
          <w:tcPr>
            <w:tcW w:w="1200" w:type="dxa"/>
            <w:tcBorders>
              <w:top w:val="nil"/>
              <w:left w:val="nil"/>
              <w:bottom w:val="single" w:sz="8" w:space="0" w:color="auto"/>
              <w:right w:val="single" w:sz="8" w:space="0" w:color="auto"/>
            </w:tcBorders>
            <w:shd w:val="clear" w:color="auto" w:fill="auto"/>
            <w:noWrap/>
            <w:vAlign w:val="center"/>
            <w:hideMark/>
          </w:tcPr>
          <w:p w14:paraId="680367A8"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61</w:t>
            </w:r>
          </w:p>
        </w:tc>
        <w:tc>
          <w:tcPr>
            <w:tcW w:w="1200" w:type="dxa"/>
            <w:tcBorders>
              <w:top w:val="nil"/>
              <w:left w:val="nil"/>
              <w:bottom w:val="single" w:sz="8" w:space="0" w:color="auto"/>
              <w:right w:val="single" w:sz="8" w:space="0" w:color="auto"/>
            </w:tcBorders>
            <w:shd w:val="clear" w:color="auto" w:fill="auto"/>
            <w:noWrap/>
            <w:vAlign w:val="center"/>
            <w:hideMark/>
          </w:tcPr>
          <w:p w14:paraId="65AC73BE"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36</w:t>
            </w:r>
          </w:p>
        </w:tc>
      </w:tr>
      <w:tr w:rsidR="0035206B" w:rsidRPr="0035206B" w14:paraId="2A3A4E73"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0F8CEF3C"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Puntarenas</w:t>
            </w:r>
          </w:p>
        </w:tc>
        <w:tc>
          <w:tcPr>
            <w:tcW w:w="1200" w:type="dxa"/>
            <w:tcBorders>
              <w:top w:val="nil"/>
              <w:left w:val="nil"/>
              <w:bottom w:val="single" w:sz="8" w:space="0" w:color="auto"/>
              <w:right w:val="single" w:sz="8" w:space="0" w:color="auto"/>
            </w:tcBorders>
            <w:shd w:val="clear" w:color="auto" w:fill="auto"/>
            <w:noWrap/>
            <w:vAlign w:val="center"/>
            <w:hideMark/>
          </w:tcPr>
          <w:p w14:paraId="2CC28207"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1889</w:t>
            </w:r>
          </w:p>
        </w:tc>
        <w:tc>
          <w:tcPr>
            <w:tcW w:w="1200" w:type="dxa"/>
            <w:tcBorders>
              <w:top w:val="nil"/>
              <w:left w:val="nil"/>
              <w:bottom w:val="single" w:sz="8" w:space="0" w:color="auto"/>
              <w:right w:val="single" w:sz="8" w:space="0" w:color="auto"/>
            </w:tcBorders>
            <w:shd w:val="clear" w:color="auto" w:fill="auto"/>
            <w:noWrap/>
            <w:vAlign w:val="center"/>
            <w:hideMark/>
          </w:tcPr>
          <w:p w14:paraId="3D0306FB"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349</w:t>
            </w:r>
          </w:p>
        </w:tc>
        <w:tc>
          <w:tcPr>
            <w:tcW w:w="1200" w:type="dxa"/>
            <w:tcBorders>
              <w:top w:val="nil"/>
              <w:left w:val="nil"/>
              <w:bottom w:val="single" w:sz="8" w:space="0" w:color="auto"/>
              <w:right w:val="single" w:sz="8" w:space="0" w:color="auto"/>
            </w:tcBorders>
            <w:shd w:val="clear" w:color="auto" w:fill="auto"/>
            <w:noWrap/>
            <w:vAlign w:val="center"/>
            <w:hideMark/>
          </w:tcPr>
          <w:p w14:paraId="382FAD1E"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1336</w:t>
            </w:r>
          </w:p>
        </w:tc>
        <w:tc>
          <w:tcPr>
            <w:tcW w:w="1200" w:type="dxa"/>
            <w:tcBorders>
              <w:top w:val="nil"/>
              <w:left w:val="nil"/>
              <w:bottom w:val="single" w:sz="8" w:space="0" w:color="auto"/>
              <w:right w:val="single" w:sz="8" w:space="0" w:color="auto"/>
            </w:tcBorders>
            <w:shd w:val="clear" w:color="auto" w:fill="auto"/>
            <w:noWrap/>
            <w:vAlign w:val="center"/>
            <w:hideMark/>
          </w:tcPr>
          <w:p w14:paraId="18111AE3"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318</w:t>
            </w:r>
          </w:p>
        </w:tc>
        <w:tc>
          <w:tcPr>
            <w:tcW w:w="1200" w:type="dxa"/>
            <w:tcBorders>
              <w:top w:val="nil"/>
              <w:left w:val="nil"/>
              <w:bottom w:val="single" w:sz="8" w:space="0" w:color="auto"/>
              <w:right w:val="single" w:sz="8" w:space="0" w:color="auto"/>
            </w:tcBorders>
            <w:shd w:val="clear" w:color="auto" w:fill="auto"/>
            <w:noWrap/>
            <w:vAlign w:val="center"/>
            <w:hideMark/>
          </w:tcPr>
          <w:p w14:paraId="634138C6"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66</w:t>
            </w:r>
          </w:p>
        </w:tc>
        <w:tc>
          <w:tcPr>
            <w:tcW w:w="1200" w:type="dxa"/>
            <w:tcBorders>
              <w:top w:val="nil"/>
              <w:left w:val="nil"/>
              <w:bottom w:val="single" w:sz="8" w:space="0" w:color="auto"/>
              <w:right w:val="single" w:sz="8" w:space="0" w:color="auto"/>
            </w:tcBorders>
            <w:shd w:val="clear" w:color="auto" w:fill="auto"/>
            <w:noWrap/>
            <w:vAlign w:val="center"/>
            <w:hideMark/>
          </w:tcPr>
          <w:p w14:paraId="582BFA9D"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46</w:t>
            </w:r>
          </w:p>
        </w:tc>
      </w:tr>
      <w:tr w:rsidR="0035206B" w:rsidRPr="0035206B" w14:paraId="6CFC18E6"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19E05D75"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Sarapiquí</w:t>
            </w:r>
          </w:p>
        </w:tc>
        <w:tc>
          <w:tcPr>
            <w:tcW w:w="1200" w:type="dxa"/>
            <w:tcBorders>
              <w:top w:val="nil"/>
              <w:left w:val="nil"/>
              <w:bottom w:val="single" w:sz="8" w:space="0" w:color="auto"/>
              <w:right w:val="single" w:sz="8" w:space="0" w:color="auto"/>
            </w:tcBorders>
            <w:shd w:val="clear" w:color="auto" w:fill="auto"/>
            <w:noWrap/>
            <w:vAlign w:val="center"/>
            <w:hideMark/>
          </w:tcPr>
          <w:p w14:paraId="4F6E1683"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929</w:t>
            </w:r>
          </w:p>
        </w:tc>
        <w:tc>
          <w:tcPr>
            <w:tcW w:w="1200" w:type="dxa"/>
            <w:tcBorders>
              <w:top w:val="nil"/>
              <w:left w:val="nil"/>
              <w:bottom w:val="single" w:sz="8" w:space="0" w:color="auto"/>
              <w:right w:val="single" w:sz="8" w:space="0" w:color="auto"/>
            </w:tcBorders>
            <w:shd w:val="clear" w:color="auto" w:fill="auto"/>
            <w:noWrap/>
            <w:vAlign w:val="center"/>
            <w:hideMark/>
          </w:tcPr>
          <w:p w14:paraId="4D628498"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106</w:t>
            </w:r>
          </w:p>
        </w:tc>
        <w:tc>
          <w:tcPr>
            <w:tcW w:w="1200" w:type="dxa"/>
            <w:tcBorders>
              <w:top w:val="nil"/>
              <w:left w:val="nil"/>
              <w:bottom w:val="single" w:sz="8" w:space="0" w:color="auto"/>
              <w:right w:val="single" w:sz="8" w:space="0" w:color="auto"/>
            </w:tcBorders>
            <w:shd w:val="clear" w:color="auto" w:fill="auto"/>
            <w:noWrap/>
            <w:vAlign w:val="center"/>
            <w:hideMark/>
          </w:tcPr>
          <w:p w14:paraId="57858F5D"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824</w:t>
            </w:r>
          </w:p>
        </w:tc>
        <w:tc>
          <w:tcPr>
            <w:tcW w:w="1200" w:type="dxa"/>
            <w:tcBorders>
              <w:top w:val="nil"/>
              <w:left w:val="nil"/>
              <w:bottom w:val="single" w:sz="8" w:space="0" w:color="auto"/>
              <w:right w:val="single" w:sz="8" w:space="0" w:color="auto"/>
            </w:tcBorders>
            <w:shd w:val="clear" w:color="auto" w:fill="auto"/>
            <w:noWrap/>
            <w:vAlign w:val="center"/>
            <w:hideMark/>
          </w:tcPr>
          <w:p w14:paraId="39D9BBF3"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165</w:t>
            </w:r>
          </w:p>
        </w:tc>
        <w:tc>
          <w:tcPr>
            <w:tcW w:w="1200" w:type="dxa"/>
            <w:tcBorders>
              <w:top w:val="nil"/>
              <w:left w:val="nil"/>
              <w:bottom w:val="single" w:sz="8" w:space="0" w:color="auto"/>
              <w:right w:val="single" w:sz="8" w:space="0" w:color="auto"/>
            </w:tcBorders>
            <w:shd w:val="clear" w:color="auto" w:fill="auto"/>
            <w:noWrap/>
            <w:vAlign w:val="center"/>
            <w:hideMark/>
          </w:tcPr>
          <w:p w14:paraId="710C38F5"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92</w:t>
            </w:r>
          </w:p>
        </w:tc>
        <w:tc>
          <w:tcPr>
            <w:tcW w:w="1200" w:type="dxa"/>
            <w:tcBorders>
              <w:top w:val="nil"/>
              <w:left w:val="nil"/>
              <w:bottom w:val="single" w:sz="8" w:space="0" w:color="auto"/>
              <w:right w:val="single" w:sz="8" w:space="0" w:color="auto"/>
            </w:tcBorders>
            <w:shd w:val="clear" w:color="auto" w:fill="auto"/>
            <w:noWrap/>
            <w:vAlign w:val="center"/>
            <w:hideMark/>
          </w:tcPr>
          <w:p w14:paraId="7CF20D7B"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63</w:t>
            </w:r>
          </w:p>
        </w:tc>
      </w:tr>
      <w:tr w:rsidR="0035206B" w:rsidRPr="0035206B" w14:paraId="52C347D9" w14:textId="77777777" w:rsidTr="0035206B">
        <w:trPr>
          <w:trHeight w:val="523"/>
          <w:jc w:val="center"/>
        </w:trPr>
        <w:tc>
          <w:tcPr>
            <w:tcW w:w="4020" w:type="dxa"/>
            <w:tcBorders>
              <w:top w:val="nil"/>
              <w:left w:val="single" w:sz="8" w:space="0" w:color="auto"/>
              <w:bottom w:val="single" w:sz="8" w:space="0" w:color="auto"/>
              <w:right w:val="single" w:sz="8" w:space="0" w:color="auto"/>
            </w:tcBorders>
            <w:shd w:val="clear" w:color="auto" w:fill="auto"/>
            <w:vAlign w:val="center"/>
            <w:hideMark/>
          </w:tcPr>
          <w:p w14:paraId="1E541B14" w14:textId="77777777" w:rsidR="0035206B" w:rsidRPr="0035206B" w:rsidRDefault="0035206B" w:rsidP="0035206B">
            <w:pPr>
              <w:spacing w:after="0" w:line="240" w:lineRule="auto"/>
              <w:jc w:val="both"/>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Juzgado Pensiones Alimentarias Nicoya*</w:t>
            </w:r>
          </w:p>
        </w:tc>
        <w:tc>
          <w:tcPr>
            <w:tcW w:w="1200" w:type="dxa"/>
            <w:tcBorders>
              <w:top w:val="nil"/>
              <w:left w:val="nil"/>
              <w:bottom w:val="single" w:sz="8" w:space="0" w:color="auto"/>
              <w:right w:val="single" w:sz="8" w:space="0" w:color="auto"/>
            </w:tcBorders>
            <w:shd w:val="clear" w:color="auto" w:fill="auto"/>
            <w:noWrap/>
            <w:vAlign w:val="center"/>
            <w:hideMark/>
          </w:tcPr>
          <w:p w14:paraId="1B9F9AEB"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834</w:t>
            </w:r>
          </w:p>
        </w:tc>
        <w:tc>
          <w:tcPr>
            <w:tcW w:w="1200" w:type="dxa"/>
            <w:tcBorders>
              <w:top w:val="nil"/>
              <w:left w:val="nil"/>
              <w:bottom w:val="single" w:sz="8" w:space="0" w:color="auto"/>
              <w:right w:val="single" w:sz="8" w:space="0" w:color="auto"/>
            </w:tcBorders>
            <w:shd w:val="clear" w:color="auto" w:fill="auto"/>
            <w:noWrap/>
            <w:vAlign w:val="center"/>
            <w:hideMark/>
          </w:tcPr>
          <w:p w14:paraId="5506FC3E"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144</w:t>
            </w:r>
          </w:p>
        </w:tc>
        <w:tc>
          <w:tcPr>
            <w:tcW w:w="1200" w:type="dxa"/>
            <w:tcBorders>
              <w:top w:val="nil"/>
              <w:left w:val="nil"/>
              <w:bottom w:val="single" w:sz="8" w:space="0" w:color="auto"/>
              <w:right w:val="single" w:sz="8" w:space="0" w:color="auto"/>
            </w:tcBorders>
            <w:shd w:val="clear" w:color="auto" w:fill="auto"/>
            <w:noWrap/>
            <w:vAlign w:val="center"/>
            <w:hideMark/>
          </w:tcPr>
          <w:p w14:paraId="0807AC52"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698</w:t>
            </w:r>
          </w:p>
        </w:tc>
        <w:tc>
          <w:tcPr>
            <w:tcW w:w="1200" w:type="dxa"/>
            <w:tcBorders>
              <w:top w:val="nil"/>
              <w:left w:val="nil"/>
              <w:bottom w:val="single" w:sz="8" w:space="0" w:color="auto"/>
              <w:right w:val="single" w:sz="8" w:space="0" w:color="auto"/>
            </w:tcBorders>
            <w:shd w:val="clear" w:color="auto" w:fill="auto"/>
            <w:noWrap/>
            <w:vAlign w:val="center"/>
            <w:hideMark/>
          </w:tcPr>
          <w:p w14:paraId="296A7871"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149</w:t>
            </w:r>
          </w:p>
        </w:tc>
        <w:tc>
          <w:tcPr>
            <w:tcW w:w="1200" w:type="dxa"/>
            <w:tcBorders>
              <w:top w:val="nil"/>
              <w:left w:val="nil"/>
              <w:bottom w:val="single" w:sz="8" w:space="0" w:color="auto"/>
              <w:right w:val="single" w:sz="8" w:space="0" w:color="auto"/>
            </w:tcBorders>
            <w:shd w:val="clear" w:color="auto" w:fill="auto"/>
            <w:noWrap/>
            <w:vAlign w:val="center"/>
            <w:hideMark/>
          </w:tcPr>
          <w:p w14:paraId="749B58CB"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43</w:t>
            </w:r>
          </w:p>
        </w:tc>
        <w:tc>
          <w:tcPr>
            <w:tcW w:w="1200" w:type="dxa"/>
            <w:tcBorders>
              <w:top w:val="nil"/>
              <w:left w:val="nil"/>
              <w:bottom w:val="single" w:sz="8" w:space="0" w:color="auto"/>
              <w:right w:val="single" w:sz="8" w:space="0" w:color="auto"/>
            </w:tcBorders>
            <w:shd w:val="clear" w:color="auto" w:fill="auto"/>
            <w:noWrap/>
            <w:vAlign w:val="center"/>
            <w:hideMark/>
          </w:tcPr>
          <w:p w14:paraId="06AA6A79" w14:textId="77777777" w:rsidR="0035206B" w:rsidRPr="0035206B" w:rsidRDefault="0035206B" w:rsidP="0035206B">
            <w:pPr>
              <w:spacing w:after="0" w:line="240" w:lineRule="auto"/>
              <w:jc w:val="center"/>
              <w:rPr>
                <w:rFonts w:ascii="Book Antiqua" w:eastAsia="Times New Roman" w:hAnsi="Book Antiqua" w:cs="Calibri"/>
                <w:color w:val="000000"/>
                <w:lang w:eastAsia="es-CR"/>
              </w:rPr>
            </w:pPr>
            <w:r w:rsidRPr="0035206B">
              <w:rPr>
                <w:rFonts w:ascii="Book Antiqua" w:eastAsia="Times New Roman" w:hAnsi="Book Antiqua" w:cs="Calibri"/>
                <w:color w:val="000000"/>
                <w:lang w:eastAsia="es-CR"/>
              </w:rPr>
              <w:t>38</w:t>
            </w:r>
          </w:p>
        </w:tc>
      </w:tr>
      <w:tr w:rsidR="0035206B" w:rsidRPr="0035206B" w14:paraId="34538711" w14:textId="77777777" w:rsidTr="0035206B">
        <w:trPr>
          <w:trHeight w:val="300"/>
          <w:jc w:val="center"/>
        </w:trPr>
        <w:tc>
          <w:tcPr>
            <w:tcW w:w="4020" w:type="dxa"/>
            <w:tcBorders>
              <w:top w:val="nil"/>
              <w:left w:val="single" w:sz="8" w:space="0" w:color="auto"/>
              <w:bottom w:val="single" w:sz="8" w:space="0" w:color="auto"/>
              <w:right w:val="single" w:sz="8" w:space="0" w:color="auto"/>
            </w:tcBorders>
            <w:shd w:val="clear" w:color="000000" w:fill="808080"/>
            <w:vAlign w:val="center"/>
            <w:hideMark/>
          </w:tcPr>
          <w:p w14:paraId="28A829E6" w14:textId="77777777" w:rsidR="0035206B" w:rsidRPr="0035206B" w:rsidRDefault="0035206B" w:rsidP="0035206B">
            <w:pPr>
              <w:spacing w:after="0" w:line="240" w:lineRule="auto"/>
              <w:jc w:val="right"/>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Total</w:t>
            </w:r>
          </w:p>
        </w:tc>
        <w:tc>
          <w:tcPr>
            <w:tcW w:w="1200" w:type="dxa"/>
            <w:tcBorders>
              <w:top w:val="nil"/>
              <w:left w:val="nil"/>
              <w:bottom w:val="single" w:sz="8" w:space="0" w:color="auto"/>
              <w:right w:val="single" w:sz="8" w:space="0" w:color="auto"/>
            </w:tcBorders>
            <w:shd w:val="clear" w:color="000000" w:fill="808080"/>
            <w:noWrap/>
            <w:vAlign w:val="center"/>
            <w:hideMark/>
          </w:tcPr>
          <w:p w14:paraId="565C1CC4"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27606</w:t>
            </w:r>
          </w:p>
        </w:tc>
        <w:tc>
          <w:tcPr>
            <w:tcW w:w="1200" w:type="dxa"/>
            <w:tcBorders>
              <w:top w:val="nil"/>
              <w:left w:val="nil"/>
              <w:bottom w:val="single" w:sz="8" w:space="0" w:color="auto"/>
              <w:right w:val="single" w:sz="8" w:space="0" w:color="auto"/>
            </w:tcBorders>
            <w:shd w:val="clear" w:color="000000" w:fill="808080"/>
            <w:noWrap/>
            <w:vAlign w:val="center"/>
            <w:hideMark/>
          </w:tcPr>
          <w:p w14:paraId="26C87E98"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5603</w:t>
            </w:r>
          </w:p>
        </w:tc>
        <w:tc>
          <w:tcPr>
            <w:tcW w:w="1200" w:type="dxa"/>
            <w:tcBorders>
              <w:top w:val="nil"/>
              <w:left w:val="nil"/>
              <w:bottom w:val="single" w:sz="8" w:space="0" w:color="auto"/>
              <w:right w:val="single" w:sz="8" w:space="0" w:color="auto"/>
            </w:tcBorders>
            <w:shd w:val="clear" w:color="000000" w:fill="808080"/>
            <w:noWrap/>
            <w:vAlign w:val="center"/>
            <w:hideMark/>
          </w:tcPr>
          <w:p w14:paraId="74AD5C91"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19175</w:t>
            </w:r>
          </w:p>
        </w:tc>
        <w:tc>
          <w:tcPr>
            <w:tcW w:w="1200" w:type="dxa"/>
            <w:tcBorders>
              <w:top w:val="nil"/>
              <w:left w:val="nil"/>
              <w:bottom w:val="single" w:sz="8" w:space="0" w:color="auto"/>
              <w:right w:val="single" w:sz="8" w:space="0" w:color="auto"/>
            </w:tcBorders>
            <w:shd w:val="clear" w:color="000000" w:fill="808080"/>
            <w:noWrap/>
            <w:vAlign w:val="center"/>
            <w:hideMark/>
          </w:tcPr>
          <w:p w14:paraId="39C50E3A"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4656</w:t>
            </w:r>
          </w:p>
        </w:tc>
        <w:tc>
          <w:tcPr>
            <w:tcW w:w="1200" w:type="dxa"/>
            <w:tcBorders>
              <w:top w:val="nil"/>
              <w:left w:val="nil"/>
              <w:bottom w:val="single" w:sz="8" w:space="0" w:color="auto"/>
              <w:right w:val="single" w:sz="8" w:space="0" w:color="auto"/>
            </w:tcBorders>
            <w:shd w:val="clear" w:color="000000" w:fill="808080"/>
            <w:noWrap/>
            <w:vAlign w:val="center"/>
            <w:hideMark/>
          </w:tcPr>
          <w:p w14:paraId="57BFA21B" w14:textId="77777777" w:rsidR="0035206B" w:rsidRPr="0035206B" w:rsidRDefault="0035206B" w:rsidP="0035206B">
            <w:pPr>
              <w:spacing w:after="0" w:line="240" w:lineRule="auto"/>
              <w:rPr>
                <w:rFonts w:ascii="Calibri" w:eastAsia="Times New Roman" w:hAnsi="Calibri" w:cs="Calibri"/>
                <w:color w:val="000000"/>
                <w:lang w:eastAsia="es-CR"/>
              </w:rPr>
            </w:pPr>
            <w:r w:rsidRPr="0035206B">
              <w:rPr>
                <w:rFonts w:ascii="Calibri" w:eastAsia="Times New Roman" w:hAnsi="Calibri" w:cs="Calibri"/>
                <w:color w:val="000000"/>
                <w:lang w:eastAsia="es-CR"/>
              </w:rPr>
              <w:t> </w:t>
            </w:r>
          </w:p>
        </w:tc>
        <w:tc>
          <w:tcPr>
            <w:tcW w:w="1200" w:type="dxa"/>
            <w:tcBorders>
              <w:top w:val="nil"/>
              <w:left w:val="nil"/>
              <w:bottom w:val="single" w:sz="8" w:space="0" w:color="auto"/>
              <w:right w:val="single" w:sz="8" w:space="0" w:color="auto"/>
            </w:tcBorders>
            <w:shd w:val="clear" w:color="000000" w:fill="808080"/>
            <w:noWrap/>
            <w:vAlign w:val="center"/>
            <w:hideMark/>
          </w:tcPr>
          <w:p w14:paraId="6DBADA3F" w14:textId="77777777" w:rsidR="0035206B" w:rsidRPr="0035206B" w:rsidRDefault="0035206B" w:rsidP="0035206B">
            <w:pPr>
              <w:spacing w:after="0" w:line="240" w:lineRule="auto"/>
              <w:rPr>
                <w:rFonts w:ascii="Calibri" w:eastAsia="Times New Roman" w:hAnsi="Calibri" w:cs="Calibri"/>
                <w:color w:val="000000"/>
                <w:lang w:eastAsia="es-CR"/>
              </w:rPr>
            </w:pPr>
            <w:r w:rsidRPr="0035206B">
              <w:rPr>
                <w:rFonts w:ascii="Calibri" w:eastAsia="Times New Roman" w:hAnsi="Calibri" w:cs="Calibri"/>
                <w:color w:val="000000"/>
                <w:lang w:eastAsia="es-CR"/>
              </w:rPr>
              <w:t> </w:t>
            </w:r>
          </w:p>
        </w:tc>
      </w:tr>
      <w:tr w:rsidR="0035206B" w:rsidRPr="0035206B" w14:paraId="1796B26D" w14:textId="77777777" w:rsidTr="0035206B">
        <w:trPr>
          <w:trHeight w:val="300"/>
          <w:jc w:val="center"/>
        </w:trPr>
        <w:tc>
          <w:tcPr>
            <w:tcW w:w="4020" w:type="dxa"/>
            <w:tcBorders>
              <w:top w:val="nil"/>
              <w:left w:val="single" w:sz="8" w:space="0" w:color="auto"/>
              <w:bottom w:val="single" w:sz="8" w:space="0" w:color="auto"/>
              <w:right w:val="single" w:sz="8" w:space="0" w:color="auto"/>
            </w:tcBorders>
            <w:shd w:val="clear" w:color="000000" w:fill="808080"/>
            <w:vAlign w:val="center"/>
            <w:hideMark/>
          </w:tcPr>
          <w:p w14:paraId="03716B79" w14:textId="77777777" w:rsidR="0035206B" w:rsidRPr="0035206B" w:rsidRDefault="0035206B" w:rsidP="0035206B">
            <w:pPr>
              <w:spacing w:after="0" w:line="240" w:lineRule="auto"/>
              <w:jc w:val="right"/>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Promedio</w:t>
            </w:r>
          </w:p>
        </w:tc>
        <w:tc>
          <w:tcPr>
            <w:tcW w:w="1200" w:type="dxa"/>
            <w:tcBorders>
              <w:top w:val="nil"/>
              <w:left w:val="nil"/>
              <w:bottom w:val="single" w:sz="8" w:space="0" w:color="auto"/>
              <w:right w:val="single" w:sz="8" w:space="0" w:color="auto"/>
            </w:tcBorders>
            <w:shd w:val="clear" w:color="000000" w:fill="808080"/>
            <w:noWrap/>
            <w:vAlign w:val="center"/>
            <w:hideMark/>
          </w:tcPr>
          <w:p w14:paraId="3134C1B2"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 </w:t>
            </w:r>
          </w:p>
        </w:tc>
        <w:tc>
          <w:tcPr>
            <w:tcW w:w="1200" w:type="dxa"/>
            <w:tcBorders>
              <w:top w:val="nil"/>
              <w:left w:val="nil"/>
              <w:bottom w:val="single" w:sz="8" w:space="0" w:color="auto"/>
              <w:right w:val="single" w:sz="8" w:space="0" w:color="auto"/>
            </w:tcBorders>
            <w:shd w:val="clear" w:color="000000" w:fill="808080"/>
            <w:noWrap/>
            <w:vAlign w:val="center"/>
            <w:hideMark/>
          </w:tcPr>
          <w:p w14:paraId="4FF7A11B"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 </w:t>
            </w:r>
          </w:p>
        </w:tc>
        <w:tc>
          <w:tcPr>
            <w:tcW w:w="1200" w:type="dxa"/>
            <w:tcBorders>
              <w:top w:val="nil"/>
              <w:left w:val="nil"/>
              <w:bottom w:val="single" w:sz="8" w:space="0" w:color="auto"/>
              <w:right w:val="single" w:sz="8" w:space="0" w:color="auto"/>
            </w:tcBorders>
            <w:shd w:val="clear" w:color="000000" w:fill="808080"/>
            <w:noWrap/>
            <w:vAlign w:val="center"/>
            <w:hideMark/>
          </w:tcPr>
          <w:p w14:paraId="69EC61AC"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 </w:t>
            </w:r>
          </w:p>
        </w:tc>
        <w:tc>
          <w:tcPr>
            <w:tcW w:w="1200" w:type="dxa"/>
            <w:tcBorders>
              <w:top w:val="nil"/>
              <w:left w:val="nil"/>
              <w:bottom w:val="single" w:sz="8" w:space="0" w:color="auto"/>
              <w:right w:val="single" w:sz="8" w:space="0" w:color="auto"/>
            </w:tcBorders>
            <w:shd w:val="clear" w:color="000000" w:fill="808080"/>
            <w:noWrap/>
            <w:vAlign w:val="center"/>
            <w:hideMark/>
          </w:tcPr>
          <w:p w14:paraId="2C6BEDA9"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 </w:t>
            </w:r>
          </w:p>
        </w:tc>
        <w:tc>
          <w:tcPr>
            <w:tcW w:w="1200" w:type="dxa"/>
            <w:tcBorders>
              <w:top w:val="nil"/>
              <w:left w:val="nil"/>
              <w:bottom w:val="single" w:sz="8" w:space="0" w:color="auto"/>
              <w:right w:val="single" w:sz="8" w:space="0" w:color="auto"/>
            </w:tcBorders>
            <w:shd w:val="clear" w:color="000000" w:fill="808080"/>
            <w:noWrap/>
            <w:vAlign w:val="center"/>
            <w:hideMark/>
          </w:tcPr>
          <w:p w14:paraId="43892EA2"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61</w:t>
            </w:r>
          </w:p>
        </w:tc>
        <w:tc>
          <w:tcPr>
            <w:tcW w:w="1200" w:type="dxa"/>
            <w:tcBorders>
              <w:top w:val="nil"/>
              <w:left w:val="nil"/>
              <w:bottom w:val="single" w:sz="8" w:space="0" w:color="auto"/>
              <w:right w:val="single" w:sz="8" w:space="0" w:color="auto"/>
            </w:tcBorders>
            <w:shd w:val="clear" w:color="000000" w:fill="808080"/>
            <w:noWrap/>
            <w:vAlign w:val="center"/>
            <w:hideMark/>
          </w:tcPr>
          <w:p w14:paraId="00CEC636" w14:textId="77777777" w:rsidR="0035206B" w:rsidRPr="0035206B" w:rsidRDefault="0035206B" w:rsidP="0035206B">
            <w:pPr>
              <w:spacing w:after="0" w:line="240" w:lineRule="auto"/>
              <w:jc w:val="center"/>
              <w:rPr>
                <w:rFonts w:ascii="Book Antiqua" w:eastAsia="Times New Roman" w:hAnsi="Book Antiqua" w:cs="Calibri"/>
                <w:b/>
                <w:bCs/>
                <w:color w:val="FFFFFF"/>
                <w:lang w:eastAsia="es-CR"/>
              </w:rPr>
            </w:pPr>
            <w:r w:rsidRPr="0035206B">
              <w:rPr>
                <w:rFonts w:ascii="Book Antiqua" w:eastAsia="Times New Roman" w:hAnsi="Book Antiqua" w:cs="Calibri"/>
                <w:b/>
                <w:bCs/>
                <w:color w:val="FFFFFF"/>
                <w:lang w:eastAsia="es-CR"/>
              </w:rPr>
              <w:t>43</w:t>
            </w:r>
          </w:p>
        </w:tc>
      </w:tr>
    </w:tbl>
    <w:p w14:paraId="77C9C9DA" w14:textId="1EB96698" w:rsidR="00397619" w:rsidRDefault="0029413D" w:rsidP="00F67BF4">
      <w:pPr>
        <w:spacing w:after="0" w:line="240" w:lineRule="auto"/>
        <w:jc w:val="both"/>
        <w:rPr>
          <w:rFonts w:ascii="Book Antiqua" w:hAnsi="Book Antiqua"/>
          <w:i/>
          <w:iCs/>
          <w:lang w:val="es-ES"/>
        </w:rPr>
      </w:pPr>
      <w:r w:rsidRPr="009B6BF6">
        <w:rPr>
          <w:rFonts w:ascii="Book Antiqua" w:hAnsi="Book Antiqua"/>
          <w:b/>
          <w:bCs/>
          <w:i/>
          <w:iCs/>
          <w:lang w:val="es-ES"/>
        </w:rPr>
        <w:t>Fuente:</w:t>
      </w:r>
      <w:r w:rsidRPr="0029413D">
        <w:rPr>
          <w:rFonts w:ascii="Book Antiqua" w:hAnsi="Book Antiqua"/>
          <w:i/>
          <w:iCs/>
          <w:lang w:val="es-ES"/>
        </w:rPr>
        <w:t xml:space="preserve"> Subproceso de Modernización Institucional con datos del Subproceso de Estadística de</w:t>
      </w:r>
      <w:r w:rsidR="00F67BF4">
        <w:rPr>
          <w:rFonts w:ascii="Book Antiqua" w:hAnsi="Book Antiqua"/>
          <w:i/>
          <w:iCs/>
          <w:lang w:val="es-ES"/>
        </w:rPr>
        <w:t>l 2017 al 2022 y consulta del Balance General Interactivo del 24/2/2022.</w:t>
      </w:r>
    </w:p>
    <w:p w14:paraId="667E3A21" w14:textId="7AEA2F81" w:rsidR="0029413D" w:rsidRPr="0029413D" w:rsidRDefault="0029413D" w:rsidP="00F67BF4">
      <w:pPr>
        <w:spacing w:after="0" w:line="240" w:lineRule="auto"/>
        <w:jc w:val="both"/>
        <w:rPr>
          <w:rFonts w:ascii="Book Antiqua" w:hAnsi="Book Antiqua"/>
          <w:i/>
          <w:iCs/>
          <w:lang w:val="es-ES"/>
        </w:rPr>
      </w:pPr>
      <w:r w:rsidRPr="0029413D">
        <w:rPr>
          <w:rFonts w:ascii="Book Antiqua" w:hAnsi="Book Antiqua"/>
          <w:i/>
          <w:iCs/>
          <w:lang w:val="es-ES"/>
        </w:rPr>
        <w:t>La información de la cantidad de casos entrados de 2017 a 20</w:t>
      </w:r>
      <w:r>
        <w:rPr>
          <w:rFonts w:ascii="Book Antiqua" w:hAnsi="Book Antiqua"/>
          <w:i/>
          <w:iCs/>
          <w:lang w:val="es-ES"/>
        </w:rPr>
        <w:t>2</w:t>
      </w:r>
      <w:r w:rsidR="00F67BF4">
        <w:rPr>
          <w:rFonts w:ascii="Book Antiqua" w:hAnsi="Book Antiqua"/>
          <w:i/>
          <w:iCs/>
          <w:lang w:val="es-ES"/>
        </w:rPr>
        <w:t>2</w:t>
      </w:r>
      <w:r w:rsidRPr="0029413D">
        <w:rPr>
          <w:rFonts w:ascii="Book Antiqua" w:hAnsi="Book Antiqua"/>
          <w:i/>
          <w:iCs/>
          <w:lang w:val="es-ES"/>
        </w:rPr>
        <w:t xml:space="preserve"> incluye: Principales, Reentrados, Procesos de Modificación de Fallo y Apremios (20</w:t>
      </w:r>
      <w:r>
        <w:rPr>
          <w:rFonts w:ascii="Book Antiqua" w:hAnsi="Book Antiqua"/>
          <w:i/>
          <w:iCs/>
          <w:lang w:val="es-ES"/>
        </w:rPr>
        <w:t>2</w:t>
      </w:r>
      <w:r w:rsidRPr="0029413D">
        <w:rPr>
          <w:rFonts w:ascii="Book Antiqua" w:hAnsi="Book Antiqua"/>
          <w:i/>
          <w:iCs/>
          <w:lang w:val="es-ES"/>
        </w:rPr>
        <w:t>1</w:t>
      </w:r>
      <w:r w:rsidR="00F67BF4">
        <w:rPr>
          <w:rFonts w:ascii="Book Antiqua" w:hAnsi="Book Antiqua"/>
          <w:i/>
          <w:iCs/>
          <w:lang w:val="es-ES"/>
        </w:rPr>
        <w:t>-2022</w:t>
      </w:r>
      <w:r w:rsidRPr="0029413D">
        <w:rPr>
          <w:rFonts w:ascii="Book Antiqua" w:hAnsi="Book Antiqua"/>
          <w:i/>
          <w:iCs/>
          <w:lang w:val="es-ES"/>
        </w:rPr>
        <w:t>) para las personas técnicas judiciales.</w:t>
      </w:r>
    </w:p>
    <w:p w14:paraId="2AC125FE" w14:textId="34F2F3E7" w:rsidR="00A554BE" w:rsidRPr="0029413D" w:rsidRDefault="0029413D" w:rsidP="00F67BF4">
      <w:pPr>
        <w:spacing w:after="0" w:line="240" w:lineRule="auto"/>
        <w:jc w:val="both"/>
        <w:rPr>
          <w:rFonts w:ascii="Book Antiqua" w:hAnsi="Book Antiqua"/>
          <w:i/>
          <w:iCs/>
          <w:lang w:val="es-ES"/>
        </w:rPr>
      </w:pPr>
      <w:r w:rsidRPr="00F67BF4">
        <w:rPr>
          <w:rFonts w:ascii="Book Antiqua" w:hAnsi="Book Antiqua"/>
          <w:b/>
          <w:bCs/>
          <w:i/>
          <w:iCs/>
          <w:lang w:val="es-ES"/>
        </w:rPr>
        <w:t>Nota *:</w:t>
      </w:r>
      <w:r w:rsidRPr="0029413D">
        <w:rPr>
          <w:rFonts w:ascii="Book Antiqua" w:hAnsi="Book Antiqua"/>
          <w:i/>
          <w:iCs/>
          <w:lang w:val="es-ES"/>
        </w:rPr>
        <w:t xml:space="preserve"> Juzgado especializado a partir del acuerdo del Consejo Superior en sesión 34-19 celebrada el 19 de agosto de 2019, Artículo XIX, se incluye la información estadística del 201</w:t>
      </w:r>
      <w:r w:rsidRPr="0035206B">
        <w:rPr>
          <w:rFonts w:ascii="Book Antiqua" w:hAnsi="Book Antiqua"/>
          <w:i/>
          <w:iCs/>
          <w:lang w:val="es-ES"/>
        </w:rPr>
        <w:t xml:space="preserve">9.  </w:t>
      </w:r>
    </w:p>
    <w:p w14:paraId="0EF90DCD" w14:textId="03933CA1" w:rsidR="00692388" w:rsidRDefault="00692388" w:rsidP="00036F7A">
      <w:pPr>
        <w:rPr>
          <w:lang w:val="es-ES"/>
        </w:rPr>
      </w:pPr>
    </w:p>
    <w:p w14:paraId="35DBAC1E" w14:textId="2C523606" w:rsidR="00692388" w:rsidRPr="00692388" w:rsidRDefault="00692388" w:rsidP="00692388">
      <w:pPr>
        <w:spacing w:after="0" w:line="276" w:lineRule="auto"/>
        <w:jc w:val="both"/>
        <w:rPr>
          <w:rFonts w:ascii="Book Antiqua" w:eastAsia="Calibri" w:hAnsi="Book Antiqua" w:cs="Arial"/>
          <w:sz w:val="24"/>
          <w:szCs w:val="24"/>
        </w:rPr>
      </w:pPr>
      <w:r w:rsidRPr="0035206B">
        <w:rPr>
          <w:rFonts w:ascii="Book Antiqua" w:eastAsia="Calibri" w:hAnsi="Book Antiqua" w:cs="Arial"/>
          <w:sz w:val="24"/>
          <w:szCs w:val="24"/>
        </w:rPr>
        <w:t xml:space="preserve">En relación con la información del cuadro anterior, se destaca que la carga de trabajo de asuntos entrados es de </w:t>
      </w:r>
      <w:r w:rsidR="0035206B" w:rsidRPr="0035206B">
        <w:rPr>
          <w:rFonts w:ascii="Book Antiqua" w:eastAsia="Calibri" w:hAnsi="Book Antiqua" w:cs="Arial"/>
          <w:sz w:val="24"/>
          <w:szCs w:val="24"/>
        </w:rPr>
        <w:t>61</w:t>
      </w:r>
      <w:r w:rsidRPr="0035206B">
        <w:rPr>
          <w:rFonts w:ascii="Book Antiqua" w:eastAsia="Calibri" w:hAnsi="Book Antiqua" w:cs="Arial"/>
          <w:sz w:val="24"/>
          <w:szCs w:val="24"/>
        </w:rPr>
        <w:t xml:space="preserve"> al mes por persona juzgadora, contabilizando los casos entrados y las modificaciones de fallo y de </w:t>
      </w:r>
      <w:r w:rsidR="0035206B" w:rsidRPr="0035206B">
        <w:rPr>
          <w:rFonts w:ascii="Book Antiqua" w:eastAsia="Calibri" w:hAnsi="Book Antiqua" w:cs="Arial"/>
          <w:sz w:val="24"/>
          <w:szCs w:val="24"/>
        </w:rPr>
        <w:t>4</w:t>
      </w:r>
      <w:r w:rsidRPr="0035206B">
        <w:rPr>
          <w:rFonts w:ascii="Book Antiqua" w:eastAsia="Calibri" w:hAnsi="Book Antiqua" w:cs="Arial"/>
          <w:sz w:val="24"/>
          <w:szCs w:val="24"/>
        </w:rPr>
        <w:t>3 al mes por persona técnica judicial de trámite, contabilizando los casos entrados</w:t>
      </w:r>
      <w:r w:rsidR="00397619" w:rsidRPr="0035206B">
        <w:rPr>
          <w:rFonts w:ascii="Book Antiqua" w:eastAsia="Calibri" w:hAnsi="Book Antiqua" w:cs="Arial"/>
          <w:sz w:val="24"/>
          <w:szCs w:val="24"/>
        </w:rPr>
        <w:t>,</w:t>
      </w:r>
      <w:r w:rsidRPr="0035206B">
        <w:rPr>
          <w:rFonts w:ascii="Book Antiqua" w:eastAsia="Calibri" w:hAnsi="Book Antiqua" w:cs="Arial"/>
          <w:sz w:val="24"/>
          <w:szCs w:val="24"/>
        </w:rPr>
        <w:t xml:space="preserve"> las modificaciones de fallo</w:t>
      </w:r>
      <w:r w:rsidR="00397619" w:rsidRPr="0035206B">
        <w:rPr>
          <w:rFonts w:ascii="Book Antiqua" w:eastAsia="Calibri" w:hAnsi="Book Antiqua" w:cs="Arial"/>
          <w:sz w:val="24"/>
          <w:szCs w:val="24"/>
        </w:rPr>
        <w:t xml:space="preserve"> y los apremios</w:t>
      </w:r>
      <w:r w:rsidRPr="0035206B">
        <w:rPr>
          <w:rFonts w:ascii="Book Antiqua" w:eastAsia="Calibri" w:hAnsi="Book Antiqua" w:cs="Arial"/>
          <w:sz w:val="24"/>
          <w:szCs w:val="24"/>
        </w:rPr>
        <w:t>.</w:t>
      </w:r>
    </w:p>
    <w:p w14:paraId="4DBD16B0" w14:textId="68366AE5" w:rsid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 xml:space="preserve">Al analizar el movimiento histórico de la entrada y la salida de los juzgados se hace necesario revisar el comportamiento del circulante distribuido entre las fases de trámite que corresponde a demanda, demostrativa y conclusiva, es decir, cuando la persona usuaria no cuenta aún con solución a su conflicto debido a que </w:t>
      </w:r>
      <w:r w:rsidRPr="00692388" w:rsidDel="00BB5E63">
        <w:rPr>
          <w:rFonts w:ascii="Book Antiqua" w:eastAsia="Calibri" w:hAnsi="Book Antiqua" w:cs="Arial"/>
          <w:sz w:val="24"/>
          <w:szCs w:val="24"/>
        </w:rPr>
        <w:t xml:space="preserve">no se </w:t>
      </w:r>
      <w:r w:rsidRPr="00692388">
        <w:rPr>
          <w:rFonts w:ascii="Book Antiqua" w:eastAsia="Calibri" w:hAnsi="Book Antiqua" w:cs="Arial"/>
          <w:sz w:val="24"/>
          <w:szCs w:val="24"/>
        </w:rPr>
        <w:t xml:space="preserve">ha logrado llegar </w:t>
      </w:r>
      <w:r w:rsidR="00D13D1F">
        <w:rPr>
          <w:rFonts w:ascii="Book Antiqua" w:eastAsia="Calibri" w:hAnsi="Book Antiqua" w:cs="Arial"/>
          <w:sz w:val="24"/>
          <w:szCs w:val="24"/>
        </w:rPr>
        <w:t xml:space="preserve">a </w:t>
      </w:r>
      <w:r w:rsidRPr="00692388">
        <w:rPr>
          <w:rFonts w:ascii="Book Antiqua" w:eastAsia="Calibri" w:hAnsi="Book Antiqua" w:cs="Arial"/>
          <w:sz w:val="24"/>
          <w:szCs w:val="24"/>
        </w:rPr>
        <w:t xml:space="preserve">un acuerdo conciliatorio homologado o al dictado de una sentencia; y la fase de Ejecución, que contempla la ejecución pasiva y la ejecución activa, en la cual se ejecutará lo dispuesto en la sentencia o acuerdo homologado. </w:t>
      </w:r>
    </w:p>
    <w:p w14:paraId="0AAFC277" w14:textId="13C3F898" w:rsidR="0035206B" w:rsidRDefault="0035206B" w:rsidP="00692388">
      <w:pPr>
        <w:spacing w:after="0" w:line="276" w:lineRule="auto"/>
        <w:jc w:val="both"/>
        <w:rPr>
          <w:rFonts w:ascii="Book Antiqua" w:eastAsia="Calibri" w:hAnsi="Book Antiqua" w:cs="Arial"/>
          <w:sz w:val="24"/>
          <w:szCs w:val="24"/>
        </w:rPr>
      </w:pPr>
    </w:p>
    <w:p w14:paraId="60249CE2" w14:textId="77A376BF" w:rsidR="0035206B" w:rsidRDefault="0035206B" w:rsidP="00692388">
      <w:pPr>
        <w:spacing w:after="0" w:line="276" w:lineRule="auto"/>
        <w:jc w:val="both"/>
        <w:rPr>
          <w:rFonts w:ascii="Book Antiqua" w:eastAsia="Calibri" w:hAnsi="Book Antiqua" w:cs="Arial"/>
          <w:sz w:val="24"/>
          <w:szCs w:val="24"/>
        </w:rPr>
      </w:pPr>
    </w:p>
    <w:p w14:paraId="550F65C3" w14:textId="4ABFC4BA" w:rsidR="0035206B" w:rsidRDefault="0035206B" w:rsidP="00692388">
      <w:pPr>
        <w:spacing w:after="0" w:line="276" w:lineRule="auto"/>
        <w:jc w:val="both"/>
        <w:rPr>
          <w:rFonts w:ascii="Book Antiqua" w:eastAsia="Calibri" w:hAnsi="Book Antiqua" w:cs="Arial"/>
          <w:sz w:val="24"/>
          <w:szCs w:val="24"/>
        </w:rPr>
      </w:pPr>
    </w:p>
    <w:p w14:paraId="39EAFA13" w14:textId="068870F7" w:rsidR="0035206B" w:rsidRDefault="0035206B" w:rsidP="00692388">
      <w:pPr>
        <w:spacing w:after="0" w:line="276" w:lineRule="auto"/>
        <w:jc w:val="both"/>
        <w:rPr>
          <w:rFonts w:ascii="Book Antiqua" w:eastAsia="Calibri" w:hAnsi="Book Antiqua" w:cs="Arial"/>
          <w:sz w:val="24"/>
          <w:szCs w:val="24"/>
        </w:rPr>
      </w:pPr>
    </w:p>
    <w:p w14:paraId="3B6260D7" w14:textId="4829D8EB" w:rsidR="0035206B" w:rsidRDefault="0035206B" w:rsidP="00692388">
      <w:pPr>
        <w:spacing w:after="0" w:line="276" w:lineRule="auto"/>
        <w:jc w:val="both"/>
        <w:rPr>
          <w:rFonts w:ascii="Book Antiqua" w:eastAsia="Calibri" w:hAnsi="Book Antiqua" w:cs="Arial"/>
          <w:sz w:val="24"/>
          <w:szCs w:val="24"/>
        </w:rPr>
      </w:pPr>
    </w:p>
    <w:p w14:paraId="08738DC9" w14:textId="54130666" w:rsidR="0035206B" w:rsidRDefault="0035206B" w:rsidP="00692388">
      <w:pPr>
        <w:spacing w:after="0" w:line="276" w:lineRule="auto"/>
        <w:jc w:val="both"/>
        <w:rPr>
          <w:rFonts w:ascii="Book Antiqua" w:eastAsia="Calibri" w:hAnsi="Book Antiqua" w:cs="Arial"/>
          <w:sz w:val="24"/>
          <w:szCs w:val="24"/>
        </w:rPr>
      </w:pPr>
    </w:p>
    <w:p w14:paraId="78E96199" w14:textId="77777777" w:rsidR="0035206B" w:rsidRPr="00692388" w:rsidRDefault="0035206B" w:rsidP="00692388">
      <w:pPr>
        <w:spacing w:after="0" w:line="276" w:lineRule="auto"/>
        <w:jc w:val="both"/>
        <w:rPr>
          <w:rFonts w:ascii="Book Antiqua" w:eastAsia="Calibri" w:hAnsi="Book Antiqua" w:cs="Arial"/>
          <w:sz w:val="24"/>
          <w:szCs w:val="24"/>
        </w:rPr>
      </w:pPr>
    </w:p>
    <w:p w14:paraId="4289A715" w14:textId="4552B4DE" w:rsidR="00692388" w:rsidRDefault="00692388" w:rsidP="00036F7A">
      <w:pPr>
        <w:rPr>
          <w:lang w:val="es-ES"/>
        </w:rPr>
      </w:pPr>
    </w:p>
    <w:p w14:paraId="4FDF65A2" w14:textId="33D2F66C" w:rsidR="00D13D1F" w:rsidRPr="00D13D1F" w:rsidRDefault="00D13D1F" w:rsidP="00D13D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13D1F">
        <w:rPr>
          <w:rFonts w:ascii="Book Antiqua" w:eastAsia="Calibri" w:hAnsi="Book Antiqua" w:cs="Arial"/>
          <w:b/>
          <w:bCs/>
          <w:color w:val="1F497D"/>
          <w:szCs w:val="24"/>
          <w:lang w:val="es-ES" w:eastAsia="es-ES"/>
        </w:rPr>
        <w:t xml:space="preserve">Gráfico </w:t>
      </w:r>
      <w:r w:rsidRPr="00D13D1F">
        <w:rPr>
          <w:rFonts w:ascii="Book Antiqua" w:eastAsia="Calibri" w:hAnsi="Book Antiqua" w:cs="Arial"/>
          <w:b/>
          <w:bCs/>
          <w:color w:val="1F497D"/>
          <w:szCs w:val="24"/>
          <w:lang w:val="es-ES" w:eastAsia="es-ES"/>
        </w:rPr>
        <w:fldChar w:fldCharType="begin"/>
      </w:r>
      <w:r w:rsidRPr="00D13D1F">
        <w:rPr>
          <w:rFonts w:ascii="Book Antiqua" w:eastAsia="Calibri" w:hAnsi="Book Antiqua" w:cs="Arial"/>
          <w:b/>
          <w:bCs/>
          <w:color w:val="1F497D"/>
          <w:szCs w:val="24"/>
          <w:lang w:val="es-ES" w:eastAsia="es-ES"/>
        </w:rPr>
        <w:instrText xml:space="preserve"> SEQ Gráfico \* ARABIC </w:instrText>
      </w:r>
      <w:r w:rsidRPr="00D13D1F">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9</w:t>
      </w:r>
      <w:r w:rsidRPr="00D13D1F">
        <w:rPr>
          <w:rFonts w:ascii="Book Antiqua" w:eastAsia="Calibri" w:hAnsi="Book Antiqua" w:cs="Arial"/>
          <w:b/>
          <w:bCs/>
          <w:color w:val="1F497D"/>
          <w:szCs w:val="24"/>
          <w:lang w:val="es-ES" w:eastAsia="es-ES"/>
        </w:rPr>
        <w:fldChar w:fldCharType="end"/>
      </w:r>
    </w:p>
    <w:p w14:paraId="484AC5DA" w14:textId="77777777" w:rsidR="00D13D1F" w:rsidRPr="00D13D1F" w:rsidRDefault="00D13D1F" w:rsidP="00D13D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13D1F">
        <w:rPr>
          <w:rFonts w:ascii="Book Antiqua" w:eastAsia="Calibri" w:hAnsi="Book Antiqua" w:cs="Arial"/>
          <w:b/>
          <w:bCs/>
          <w:color w:val="1F497D"/>
          <w:szCs w:val="24"/>
          <w:lang w:val="es-ES" w:eastAsia="es-ES"/>
        </w:rPr>
        <w:t>Movimiento histórico del circulante en los Juzgados</w:t>
      </w:r>
    </w:p>
    <w:p w14:paraId="77951967" w14:textId="5548035C" w:rsidR="00D13D1F" w:rsidRDefault="00D13D1F" w:rsidP="00D13D1F">
      <w:pPr>
        <w:spacing w:after="0" w:line="276" w:lineRule="auto"/>
        <w:jc w:val="center"/>
        <w:rPr>
          <w:rFonts w:ascii="Book Antiqua" w:eastAsia="Calibri" w:hAnsi="Book Antiqua" w:cs="Arial"/>
          <w:b/>
          <w:color w:val="1F497D"/>
          <w:lang w:val="es-ES" w:eastAsia="es-ES"/>
        </w:rPr>
      </w:pPr>
      <w:r w:rsidRPr="00D13D1F">
        <w:rPr>
          <w:rFonts w:ascii="Book Antiqua" w:eastAsia="Calibri" w:hAnsi="Book Antiqua" w:cs="Arial"/>
          <w:b/>
          <w:color w:val="1F497D"/>
          <w:lang w:val="es-ES" w:eastAsia="es-ES"/>
        </w:rPr>
        <w:t>Especializados de la materia de Pensiones Alimentarias, del 201</w:t>
      </w:r>
      <w:r>
        <w:rPr>
          <w:rFonts w:ascii="Book Antiqua" w:eastAsia="Calibri" w:hAnsi="Book Antiqua" w:cs="Arial"/>
          <w:b/>
          <w:bCs/>
          <w:color w:val="1F497D"/>
          <w:lang w:val="es-ES" w:eastAsia="es-ES"/>
        </w:rPr>
        <w:t>7</w:t>
      </w:r>
      <w:r w:rsidRPr="00D13D1F">
        <w:rPr>
          <w:rFonts w:ascii="Book Antiqua" w:eastAsia="Calibri" w:hAnsi="Book Antiqua" w:cs="Arial"/>
          <w:b/>
          <w:color w:val="1F497D"/>
          <w:lang w:val="es-ES" w:eastAsia="es-ES"/>
        </w:rPr>
        <w:t xml:space="preserve"> al 20</w:t>
      </w:r>
      <w:r>
        <w:rPr>
          <w:rFonts w:ascii="Book Antiqua" w:eastAsia="Calibri" w:hAnsi="Book Antiqua" w:cs="Arial"/>
          <w:b/>
          <w:color w:val="1F497D"/>
          <w:lang w:val="es-ES" w:eastAsia="es-ES"/>
        </w:rPr>
        <w:t>2</w:t>
      </w:r>
      <w:r w:rsidR="00F67BF4">
        <w:rPr>
          <w:rFonts w:ascii="Book Antiqua" w:eastAsia="Calibri" w:hAnsi="Book Antiqua" w:cs="Arial"/>
          <w:b/>
          <w:color w:val="1F497D"/>
          <w:lang w:val="es-ES" w:eastAsia="es-ES"/>
        </w:rPr>
        <w:t>2</w:t>
      </w:r>
    </w:p>
    <w:p w14:paraId="252E24FD" w14:textId="50877A8A" w:rsidR="001B2EAA" w:rsidRDefault="005E55DD" w:rsidP="005E55DD">
      <w:pPr>
        <w:spacing w:after="0" w:line="240" w:lineRule="auto"/>
        <w:jc w:val="center"/>
        <w:rPr>
          <w:rFonts w:ascii="Book Antiqua" w:eastAsia="Calibri" w:hAnsi="Book Antiqua" w:cs="Arial"/>
          <w:b/>
          <w:color w:val="1F497D"/>
          <w:lang w:val="es-ES" w:eastAsia="es-ES"/>
        </w:rPr>
      </w:pPr>
      <w:r>
        <w:rPr>
          <w:noProof/>
        </w:rPr>
        <w:drawing>
          <wp:inline distT="0" distB="0" distL="0" distR="0" wp14:anchorId="7874DB9E" wp14:editId="361A3449">
            <wp:extent cx="5197475" cy="2667000"/>
            <wp:effectExtent l="0" t="0" r="3175" b="0"/>
            <wp:docPr id="42" name="Gráfico 42">
              <a:extLst xmlns:a="http://schemas.openxmlformats.org/drawingml/2006/main">
                <a:ext uri="{FF2B5EF4-FFF2-40B4-BE49-F238E27FC236}">
                  <a16:creationId xmlns:a16="http://schemas.microsoft.com/office/drawing/2014/main" id="{012D2B0A-12AF-49EF-8953-BC2BEA193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8609083" w14:textId="5A247197" w:rsidR="001B2EAA" w:rsidRDefault="001B2EAA" w:rsidP="005E55DD">
      <w:pPr>
        <w:spacing w:after="0" w:line="240" w:lineRule="auto"/>
        <w:jc w:val="both"/>
        <w:rPr>
          <w:rFonts w:ascii="Book Antiqua" w:eastAsia="Calibri" w:hAnsi="Book Antiqua" w:cs="Arial"/>
          <w:bCs/>
          <w:i/>
          <w:iCs/>
          <w:lang w:val="es-ES" w:eastAsia="es-ES"/>
        </w:rPr>
      </w:pPr>
      <w:r>
        <w:rPr>
          <w:rFonts w:ascii="Book Antiqua" w:eastAsia="Calibri" w:hAnsi="Book Antiqua" w:cs="Arial"/>
          <w:b/>
          <w:color w:val="1F497D"/>
          <w:lang w:val="es-ES" w:eastAsia="es-ES"/>
        </w:rPr>
        <w:t xml:space="preserve"> </w:t>
      </w:r>
      <w:r w:rsidRPr="009B6BF6">
        <w:rPr>
          <w:rFonts w:ascii="Book Antiqua" w:eastAsia="Calibri" w:hAnsi="Book Antiqua" w:cs="Arial"/>
          <w:b/>
          <w:i/>
          <w:iCs/>
          <w:lang w:val="es-ES" w:eastAsia="es-ES"/>
        </w:rPr>
        <w:t>Fuente:</w:t>
      </w:r>
      <w:r w:rsidRPr="001B2EAA">
        <w:rPr>
          <w:rFonts w:ascii="Book Antiqua" w:eastAsia="Calibri" w:hAnsi="Book Antiqua" w:cs="Arial"/>
          <w:bCs/>
          <w:i/>
          <w:iCs/>
          <w:lang w:val="es-ES" w:eastAsia="es-ES"/>
        </w:rPr>
        <w:t xml:space="preserve"> Subproceso de Modernización Institucional, con datos del </w:t>
      </w:r>
      <w:r w:rsidR="00F67BF4">
        <w:rPr>
          <w:rFonts w:ascii="Book Antiqua" w:eastAsia="Calibri" w:hAnsi="Book Antiqua" w:cs="Arial"/>
          <w:bCs/>
          <w:i/>
          <w:iCs/>
          <w:lang w:val="es-ES" w:eastAsia="es-ES"/>
        </w:rPr>
        <w:t xml:space="preserve">2017 al 2022 del </w:t>
      </w:r>
      <w:r w:rsidRPr="001B2EAA">
        <w:rPr>
          <w:rFonts w:ascii="Book Antiqua" w:eastAsia="Calibri" w:hAnsi="Book Antiqua" w:cs="Arial"/>
          <w:bCs/>
          <w:i/>
          <w:iCs/>
          <w:lang w:val="es-ES" w:eastAsia="es-ES"/>
        </w:rPr>
        <w:t>Subproceso de Estadística</w:t>
      </w:r>
      <w:r w:rsidR="00F67BF4">
        <w:rPr>
          <w:rFonts w:ascii="Book Antiqua" w:eastAsia="Calibri" w:hAnsi="Book Antiqua" w:cs="Arial"/>
          <w:bCs/>
          <w:i/>
          <w:iCs/>
          <w:lang w:val="es-ES" w:eastAsia="es-ES"/>
        </w:rPr>
        <w:t xml:space="preserve"> y consulta del Balance General Interactivo del 23/2/2023</w:t>
      </w:r>
      <w:r w:rsidRPr="001B2EAA">
        <w:rPr>
          <w:rFonts w:ascii="Book Antiqua" w:eastAsia="Calibri" w:hAnsi="Book Antiqua" w:cs="Arial"/>
          <w:bCs/>
          <w:i/>
          <w:iCs/>
          <w:lang w:val="es-ES" w:eastAsia="es-ES"/>
        </w:rPr>
        <w:t xml:space="preserve">. </w:t>
      </w:r>
    </w:p>
    <w:p w14:paraId="1BADDC02" w14:textId="77777777" w:rsidR="001B2EAA" w:rsidRPr="00D13D1F" w:rsidRDefault="001B2EAA" w:rsidP="00D13D1F">
      <w:pPr>
        <w:spacing w:after="0" w:line="276" w:lineRule="auto"/>
        <w:jc w:val="center"/>
        <w:rPr>
          <w:rFonts w:ascii="Book Antiqua" w:eastAsia="Calibri" w:hAnsi="Book Antiqua" w:cs="Arial"/>
          <w:b/>
          <w:color w:val="1F497D"/>
          <w:lang w:val="es-ES" w:eastAsia="es-ES"/>
        </w:rPr>
      </w:pPr>
    </w:p>
    <w:p w14:paraId="131556D0" w14:textId="67C01CC8" w:rsidR="00D13D1F" w:rsidRPr="00D13D1F" w:rsidRDefault="00D13D1F" w:rsidP="00D13D1F">
      <w:pPr>
        <w:spacing w:after="0" w:line="276" w:lineRule="auto"/>
        <w:jc w:val="both"/>
        <w:rPr>
          <w:rFonts w:ascii="Book Antiqua" w:eastAsia="Calibri" w:hAnsi="Book Antiqua" w:cs="Arial"/>
          <w:sz w:val="24"/>
          <w:szCs w:val="24"/>
        </w:rPr>
      </w:pPr>
      <w:r w:rsidRPr="00D13D1F">
        <w:rPr>
          <w:rFonts w:ascii="Book Antiqua" w:eastAsia="Calibri" w:hAnsi="Book Antiqua" w:cs="Arial"/>
          <w:sz w:val="24"/>
          <w:szCs w:val="24"/>
        </w:rPr>
        <w:t>A través de los años en estudio</w:t>
      </w:r>
      <w:r>
        <w:rPr>
          <w:rFonts w:ascii="Book Antiqua" w:eastAsia="Calibri" w:hAnsi="Book Antiqua" w:cs="Arial"/>
          <w:sz w:val="24"/>
          <w:szCs w:val="24"/>
        </w:rPr>
        <w:t>,</w:t>
      </w:r>
      <w:r w:rsidRPr="00D13D1F">
        <w:rPr>
          <w:rFonts w:ascii="Book Antiqua" w:eastAsia="Calibri" w:hAnsi="Book Antiqua" w:cs="Arial"/>
          <w:sz w:val="24"/>
          <w:szCs w:val="24"/>
        </w:rPr>
        <w:t xml:space="preserve"> se identifica que el circulante en fase </w:t>
      </w:r>
      <w:r w:rsidRPr="00BD27C2">
        <w:rPr>
          <w:rFonts w:ascii="Book Antiqua" w:eastAsia="Calibri" w:hAnsi="Book Antiqua" w:cs="Arial"/>
          <w:sz w:val="24"/>
          <w:szCs w:val="24"/>
        </w:rPr>
        <w:t xml:space="preserve">de ejecución presenta una tendencia creciente, </w:t>
      </w:r>
      <w:r w:rsidR="008E0DA7" w:rsidRPr="00BD27C2">
        <w:rPr>
          <w:rFonts w:ascii="Book Antiqua" w:eastAsia="Calibri" w:hAnsi="Book Antiqua" w:cs="Arial"/>
          <w:sz w:val="24"/>
          <w:szCs w:val="24"/>
        </w:rPr>
        <w:t xml:space="preserve">con un aumento de un 11% para el 2021 respecto al 2017, </w:t>
      </w:r>
      <w:r w:rsidR="007B1A75" w:rsidRPr="00BD27C2">
        <w:rPr>
          <w:rFonts w:ascii="Book Antiqua" w:eastAsia="Calibri" w:hAnsi="Book Antiqua" w:cs="Arial"/>
          <w:sz w:val="24"/>
          <w:szCs w:val="24"/>
        </w:rPr>
        <w:t>con excepción del 2020 que disminuye</w:t>
      </w:r>
      <w:r w:rsidR="008E0DA7" w:rsidRPr="00BD27C2">
        <w:rPr>
          <w:rFonts w:ascii="Book Antiqua" w:eastAsia="Calibri" w:hAnsi="Book Antiqua" w:cs="Arial"/>
          <w:sz w:val="24"/>
          <w:szCs w:val="24"/>
        </w:rPr>
        <w:t>,</w:t>
      </w:r>
      <w:r w:rsidR="007B1A75" w:rsidRPr="00BD27C2">
        <w:rPr>
          <w:rFonts w:ascii="Book Antiqua" w:eastAsia="Calibri" w:hAnsi="Book Antiqua" w:cs="Arial"/>
          <w:sz w:val="24"/>
          <w:szCs w:val="24"/>
        </w:rPr>
        <w:t xml:space="preserve"> lo cual es producto de la pandemia del Covid-19 que afectó al </w:t>
      </w:r>
      <w:r w:rsidR="00BD27C2" w:rsidRPr="00BD27C2">
        <w:rPr>
          <w:rFonts w:ascii="Book Antiqua" w:eastAsia="Calibri" w:hAnsi="Book Antiqua" w:cs="Arial"/>
          <w:sz w:val="24"/>
          <w:szCs w:val="24"/>
        </w:rPr>
        <w:t>país,</w:t>
      </w:r>
      <w:r w:rsidRPr="00BD27C2">
        <w:rPr>
          <w:rFonts w:ascii="Book Antiqua" w:eastAsia="Calibri" w:hAnsi="Book Antiqua" w:cs="Arial"/>
          <w:sz w:val="24"/>
          <w:szCs w:val="24"/>
        </w:rPr>
        <w:t xml:space="preserve"> </w:t>
      </w:r>
      <w:r w:rsidR="005E55DD">
        <w:rPr>
          <w:rFonts w:ascii="Book Antiqua" w:eastAsia="Calibri" w:hAnsi="Book Antiqua" w:cs="Arial"/>
          <w:sz w:val="24"/>
          <w:szCs w:val="24"/>
        </w:rPr>
        <w:t xml:space="preserve">y vuelve a bajar en el 2022, en 2 093 asuntos en comparación con su antecesor el 2021, </w:t>
      </w:r>
      <w:r w:rsidRPr="00BD27C2">
        <w:rPr>
          <w:rFonts w:ascii="Book Antiqua" w:eastAsia="Calibri" w:hAnsi="Book Antiqua" w:cs="Arial"/>
          <w:sz w:val="24"/>
          <w:szCs w:val="24"/>
        </w:rPr>
        <w:t xml:space="preserve">mientras que el </w:t>
      </w:r>
      <w:r w:rsidR="001D2F4F">
        <w:rPr>
          <w:rFonts w:ascii="Book Antiqua" w:eastAsia="Calibri" w:hAnsi="Book Antiqua" w:cs="Arial"/>
          <w:sz w:val="24"/>
          <w:szCs w:val="24"/>
        </w:rPr>
        <w:t xml:space="preserve">comportamiento del </w:t>
      </w:r>
      <w:r w:rsidRPr="00BD27C2">
        <w:rPr>
          <w:rFonts w:ascii="Book Antiqua" w:eastAsia="Calibri" w:hAnsi="Book Antiqua" w:cs="Arial"/>
          <w:sz w:val="24"/>
          <w:szCs w:val="24"/>
        </w:rPr>
        <w:t xml:space="preserve">circulante en trámite (demanda + demostrativa + conclusiva) </w:t>
      </w:r>
      <w:r w:rsidR="001D2F4F">
        <w:rPr>
          <w:rFonts w:ascii="Book Antiqua" w:eastAsia="Calibri" w:hAnsi="Book Antiqua" w:cs="Arial"/>
          <w:sz w:val="24"/>
          <w:szCs w:val="24"/>
        </w:rPr>
        <w:t xml:space="preserve">no es constante, se </w:t>
      </w:r>
      <w:r w:rsidRPr="00BD27C2">
        <w:rPr>
          <w:rFonts w:ascii="Book Antiqua" w:eastAsia="Calibri" w:hAnsi="Book Antiqua" w:cs="Arial"/>
          <w:sz w:val="24"/>
          <w:szCs w:val="24"/>
        </w:rPr>
        <w:t>presenta un</w:t>
      </w:r>
      <w:r w:rsidR="008E0DA7" w:rsidRPr="00BD27C2">
        <w:rPr>
          <w:rFonts w:ascii="Book Antiqua" w:eastAsia="Calibri" w:hAnsi="Book Antiqua" w:cs="Arial"/>
          <w:sz w:val="24"/>
          <w:szCs w:val="24"/>
        </w:rPr>
        <w:t>a</w:t>
      </w:r>
      <w:r w:rsidRPr="00BD27C2">
        <w:rPr>
          <w:rFonts w:ascii="Book Antiqua" w:eastAsia="Calibri" w:hAnsi="Book Antiqua" w:cs="Arial"/>
          <w:sz w:val="24"/>
          <w:szCs w:val="24"/>
        </w:rPr>
        <w:t xml:space="preserve"> </w:t>
      </w:r>
      <w:r w:rsidR="008E0DA7" w:rsidRPr="00BD27C2">
        <w:rPr>
          <w:rFonts w:ascii="Book Antiqua" w:eastAsia="Calibri" w:hAnsi="Book Antiqua" w:cs="Arial"/>
          <w:sz w:val="24"/>
          <w:szCs w:val="24"/>
        </w:rPr>
        <w:t xml:space="preserve">disminución </w:t>
      </w:r>
      <w:r w:rsidR="001D2F4F">
        <w:rPr>
          <w:rFonts w:ascii="Book Antiqua" w:eastAsia="Calibri" w:hAnsi="Book Antiqua" w:cs="Arial"/>
          <w:sz w:val="24"/>
          <w:szCs w:val="24"/>
        </w:rPr>
        <w:t>en el 2022 al compararlo con el 2021 de 835 casos, un 16</w:t>
      </w:r>
      <w:r w:rsidRPr="00BD27C2">
        <w:rPr>
          <w:rFonts w:ascii="Book Antiqua" w:eastAsia="Calibri" w:hAnsi="Book Antiqua" w:cs="Arial"/>
          <w:sz w:val="24"/>
          <w:szCs w:val="24"/>
        </w:rPr>
        <w:t>%.</w:t>
      </w:r>
      <w:r w:rsidRPr="00D13D1F">
        <w:rPr>
          <w:rFonts w:ascii="Book Antiqua" w:eastAsia="Calibri" w:hAnsi="Book Antiqua" w:cs="Arial"/>
          <w:sz w:val="24"/>
          <w:szCs w:val="24"/>
        </w:rPr>
        <w:t xml:space="preserve">  </w:t>
      </w:r>
    </w:p>
    <w:p w14:paraId="6206896F" w14:textId="41FE04CC" w:rsidR="00D13D1F" w:rsidRPr="00D13D1F" w:rsidRDefault="00D13D1F" w:rsidP="00D13D1F">
      <w:pPr>
        <w:spacing w:after="0" w:line="276" w:lineRule="auto"/>
        <w:jc w:val="both"/>
        <w:rPr>
          <w:rFonts w:ascii="Book Antiqua" w:eastAsia="Calibri" w:hAnsi="Book Antiqua" w:cs="Arial"/>
          <w:sz w:val="24"/>
          <w:szCs w:val="24"/>
        </w:rPr>
      </w:pPr>
      <w:r w:rsidRPr="00D13D1F">
        <w:rPr>
          <w:rFonts w:ascii="Book Antiqua" w:eastAsia="Calibri" w:hAnsi="Book Antiqua" w:cs="Arial"/>
          <w:sz w:val="24"/>
          <w:szCs w:val="24"/>
        </w:rPr>
        <w:t>En línea con el análisis de las fases del proceso, se presenta a continuación el resumen de las distribuciones del circulante al finalizar el 202</w:t>
      </w:r>
      <w:r w:rsidR="00B50357">
        <w:rPr>
          <w:rFonts w:ascii="Book Antiqua" w:eastAsia="Calibri" w:hAnsi="Book Antiqua" w:cs="Arial"/>
          <w:sz w:val="24"/>
          <w:szCs w:val="24"/>
        </w:rPr>
        <w:t>2</w:t>
      </w:r>
      <w:r w:rsidRPr="00D13D1F">
        <w:rPr>
          <w:rFonts w:ascii="Book Antiqua" w:eastAsia="Calibri" w:hAnsi="Book Antiqua" w:cs="Arial"/>
          <w:sz w:val="24"/>
          <w:szCs w:val="24"/>
        </w:rPr>
        <w:t xml:space="preserve"> por fase:</w:t>
      </w:r>
    </w:p>
    <w:p w14:paraId="0B4DC544" w14:textId="147E2DFB" w:rsidR="00A65874" w:rsidRDefault="00A65874" w:rsidP="00A65874"/>
    <w:p w14:paraId="47B6A7B6" w14:textId="454CCD6E" w:rsidR="00020F9E" w:rsidRDefault="00020F9E" w:rsidP="00A65874"/>
    <w:p w14:paraId="2E71C669" w14:textId="5DD56EA1" w:rsidR="00020F9E" w:rsidRDefault="00020F9E" w:rsidP="00A65874"/>
    <w:p w14:paraId="6001F113" w14:textId="458A56E5" w:rsidR="00020F9E" w:rsidRDefault="00020F9E" w:rsidP="00A65874"/>
    <w:p w14:paraId="673465BB" w14:textId="77777777" w:rsidR="00020F9E" w:rsidRDefault="00020F9E" w:rsidP="00A65874"/>
    <w:p w14:paraId="3673048E" w14:textId="1C72FF2D" w:rsidR="00D31DE7" w:rsidRPr="00D31DE7" w:rsidRDefault="00D31DE7" w:rsidP="00D31DE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 xml:space="preserve">Cuadro </w:t>
      </w:r>
      <w:r w:rsidRPr="00D31DE7">
        <w:rPr>
          <w:rFonts w:ascii="Book Antiqua" w:eastAsia="Calibri" w:hAnsi="Book Antiqua" w:cs="Arial"/>
          <w:b/>
          <w:bCs/>
          <w:color w:val="1F497D"/>
          <w:szCs w:val="24"/>
          <w:lang w:val="es-ES" w:eastAsia="es-ES"/>
        </w:rPr>
        <w:fldChar w:fldCharType="begin"/>
      </w:r>
      <w:r w:rsidRPr="00D31DE7">
        <w:rPr>
          <w:rFonts w:ascii="Book Antiqua" w:eastAsia="Calibri" w:hAnsi="Book Antiqua" w:cs="Arial"/>
          <w:b/>
          <w:bCs/>
          <w:color w:val="1F497D"/>
          <w:szCs w:val="24"/>
          <w:lang w:val="es-ES" w:eastAsia="es-ES"/>
        </w:rPr>
        <w:instrText xml:space="preserve"> SEQ Cuadro \* ARABIC </w:instrText>
      </w:r>
      <w:r w:rsidRPr="00D31DE7">
        <w:rPr>
          <w:rFonts w:ascii="Book Antiqua" w:eastAsia="Calibri" w:hAnsi="Book Antiqua" w:cs="Arial"/>
          <w:b/>
          <w:bCs/>
          <w:color w:val="1F497D"/>
          <w:szCs w:val="24"/>
          <w:lang w:val="es-ES" w:eastAsia="es-ES"/>
        </w:rPr>
        <w:fldChar w:fldCharType="separate"/>
      </w:r>
      <w:r w:rsidR="00950574">
        <w:rPr>
          <w:rFonts w:ascii="Book Antiqua" w:eastAsia="Calibri" w:hAnsi="Book Antiqua" w:cs="Arial"/>
          <w:b/>
          <w:bCs/>
          <w:noProof/>
          <w:color w:val="1F497D"/>
          <w:szCs w:val="24"/>
          <w:lang w:val="es-ES" w:eastAsia="es-ES"/>
        </w:rPr>
        <w:t>70</w:t>
      </w:r>
      <w:r w:rsidRPr="00D31DE7">
        <w:rPr>
          <w:rFonts w:ascii="Book Antiqua" w:eastAsia="Calibri" w:hAnsi="Book Antiqua" w:cs="Arial"/>
          <w:b/>
          <w:bCs/>
          <w:color w:val="1F497D"/>
          <w:szCs w:val="24"/>
          <w:lang w:val="es-ES" w:eastAsia="es-ES"/>
        </w:rPr>
        <w:fldChar w:fldCharType="end"/>
      </w:r>
    </w:p>
    <w:p w14:paraId="75828FA7" w14:textId="77777777" w:rsidR="00D31DE7" w:rsidRPr="00D31DE7" w:rsidRDefault="00D31DE7" w:rsidP="00D31DE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Circulante por Fases en los Juzgados</w:t>
      </w:r>
    </w:p>
    <w:p w14:paraId="2CCDF23B" w14:textId="0D0E6327" w:rsidR="00D31DE7" w:rsidRDefault="00D31DE7" w:rsidP="00D31DE7">
      <w:p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Especializados de la materia de Pensiones Alimentarias al finalizar el 202</w:t>
      </w:r>
      <w:r w:rsidR="00B50357">
        <w:rPr>
          <w:rFonts w:ascii="Book Antiqua" w:eastAsia="Calibri" w:hAnsi="Book Antiqua" w:cs="Arial"/>
          <w:b/>
          <w:bCs/>
          <w:color w:val="1F497D"/>
          <w:szCs w:val="24"/>
          <w:lang w:val="es-ES" w:eastAsia="es-ES"/>
        </w:rPr>
        <w:t>2</w:t>
      </w:r>
    </w:p>
    <w:tbl>
      <w:tblPr>
        <w:tblW w:w="10322" w:type="dxa"/>
        <w:jc w:val="center"/>
        <w:tblCellMar>
          <w:left w:w="70" w:type="dxa"/>
          <w:right w:w="70" w:type="dxa"/>
        </w:tblCellMar>
        <w:tblLook w:val="04A0" w:firstRow="1" w:lastRow="0" w:firstColumn="1" w:lastColumn="0" w:noHBand="0" w:noVBand="1"/>
      </w:tblPr>
      <w:tblGrid>
        <w:gridCol w:w="5850"/>
        <w:gridCol w:w="580"/>
        <w:gridCol w:w="500"/>
        <w:gridCol w:w="580"/>
        <w:gridCol w:w="690"/>
        <w:gridCol w:w="690"/>
        <w:gridCol w:w="470"/>
        <w:gridCol w:w="690"/>
        <w:gridCol w:w="545"/>
        <w:gridCol w:w="556"/>
      </w:tblGrid>
      <w:tr w:rsidR="00020F9E" w:rsidRPr="00020F9E" w14:paraId="44B213F9" w14:textId="77777777" w:rsidTr="00020F9E">
        <w:trPr>
          <w:trHeight w:val="1661"/>
          <w:jc w:val="center"/>
        </w:trPr>
        <w:tc>
          <w:tcPr>
            <w:tcW w:w="585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2AD9DEC7" w14:textId="77777777" w:rsidR="00020F9E" w:rsidRPr="00020F9E" w:rsidRDefault="00020F9E" w:rsidP="00020F9E">
            <w:pPr>
              <w:spacing w:after="0" w:line="240" w:lineRule="auto"/>
              <w:jc w:val="center"/>
              <w:rPr>
                <w:rFonts w:ascii="Book Antiqua" w:eastAsia="Times New Roman" w:hAnsi="Book Antiqua" w:cs="Calibri"/>
                <w:b/>
                <w:bCs/>
                <w:color w:val="FFFFFF"/>
                <w:sz w:val="20"/>
                <w:szCs w:val="20"/>
                <w:lang w:eastAsia="es-CR"/>
              </w:rPr>
            </w:pPr>
            <w:r w:rsidRPr="00020F9E">
              <w:rPr>
                <w:rFonts w:ascii="Book Antiqua" w:eastAsia="Times New Roman" w:hAnsi="Book Antiqua" w:cs="Calibri"/>
                <w:b/>
                <w:bCs/>
                <w:color w:val="FFFFFF"/>
                <w:sz w:val="20"/>
                <w:szCs w:val="20"/>
                <w:lang w:eastAsia="es-CR"/>
              </w:rPr>
              <w:t>Despacho</w:t>
            </w:r>
          </w:p>
        </w:tc>
        <w:tc>
          <w:tcPr>
            <w:tcW w:w="489"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03444519"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Demanda</w:t>
            </w:r>
          </w:p>
        </w:tc>
        <w:tc>
          <w:tcPr>
            <w:tcW w:w="422"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6D1B8A86"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Demostrativa</w:t>
            </w:r>
          </w:p>
        </w:tc>
        <w:tc>
          <w:tcPr>
            <w:tcW w:w="489"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549E2A98"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Conclusiva</w:t>
            </w:r>
          </w:p>
        </w:tc>
        <w:tc>
          <w:tcPr>
            <w:tcW w:w="582"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52D4F9FC"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Ejecución activa</w:t>
            </w:r>
          </w:p>
        </w:tc>
        <w:tc>
          <w:tcPr>
            <w:tcW w:w="582"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4F87208C"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Ejecución pasiva</w:t>
            </w:r>
          </w:p>
        </w:tc>
        <w:tc>
          <w:tcPr>
            <w:tcW w:w="397"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0DF87933"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 xml:space="preserve">Sin fase </w:t>
            </w:r>
            <w:r w:rsidRPr="00020F9E">
              <w:rPr>
                <w:rFonts w:ascii="Book Antiqua" w:eastAsia="Times New Roman" w:hAnsi="Book Antiqua" w:cs="Calibri"/>
                <w:b/>
                <w:bCs/>
                <w:color w:val="FFFFFF"/>
                <w:sz w:val="16"/>
                <w:szCs w:val="16"/>
                <w:vertAlign w:val="superscript"/>
                <w:lang w:eastAsia="es-CR"/>
              </w:rPr>
              <w:t>(1)</w:t>
            </w:r>
          </w:p>
        </w:tc>
        <w:tc>
          <w:tcPr>
            <w:tcW w:w="582"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104E40F1"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Circulante Total</w:t>
            </w:r>
          </w:p>
        </w:tc>
        <w:tc>
          <w:tcPr>
            <w:tcW w:w="460"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251E25DC"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 Circulante Trámite (Demanda+ Demostrativa+Conclusiva+Sin Fase)</w:t>
            </w:r>
          </w:p>
        </w:tc>
        <w:tc>
          <w:tcPr>
            <w:tcW w:w="469" w:type="dxa"/>
            <w:tcBorders>
              <w:top w:val="single" w:sz="8" w:space="0" w:color="auto"/>
              <w:left w:val="nil"/>
              <w:bottom w:val="single" w:sz="8" w:space="0" w:color="auto"/>
              <w:right w:val="single" w:sz="8" w:space="0" w:color="auto"/>
            </w:tcBorders>
            <w:shd w:val="clear" w:color="000000" w:fill="002060"/>
            <w:textDirection w:val="btLr"/>
            <w:vAlign w:val="center"/>
            <w:hideMark/>
          </w:tcPr>
          <w:p w14:paraId="109F2744" w14:textId="77777777" w:rsidR="00020F9E" w:rsidRPr="00020F9E" w:rsidRDefault="00020F9E" w:rsidP="00020F9E">
            <w:pPr>
              <w:spacing w:after="0" w:line="240" w:lineRule="auto"/>
              <w:jc w:val="center"/>
              <w:rPr>
                <w:rFonts w:ascii="Book Antiqua" w:eastAsia="Times New Roman" w:hAnsi="Book Antiqua" w:cs="Calibri"/>
                <w:b/>
                <w:bCs/>
                <w:color w:val="FFFFFF"/>
                <w:sz w:val="16"/>
                <w:szCs w:val="16"/>
                <w:lang w:eastAsia="es-CR"/>
              </w:rPr>
            </w:pPr>
            <w:r w:rsidRPr="00020F9E">
              <w:rPr>
                <w:rFonts w:ascii="Book Antiqua" w:eastAsia="Times New Roman" w:hAnsi="Book Antiqua" w:cs="Calibri"/>
                <w:b/>
                <w:bCs/>
                <w:color w:val="FFFFFF"/>
                <w:sz w:val="16"/>
                <w:szCs w:val="16"/>
                <w:lang w:eastAsia="es-CR"/>
              </w:rPr>
              <w:t>% Circulante Ejecución</w:t>
            </w:r>
          </w:p>
        </w:tc>
      </w:tr>
      <w:tr w:rsidR="00020F9E" w:rsidRPr="00020F9E" w14:paraId="3521C91A"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7EB5211A"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II Circ. Jud. San José (Goicoechea)</w:t>
            </w:r>
          </w:p>
        </w:tc>
        <w:tc>
          <w:tcPr>
            <w:tcW w:w="489" w:type="dxa"/>
            <w:tcBorders>
              <w:top w:val="nil"/>
              <w:left w:val="nil"/>
              <w:bottom w:val="single" w:sz="8" w:space="0" w:color="auto"/>
              <w:right w:val="single" w:sz="8" w:space="0" w:color="auto"/>
            </w:tcBorders>
            <w:shd w:val="clear" w:color="auto" w:fill="auto"/>
            <w:noWrap/>
            <w:vAlign w:val="center"/>
            <w:hideMark/>
          </w:tcPr>
          <w:p w14:paraId="05C3E6F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698</w:t>
            </w:r>
          </w:p>
        </w:tc>
        <w:tc>
          <w:tcPr>
            <w:tcW w:w="422" w:type="dxa"/>
            <w:tcBorders>
              <w:top w:val="nil"/>
              <w:left w:val="nil"/>
              <w:bottom w:val="single" w:sz="8" w:space="0" w:color="auto"/>
              <w:right w:val="single" w:sz="8" w:space="0" w:color="auto"/>
            </w:tcBorders>
            <w:shd w:val="clear" w:color="auto" w:fill="auto"/>
            <w:noWrap/>
            <w:vAlign w:val="center"/>
            <w:hideMark/>
          </w:tcPr>
          <w:p w14:paraId="4781848D"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101</w:t>
            </w:r>
          </w:p>
        </w:tc>
        <w:tc>
          <w:tcPr>
            <w:tcW w:w="489" w:type="dxa"/>
            <w:tcBorders>
              <w:top w:val="nil"/>
              <w:left w:val="nil"/>
              <w:bottom w:val="single" w:sz="8" w:space="0" w:color="auto"/>
              <w:right w:val="single" w:sz="8" w:space="0" w:color="auto"/>
            </w:tcBorders>
            <w:shd w:val="clear" w:color="auto" w:fill="auto"/>
            <w:noWrap/>
            <w:vAlign w:val="center"/>
            <w:hideMark/>
          </w:tcPr>
          <w:p w14:paraId="4EC6ECBD"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98</w:t>
            </w:r>
          </w:p>
        </w:tc>
        <w:tc>
          <w:tcPr>
            <w:tcW w:w="582" w:type="dxa"/>
            <w:tcBorders>
              <w:top w:val="nil"/>
              <w:left w:val="nil"/>
              <w:bottom w:val="single" w:sz="8" w:space="0" w:color="auto"/>
              <w:right w:val="single" w:sz="8" w:space="0" w:color="auto"/>
            </w:tcBorders>
            <w:shd w:val="clear" w:color="auto" w:fill="auto"/>
            <w:noWrap/>
            <w:vAlign w:val="center"/>
            <w:hideMark/>
          </w:tcPr>
          <w:p w14:paraId="4074EE7E"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7 737</w:t>
            </w:r>
          </w:p>
        </w:tc>
        <w:tc>
          <w:tcPr>
            <w:tcW w:w="582" w:type="dxa"/>
            <w:tcBorders>
              <w:top w:val="nil"/>
              <w:left w:val="nil"/>
              <w:bottom w:val="single" w:sz="8" w:space="0" w:color="auto"/>
              <w:right w:val="single" w:sz="8" w:space="0" w:color="auto"/>
            </w:tcBorders>
            <w:shd w:val="clear" w:color="auto" w:fill="auto"/>
            <w:noWrap/>
            <w:vAlign w:val="center"/>
            <w:hideMark/>
          </w:tcPr>
          <w:p w14:paraId="60EE3DD3"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5 746</w:t>
            </w:r>
          </w:p>
        </w:tc>
        <w:tc>
          <w:tcPr>
            <w:tcW w:w="397" w:type="dxa"/>
            <w:tcBorders>
              <w:top w:val="nil"/>
              <w:left w:val="nil"/>
              <w:bottom w:val="single" w:sz="8" w:space="0" w:color="auto"/>
              <w:right w:val="single" w:sz="8" w:space="0" w:color="auto"/>
            </w:tcBorders>
            <w:shd w:val="clear" w:color="auto" w:fill="auto"/>
            <w:noWrap/>
            <w:vAlign w:val="center"/>
            <w:hideMark/>
          </w:tcPr>
          <w:p w14:paraId="2EC6B0A1"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 </w:t>
            </w:r>
          </w:p>
        </w:tc>
        <w:tc>
          <w:tcPr>
            <w:tcW w:w="582" w:type="dxa"/>
            <w:tcBorders>
              <w:top w:val="nil"/>
              <w:left w:val="nil"/>
              <w:bottom w:val="single" w:sz="8" w:space="0" w:color="auto"/>
              <w:right w:val="single" w:sz="8" w:space="0" w:color="auto"/>
            </w:tcBorders>
            <w:shd w:val="clear" w:color="auto" w:fill="auto"/>
            <w:noWrap/>
            <w:vAlign w:val="center"/>
            <w:hideMark/>
          </w:tcPr>
          <w:p w14:paraId="1772D653"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14 380</w:t>
            </w:r>
          </w:p>
        </w:tc>
        <w:tc>
          <w:tcPr>
            <w:tcW w:w="460" w:type="dxa"/>
            <w:tcBorders>
              <w:top w:val="nil"/>
              <w:left w:val="nil"/>
              <w:bottom w:val="single" w:sz="8" w:space="0" w:color="auto"/>
              <w:right w:val="single" w:sz="8" w:space="0" w:color="auto"/>
            </w:tcBorders>
            <w:shd w:val="clear" w:color="000000" w:fill="DBE5F1"/>
            <w:noWrap/>
            <w:vAlign w:val="center"/>
            <w:hideMark/>
          </w:tcPr>
          <w:p w14:paraId="2B94ECB8"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6%</w:t>
            </w:r>
          </w:p>
        </w:tc>
        <w:tc>
          <w:tcPr>
            <w:tcW w:w="469" w:type="dxa"/>
            <w:tcBorders>
              <w:top w:val="nil"/>
              <w:left w:val="nil"/>
              <w:bottom w:val="single" w:sz="8" w:space="0" w:color="auto"/>
              <w:right w:val="single" w:sz="8" w:space="0" w:color="auto"/>
            </w:tcBorders>
            <w:shd w:val="clear" w:color="000000" w:fill="FDE9D9"/>
            <w:noWrap/>
            <w:vAlign w:val="center"/>
            <w:hideMark/>
          </w:tcPr>
          <w:p w14:paraId="0B4A1C06"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94%</w:t>
            </w:r>
          </w:p>
        </w:tc>
      </w:tr>
      <w:tr w:rsidR="00020F9E" w:rsidRPr="00020F9E" w14:paraId="3CF6AF3A"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6C2CC9C0"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I Circ. Jud. Alajuela</w:t>
            </w:r>
          </w:p>
        </w:tc>
        <w:tc>
          <w:tcPr>
            <w:tcW w:w="489" w:type="dxa"/>
            <w:tcBorders>
              <w:top w:val="nil"/>
              <w:left w:val="nil"/>
              <w:bottom w:val="single" w:sz="8" w:space="0" w:color="auto"/>
              <w:right w:val="single" w:sz="8" w:space="0" w:color="auto"/>
            </w:tcBorders>
            <w:shd w:val="clear" w:color="auto" w:fill="auto"/>
            <w:noWrap/>
            <w:vAlign w:val="center"/>
            <w:hideMark/>
          </w:tcPr>
          <w:p w14:paraId="0D44CCC1"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376</w:t>
            </w:r>
          </w:p>
        </w:tc>
        <w:tc>
          <w:tcPr>
            <w:tcW w:w="422" w:type="dxa"/>
            <w:tcBorders>
              <w:top w:val="nil"/>
              <w:left w:val="nil"/>
              <w:bottom w:val="single" w:sz="8" w:space="0" w:color="auto"/>
              <w:right w:val="single" w:sz="8" w:space="0" w:color="auto"/>
            </w:tcBorders>
            <w:shd w:val="clear" w:color="auto" w:fill="auto"/>
            <w:noWrap/>
            <w:vAlign w:val="center"/>
            <w:hideMark/>
          </w:tcPr>
          <w:p w14:paraId="236FC149"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31</w:t>
            </w:r>
          </w:p>
        </w:tc>
        <w:tc>
          <w:tcPr>
            <w:tcW w:w="489" w:type="dxa"/>
            <w:tcBorders>
              <w:top w:val="nil"/>
              <w:left w:val="nil"/>
              <w:bottom w:val="single" w:sz="8" w:space="0" w:color="auto"/>
              <w:right w:val="single" w:sz="8" w:space="0" w:color="auto"/>
            </w:tcBorders>
            <w:shd w:val="clear" w:color="auto" w:fill="auto"/>
            <w:noWrap/>
            <w:vAlign w:val="center"/>
            <w:hideMark/>
          </w:tcPr>
          <w:p w14:paraId="1156D7B4"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40</w:t>
            </w:r>
          </w:p>
        </w:tc>
        <w:tc>
          <w:tcPr>
            <w:tcW w:w="582" w:type="dxa"/>
            <w:tcBorders>
              <w:top w:val="nil"/>
              <w:left w:val="nil"/>
              <w:bottom w:val="single" w:sz="8" w:space="0" w:color="auto"/>
              <w:right w:val="single" w:sz="8" w:space="0" w:color="auto"/>
            </w:tcBorders>
            <w:shd w:val="clear" w:color="auto" w:fill="auto"/>
            <w:noWrap/>
            <w:vAlign w:val="center"/>
            <w:hideMark/>
          </w:tcPr>
          <w:p w14:paraId="4B9DC11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6 015</w:t>
            </w:r>
          </w:p>
        </w:tc>
        <w:tc>
          <w:tcPr>
            <w:tcW w:w="582" w:type="dxa"/>
            <w:tcBorders>
              <w:top w:val="nil"/>
              <w:left w:val="nil"/>
              <w:bottom w:val="single" w:sz="8" w:space="0" w:color="auto"/>
              <w:right w:val="single" w:sz="8" w:space="0" w:color="auto"/>
            </w:tcBorders>
            <w:shd w:val="clear" w:color="auto" w:fill="auto"/>
            <w:noWrap/>
            <w:vAlign w:val="center"/>
            <w:hideMark/>
          </w:tcPr>
          <w:p w14:paraId="7E06ACF5"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1 784</w:t>
            </w:r>
          </w:p>
        </w:tc>
        <w:tc>
          <w:tcPr>
            <w:tcW w:w="397" w:type="dxa"/>
            <w:tcBorders>
              <w:top w:val="nil"/>
              <w:left w:val="nil"/>
              <w:bottom w:val="single" w:sz="8" w:space="0" w:color="auto"/>
              <w:right w:val="single" w:sz="8" w:space="0" w:color="auto"/>
            </w:tcBorders>
            <w:shd w:val="clear" w:color="auto" w:fill="auto"/>
            <w:noWrap/>
            <w:vAlign w:val="center"/>
            <w:hideMark/>
          </w:tcPr>
          <w:p w14:paraId="61262604"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7</w:t>
            </w:r>
          </w:p>
        </w:tc>
        <w:tc>
          <w:tcPr>
            <w:tcW w:w="582" w:type="dxa"/>
            <w:tcBorders>
              <w:top w:val="nil"/>
              <w:left w:val="nil"/>
              <w:bottom w:val="single" w:sz="8" w:space="0" w:color="auto"/>
              <w:right w:val="single" w:sz="8" w:space="0" w:color="auto"/>
            </w:tcBorders>
            <w:shd w:val="clear" w:color="auto" w:fill="auto"/>
            <w:noWrap/>
            <w:vAlign w:val="center"/>
            <w:hideMark/>
          </w:tcPr>
          <w:p w14:paraId="0F8D60C4"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8253</w:t>
            </w:r>
          </w:p>
        </w:tc>
        <w:tc>
          <w:tcPr>
            <w:tcW w:w="460" w:type="dxa"/>
            <w:tcBorders>
              <w:top w:val="nil"/>
              <w:left w:val="nil"/>
              <w:bottom w:val="single" w:sz="8" w:space="0" w:color="auto"/>
              <w:right w:val="single" w:sz="8" w:space="0" w:color="auto"/>
            </w:tcBorders>
            <w:shd w:val="clear" w:color="000000" w:fill="DBE5F1"/>
            <w:noWrap/>
            <w:vAlign w:val="center"/>
            <w:hideMark/>
          </w:tcPr>
          <w:p w14:paraId="3DC5F59A"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5%</w:t>
            </w:r>
          </w:p>
        </w:tc>
        <w:tc>
          <w:tcPr>
            <w:tcW w:w="469" w:type="dxa"/>
            <w:tcBorders>
              <w:top w:val="nil"/>
              <w:left w:val="nil"/>
              <w:bottom w:val="single" w:sz="8" w:space="0" w:color="auto"/>
              <w:right w:val="single" w:sz="8" w:space="0" w:color="auto"/>
            </w:tcBorders>
            <w:shd w:val="clear" w:color="000000" w:fill="FDE9D9"/>
            <w:noWrap/>
            <w:vAlign w:val="center"/>
            <w:hideMark/>
          </w:tcPr>
          <w:p w14:paraId="6E6BE9D6"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94%</w:t>
            </w:r>
          </w:p>
        </w:tc>
      </w:tr>
      <w:tr w:rsidR="00020F9E" w:rsidRPr="00020F9E" w14:paraId="79B2F2EC"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5EAD20E8"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III Circ. Jud. San José (Desamparados)</w:t>
            </w:r>
          </w:p>
        </w:tc>
        <w:tc>
          <w:tcPr>
            <w:tcW w:w="489" w:type="dxa"/>
            <w:tcBorders>
              <w:top w:val="nil"/>
              <w:left w:val="nil"/>
              <w:bottom w:val="single" w:sz="8" w:space="0" w:color="auto"/>
              <w:right w:val="single" w:sz="8" w:space="0" w:color="auto"/>
            </w:tcBorders>
            <w:shd w:val="clear" w:color="auto" w:fill="auto"/>
            <w:noWrap/>
            <w:vAlign w:val="center"/>
            <w:hideMark/>
          </w:tcPr>
          <w:p w14:paraId="32D44025"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24</w:t>
            </w:r>
          </w:p>
        </w:tc>
        <w:tc>
          <w:tcPr>
            <w:tcW w:w="422" w:type="dxa"/>
            <w:tcBorders>
              <w:top w:val="nil"/>
              <w:left w:val="nil"/>
              <w:bottom w:val="single" w:sz="8" w:space="0" w:color="auto"/>
              <w:right w:val="single" w:sz="8" w:space="0" w:color="auto"/>
            </w:tcBorders>
            <w:shd w:val="clear" w:color="auto" w:fill="auto"/>
            <w:noWrap/>
            <w:vAlign w:val="center"/>
            <w:hideMark/>
          </w:tcPr>
          <w:p w14:paraId="13AD9972"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182</w:t>
            </w:r>
          </w:p>
        </w:tc>
        <w:tc>
          <w:tcPr>
            <w:tcW w:w="489" w:type="dxa"/>
            <w:tcBorders>
              <w:top w:val="nil"/>
              <w:left w:val="nil"/>
              <w:bottom w:val="single" w:sz="8" w:space="0" w:color="auto"/>
              <w:right w:val="single" w:sz="8" w:space="0" w:color="auto"/>
            </w:tcBorders>
            <w:shd w:val="clear" w:color="auto" w:fill="auto"/>
            <w:noWrap/>
            <w:vAlign w:val="center"/>
            <w:hideMark/>
          </w:tcPr>
          <w:p w14:paraId="05E46144"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41</w:t>
            </w:r>
          </w:p>
        </w:tc>
        <w:tc>
          <w:tcPr>
            <w:tcW w:w="582" w:type="dxa"/>
            <w:tcBorders>
              <w:top w:val="nil"/>
              <w:left w:val="nil"/>
              <w:bottom w:val="single" w:sz="8" w:space="0" w:color="auto"/>
              <w:right w:val="single" w:sz="8" w:space="0" w:color="auto"/>
            </w:tcBorders>
            <w:shd w:val="clear" w:color="auto" w:fill="auto"/>
            <w:noWrap/>
            <w:vAlign w:val="center"/>
            <w:hideMark/>
          </w:tcPr>
          <w:p w14:paraId="25741FA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6 212</w:t>
            </w:r>
          </w:p>
        </w:tc>
        <w:tc>
          <w:tcPr>
            <w:tcW w:w="582" w:type="dxa"/>
            <w:tcBorders>
              <w:top w:val="nil"/>
              <w:left w:val="nil"/>
              <w:bottom w:val="single" w:sz="8" w:space="0" w:color="auto"/>
              <w:right w:val="single" w:sz="8" w:space="0" w:color="auto"/>
            </w:tcBorders>
            <w:shd w:val="clear" w:color="auto" w:fill="auto"/>
            <w:noWrap/>
            <w:vAlign w:val="center"/>
            <w:hideMark/>
          </w:tcPr>
          <w:p w14:paraId="72F035F7"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2 620</w:t>
            </w:r>
          </w:p>
        </w:tc>
        <w:tc>
          <w:tcPr>
            <w:tcW w:w="397" w:type="dxa"/>
            <w:tcBorders>
              <w:top w:val="nil"/>
              <w:left w:val="nil"/>
              <w:bottom w:val="single" w:sz="8" w:space="0" w:color="auto"/>
              <w:right w:val="single" w:sz="8" w:space="0" w:color="auto"/>
            </w:tcBorders>
            <w:shd w:val="clear" w:color="auto" w:fill="auto"/>
            <w:noWrap/>
            <w:vAlign w:val="center"/>
            <w:hideMark/>
          </w:tcPr>
          <w:p w14:paraId="04534A2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w:t>
            </w:r>
          </w:p>
        </w:tc>
        <w:tc>
          <w:tcPr>
            <w:tcW w:w="582" w:type="dxa"/>
            <w:tcBorders>
              <w:top w:val="nil"/>
              <w:left w:val="nil"/>
              <w:bottom w:val="single" w:sz="8" w:space="0" w:color="auto"/>
              <w:right w:val="single" w:sz="8" w:space="0" w:color="auto"/>
            </w:tcBorders>
            <w:shd w:val="clear" w:color="auto" w:fill="auto"/>
            <w:noWrap/>
            <w:vAlign w:val="center"/>
            <w:hideMark/>
          </w:tcPr>
          <w:p w14:paraId="0A518D86"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9081</w:t>
            </w:r>
          </w:p>
        </w:tc>
        <w:tc>
          <w:tcPr>
            <w:tcW w:w="460" w:type="dxa"/>
            <w:tcBorders>
              <w:top w:val="nil"/>
              <w:left w:val="nil"/>
              <w:bottom w:val="single" w:sz="8" w:space="0" w:color="auto"/>
              <w:right w:val="single" w:sz="8" w:space="0" w:color="auto"/>
            </w:tcBorders>
            <w:shd w:val="clear" w:color="000000" w:fill="DBE5F1"/>
            <w:noWrap/>
            <w:vAlign w:val="center"/>
            <w:hideMark/>
          </w:tcPr>
          <w:p w14:paraId="75AEF3BE"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3%</w:t>
            </w:r>
          </w:p>
        </w:tc>
        <w:tc>
          <w:tcPr>
            <w:tcW w:w="469" w:type="dxa"/>
            <w:tcBorders>
              <w:top w:val="nil"/>
              <w:left w:val="nil"/>
              <w:bottom w:val="single" w:sz="8" w:space="0" w:color="auto"/>
              <w:right w:val="single" w:sz="8" w:space="0" w:color="auto"/>
            </w:tcBorders>
            <w:shd w:val="clear" w:color="000000" w:fill="FDE9D9"/>
            <w:noWrap/>
            <w:vAlign w:val="center"/>
            <w:hideMark/>
          </w:tcPr>
          <w:p w14:paraId="53C9A45A"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97%</w:t>
            </w:r>
          </w:p>
        </w:tc>
      </w:tr>
      <w:tr w:rsidR="00020F9E" w:rsidRPr="00020F9E" w14:paraId="40FF80A3"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611E4CF5"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Cartago</w:t>
            </w:r>
          </w:p>
        </w:tc>
        <w:tc>
          <w:tcPr>
            <w:tcW w:w="489" w:type="dxa"/>
            <w:tcBorders>
              <w:top w:val="nil"/>
              <w:left w:val="nil"/>
              <w:bottom w:val="single" w:sz="8" w:space="0" w:color="auto"/>
              <w:right w:val="single" w:sz="8" w:space="0" w:color="auto"/>
            </w:tcBorders>
            <w:shd w:val="clear" w:color="auto" w:fill="auto"/>
            <w:noWrap/>
            <w:vAlign w:val="center"/>
            <w:hideMark/>
          </w:tcPr>
          <w:p w14:paraId="627B2B58"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242</w:t>
            </w:r>
          </w:p>
        </w:tc>
        <w:tc>
          <w:tcPr>
            <w:tcW w:w="422" w:type="dxa"/>
            <w:tcBorders>
              <w:top w:val="nil"/>
              <w:left w:val="nil"/>
              <w:bottom w:val="single" w:sz="8" w:space="0" w:color="auto"/>
              <w:right w:val="single" w:sz="8" w:space="0" w:color="auto"/>
            </w:tcBorders>
            <w:shd w:val="clear" w:color="auto" w:fill="auto"/>
            <w:noWrap/>
            <w:vAlign w:val="center"/>
            <w:hideMark/>
          </w:tcPr>
          <w:p w14:paraId="2A3AAEBB"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20</w:t>
            </w:r>
          </w:p>
        </w:tc>
        <w:tc>
          <w:tcPr>
            <w:tcW w:w="489" w:type="dxa"/>
            <w:tcBorders>
              <w:top w:val="nil"/>
              <w:left w:val="nil"/>
              <w:bottom w:val="single" w:sz="8" w:space="0" w:color="auto"/>
              <w:right w:val="single" w:sz="8" w:space="0" w:color="auto"/>
            </w:tcBorders>
            <w:shd w:val="clear" w:color="auto" w:fill="auto"/>
            <w:noWrap/>
            <w:vAlign w:val="center"/>
            <w:hideMark/>
          </w:tcPr>
          <w:p w14:paraId="284DF4A8"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308</w:t>
            </w:r>
          </w:p>
        </w:tc>
        <w:tc>
          <w:tcPr>
            <w:tcW w:w="582" w:type="dxa"/>
            <w:tcBorders>
              <w:top w:val="nil"/>
              <w:left w:val="nil"/>
              <w:bottom w:val="single" w:sz="8" w:space="0" w:color="auto"/>
              <w:right w:val="single" w:sz="8" w:space="0" w:color="auto"/>
            </w:tcBorders>
            <w:shd w:val="clear" w:color="auto" w:fill="auto"/>
            <w:noWrap/>
            <w:vAlign w:val="center"/>
            <w:hideMark/>
          </w:tcPr>
          <w:p w14:paraId="51AF97C3"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3 601</w:t>
            </w:r>
          </w:p>
        </w:tc>
        <w:tc>
          <w:tcPr>
            <w:tcW w:w="582" w:type="dxa"/>
            <w:tcBorders>
              <w:top w:val="nil"/>
              <w:left w:val="nil"/>
              <w:bottom w:val="single" w:sz="8" w:space="0" w:color="auto"/>
              <w:right w:val="single" w:sz="8" w:space="0" w:color="auto"/>
            </w:tcBorders>
            <w:shd w:val="clear" w:color="auto" w:fill="auto"/>
            <w:noWrap/>
            <w:vAlign w:val="center"/>
            <w:hideMark/>
          </w:tcPr>
          <w:p w14:paraId="585DFFA9"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3 305</w:t>
            </w:r>
          </w:p>
        </w:tc>
        <w:tc>
          <w:tcPr>
            <w:tcW w:w="397" w:type="dxa"/>
            <w:tcBorders>
              <w:top w:val="nil"/>
              <w:left w:val="nil"/>
              <w:bottom w:val="single" w:sz="8" w:space="0" w:color="auto"/>
              <w:right w:val="single" w:sz="8" w:space="0" w:color="auto"/>
            </w:tcBorders>
            <w:shd w:val="clear" w:color="auto" w:fill="auto"/>
            <w:noWrap/>
            <w:vAlign w:val="center"/>
            <w:hideMark/>
          </w:tcPr>
          <w:p w14:paraId="2925DED9"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88</w:t>
            </w:r>
          </w:p>
        </w:tc>
        <w:tc>
          <w:tcPr>
            <w:tcW w:w="582" w:type="dxa"/>
            <w:tcBorders>
              <w:top w:val="nil"/>
              <w:left w:val="nil"/>
              <w:bottom w:val="single" w:sz="8" w:space="0" w:color="auto"/>
              <w:right w:val="single" w:sz="8" w:space="0" w:color="auto"/>
            </w:tcBorders>
            <w:shd w:val="clear" w:color="auto" w:fill="auto"/>
            <w:noWrap/>
            <w:vAlign w:val="center"/>
            <w:hideMark/>
          </w:tcPr>
          <w:p w14:paraId="2CE2E640"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7564</w:t>
            </w:r>
          </w:p>
        </w:tc>
        <w:tc>
          <w:tcPr>
            <w:tcW w:w="460" w:type="dxa"/>
            <w:tcBorders>
              <w:top w:val="nil"/>
              <w:left w:val="nil"/>
              <w:bottom w:val="single" w:sz="8" w:space="0" w:color="auto"/>
              <w:right w:val="single" w:sz="8" w:space="0" w:color="auto"/>
            </w:tcBorders>
            <w:shd w:val="clear" w:color="000000" w:fill="DBE5F1"/>
            <w:noWrap/>
            <w:vAlign w:val="center"/>
            <w:hideMark/>
          </w:tcPr>
          <w:p w14:paraId="17A800AA"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8%</w:t>
            </w:r>
          </w:p>
        </w:tc>
        <w:tc>
          <w:tcPr>
            <w:tcW w:w="469" w:type="dxa"/>
            <w:tcBorders>
              <w:top w:val="nil"/>
              <w:left w:val="nil"/>
              <w:bottom w:val="single" w:sz="8" w:space="0" w:color="auto"/>
              <w:right w:val="single" w:sz="8" w:space="0" w:color="auto"/>
            </w:tcBorders>
            <w:shd w:val="clear" w:color="000000" w:fill="FDE9D9"/>
            <w:noWrap/>
            <w:vAlign w:val="center"/>
            <w:hideMark/>
          </w:tcPr>
          <w:p w14:paraId="232E4450"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91%</w:t>
            </w:r>
          </w:p>
        </w:tc>
      </w:tr>
      <w:tr w:rsidR="00020F9E" w:rsidRPr="00020F9E" w14:paraId="177C1A2E"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24F6C34F"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Heredia</w:t>
            </w:r>
          </w:p>
        </w:tc>
        <w:tc>
          <w:tcPr>
            <w:tcW w:w="489" w:type="dxa"/>
            <w:tcBorders>
              <w:top w:val="nil"/>
              <w:left w:val="nil"/>
              <w:bottom w:val="single" w:sz="8" w:space="0" w:color="auto"/>
              <w:right w:val="single" w:sz="8" w:space="0" w:color="auto"/>
            </w:tcBorders>
            <w:shd w:val="clear" w:color="auto" w:fill="auto"/>
            <w:noWrap/>
            <w:vAlign w:val="center"/>
            <w:hideMark/>
          </w:tcPr>
          <w:p w14:paraId="29AF7C3A"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102</w:t>
            </w:r>
          </w:p>
        </w:tc>
        <w:tc>
          <w:tcPr>
            <w:tcW w:w="422" w:type="dxa"/>
            <w:tcBorders>
              <w:top w:val="nil"/>
              <w:left w:val="nil"/>
              <w:bottom w:val="single" w:sz="8" w:space="0" w:color="auto"/>
              <w:right w:val="single" w:sz="8" w:space="0" w:color="auto"/>
            </w:tcBorders>
            <w:shd w:val="clear" w:color="auto" w:fill="auto"/>
            <w:noWrap/>
            <w:vAlign w:val="center"/>
            <w:hideMark/>
          </w:tcPr>
          <w:p w14:paraId="4C3D7E55"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41</w:t>
            </w:r>
          </w:p>
        </w:tc>
        <w:tc>
          <w:tcPr>
            <w:tcW w:w="489" w:type="dxa"/>
            <w:tcBorders>
              <w:top w:val="nil"/>
              <w:left w:val="nil"/>
              <w:bottom w:val="single" w:sz="8" w:space="0" w:color="auto"/>
              <w:right w:val="single" w:sz="8" w:space="0" w:color="auto"/>
            </w:tcBorders>
            <w:shd w:val="clear" w:color="auto" w:fill="auto"/>
            <w:noWrap/>
            <w:vAlign w:val="center"/>
            <w:hideMark/>
          </w:tcPr>
          <w:p w14:paraId="6E2464BC"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68</w:t>
            </w:r>
          </w:p>
        </w:tc>
        <w:tc>
          <w:tcPr>
            <w:tcW w:w="582" w:type="dxa"/>
            <w:tcBorders>
              <w:top w:val="nil"/>
              <w:left w:val="nil"/>
              <w:bottom w:val="single" w:sz="8" w:space="0" w:color="auto"/>
              <w:right w:val="single" w:sz="8" w:space="0" w:color="auto"/>
            </w:tcBorders>
            <w:shd w:val="clear" w:color="auto" w:fill="auto"/>
            <w:noWrap/>
            <w:vAlign w:val="center"/>
            <w:hideMark/>
          </w:tcPr>
          <w:p w14:paraId="053962A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4 304</w:t>
            </w:r>
          </w:p>
        </w:tc>
        <w:tc>
          <w:tcPr>
            <w:tcW w:w="582" w:type="dxa"/>
            <w:tcBorders>
              <w:top w:val="nil"/>
              <w:left w:val="nil"/>
              <w:bottom w:val="single" w:sz="8" w:space="0" w:color="auto"/>
              <w:right w:val="single" w:sz="8" w:space="0" w:color="auto"/>
            </w:tcBorders>
            <w:shd w:val="clear" w:color="auto" w:fill="auto"/>
            <w:noWrap/>
            <w:vAlign w:val="center"/>
            <w:hideMark/>
          </w:tcPr>
          <w:p w14:paraId="058B73B9"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2 488</w:t>
            </w:r>
          </w:p>
        </w:tc>
        <w:tc>
          <w:tcPr>
            <w:tcW w:w="397" w:type="dxa"/>
            <w:tcBorders>
              <w:top w:val="nil"/>
              <w:left w:val="nil"/>
              <w:bottom w:val="single" w:sz="8" w:space="0" w:color="auto"/>
              <w:right w:val="single" w:sz="8" w:space="0" w:color="auto"/>
            </w:tcBorders>
            <w:shd w:val="clear" w:color="auto" w:fill="auto"/>
            <w:noWrap/>
            <w:vAlign w:val="center"/>
            <w:hideMark/>
          </w:tcPr>
          <w:p w14:paraId="51E330C3"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w:t>
            </w:r>
          </w:p>
        </w:tc>
        <w:tc>
          <w:tcPr>
            <w:tcW w:w="582" w:type="dxa"/>
            <w:tcBorders>
              <w:top w:val="nil"/>
              <w:left w:val="nil"/>
              <w:bottom w:val="single" w:sz="8" w:space="0" w:color="auto"/>
              <w:right w:val="single" w:sz="8" w:space="0" w:color="auto"/>
            </w:tcBorders>
            <w:shd w:val="clear" w:color="auto" w:fill="auto"/>
            <w:noWrap/>
            <w:vAlign w:val="center"/>
            <w:hideMark/>
          </w:tcPr>
          <w:p w14:paraId="13D2774B"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7012</w:t>
            </w:r>
          </w:p>
        </w:tc>
        <w:tc>
          <w:tcPr>
            <w:tcW w:w="460" w:type="dxa"/>
            <w:tcBorders>
              <w:top w:val="nil"/>
              <w:left w:val="nil"/>
              <w:bottom w:val="single" w:sz="8" w:space="0" w:color="auto"/>
              <w:right w:val="single" w:sz="8" w:space="0" w:color="auto"/>
            </w:tcBorders>
            <w:shd w:val="clear" w:color="000000" w:fill="DBE5F1"/>
            <w:noWrap/>
            <w:vAlign w:val="center"/>
            <w:hideMark/>
          </w:tcPr>
          <w:p w14:paraId="0C37328B"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3%</w:t>
            </w:r>
          </w:p>
        </w:tc>
        <w:tc>
          <w:tcPr>
            <w:tcW w:w="469" w:type="dxa"/>
            <w:tcBorders>
              <w:top w:val="nil"/>
              <w:left w:val="nil"/>
              <w:bottom w:val="single" w:sz="8" w:space="0" w:color="auto"/>
              <w:right w:val="single" w:sz="8" w:space="0" w:color="auto"/>
            </w:tcBorders>
            <w:shd w:val="clear" w:color="000000" w:fill="FDE9D9"/>
            <w:noWrap/>
            <w:vAlign w:val="center"/>
            <w:hideMark/>
          </w:tcPr>
          <w:p w14:paraId="3C9ABE1C"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97%</w:t>
            </w:r>
          </w:p>
        </w:tc>
      </w:tr>
      <w:tr w:rsidR="00020F9E" w:rsidRPr="00020F9E" w14:paraId="21CB1EDE"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0F0520AB"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II Circ. Jud. Zona Atlántica (Pococí)</w:t>
            </w:r>
          </w:p>
        </w:tc>
        <w:tc>
          <w:tcPr>
            <w:tcW w:w="489" w:type="dxa"/>
            <w:tcBorders>
              <w:top w:val="nil"/>
              <w:left w:val="nil"/>
              <w:bottom w:val="single" w:sz="8" w:space="0" w:color="auto"/>
              <w:right w:val="single" w:sz="8" w:space="0" w:color="auto"/>
            </w:tcBorders>
            <w:shd w:val="clear" w:color="auto" w:fill="auto"/>
            <w:noWrap/>
            <w:vAlign w:val="center"/>
            <w:hideMark/>
          </w:tcPr>
          <w:p w14:paraId="52C2FE50"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259</w:t>
            </w:r>
          </w:p>
        </w:tc>
        <w:tc>
          <w:tcPr>
            <w:tcW w:w="422" w:type="dxa"/>
            <w:tcBorders>
              <w:top w:val="nil"/>
              <w:left w:val="nil"/>
              <w:bottom w:val="single" w:sz="8" w:space="0" w:color="auto"/>
              <w:right w:val="single" w:sz="8" w:space="0" w:color="auto"/>
            </w:tcBorders>
            <w:shd w:val="clear" w:color="auto" w:fill="auto"/>
            <w:noWrap/>
            <w:vAlign w:val="center"/>
            <w:hideMark/>
          </w:tcPr>
          <w:p w14:paraId="1DA313C3"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10</w:t>
            </w:r>
          </w:p>
        </w:tc>
        <w:tc>
          <w:tcPr>
            <w:tcW w:w="489" w:type="dxa"/>
            <w:tcBorders>
              <w:top w:val="nil"/>
              <w:left w:val="nil"/>
              <w:bottom w:val="single" w:sz="8" w:space="0" w:color="auto"/>
              <w:right w:val="single" w:sz="8" w:space="0" w:color="auto"/>
            </w:tcBorders>
            <w:shd w:val="clear" w:color="auto" w:fill="auto"/>
            <w:noWrap/>
            <w:vAlign w:val="center"/>
            <w:hideMark/>
          </w:tcPr>
          <w:p w14:paraId="1439EB5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11</w:t>
            </w:r>
          </w:p>
        </w:tc>
        <w:tc>
          <w:tcPr>
            <w:tcW w:w="582" w:type="dxa"/>
            <w:tcBorders>
              <w:top w:val="nil"/>
              <w:left w:val="nil"/>
              <w:bottom w:val="single" w:sz="8" w:space="0" w:color="auto"/>
              <w:right w:val="single" w:sz="8" w:space="0" w:color="auto"/>
            </w:tcBorders>
            <w:shd w:val="clear" w:color="auto" w:fill="auto"/>
            <w:noWrap/>
            <w:vAlign w:val="center"/>
            <w:hideMark/>
          </w:tcPr>
          <w:p w14:paraId="0D075296"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4 038</w:t>
            </w:r>
          </w:p>
        </w:tc>
        <w:tc>
          <w:tcPr>
            <w:tcW w:w="582" w:type="dxa"/>
            <w:tcBorders>
              <w:top w:val="nil"/>
              <w:left w:val="nil"/>
              <w:bottom w:val="single" w:sz="8" w:space="0" w:color="auto"/>
              <w:right w:val="single" w:sz="8" w:space="0" w:color="auto"/>
            </w:tcBorders>
            <w:shd w:val="clear" w:color="auto" w:fill="auto"/>
            <w:noWrap/>
            <w:vAlign w:val="center"/>
            <w:hideMark/>
          </w:tcPr>
          <w:p w14:paraId="6CF80B5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2 667</w:t>
            </w:r>
          </w:p>
        </w:tc>
        <w:tc>
          <w:tcPr>
            <w:tcW w:w="397" w:type="dxa"/>
            <w:tcBorders>
              <w:top w:val="nil"/>
              <w:left w:val="nil"/>
              <w:bottom w:val="single" w:sz="8" w:space="0" w:color="auto"/>
              <w:right w:val="single" w:sz="8" w:space="0" w:color="auto"/>
            </w:tcBorders>
            <w:shd w:val="clear" w:color="auto" w:fill="auto"/>
            <w:noWrap/>
            <w:vAlign w:val="center"/>
            <w:hideMark/>
          </w:tcPr>
          <w:p w14:paraId="02D93546"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 </w:t>
            </w:r>
          </w:p>
        </w:tc>
        <w:tc>
          <w:tcPr>
            <w:tcW w:w="582" w:type="dxa"/>
            <w:tcBorders>
              <w:top w:val="nil"/>
              <w:left w:val="nil"/>
              <w:bottom w:val="single" w:sz="8" w:space="0" w:color="auto"/>
              <w:right w:val="single" w:sz="8" w:space="0" w:color="auto"/>
            </w:tcBorders>
            <w:shd w:val="clear" w:color="auto" w:fill="auto"/>
            <w:noWrap/>
            <w:vAlign w:val="center"/>
            <w:hideMark/>
          </w:tcPr>
          <w:p w14:paraId="61DD7859"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6985</w:t>
            </w:r>
          </w:p>
        </w:tc>
        <w:tc>
          <w:tcPr>
            <w:tcW w:w="460" w:type="dxa"/>
            <w:tcBorders>
              <w:top w:val="nil"/>
              <w:left w:val="nil"/>
              <w:bottom w:val="single" w:sz="8" w:space="0" w:color="auto"/>
              <w:right w:val="single" w:sz="8" w:space="0" w:color="auto"/>
            </w:tcBorders>
            <w:shd w:val="clear" w:color="000000" w:fill="DBE5F1"/>
            <w:noWrap/>
            <w:vAlign w:val="center"/>
            <w:hideMark/>
          </w:tcPr>
          <w:p w14:paraId="085ED7D6"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4%</w:t>
            </w:r>
          </w:p>
        </w:tc>
        <w:tc>
          <w:tcPr>
            <w:tcW w:w="469" w:type="dxa"/>
            <w:tcBorders>
              <w:top w:val="nil"/>
              <w:left w:val="nil"/>
              <w:bottom w:val="single" w:sz="8" w:space="0" w:color="auto"/>
              <w:right w:val="single" w:sz="8" w:space="0" w:color="auto"/>
            </w:tcBorders>
            <w:shd w:val="clear" w:color="000000" w:fill="FDE9D9"/>
            <w:noWrap/>
            <w:vAlign w:val="center"/>
            <w:hideMark/>
          </w:tcPr>
          <w:p w14:paraId="398AEDA1"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96%</w:t>
            </w:r>
          </w:p>
        </w:tc>
      </w:tr>
      <w:tr w:rsidR="00020F9E" w:rsidRPr="00020F9E" w14:paraId="5C0AD3CB"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086BFB46"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I Circ. Jud. Zona Sur (Pérez Zeledón)</w:t>
            </w:r>
          </w:p>
        </w:tc>
        <w:tc>
          <w:tcPr>
            <w:tcW w:w="489" w:type="dxa"/>
            <w:tcBorders>
              <w:top w:val="nil"/>
              <w:left w:val="nil"/>
              <w:bottom w:val="single" w:sz="8" w:space="0" w:color="auto"/>
              <w:right w:val="single" w:sz="8" w:space="0" w:color="auto"/>
            </w:tcBorders>
            <w:shd w:val="clear" w:color="auto" w:fill="auto"/>
            <w:noWrap/>
            <w:vAlign w:val="center"/>
            <w:hideMark/>
          </w:tcPr>
          <w:p w14:paraId="319370FE"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114</w:t>
            </w:r>
          </w:p>
        </w:tc>
        <w:tc>
          <w:tcPr>
            <w:tcW w:w="422" w:type="dxa"/>
            <w:tcBorders>
              <w:top w:val="nil"/>
              <w:left w:val="nil"/>
              <w:bottom w:val="single" w:sz="8" w:space="0" w:color="auto"/>
              <w:right w:val="single" w:sz="8" w:space="0" w:color="auto"/>
            </w:tcBorders>
            <w:shd w:val="clear" w:color="auto" w:fill="auto"/>
            <w:noWrap/>
            <w:vAlign w:val="center"/>
            <w:hideMark/>
          </w:tcPr>
          <w:p w14:paraId="00627B79"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2</w:t>
            </w:r>
          </w:p>
        </w:tc>
        <w:tc>
          <w:tcPr>
            <w:tcW w:w="489" w:type="dxa"/>
            <w:tcBorders>
              <w:top w:val="nil"/>
              <w:left w:val="nil"/>
              <w:bottom w:val="single" w:sz="8" w:space="0" w:color="auto"/>
              <w:right w:val="single" w:sz="8" w:space="0" w:color="auto"/>
            </w:tcBorders>
            <w:shd w:val="clear" w:color="auto" w:fill="auto"/>
            <w:noWrap/>
            <w:vAlign w:val="center"/>
            <w:hideMark/>
          </w:tcPr>
          <w:p w14:paraId="5D27711A"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14</w:t>
            </w:r>
          </w:p>
        </w:tc>
        <w:tc>
          <w:tcPr>
            <w:tcW w:w="582" w:type="dxa"/>
            <w:tcBorders>
              <w:top w:val="nil"/>
              <w:left w:val="nil"/>
              <w:bottom w:val="single" w:sz="8" w:space="0" w:color="auto"/>
              <w:right w:val="single" w:sz="8" w:space="0" w:color="auto"/>
            </w:tcBorders>
            <w:shd w:val="clear" w:color="auto" w:fill="auto"/>
            <w:noWrap/>
            <w:vAlign w:val="center"/>
            <w:hideMark/>
          </w:tcPr>
          <w:p w14:paraId="4D2AC95D"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4 983</w:t>
            </w:r>
          </w:p>
        </w:tc>
        <w:tc>
          <w:tcPr>
            <w:tcW w:w="582" w:type="dxa"/>
            <w:tcBorders>
              <w:top w:val="nil"/>
              <w:left w:val="nil"/>
              <w:bottom w:val="single" w:sz="8" w:space="0" w:color="auto"/>
              <w:right w:val="single" w:sz="8" w:space="0" w:color="auto"/>
            </w:tcBorders>
            <w:shd w:val="clear" w:color="auto" w:fill="auto"/>
            <w:noWrap/>
            <w:vAlign w:val="center"/>
            <w:hideMark/>
          </w:tcPr>
          <w:p w14:paraId="7D7BD19E"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349</w:t>
            </w:r>
          </w:p>
        </w:tc>
        <w:tc>
          <w:tcPr>
            <w:tcW w:w="397" w:type="dxa"/>
            <w:tcBorders>
              <w:top w:val="nil"/>
              <w:left w:val="nil"/>
              <w:bottom w:val="single" w:sz="8" w:space="0" w:color="auto"/>
              <w:right w:val="single" w:sz="8" w:space="0" w:color="auto"/>
            </w:tcBorders>
            <w:shd w:val="clear" w:color="auto" w:fill="auto"/>
            <w:noWrap/>
            <w:vAlign w:val="center"/>
            <w:hideMark/>
          </w:tcPr>
          <w:p w14:paraId="12259CA0"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 </w:t>
            </w:r>
          </w:p>
        </w:tc>
        <w:tc>
          <w:tcPr>
            <w:tcW w:w="582" w:type="dxa"/>
            <w:tcBorders>
              <w:top w:val="nil"/>
              <w:left w:val="nil"/>
              <w:bottom w:val="single" w:sz="8" w:space="0" w:color="auto"/>
              <w:right w:val="single" w:sz="8" w:space="0" w:color="auto"/>
            </w:tcBorders>
            <w:shd w:val="clear" w:color="auto" w:fill="auto"/>
            <w:noWrap/>
            <w:vAlign w:val="center"/>
            <w:hideMark/>
          </w:tcPr>
          <w:p w14:paraId="47F67446"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5462</w:t>
            </w:r>
          </w:p>
        </w:tc>
        <w:tc>
          <w:tcPr>
            <w:tcW w:w="460" w:type="dxa"/>
            <w:tcBorders>
              <w:top w:val="nil"/>
              <w:left w:val="nil"/>
              <w:bottom w:val="single" w:sz="8" w:space="0" w:color="auto"/>
              <w:right w:val="single" w:sz="8" w:space="0" w:color="auto"/>
            </w:tcBorders>
            <w:shd w:val="clear" w:color="000000" w:fill="DBE5F1"/>
            <w:noWrap/>
            <w:vAlign w:val="center"/>
            <w:hideMark/>
          </w:tcPr>
          <w:p w14:paraId="54D78C94"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2%</w:t>
            </w:r>
          </w:p>
        </w:tc>
        <w:tc>
          <w:tcPr>
            <w:tcW w:w="469" w:type="dxa"/>
            <w:tcBorders>
              <w:top w:val="nil"/>
              <w:left w:val="nil"/>
              <w:bottom w:val="single" w:sz="8" w:space="0" w:color="auto"/>
              <w:right w:val="single" w:sz="8" w:space="0" w:color="auto"/>
            </w:tcBorders>
            <w:shd w:val="clear" w:color="000000" w:fill="FDE9D9"/>
            <w:noWrap/>
            <w:vAlign w:val="center"/>
            <w:hideMark/>
          </w:tcPr>
          <w:p w14:paraId="6C38D9DD"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98%</w:t>
            </w:r>
          </w:p>
        </w:tc>
      </w:tr>
      <w:tr w:rsidR="00020F9E" w:rsidRPr="00020F9E" w14:paraId="16B95E37"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266BEACA"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I Circ. Jud. Zona Atlántica (Limón)</w:t>
            </w:r>
          </w:p>
        </w:tc>
        <w:tc>
          <w:tcPr>
            <w:tcW w:w="489" w:type="dxa"/>
            <w:tcBorders>
              <w:top w:val="nil"/>
              <w:left w:val="nil"/>
              <w:bottom w:val="single" w:sz="8" w:space="0" w:color="auto"/>
              <w:right w:val="single" w:sz="8" w:space="0" w:color="auto"/>
            </w:tcBorders>
            <w:shd w:val="clear" w:color="auto" w:fill="auto"/>
            <w:noWrap/>
            <w:vAlign w:val="center"/>
            <w:hideMark/>
          </w:tcPr>
          <w:p w14:paraId="151B0B45"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197</w:t>
            </w:r>
          </w:p>
        </w:tc>
        <w:tc>
          <w:tcPr>
            <w:tcW w:w="422" w:type="dxa"/>
            <w:tcBorders>
              <w:top w:val="nil"/>
              <w:left w:val="nil"/>
              <w:bottom w:val="single" w:sz="8" w:space="0" w:color="auto"/>
              <w:right w:val="single" w:sz="8" w:space="0" w:color="auto"/>
            </w:tcBorders>
            <w:shd w:val="clear" w:color="auto" w:fill="auto"/>
            <w:noWrap/>
            <w:vAlign w:val="center"/>
            <w:hideMark/>
          </w:tcPr>
          <w:p w14:paraId="498C1F45"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9</w:t>
            </w:r>
          </w:p>
        </w:tc>
        <w:tc>
          <w:tcPr>
            <w:tcW w:w="489" w:type="dxa"/>
            <w:tcBorders>
              <w:top w:val="nil"/>
              <w:left w:val="nil"/>
              <w:bottom w:val="single" w:sz="8" w:space="0" w:color="auto"/>
              <w:right w:val="single" w:sz="8" w:space="0" w:color="auto"/>
            </w:tcBorders>
            <w:shd w:val="clear" w:color="auto" w:fill="auto"/>
            <w:noWrap/>
            <w:vAlign w:val="center"/>
            <w:hideMark/>
          </w:tcPr>
          <w:p w14:paraId="1F9885AA"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105</w:t>
            </w:r>
          </w:p>
        </w:tc>
        <w:tc>
          <w:tcPr>
            <w:tcW w:w="582" w:type="dxa"/>
            <w:tcBorders>
              <w:top w:val="nil"/>
              <w:left w:val="nil"/>
              <w:bottom w:val="single" w:sz="8" w:space="0" w:color="auto"/>
              <w:right w:val="single" w:sz="8" w:space="0" w:color="auto"/>
            </w:tcBorders>
            <w:shd w:val="clear" w:color="auto" w:fill="auto"/>
            <w:noWrap/>
            <w:vAlign w:val="center"/>
            <w:hideMark/>
          </w:tcPr>
          <w:p w14:paraId="394C9E4E"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4 114</w:t>
            </w:r>
          </w:p>
        </w:tc>
        <w:tc>
          <w:tcPr>
            <w:tcW w:w="582" w:type="dxa"/>
            <w:tcBorders>
              <w:top w:val="nil"/>
              <w:left w:val="nil"/>
              <w:bottom w:val="single" w:sz="8" w:space="0" w:color="auto"/>
              <w:right w:val="single" w:sz="8" w:space="0" w:color="auto"/>
            </w:tcBorders>
            <w:shd w:val="clear" w:color="auto" w:fill="auto"/>
            <w:noWrap/>
            <w:vAlign w:val="center"/>
            <w:hideMark/>
          </w:tcPr>
          <w:p w14:paraId="4B61DE1E"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1 314</w:t>
            </w:r>
          </w:p>
        </w:tc>
        <w:tc>
          <w:tcPr>
            <w:tcW w:w="397" w:type="dxa"/>
            <w:tcBorders>
              <w:top w:val="nil"/>
              <w:left w:val="nil"/>
              <w:bottom w:val="single" w:sz="8" w:space="0" w:color="auto"/>
              <w:right w:val="single" w:sz="8" w:space="0" w:color="auto"/>
            </w:tcBorders>
            <w:shd w:val="clear" w:color="auto" w:fill="auto"/>
            <w:noWrap/>
            <w:vAlign w:val="center"/>
            <w:hideMark/>
          </w:tcPr>
          <w:p w14:paraId="0492FF31"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1</w:t>
            </w:r>
          </w:p>
        </w:tc>
        <w:tc>
          <w:tcPr>
            <w:tcW w:w="582" w:type="dxa"/>
            <w:tcBorders>
              <w:top w:val="nil"/>
              <w:left w:val="nil"/>
              <w:bottom w:val="single" w:sz="8" w:space="0" w:color="auto"/>
              <w:right w:val="single" w:sz="8" w:space="0" w:color="auto"/>
            </w:tcBorders>
            <w:shd w:val="clear" w:color="auto" w:fill="auto"/>
            <w:noWrap/>
            <w:vAlign w:val="center"/>
            <w:hideMark/>
          </w:tcPr>
          <w:p w14:paraId="1654A98F"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5740</w:t>
            </w:r>
          </w:p>
        </w:tc>
        <w:tc>
          <w:tcPr>
            <w:tcW w:w="460" w:type="dxa"/>
            <w:tcBorders>
              <w:top w:val="nil"/>
              <w:left w:val="nil"/>
              <w:bottom w:val="single" w:sz="8" w:space="0" w:color="auto"/>
              <w:right w:val="single" w:sz="8" w:space="0" w:color="auto"/>
            </w:tcBorders>
            <w:shd w:val="clear" w:color="000000" w:fill="DBE5F1"/>
            <w:noWrap/>
            <w:vAlign w:val="center"/>
            <w:hideMark/>
          </w:tcPr>
          <w:p w14:paraId="48F9939D"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5%</w:t>
            </w:r>
          </w:p>
        </w:tc>
        <w:tc>
          <w:tcPr>
            <w:tcW w:w="469" w:type="dxa"/>
            <w:tcBorders>
              <w:top w:val="nil"/>
              <w:left w:val="nil"/>
              <w:bottom w:val="single" w:sz="8" w:space="0" w:color="auto"/>
              <w:right w:val="single" w:sz="8" w:space="0" w:color="auto"/>
            </w:tcBorders>
            <w:shd w:val="clear" w:color="000000" w:fill="FDE9D9"/>
            <w:noWrap/>
            <w:vAlign w:val="center"/>
            <w:hideMark/>
          </w:tcPr>
          <w:p w14:paraId="29A0BE83"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95%</w:t>
            </w:r>
          </w:p>
        </w:tc>
      </w:tr>
      <w:tr w:rsidR="00020F9E" w:rsidRPr="00020F9E" w14:paraId="4396C74A"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6060276A"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 xml:space="preserve">Juzgado Pensiones Alimentarias Puntarenas </w:t>
            </w:r>
          </w:p>
        </w:tc>
        <w:tc>
          <w:tcPr>
            <w:tcW w:w="489" w:type="dxa"/>
            <w:tcBorders>
              <w:top w:val="nil"/>
              <w:left w:val="nil"/>
              <w:bottom w:val="single" w:sz="8" w:space="0" w:color="auto"/>
              <w:right w:val="single" w:sz="8" w:space="0" w:color="auto"/>
            </w:tcBorders>
            <w:shd w:val="clear" w:color="auto" w:fill="auto"/>
            <w:noWrap/>
            <w:vAlign w:val="center"/>
            <w:hideMark/>
          </w:tcPr>
          <w:p w14:paraId="63D4F9A1"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63</w:t>
            </w:r>
          </w:p>
        </w:tc>
        <w:tc>
          <w:tcPr>
            <w:tcW w:w="422" w:type="dxa"/>
            <w:tcBorders>
              <w:top w:val="nil"/>
              <w:left w:val="nil"/>
              <w:bottom w:val="single" w:sz="8" w:space="0" w:color="auto"/>
              <w:right w:val="single" w:sz="8" w:space="0" w:color="auto"/>
            </w:tcBorders>
            <w:shd w:val="clear" w:color="auto" w:fill="auto"/>
            <w:noWrap/>
            <w:vAlign w:val="center"/>
            <w:hideMark/>
          </w:tcPr>
          <w:p w14:paraId="7C797372"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48</w:t>
            </w:r>
          </w:p>
        </w:tc>
        <w:tc>
          <w:tcPr>
            <w:tcW w:w="489" w:type="dxa"/>
            <w:tcBorders>
              <w:top w:val="nil"/>
              <w:left w:val="nil"/>
              <w:bottom w:val="single" w:sz="8" w:space="0" w:color="auto"/>
              <w:right w:val="single" w:sz="8" w:space="0" w:color="auto"/>
            </w:tcBorders>
            <w:shd w:val="clear" w:color="auto" w:fill="auto"/>
            <w:noWrap/>
            <w:vAlign w:val="center"/>
            <w:hideMark/>
          </w:tcPr>
          <w:p w14:paraId="5A4ED413"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497</w:t>
            </w:r>
          </w:p>
        </w:tc>
        <w:tc>
          <w:tcPr>
            <w:tcW w:w="582" w:type="dxa"/>
            <w:tcBorders>
              <w:top w:val="nil"/>
              <w:left w:val="nil"/>
              <w:bottom w:val="single" w:sz="8" w:space="0" w:color="auto"/>
              <w:right w:val="single" w:sz="8" w:space="0" w:color="auto"/>
            </w:tcBorders>
            <w:shd w:val="clear" w:color="auto" w:fill="auto"/>
            <w:noWrap/>
            <w:vAlign w:val="center"/>
            <w:hideMark/>
          </w:tcPr>
          <w:p w14:paraId="1D2AB9E4"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1 855</w:t>
            </w:r>
          </w:p>
        </w:tc>
        <w:tc>
          <w:tcPr>
            <w:tcW w:w="582" w:type="dxa"/>
            <w:tcBorders>
              <w:top w:val="nil"/>
              <w:left w:val="nil"/>
              <w:bottom w:val="single" w:sz="8" w:space="0" w:color="auto"/>
              <w:right w:val="single" w:sz="8" w:space="0" w:color="auto"/>
            </w:tcBorders>
            <w:shd w:val="clear" w:color="auto" w:fill="auto"/>
            <w:noWrap/>
            <w:vAlign w:val="center"/>
            <w:hideMark/>
          </w:tcPr>
          <w:p w14:paraId="0B2A2344"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3 302</w:t>
            </w:r>
          </w:p>
        </w:tc>
        <w:tc>
          <w:tcPr>
            <w:tcW w:w="397" w:type="dxa"/>
            <w:tcBorders>
              <w:top w:val="nil"/>
              <w:left w:val="nil"/>
              <w:bottom w:val="single" w:sz="8" w:space="0" w:color="auto"/>
              <w:right w:val="single" w:sz="8" w:space="0" w:color="auto"/>
            </w:tcBorders>
            <w:shd w:val="clear" w:color="auto" w:fill="auto"/>
            <w:noWrap/>
            <w:vAlign w:val="center"/>
            <w:hideMark/>
          </w:tcPr>
          <w:p w14:paraId="6A97AD76"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 </w:t>
            </w:r>
          </w:p>
        </w:tc>
        <w:tc>
          <w:tcPr>
            <w:tcW w:w="582" w:type="dxa"/>
            <w:tcBorders>
              <w:top w:val="nil"/>
              <w:left w:val="nil"/>
              <w:bottom w:val="single" w:sz="8" w:space="0" w:color="auto"/>
              <w:right w:val="single" w:sz="8" w:space="0" w:color="auto"/>
            </w:tcBorders>
            <w:shd w:val="clear" w:color="auto" w:fill="auto"/>
            <w:noWrap/>
            <w:vAlign w:val="center"/>
            <w:hideMark/>
          </w:tcPr>
          <w:p w14:paraId="57E665D3"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5765</w:t>
            </w:r>
          </w:p>
        </w:tc>
        <w:tc>
          <w:tcPr>
            <w:tcW w:w="460" w:type="dxa"/>
            <w:tcBorders>
              <w:top w:val="nil"/>
              <w:left w:val="nil"/>
              <w:bottom w:val="single" w:sz="8" w:space="0" w:color="auto"/>
              <w:right w:val="single" w:sz="8" w:space="0" w:color="auto"/>
            </w:tcBorders>
            <w:shd w:val="clear" w:color="000000" w:fill="DBE5F1"/>
            <w:noWrap/>
            <w:vAlign w:val="center"/>
            <w:hideMark/>
          </w:tcPr>
          <w:p w14:paraId="3CDD4750"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11%</w:t>
            </w:r>
          </w:p>
        </w:tc>
        <w:tc>
          <w:tcPr>
            <w:tcW w:w="469" w:type="dxa"/>
            <w:tcBorders>
              <w:top w:val="nil"/>
              <w:left w:val="nil"/>
              <w:bottom w:val="single" w:sz="8" w:space="0" w:color="auto"/>
              <w:right w:val="single" w:sz="8" w:space="0" w:color="auto"/>
            </w:tcBorders>
            <w:shd w:val="clear" w:color="000000" w:fill="FDE9D9"/>
            <w:noWrap/>
            <w:vAlign w:val="center"/>
            <w:hideMark/>
          </w:tcPr>
          <w:p w14:paraId="1005A4FA"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89%</w:t>
            </w:r>
          </w:p>
        </w:tc>
      </w:tr>
      <w:tr w:rsidR="00020F9E" w:rsidRPr="00020F9E" w14:paraId="1779C04D"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0A682BC4"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 xml:space="preserve">Juzgado Pensiones Alimentarias I Circ. Jud. San José </w:t>
            </w:r>
          </w:p>
        </w:tc>
        <w:tc>
          <w:tcPr>
            <w:tcW w:w="489" w:type="dxa"/>
            <w:tcBorders>
              <w:top w:val="nil"/>
              <w:left w:val="nil"/>
              <w:bottom w:val="single" w:sz="8" w:space="0" w:color="auto"/>
              <w:right w:val="single" w:sz="8" w:space="0" w:color="auto"/>
            </w:tcBorders>
            <w:shd w:val="clear" w:color="auto" w:fill="auto"/>
            <w:noWrap/>
            <w:vAlign w:val="center"/>
            <w:hideMark/>
          </w:tcPr>
          <w:p w14:paraId="5963B56D"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50</w:t>
            </w:r>
          </w:p>
        </w:tc>
        <w:tc>
          <w:tcPr>
            <w:tcW w:w="422" w:type="dxa"/>
            <w:tcBorders>
              <w:top w:val="nil"/>
              <w:left w:val="nil"/>
              <w:bottom w:val="single" w:sz="8" w:space="0" w:color="auto"/>
              <w:right w:val="single" w:sz="8" w:space="0" w:color="auto"/>
            </w:tcBorders>
            <w:shd w:val="clear" w:color="auto" w:fill="auto"/>
            <w:noWrap/>
            <w:vAlign w:val="center"/>
            <w:hideMark/>
          </w:tcPr>
          <w:p w14:paraId="6133EB6A"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71</w:t>
            </w:r>
          </w:p>
        </w:tc>
        <w:tc>
          <w:tcPr>
            <w:tcW w:w="489" w:type="dxa"/>
            <w:tcBorders>
              <w:top w:val="nil"/>
              <w:left w:val="nil"/>
              <w:bottom w:val="single" w:sz="8" w:space="0" w:color="auto"/>
              <w:right w:val="single" w:sz="8" w:space="0" w:color="auto"/>
            </w:tcBorders>
            <w:shd w:val="clear" w:color="auto" w:fill="auto"/>
            <w:noWrap/>
            <w:vAlign w:val="center"/>
            <w:hideMark/>
          </w:tcPr>
          <w:p w14:paraId="1FDB3307"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120</w:t>
            </w:r>
          </w:p>
        </w:tc>
        <w:tc>
          <w:tcPr>
            <w:tcW w:w="582" w:type="dxa"/>
            <w:tcBorders>
              <w:top w:val="nil"/>
              <w:left w:val="nil"/>
              <w:bottom w:val="single" w:sz="8" w:space="0" w:color="auto"/>
              <w:right w:val="single" w:sz="8" w:space="0" w:color="auto"/>
            </w:tcBorders>
            <w:shd w:val="clear" w:color="auto" w:fill="auto"/>
            <w:noWrap/>
            <w:vAlign w:val="center"/>
            <w:hideMark/>
          </w:tcPr>
          <w:p w14:paraId="37414E23"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3 543</w:t>
            </w:r>
          </w:p>
        </w:tc>
        <w:tc>
          <w:tcPr>
            <w:tcW w:w="582" w:type="dxa"/>
            <w:tcBorders>
              <w:top w:val="nil"/>
              <w:left w:val="nil"/>
              <w:bottom w:val="single" w:sz="8" w:space="0" w:color="auto"/>
              <w:right w:val="single" w:sz="8" w:space="0" w:color="auto"/>
            </w:tcBorders>
            <w:shd w:val="clear" w:color="auto" w:fill="auto"/>
            <w:noWrap/>
            <w:vAlign w:val="center"/>
            <w:hideMark/>
          </w:tcPr>
          <w:p w14:paraId="5F5F7033"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1 095</w:t>
            </w:r>
          </w:p>
        </w:tc>
        <w:tc>
          <w:tcPr>
            <w:tcW w:w="397" w:type="dxa"/>
            <w:tcBorders>
              <w:top w:val="nil"/>
              <w:left w:val="nil"/>
              <w:bottom w:val="single" w:sz="8" w:space="0" w:color="auto"/>
              <w:right w:val="single" w:sz="8" w:space="0" w:color="auto"/>
            </w:tcBorders>
            <w:shd w:val="clear" w:color="auto" w:fill="auto"/>
            <w:noWrap/>
            <w:vAlign w:val="center"/>
            <w:hideMark/>
          </w:tcPr>
          <w:p w14:paraId="6B604C69"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 </w:t>
            </w:r>
          </w:p>
        </w:tc>
        <w:tc>
          <w:tcPr>
            <w:tcW w:w="582" w:type="dxa"/>
            <w:tcBorders>
              <w:top w:val="nil"/>
              <w:left w:val="nil"/>
              <w:bottom w:val="single" w:sz="8" w:space="0" w:color="auto"/>
              <w:right w:val="single" w:sz="8" w:space="0" w:color="auto"/>
            </w:tcBorders>
            <w:shd w:val="clear" w:color="auto" w:fill="auto"/>
            <w:noWrap/>
            <w:vAlign w:val="center"/>
            <w:hideMark/>
          </w:tcPr>
          <w:p w14:paraId="686049F5"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4879</w:t>
            </w:r>
          </w:p>
        </w:tc>
        <w:tc>
          <w:tcPr>
            <w:tcW w:w="460" w:type="dxa"/>
            <w:tcBorders>
              <w:top w:val="nil"/>
              <w:left w:val="nil"/>
              <w:bottom w:val="single" w:sz="8" w:space="0" w:color="auto"/>
              <w:right w:val="single" w:sz="8" w:space="0" w:color="auto"/>
            </w:tcBorders>
            <w:shd w:val="clear" w:color="000000" w:fill="DBE5F1"/>
            <w:noWrap/>
            <w:vAlign w:val="center"/>
            <w:hideMark/>
          </w:tcPr>
          <w:p w14:paraId="510238E9"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5%</w:t>
            </w:r>
          </w:p>
        </w:tc>
        <w:tc>
          <w:tcPr>
            <w:tcW w:w="469" w:type="dxa"/>
            <w:tcBorders>
              <w:top w:val="nil"/>
              <w:left w:val="nil"/>
              <w:bottom w:val="single" w:sz="8" w:space="0" w:color="auto"/>
              <w:right w:val="single" w:sz="8" w:space="0" w:color="auto"/>
            </w:tcBorders>
            <w:shd w:val="clear" w:color="000000" w:fill="FDE9D9"/>
            <w:noWrap/>
            <w:vAlign w:val="center"/>
            <w:hideMark/>
          </w:tcPr>
          <w:p w14:paraId="5D4E149D"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95%</w:t>
            </w:r>
          </w:p>
        </w:tc>
      </w:tr>
      <w:tr w:rsidR="00020F9E" w:rsidRPr="00020F9E" w14:paraId="77E51A33"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34D307B7"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Pensiones Alimentarias Sarapiquí</w:t>
            </w:r>
          </w:p>
        </w:tc>
        <w:tc>
          <w:tcPr>
            <w:tcW w:w="489" w:type="dxa"/>
            <w:tcBorders>
              <w:top w:val="nil"/>
              <w:left w:val="nil"/>
              <w:bottom w:val="single" w:sz="8" w:space="0" w:color="auto"/>
              <w:right w:val="single" w:sz="8" w:space="0" w:color="auto"/>
            </w:tcBorders>
            <w:shd w:val="clear" w:color="auto" w:fill="auto"/>
            <w:noWrap/>
            <w:vAlign w:val="center"/>
            <w:hideMark/>
          </w:tcPr>
          <w:p w14:paraId="1EDBC4BC"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352</w:t>
            </w:r>
          </w:p>
        </w:tc>
        <w:tc>
          <w:tcPr>
            <w:tcW w:w="422" w:type="dxa"/>
            <w:tcBorders>
              <w:top w:val="nil"/>
              <w:left w:val="nil"/>
              <w:bottom w:val="single" w:sz="8" w:space="0" w:color="auto"/>
              <w:right w:val="single" w:sz="8" w:space="0" w:color="auto"/>
            </w:tcBorders>
            <w:shd w:val="clear" w:color="auto" w:fill="auto"/>
            <w:noWrap/>
            <w:vAlign w:val="center"/>
            <w:hideMark/>
          </w:tcPr>
          <w:p w14:paraId="70171E2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34</w:t>
            </w:r>
          </w:p>
        </w:tc>
        <w:tc>
          <w:tcPr>
            <w:tcW w:w="489" w:type="dxa"/>
            <w:tcBorders>
              <w:top w:val="nil"/>
              <w:left w:val="nil"/>
              <w:bottom w:val="single" w:sz="8" w:space="0" w:color="auto"/>
              <w:right w:val="single" w:sz="8" w:space="0" w:color="auto"/>
            </w:tcBorders>
            <w:shd w:val="clear" w:color="auto" w:fill="auto"/>
            <w:noWrap/>
            <w:vAlign w:val="center"/>
            <w:hideMark/>
          </w:tcPr>
          <w:p w14:paraId="41EDF2A0"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84</w:t>
            </w:r>
          </w:p>
        </w:tc>
        <w:tc>
          <w:tcPr>
            <w:tcW w:w="582" w:type="dxa"/>
            <w:tcBorders>
              <w:top w:val="nil"/>
              <w:left w:val="nil"/>
              <w:bottom w:val="single" w:sz="8" w:space="0" w:color="auto"/>
              <w:right w:val="single" w:sz="8" w:space="0" w:color="auto"/>
            </w:tcBorders>
            <w:shd w:val="clear" w:color="auto" w:fill="auto"/>
            <w:noWrap/>
            <w:vAlign w:val="center"/>
            <w:hideMark/>
          </w:tcPr>
          <w:p w14:paraId="6081C036"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3 012</w:t>
            </w:r>
          </w:p>
        </w:tc>
        <w:tc>
          <w:tcPr>
            <w:tcW w:w="582" w:type="dxa"/>
            <w:tcBorders>
              <w:top w:val="nil"/>
              <w:left w:val="nil"/>
              <w:bottom w:val="single" w:sz="8" w:space="0" w:color="auto"/>
              <w:right w:val="single" w:sz="8" w:space="0" w:color="auto"/>
            </w:tcBorders>
            <w:shd w:val="clear" w:color="auto" w:fill="auto"/>
            <w:noWrap/>
            <w:vAlign w:val="center"/>
            <w:hideMark/>
          </w:tcPr>
          <w:p w14:paraId="6CB7BA85"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445</w:t>
            </w:r>
          </w:p>
        </w:tc>
        <w:tc>
          <w:tcPr>
            <w:tcW w:w="397" w:type="dxa"/>
            <w:tcBorders>
              <w:top w:val="nil"/>
              <w:left w:val="nil"/>
              <w:bottom w:val="single" w:sz="8" w:space="0" w:color="auto"/>
              <w:right w:val="single" w:sz="8" w:space="0" w:color="auto"/>
            </w:tcBorders>
            <w:shd w:val="clear" w:color="auto" w:fill="auto"/>
            <w:noWrap/>
            <w:vAlign w:val="center"/>
            <w:hideMark/>
          </w:tcPr>
          <w:p w14:paraId="5F7B7787"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1</w:t>
            </w:r>
          </w:p>
        </w:tc>
        <w:tc>
          <w:tcPr>
            <w:tcW w:w="582" w:type="dxa"/>
            <w:tcBorders>
              <w:top w:val="nil"/>
              <w:left w:val="nil"/>
              <w:bottom w:val="single" w:sz="8" w:space="0" w:color="auto"/>
              <w:right w:val="single" w:sz="8" w:space="0" w:color="auto"/>
            </w:tcBorders>
            <w:shd w:val="clear" w:color="auto" w:fill="auto"/>
            <w:noWrap/>
            <w:vAlign w:val="center"/>
            <w:hideMark/>
          </w:tcPr>
          <w:p w14:paraId="1EA54F96"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3928</w:t>
            </w:r>
          </w:p>
        </w:tc>
        <w:tc>
          <w:tcPr>
            <w:tcW w:w="460" w:type="dxa"/>
            <w:tcBorders>
              <w:top w:val="nil"/>
              <w:left w:val="nil"/>
              <w:bottom w:val="single" w:sz="8" w:space="0" w:color="auto"/>
              <w:right w:val="single" w:sz="8" w:space="0" w:color="auto"/>
            </w:tcBorders>
            <w:shd w:val="clear" w:color="000000" w:fill="DBE5F1"/>
            <w:noWrap/>
            <w:vAlign w:val="center"/>
            <w:hideMark/>
          </w:tcPr>
          <w:p w14:paraId="46EAE34A"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12%</w:t>
            </w:r>
          </w:p>
        </w:tc>
        <w:tc>
          <w:tcPr>
            <w:tcW w:w="469" w:type="dxa"/>
            <w:tcBorders>
              <w:top w:val="nil"/>
              <w:left w:val="nil"/>
              <w:bottom w:val="single" w:sz="8" w:space="0" w:color="auto"/>
              <w:right w:val="single" w:sz="8" w:space="0" w:color="auto"/>
            </w:tcBorders>
            <w:shd w:val="clear" w:color="000000" w:fill="FDE9D9"/>
            <w:noWrap/>
            <w:vAlign w:val="center"/>
            <w:hideMark/>
          </w:tcPr>
          <w:p w14:paraId="3C1E77C2"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88%</w:t>
            </w:r>
          </w:p>
        </w:tc>
      </w:tr>
      <w:tr w:rsidR="00020F9E" w:rsidRPr="00020F9E" w14:paraId="536EBEAA" w14:textId="77777777" w:rsidTr="00020F9E">
        <w:trPr>
          <w:trHeight w:val="858"/>
          <w:jc w:val="center"/>
        </w:trPr>
        <w:tc>
          <w:tcPr>
            <w:tcW w:w="5850" w:type="dxa"/>
            <w:tcBorders>
              <w:top w:val="nil"/>
              <w:left w:val="single" w:sz="8" w:space="0" w:color="auto"/>
              <w:bottom w:val="single" w:sz="8" w:space="0" w:color="auto"/>
              <w:right w:val="single" w:sz="8" w:space="0" w:color="auto"/>
            </w:tcBorders>
            <w:shd w:val="clear" w:color="auto" w:fill="auto"/>
            <w:noWrap/>
            <w:vAlign w:val="center"/>
            <w:hideMark/>
          </w:tcPr>
          <w:p w14:paraId="2B2B16BB" w14:textId="77777777" w:rsidR="00020F9E" w:rsidRPr="00020F9E" w:rsidRDefault="00020F9E" w:rsidP="00020F9E">
            <w:pPr>
              <w:spacing w:after="0" w:line="240" w:lineRule="auto"/>
              <w:jc w:val="both"/>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Juzgado de Pensiones Alimentarias de Nicoya*</w:t>
            </w:r>
          </w:p>
        </w:tc>
        <w:tc>
          <w:tcPr>
            <w:tcW w:w="489" w:type="dxa"/>
            <w:tcBorders>
              <w:top w:val="nil"/>
              <w:left w:val="nil"/>
              <w:bottom w:val="single" w:sz="8" w:space="0" w:color="auto"/>
              <w:right w:val="single" w:sz="8" w:space="0" w:color="auto"/>
            </w:tcBorders>
            <w:shd w:val="clear" w:color="auto" w:fill="auto"/>
            <w:noWrap/>
            <w:vAlign w:val="center"/>
            <w:hideMark/>
          </w:tcPr>
          <w:p w14:paraId="2F13D5AF"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17</w:t>
            </w:r>
          </w:p>
        </w:tc>
        <w:tc>
          <w:tcPr>
            <w:tcW w:w="422" w:type="dxa"/>
            <w:tcBorders>
              <w:top w:val="nil"/>
              <w:left w:val="nil"/>
              <w:bottom w:val="single" w:sz="8" w:space="0" w:color="auto"/>
              <w:right w:val="single" w:sz="8" w:space="0" w:color="auto"/>
            </w:tcBorders>
            <w:shd w:val="clear" w:color="auto" w:fill="auto"/>
            <w:noWrap/>
            <w:vAlign w:val="center"/>
            <w:hideMark/>
          </w:tcPr>
          <w:p w14:paraId="26F95492"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13</w:t>
            </w:r>
          </w:p>
        </w:tc>
        <w:tc>
          <w:tcPr>
            <w:tcW w:w="489" w:type="dxa"/>
            <w:tcBorders>
              <w:top w:val="nil"/>
              <w:left w:val="nil"/>
              <w:bottom w:val="single" w:sz="8" w:space="0" w:color="auto"/>
              <w:right w:val="single" w:sz="8" w:space="0" w:color="auto"/>
            </w:tcBorders>
            <w:shd w:val="clear" w:color="auto" w:fill="auto"/>
            <w:noWrap/>
            <w:vAlign w:val="center"/>
            <w:hideMark/>
          </w:tcPr>
          <w:p w14:paraId="462E2F25"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51</w:t>
            </w:r>
          </w:p>
        </w:tc>
        <w:tc>
          <w:tcPr>
            <w:tcW w:w="582" w:type="dxa"/>
            <w:tcBorders>
              <w:top w:val="nil"/>
              <w:left w:val="nil"/>
              <w:bottom w:val="single" w:sz="8" w:space="0" w:color="auto"/>
              <w:right w:val="single" w:sz="8" w:space="0" w:color="auto"/>
            </w:tcBorders>
            <w:shd w:val="clear" w:color="auto" w:fill="auto"/>
            <w:noWrap/>
            <w:vAlign w:val="center"/>
            <w:hideMark/>
          </w:tcPr>
          <w:p w14:paraId="74D36A91"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3 172</w:t>
            </w:r>
          </w:p>
        </w:tc>
        <w:tc>
          <w:tcPr>
            <w:tcW w:w="582" w:type="dxa"/>
            <w:tcBorders>
              <w:top w:val="nil"/>
              <w:left w:val="nil"/>
              <w:bottom w:val="single" w:sz="8" w:space="0" w:color="auto"/>
              <w:right w:val="single" w:sz="8" w:space="0" w:color="auto"/>
            </w:tcBorders>
            <w:shd w:val="clear" w:color="auto" w:fill="auto"/>
            <w:noWrap/>
            <w:vAlign w:val="center"/>
            <w:hideMark/>
          </w:tcPr>
          <w:p w14:paraId="6DAC2B7E" w14:textId="77777777" w:rsidR="00020F9E" w:rsidRPr="00020F9E" w:rsidRDefault="00020F9E" w:rsidP="00020F9E">
            <w:pPr>
              <w:spacing w:after="0" w:line="240" w:lineRule="auto"/>
              <w:jc w:val="center"/>
              <w:rPr>
                <w:rFonts w:ascii="Times New Roman" w:eastAsia="Times New Roman" w:hAnsi="Times New Roman" w:cs="Times New Roman"/>
                <w:sz w:val="24"/>
                <w:szCs w:val="24"/>
                <w:lang w:eastAsia="es-CR"/>
              </w:rPr>
            </w:pPr>
            <w:r w:rsidRPr="00020F9E">
              <w:rPr>
                <w:rFonts w:ascii="Times New Roman" w:eastAsia="Times New Roman" w:hAnsi="Times New Roman" w:cs="Times New Roman"/>
                <w:sz w:val="24"/>
                <w:szCs w:val="24"/>
                <w:lang w:eastAsia="es-CR"/>
              </w:rPr>
              <w:t>773</w:t>
            </w:r>
          </w:p>
        </w:tc>
        <w:tc>
          <w:tcPr>
            <w:tcW w:w="397" w:type="dxa"/>
            <w:tcBorders>
              <w:top w:val="nil"/>
              <w:left w:val="nil"/>
              <w:bottom w:val="single" w:sz="8" w:space="0" w:color="auto"/>
              <w:right w:val="single" w:sz="8" w:space="0" w:color="auto"/>
            </w:tcBorders>
            <w:shd w:val="clear" w:color="auto" w:fill="auto"/>
            <w:noWrap/>
            <w:vAlign w:val="center"/>
            <w:hideMark/>
          </w:tcPr>
          <w:p w14:paraId="010D737E"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1</w:t>
            </w:r>
          </w:p>
        </w:tc>
        <w:tc>
          <w:tcPr>
            <w:tcW w:w="582" w:type="dxa"/>
            <w:tcBorders>
              <w:top w:val="nil"/>
              <w:left w:val="nil"/>
              <w:bottom w:val="single" w:sz="8" w:space="0" w:color="auto"/>
              <w:right w:val="single" w:sz="8" w:space="0" w:color="auto"/>
            </w:tcBorders>
            <w:shd w:val="clear" w:color="auto" w:fill="auto"/>
            <w:noWrap/>
            <w:vAlign w:val="center"/>
            <w:hideMark/>
          </w:tcPr>
          <w:p w14:paraId="7C145FD8"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4027</w:t>
            </w:r>
          </w:p>
        </w:tc>
        <w:tc>
          <w:tcPr>
            <w:tcW w:w="460" w:type="dxa"/>
            <w:tcBorders>
              <w:top w:val="nil"/>
              <w:left w:val="nil"/>
              <w:bottom w:val="single" w:sz="8" w:space="0" w:color="auto"/>
              <w:right w:val="single" w:sz="8" w:space="0" w:color="auto"/>
            </w:tcBorders>
            <w:shd w:val="clear" w:color="000000" w:fill="DBE5F1"/>
            <w:noWrap/>
            <w:vAlign w:val="center"/>
            <w:hideMark/>
          </w:tcPr>
          <w:p w14:paraId="34ADCEB7"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2%</w:t>
            </w:r>
          </w:p>
        </w:tc>
        <w:tc>
          <w:tcPr>
            <w:tcW w:w="469" w:type="dxa"/>
            <w:tcBorders>
              <w:top w:val="nil"/>
              <w:left w:val="nil"/>
              <w:bottom w:val="single" w:sz="8" w:space="0" w:color="auto"/>
              <w:right w:val="single" w:sz="8" w:space="0" w:color="auto"/>
            </w:tcBorders>
            <w:shd w:val="clear" w:color="000000" w:fill="FDE9D9"/>
            <w:noWrap/>
            <w:vAlign w:val="center"/>
            <w:hideMark/>
          </w:tcPr>
          <w:p w14:paraId="0AE0216B" w14:textId="77777777" w:rsidR="00020F9E" w:rsidRPr="00020F9E" w:rsidRDefault="00020F9E" w:rsidP="00020F9E">
            <w:pPr>
              <w:spacing w:after="0" w:line="240" w:lineRule="auto"/>
              <w:jc w:val="center"/>
              <w:rPr>
                <w:rFonts w:ascii="Book Antiqua" w:eastAsia="Times New Roman" w:hAnsi="Book Antiqua" w:cs="Calibri"/>
                <w:color w:val="000000"/>
                <w:lang w:eastAsia="es-CR"/>
              </w:rPr>
            </w:pPr>
            <w:r w:rsidRPr="00020F9E">
              <w:rPr>
                <w:rFonts w:ascii="Book Antiqua" w:eastAsia="Times New Roman" w:hAnsi="Book Antiqua" w:cs="Calibri"/>
                <w:color w:val="000000"/>
                <w:lang w:eastAsia="es-CR"/>
              </w:rPr>
              <w:t>98%</w:t>
            </w:r>
          </w:p>
        </w:tc>
      </w:tr>
      <w:tr w:rsidR="00020F9E" w:rsidRPr="00020F9E" w14:paraId="71FCF5BD" w14:textId="77777777" w:rsidTr="00020F9E">
        <w:trPr>
          <w:trHeight w:val="279"/>
          <w:jc w:val="center"/>
        </w:trPr>
        <w:tc>
          <w:tcPr>
            <w:tcW w:w="5850" w:type="dxa"/>
            <w:tcBorders>
              <w:top w:val="nil"/>
              <w:left w:val="single" w:sz="8" w:space="0" w:color="auto"/>
              <w:bottom w:val="single" w:sz="8" w:space="0" w:color="auto"/>
              <w:right w:val="single" w:sz="8" w:space="0" w:color="auto"/>
            </w:tcBorders>
            <w:shd w:val="clear" w:color="000000" w:fill="808080"/>
            <w:noWrap/>
            <w:vAlign w:val="center"/>
            <w:hideMark/>
          </w:tcPr>
          <w:p w14:paraId="5A9573D2" w14:textId="77777777" w:rsidR="00020F9E" w:rsidRPr="00020F9E" w:rsidRDefault="00020F9E" w:rsidP="00020F9E">
            <w:pPr>
              <w:spacing w:after="0" w:line="240" w:lineRule="auto"/>
              <w:jc w:val="right"/>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Total</w:t>
            </w:r>
          </w:p>
        </w:tc>
        <w:tc>
          <w:tcPr>
            <w:tcW w:w="489" w:type="dxa"/>
            <w:tcBorders>
              <w:top w:val="nil"/>
              <w:left w:val="nil"/>
              <w:bottom w:val="single" w:sz="8" w:space="0" w:color="auto"/>
              <w:right w:val="single" w:sz="8" w:space="0" w:color="auto"/>
            </w:tcBorders>
            <w:shd w:val="clear" w:color="000000" w:fill="808080"/>
            <w:noWrap/>
            <w:vAlign w:val="center"/>
            <w:hideMark/>
          </w:tcPr>
          <w:p w14:paraId="328926FE"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2494</w:t>
            </w:r>
          </w:p>
        </w:tc>
        <w:tc>
          <w:tcPr>
            <w:tcW w:w="422" w:type="dxa"/>
            <w:tcBorders>
              <w:top w:val="nil"/>
              <w:left w:val="nil"/>
              <w:bottom w:val="single" w:sz="8" w:space="0" w:color="auto"/>
              <w:right w:val="single" w:sz="8" w:space="0" w:color="auto"/>
            </w:tcBorders>
            <w:shd w:val="clear" w:color="000000" w:fill="808080"/>
            <w:noWrap/>
            <w:vAlign w:val="center"/>
            <w:hideMark/>
          </w:tcPr>
          <w:p w14:paraId="52A9A0BC"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562</w:t>
            </w:r>
          </w:p>
        </w:tc>
        <w:tc>
          <w:tcPr>
            <w:tcW w:w="489" w:type="dxa"/>
            <w:tcBorders>
              <w:top w:val="nil"/>
              <w:left w:val="nil"/>
              <w:bottom w:val="single" w:sz="8" w:space="0" w:color="auto"/>
              <w:right w:val="single" w:sz="8" w:space="0" w:color="auto"/>
            </w:tcBorders>
            <w:shd w:val="clear" w:color="000000" w:fill="808080"/>
            <w:noWrap/>
            <w:vAlign w:val="center"/>
            <w:hideMark/>
          </w:tcPr>
          <w:p w14:paraId="50882A8E"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1437</w:t>
            </w:r>
          </w:p>
        </w:tc>
        <w:tc>
          <w:tcPr>
            <w:tcW w:w="582" w:type="dxa"/>
            <w:tcBorders>
              <w:top w:val="nil"/>
              <w:left w:val="nil"/>
              <w:bottom w:val="single" w:sz="8" w:space="0" w:color="auto"/>
              <w:right w:val="single" w:sz="8" w:space="0" w:color="auto"/>
            </w:tcBorders>
            <w:shd w:val="clear" w:color="000000" w:fill="808080"/>
            <w:noWrap/>
            <w:vAlign w:val="center"/>
            <w:hideMark/>
          </w:tcPr>
          <w:p w14:paraId="12D576C2"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52586</w:t>
            </w:r>
          </w:p>
        </w:tc>
        <w:tc>
          <w:tcPr>
            <w:tcW w:w="582" w:type="dxa"/>
            <w:tcBorders>
              <w:top w:val="nil"/>
              <w:left w:val="nil"/>
              <w:bottom w:val="single" w:sz="8" w:space="0" w:color="auto"/>
              <w:right w:val="single" w:sz="8" w:space="0" w:color="auto"/>
            </w:tcBorders>
            <w:shd w:val="clear" w:color="000000" w:fill="808080"/>
            <w:noWrap/>
            <w:vAlign w:val="center"/>
            <w:hideMark/>
          </w:tcPr>
          <w:p w14:paraId="2239BCE8"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25888</w:t>
            </w:r>
          </w:p>
        </w:tc>
        <w:tc>
          <w:tcPr>
            <w:tcW w:w="397" w:type="dxa"/>
            <w:tcBorders>
              <w:top w:val="nil"/>
              <w:left w:val="nil"/>
              <w:bottom w:val="single" w:sz="8" w:space="0" w:color="auto"/>
              <w:right w:val="single" w:sz="8" w:space="0" w:color="auto"/>
            </w:tcBorders>
            <w:shd w:val="clear" w:color="000000" w:fill="808080"/>
            <w:noWrap/>
            <w:vAlign w:val="center"/>
            <w:hideMark/>
          </w:tcPr>
          <w:p w14:paraId="1C10CE40"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109</w:t>
            </w:r>
          </w:p>
        </w:tc>
        <w:tc>
          <w:tcPr>
            <w:tcW w:w="582" w:type="dxa"/>
            <w:tcBorders>
              <w:top w:val="nil"/>
              <w:left w:val="nil"/>
              <w:bottom w:val="single" w:sz="8" w:space="0" w:color="auto"/>
              <w:right w:val="single" w:sz="8" w:space="0" w:color="auto"/>
            </w:tcBorders>
            <w:shd w:val="clear" w:color="000000" w:fill="808080"/>
            <w:noWrap/>
            <w:vAlign w:val="center"/>
            <w:hideMark/>
          </w:tcPr>
          <w:p w14:paraId="4BC5290B"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83076</w:t>
            </w:r>
          </w:p>
        </w:tc>
        <w:tc>
          <w:tcPr>
            <w:tcW w:w="460" w:type="dxa"/>
            <w:tcBorders>
              <w:top w:val="nil"/>
              <w:left w:val="nil"/>
              <w:bottom w:val="single" w:sz="8" w:space="0" w:color="auto"/>
              <w:right w:val="single" w:sz="8" w:space="0" w:color="auto"/>
            </w:tcBorders>
            <w:shd w:val="clear" w:color="000000" w:fill="808080"/>
            <w:noWrap/>
            <w:vAlign w:val="center"/>
            <w:hideMark/>
          </w:tcPr>
          <w:p w14:paraId="65C462E3" w14:textId="77777777" w:rsidR="00020F9E" w:rsidRPr="00020F9E" w:rsidRDefault="00020F9E" w:rsidP="00020F9E">
            <w:pPr>
              <w:spacing w:after="0" w:line="240" w:lineRule="auto"/>
              <w:jc w:val="both"/>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c>
          <w:tcPr>
            <w:tcW w:w="469" w:type="dxa"/>
            <w:tcBorders>
              <w:top w:val="nil"/>
              <w:left w:val="nil"/>
              <w:bottom w:val="single" w:sz="8" w:space="0" w:color="auto"/>
              <w:right w:val="single" w:sz="8" w:space="0" w:color="auto"/>
            </w:tcBorders>
            <w:shd w:val="clear" w:color="000000" w:fill="808080"/>
            <w:noWrap/>
            <w:vAlign w:val="center"/>
            <w:hideMark/>
          </w:tcPr>
          <w:p w14:paraId="3A127AC7"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r>
      <w:tr w:rsidR="00020F9E" w:rsidRPr="00020F9E" w14:paraId="59E471FA" w14:textId="77777777" w:rsidTr="00020F9E">
        <w:trPr>
          <w:trHeight w:val="279"/>
          <w:jc w:val="center"/>
        </w:trPr>
        <w:tc>
          <w:tcPr>
            <w:tcW w:w="5850" w:type="dxa"/>
            <w:tcBorders>
              <w:top w:val="nil"/>
              <w:left w:val="single" w:sz="8" w:space="0" w:color="auto"/>
              <w:bottom w:val="single" w:sz="8" w:space="0" w:color="auto"/>
              <w:right w:val="single" w:sz="8" w:space="0" w:color="auto"/>
            </w:tcBorders>
            <w:shd w:val="clear" w:color="000000" w:fill="808080"/>
            <w:noWrap/>
            <w:vAlign w:val="center"/>
            <w:hideMark/>
          </w:tcPr>
          <w:p w14:paraId="106C3E83" w14:textId="77777777" w:rsidR="00020F9E" w:rsidRPr="00020F9E" w:rsidRDefault="00020F9E" w:rsidP="00020F9E">
            <w:pPr>
              <w:spacing w:after="0" w:line="240" w:lineRule="auto"/>
              <w:jc w:val="right"/>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Promedio</w:t>
            </w:r>
          </w:p>
        </w:tc>
        <w:tc>
          <w:tcPr>
            <w:tcW w:w="489" w:type="dxa"/>
            <w:tcBorders>
              <w:top w:val="nil"/>
              <w:left w:val="nil"/>
              <w:bottom w:val="single" w:sz="8" w:space="0" w:color="auto"/>
              <w:right w:val="single" w:sz="8" w:space="0" w:color="auto"/>
            </w:tcBorders>
            <w:shd w:val="clear" w:color="000000" w:fill="808080"/>
            <w:noWrap/>
            <w:vAlign w:val="center"/>
            <w:hideMark/>
          </w:tcPr>
          <w:p w14:paraId="23A6DBF7"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c>
          <w:tcPr>
            <w:tcW w:w="422" w:type="dxa"/>
            <w:tcBorders>
              <w:top w:val="nil"/>
              <w:left w:val="nil"/>
              <w:bottom w:val="single" w:sz="8" w:space="0" w:color="auto"/>
              <w:right w:val="single" w:sz="8" w:space="0" w:color="auto"/>
            </w:tcBorders>
            <w:shd w:val="clear" w:color="000000" w:fill="808080"/>
            <w:noWrap/>
            <w:vAlign w:val="center"/>
            <w:hideMark/>
          </w:tcPr>
          <w:p w14:paraId="53516B4B"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c>
          <w:tcPr>
            <w:tcW w:w="489" w:type="dxa"/>
            <w:tcBorders>
              <w:top w:val="nil"/>
              <w:left w:val="nil"/>
              <w:bottom w:val="single" w:sz="8" w:space="0" w:color="auto"/>
              <w:right w:val="single" w:sz="8" w:space="0" w:color="auto"/>
            </w:tcBorders>
            <w:shd w:val="clear" w:color="000000" w:fill="808080"/>
            <w:noWrap/>
            <w:vAlign w:val="center"/>
            <w:hideMark/>
          </w:tcPr>
          <w:p w14:paraId="758E10E8"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c>
          <w:tcPr>
            <w:tcW w:w="582" w:type="dxa"/>
            <w:tcBorders>
              <w:top w:val="nil"/>
              <w:left w:val="nil"/>
              <w:bottom w:val="single" w:sz="8" w:space="0" w:color="auto"/>
              <w:right w:val="single" w:sz="8" w:space="0" w:color="auto"/>
            </w:tcBorders>
            <w:shd w:val="clear" w:color="000000" w:fill="808080"/>
            <w:noWrap/>
            <w:vAlign w:val="center"/>
            <w:hideMark/>
          </w:tcPr>
          <w:p w14:paraId="662B8D5D"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c>
          <w:tcPr>
            <w:tcW w:w="582" w:type="dxa"/>
            <w:tcBorders>
              <w:top w:val="nil"/>
              <w:left w:val="nil"/>
              <w:bottom w:val="single" w:sz="8" w:space="0" w:color="auto"/>
              <w:right w:val="single" w:sz="8" w:space="0" w:color="auto"/>
            </w:tcBorders>
            <w:shd w:val="clear" w:color="000000" w:fill="808080"/>
            <w:noWrap/>
            <w:vAlign w:val="center"/>
            <w:hideMark/>
          </w:tcPr>
          <w:p w14:paraId="2FDB1702"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c>
          <w:tcPr>
            <w:tcW w:w="397" w:type="dxa"/>
            <w:tcBorders>
              <w:top w:val="nil"/>
              <w:left w:val="nil"/>
              <w:bottom w:val="single" w:sz="8" w:space="0" w:color="auto"/>
              <w:right w:val="single" w:sz="8" w:space="0" w:color="auto"/>
            </w:tcBorders>
            <w:shd w:val="clear" w:color="000000" w:fill="808080"/>
            <w:noWrap/>
            <w:vAlign w:val="center"/>
            <w:hideMark/>
          </w:tcPr>
          <w:p w14:paraId="030E62A0"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c>
          <w:tcPr>
            <w:tcW w:w="582" w:type="dxa"/>
            <w:tcBorders>
              <w:top w:val="nil"/>
              <w:left w:val="nil"/>
              <w:bottom w:val="single" w:sz="8" w:space="0" w:color="auto"/>
              <w:right w:val="single" w:sz="8" w:space="0" w:color="auto"/>
            </w:tcBorders>
            <w:shd w:val="clear" w:color="000000" w:fill="808080"/>
            <w:noWrap/>
            <w:vAlign w:val="center"/>
            <w:hideMark/>
          </w:tcPr>
          <w:p w14:paraId="59EA3EC2"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 </w:t>
            </w:r>
          </w:p>
        </w:tc>
        <w:tc>
          <w:tcPr>
            <w:tcW w:w="460" w:type="dxa"/>
            <w:tcBorders>
              <w:top w:val="nil"/>
              <w:left w:val="nil"/>
              <w:bottom w:val="single" w:sz="8" w:space="0" w:color="auto"/>
              <w:right w:val="single" w:sz="8" w:space="0" w:color="auto"/>
            </w:tcBorders>
            <w:shd w:val="clear" w:color="000000" w:fill="808080"/>
            <w:noWrap/>
            <w:vAlign w:val="center"/>
            <w:hideMark/>
          </w:tcPr>
          <w:p w14:paraId="0A767FE2"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6%</w:t>
            </w:r>
          </w:p>
        </w:tc>
        <w:tc>
          <w:tcPr>
            <w:tcW w:w="469" w:type="dxa"/>
            <w:tcBorders>
              <w:top w:val="nil"/>
              <w:left w:val="nil"/>
              <w:bottom w:val="single" w:sz="8" w:space="0" w:color="auto"/>
              <w:right w:val="single" w:sz="8" w:space="0" w:color="auto"/>
            </w:tcBorders>
            <w:shd w:val="clear" w:color="000000" w:fill="808080"/>
            <w:noWrap/>
            <w:vAlign w:val="center"/>
            <w:hideMark/>
          </w:tcPr>
          <w:p w14:paraId="7F14BEB0" w14:textId="77777777" w:rsidR="00020F9E" w:rsidRPr="00020F9E" w:rsidRDefault="00020F9E" w:rsidP="00020F9E">
            <w:pPr>
              <w:spacing w:after="0" w:line="240" w:lineRule="auto"/>
              <w:jc w:val="center"/>
              <w:rPr>
                <w:rFonts w:ascii="Book Antiqua" w:eastAsia="Times New Roman" w:hAnsi="Book Antiqua" w:cs="Calibri"/>
                <w:b/>
                <w:bCs/>
                <w:color w:val="FFFFFF"/>
                <w:lang w:eastAsia="es-CR"/>
              </w:rPr>
            </w:pPr>
            <w:r w:rsidRPr="00020F9E">
              <w:rPr>
                <w:rFonts w:ascii="Book Antiqua" w:eastAsia="Times New Roman" w:hAnsi="Book Antiqua" w:cs="Calibri"/>
                <w:b/>
                <w:bCs/>
                <w:color w:val="FFFFFF"/>
                <w:lang w:eastAsia="es-CR"/>
              </w:rPr>
              <w:t>94%</w:t>
            </w:r>
          </w:p>
        </w:tc>
      </w:tr>
    </w:tbl>
    <w:p w14:paraId="1BE3361F" w14:textId="5FDF9187" w:rsidR="00C52573" w:rsidRPr="00C52573" w:rsidRDefault="00C52573" w:rsidP="00C52573">
      <w:pPr>
        <w:spacing w:after="0" w:line="240" w:lineRule="auto"/>
        <w:jc w:val="both"/>
        <w:rPr>
          <w:rFonts w:ascii="Book Antiqua" w:eastAsia="Calibri" w:hAnsi="Book Antiqua" w:cs="Arial"/>
          <w:i/>
          <w:iCs/>
          <w:szCs w:val="24"/>
          <w:lang w:val="es-ES" w:eastAsia="es-ES"/>
        </w:rPr>
      </w:pPr>
      <w:r w:rsidRPr="009B6BF6">
        <w:rPr>
          <w:rFonts w:ascii="Book Antiqua" w:eastAsia="Calibri" w:hAnsi="Book Antiqua" w:cs="Arial"/>
          <w:b/>
          <w:bCs/>
          <w:i/>
          <w:iCs/>
          <w:szCs w:val="24"/>
          <w:lang w:val="es-ES" w:eastAsia="es-ES"/>
        </w:rPr>
        <w:t>Fuente:</w:t>
      </w:r>
      <w:r w:rsidRPr="00C52573">
        <w:rPr>
          <w:rFonts w:ascii="Book Antiqua" w:eastAsia="Calibri" w:hAnsi="Book Antiqua" w:cs="Arial"/>
          <w:i/>
          <w:iCs/>
          <w:szCs w:val="24"/>
          <w:lang w:val="es-ES" w:eastAsia="es-ES"/>
        </w:rPr>
        <w:t xml:space="preserve"> Subproceso de Modernización Institucional, con </w:t>
      </w:r>
      <w:r w:rsidR="00B50357">
        <w:rPr>
          <w:rFonts w:ascii="Book Antiqua" w:eastAsia="Calibri" w:hAnsi="Book Antiqua" w:cs="Arial"/>
          <w:i/>
          <w:iCs/>
          <w:szCs w:val="24"/>
          <w:lang w:val="es-ES" w:eastAsia="es-ES"/>
        </w:rPr>
        <w:t xml:space="preserve">datos </w:t>
      </w:r>
      <w:r w:rsidRPr="00C52573">
        <w:rPr>
          <w:rFonts w:ascii="Book Antiqua" w:eastAsia="Calibri" w:hAnsi="Book Antiqua" w:cs="Arial"/>
          <w:i/>
          <w:iCs/>
          <w:szCs w:val="24"/>
          <w:lang w:val="es-ES" w:eastAsia="es-ES"/>
        </w:rPr>
        <w:t>del Subproceso de Estadística de</w:t>
      </w:r>
      <w:r w:rsidR="00B50357">
        <w:rPr>
          <w:rFonts w:ascii="Book Antiqua" w:eastAsia="Calibri" w:hAnsi="Book Antiqua" w:cs="Arial"/>
          <w:i/>
          <w:iCs/>
          <w:szCs w:val="24"/>
          <w:lang w:val="es-ES" w:eastAsia="es-ES"/>
        </w:rPr>
        <w:t xml:space="preserve">l 2017 al 2022 y consulta del Balance General Interactivo del </w:t>
      </w:r>
      <w:r w:rsidR="00020F9E">
        <w:rPr>
          <w:rFonts w:ascii="Book Antiqua" w:eastAsia="Calibri" w:hAnsi="Book Antiqua" w:cs="Arial"/>
          <w:i/>
          <w:iCs/>
          <w:szCs w:val="24"/>
          <w:lang w:val="es-ES" w:eastAsia="es-ES"/>
        </w:rPr>
        <w:t>7</w:t>
      </w:r>
      <w:r w:rsidR="00B50357">
        <w:rPr>
          <w:rFonts w:ascii="Book Antiqua" w:eastAsia="Calibri" w:hAnsi="Book Antiqua" w:cs="Arial"/>
          <w:i/>
          <w:iCs/>
          <w:szCs w:val="24"/>
          <w:lang w:val="es-ES" w:eastAsia="es-ES"/>
        </w:rPr>
        <w:t>/</w:t>
      </w:r>
      <w:r w:rsidR="00020F9E">
        <w:rPr>
          <w:rFonts w:ascii="Book Antiqua" w:eastAsia="Calibri" w:hAnsi="Book Antiqua" w:cs="Arial"/>
          <w:i/>
          <w:iCs/>
          <w:szCs w:val="24"/>
          <w:lang w:val="es-ES" w:eastAsia="es-ES"/>
        </w:rPr>
        <w:t>3</w:t>
      </w:r>
      <w:r w:rsidR="00B50357">
        <w:rPr>
          <w:rFonts w:ascii="Book Antiqua" w:eastAsia="Calibri" w:hAnsi="Book Antiqua" w:cs="Arial"/>
          <w:i/>
          <w:iCs/>
          <w:szCs w:val="24"/>
          <w:lang w:val="es-ES" w:eastAsia="es-ES"/>
        </w:rPr>
        <w:t>/2023</w:t>
      </w:r>
      <w:r w:rsidRPr="00C52573">
        <w:rPr>
          <w:rFonts w:ascii="Book Antiqua" w:eastAsia="Calibri" w:hAnsi="Book Antiqua" w:cs="Arial"/>
          <w:i/>
          <w:iCs/>
          <w:szCs w:val="24"/>
          <w:lang w:val="es-ES" w:eastAsia="es-ES"/>
        </w:rPr>
        <w:t xml:space="preserve">. </w:t>
      </w:r>
    </w:p>
    <w:p w14:paraId="73D27EF2" w14:textId="76A00E43" w:rsidR="00D31DE7" w:rsidRPr="001D0C10" w:rsidRDefault="00C52573" w:rsidP="00C52573">
      <w:pPr>
        <w:spacing w:after="0" w:line="240" w:lineRule="auto"/>
        <w:jc w:val="both"/>
        <w:rPr>
          <w:rFonts w:ascii="Book Antiqua" w:eastAsia="Calibri" w:hAnsi="Book Antiqua" w:cs="Arial"/>
          <w:i/>
          <w:iCs/>
          <w:szCs w:val="24"/>
          <w:lang w:val="es-ES" w:eastAsia="es-ES"/>
        </w:rPr>
      </w:pPr>
      <w:r w:rsidRPr="00B50357">
        <w:rPr>
          <w:rFonts w:ascii="Book Antiqua" w:eastAsia="Calibri" w:hAnsi="Book Antiqua" w:cs="Arial"/>
          <w:b/>
          <w:bCs/>
          <w:i/>
          <w:iCs/>
          <w:szCs w:val="24"/>
          <w:lang w:val="es-ES" w:eastAsia="es-ES"/>
        </w:rPr>
        <w:t>Nota *:</w:t>
      </w:r>
      <w:r w:rsidRPr="001D0C10">
        <w:rPr>
          <w:rFonts w:ascii="Book Antiqua" w:eastAsia="Calibri" w:hAnsi="Book Antiqua" w:cs="Arial"/>
          <w:i/>
          <w:iCs/>
          <w:szCs w:val="24"/>
          <w:lang w:val="es-ES" w:eastAsia="es-ES"/>
        </w:rPr>
        <w:t xml:space="preserve"> Juzgado Especializado a partir del acuerdo del Consejo Superior en sesión 34-19 celebrada el 19 de agosto de 2019, artículo XIX.  </w:t>
      </w:r>
    </w:p>
    <w:p w14:paraId="475E6C8B" w14:textId="0C76DC8D" w:rsidR="00C52573" w:rsidRDefault="00C52573" w:rsidP="00D31DE7">
      <w:pPr>
        <w:spacing w:after="0" w:line="240" w:lineRule="auto"/>
        <w:jc w:val="both"/>
        <w:rPr>
          <w:rFonts w:ascii="Book Antiqua" w:eastAsia="Calibri" w:hAnsi="Book Antiqua" w:cs="Arial"/>
          <w:szCs w:val="24"/>
          <w:lang w:val="es-ES" w:eastAsia="es-ES"/>
        </w:rPr>
      </w:pPr>
    </w:p>
    <w:p w14:paraId="132E8DC1" w14:textId="6FADE2A3"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Los datos del circulante al finalizar el 20</w:t>
      </w:r>
      <w:r w:rsidR="003F5D0B">
        <w:rPr>
          <w:rFonts w:ascii="Book Antiqua" w:eastAsia="Calibri" w:hAnsi="Book Antiqua" w:cs="Arial"/>
          <w:sz w:val="24"/>
          <w:szCs w:val="24"/>
        </w:rPr>
        <w:t>2</w:t>
      </w:r>
      <w:r w:rsidR="00F31657">
        <w:rPr>
          <w:rFonts w:ascii="Book Antiqua" w:eastAsia="Calibri" w:hAnsi="Book Antiqua" w:cs="Arial"/>
          <w:sz w:val="24"/>
          <w:szCs w:val="24"/>
        </w:rPr>
        <w:t>2</w:t>
      </w:r>
      <w:r w:rsidRPr="00D31DE7">
        <w:rPr>
          <w:rFonts w:ascii="Book Antiqua" w:eastAsia="Calibri" w:hAnsi="Book Antiqua" w:cs="Arial"/>
          <w:sz w:val="24"/>
          <w:szCs w:val="24"/>
        </w:rPr>
        <w:t xml:space="preserve"> fue</w:t>
      </w:r>
      <w:r w:rsidR="00F31657">
        <w:rPr>
          <w:rFonts w:ascii="Book Antiqua" w:eastAsia="Calibri" w:hAnsi="Book Antiqua" w:cs="Arial"/>
          <w:sz w:val="24"/>
          <w:szCs w:val="24"/>
        </w:rPr>
        <w:t xml:space="preserve">ron </w:t>
      </w:r>
      <w:r w:rsidRPr="003F5D0B">
        <w:rPr>
          <w:rFonts w:ascii="Book Antiqua" w:eastAsia="Calibri" w:hAnsi="Book Antiqua" w:cs="Arial"/>
          <w:sz w:val="24"/>
          <w:szCs w:val="24"/>
        </w:rPr>
        <w:t xml:space="preserve">de </w:t>
      </w:r>
      <w:r w:rsidRPr="00770727">
        <w:rPr>
          <w:rFonts w:ascii="Book Antiqua" w:eastAsia="Calibri" w:hAnsi="Book Antiqua" w:cs="Arial"/>
          <w:sz w:val="24"/>
          <w:szCs w:val="24"/>
        </w:rPr>
        <w:t>8</w:t>
      </w:r>
      <w:r w:rsidR="00770727" w:rsidRPr="00770727">
        <w:rPr>
          <w:rFonts w:ascii="Book Antiqua" w:eastAsia="Calibri" w:hAnsi="Book Antiqua" w:cs="Arial"/>
          <w:sz w:val="24"/>
          <w:szCs w:val="24"/>
        </w:rPr>
        <w:t>3</w:t>
      </w:r>
      <w:r w:rsidR="003F5D0B" w:rsidRPr="00770727">
        <w:rPr>
          <w:rFonts w:ascii="Book Antiqua" w:eastAsia="Calibri" w:hAnsi="Book Antiqua" w:cs="Arial"/>
          <w:sz w:val="24"/>
          <w:szCs w:val="24"/>
        </w:rPr>
        <w:t xml:space="preserve"> 0</w:t>
      </w:r>
      <w:r w:rsidR="00770727" w:rsidRPr="00770727">
        <w:rPr>
          <w:rFonts w:ascii="Book Antiqua" w:eastAsia="Calibri" w:hAnsi="Book Antiqua" w:cs="Arial"/>
          <w:sz w:val="24"/>
          <w:szCs w:val="24"/>
        </w:rPr>
        <w:t>76</w:t>
      </w:r>
      <w:r w:rsidRPr="00770727">
        <w:rPr>
          <w:rFonts w:ascii="Book Antiqua" w:eastAsia="Calibri" w:hAnsi="Book Antiqua" w:cs="Arial"/>
          <w:sz w:val="24"/>
          <w:szCs w:val="24"/>
        </w:rPr>
        <w:t xml:space="preserve"> (</w:t>
      </w:r>
      <w:r w:rsidR="00770727" w:rsidRPr="00770727">
        <w:rPr>
          <w:rFonts w:ascii="Book Antiqua" w:eastAsia="Calibri" w:hAnsi="Book Antiqua" w:cs="Arial"/>
          <w:sz w:val="24"/>
          <w:szCs w:val="24"/>
        </w:rPr>
        <w:t>2 494</w:t>
      </w:r>
      <w:r w:rsidRPr="00770727">
        <w:rPr>
          <w:rFonts w:ascii="Book Antiqua" w:eastAsia="Calibri" w:hAnsi="Book Antiqua" w:cs="Arial"/>
          <w:sz w:val="24"/>
          <w:szCs w:val="24"/>
        </w:rPr>
        <w:t xml:space="preserve"> en demanda, </w:t>
      </w:r>
      <w:r w:rsidR="00770727" w:rsidRPr="00770727">
        <w:rPr>
          <w:rFonts w:ascii="Book Antiqua" w:eastAsia="Calibri" w:hAnsi="Book Antiqua" w:cs="Arial"/>
          <w:sz w:val="24"/>
          <w:szCs w:val="24"/>
        </w:rPr>
        <w:t>562</w:t>
      </w:r>
      <w:r w:rsidRPr="00770727">
        <w:rPr>
          <w:rFonts w:ascii="Book Antiqua" w:eastAsia="Calibri" w:hAnsi="Book Antiqua" w:cs="Arial"/>
          <w:sz w:val="24"/>
          <w:szCs w:val="24"/>
        </w:rPr>
        <w:t xml:space="preserve"> en demostrativa, </w:t>
      </w:r>
      <w:r w:rsidR="003F5D0B" w:rsidRPr="00770727">
        <w:rPr>
          <w:rFonts w:ascii="Book Antiqua" w:eastAsia="Calibri" w:hAnsi="Book Antiqua" w:cs="Arial"/>
          <w:sz w:val="24"/>
          <w:szCs w:val="24"/>
        </w:rPr>
        <w:t>1 4</w:t>
      </w:r>
      <w:r w:rsidR="00770727" w:rsidRPr="00770727">
        <w:rPr>
          <w:rFonts w:ascii="Book Antiqua" w:eastAsia="Calibri" w:hAnsi="Book Antiqua" w:cs="Arial"/>
          <w:sz w:val="24"/>
          <w:szCs w:val="24"/>
        </w:rPr>
        <w:t>3</w:t>
      </w:r>
      <w:r w:rsidR="003F5D0B" w:rsidRPr="00770727">
        <w:rPr>
          <w:rFonts w:ascii="Book Antiqua" w:eastAsia="Calibri" w:hAnsi="Book Antiqua" w:cs="Arial"/>
          <w:sz w:val="24"/>
          <w:szCs w:val="24"/>
        </w:rPr>
        <w:t>7</w:t>
      </w:r>
      <w:r w:rsidRPr="00770727">
        <w:rPr>
          <w:rFonts w:ascii="Book Antiqua" w:eastAsia="Calibri" w:hAnsi="Book Antiqua" w:cs="Arial"/>
          <w:sz w:val="24"/>
          <w:szCs w:val="24"/>
        </w:rPr>
        <w:t xml:space="preserve"> en conclusiva, 5</w:t>
      </w:r>
      <w:r w:rsidR="00770727" w:rsidRPr="00770727">
        <w:rPr>
          <w:rFonts w:ascii="Book Antiqua" w:eastAsia="Calibri" w:hAnsi="Book Antiqua" w:cs="Arial"/>
          <w:sz w:val="24"/>
          <w:szCs w:val="24"/>
        </w:rPr>
        <w:t>2</w:t>
      </w:r>
      <w:r w:rsidR="003F5D0B" w:rsidRPr="00770727">
        <w:rPr>
          <w:rFonts w:ascii="Book Antiqua" w:eastAsia="Calibri" w:hAnsi="Book Antiqua" w:cs="Arial"/>
          <w:sz w:val="24"/>
          <w:szCs w:val="24"/>
        </w:rPr>
        <w:t xml:space="preserve"> </w:t>
      </w:r>
      <w:r w:rsidR="00770727" w:rsidRPr="00770727">
        <w:rPr>
          <w:rFonts w:ascii="Book Antiqua" w:eastAsia="Calibri" w:hAnsi="Book Antiqua" w:cs="Arial"/>
          <w:sz w:val="24"/>
          <w:szCs w:val="24"/>
        </w:rPr>
        <w:t>5</w:t>
      </w:r>
      <w:r w:rsidR="003F5D0B" w:rsidRPr="00770727">
        <w:rPr>
          <w:rFonts w:ascii="Book Antiqua" w:eastAsia="Calibri" w:hAnsi="Book Antiqua" w:cs="Arial"/>
          <w:sz w:val="24"/>
          <w:szCs w:val="24"/>
        </w:rPr>
        <w:t>8</w:t>
      </w:r>
      <w:r w:rsidR="00770727" w:rsidRPr="00770727">
        <w:rPr>
          <w:rFonts w:ascii="Book Antiqua" w:eastAsia="Calibri" w:hAnsi="Book Antiqua" w:cs="Arial"/>
          <w:sz w:val="24"/>
          <w:szCs w:val="24"/>
        </w:rPr>
        <w:t>6</w:t>
      </w:r>
      <w:r w:rsidRPr="00770727">
        <w:rPr>
          <w:rFonts w:ascii="Book Antiqua" w:eastAsia="Calibri" w:hAnsi="Book Antiqua" w:cs="Arial"/>
          <w:sz w:val="24"/>
          <w:szCs w:val="24"/>
        </w:rPr>
        <w:t xml:space="preserve"> en fase de ejecución activa, 2</w:t>
      </w:r>
      <w:r w:rsidR="00770727" w:rsidRPr="00770727">
        <w:rPr>
          <w:rFonts w:ascii="Book Antiqua" w:eastAsia="Calibri" w:hAnsi="Book Antiqua" w:cs="Arial"/>
          <w:sz w:val="24"/>
          <w:szCs w:val="24"/>
        </w:rPr>
        <w:t>5</w:t>
      </w:r>
      <w:r w:rsidR="003F5D0B" w:rsidRPr="00770727">
        <w:rPr>
          <w:rFonts w:ascii="Book Antiqua" w:eastAsia="Calibri" w:hAnsi="Book Antiqua" w:cs="Arial"/>
          <w:sz w:val="24"/>
          <w:szCs w:val="24"/>
        </w:rPr>
        <w:t xml:space="preserve"> </w:t>
      </w:r>
      <w:r w:rsidR="00770727" w:rsidRPr="00770727">
        <w:rPr>
          <w:rFonts w:ascii="Book Antiqua" w:eastAsia="Calibri" w:hAnsi="Book Antiqua" w:cs="Arial"/>
          <w:sz w:val="24"/>
          <w:szCs w:val="24"/>
        </w:rPr>
        <w:t>8</w:t>
      </w:r>
      <w:r w:rsidR="003F5D0B" w:rsidRPr="00770727">
        <w:rPr>
          <w:rFonts w:ascii="Book Antiqua" w:eastAsia="Calibri" w:hAnsi="Book Antiqua" w:cs="Arial"/>
          <w:sz w:val="24"/>
          <w:szCs w:val="24"/>
        </w:rPr>
        <w:t>8</w:t>
      </w:r>
      <w:r w:rsidR="00770727" w:rsidRPr="00770727">
        <w:rPr>
          <w:rFonts w:ascii="Book Antiqua" w:eastAsia="Calibri" w:hAnsi="Book Antiqua" w:cs="Arial"/>
          <w:sz w:val="24"/>
          <w:szCs w:val="24"/>
        </w:rPr>
        <w:t>8</w:t>
      </w:r>
      <w:r w:rsidRPr="00770727">
        <w:rPr>
          <w:rFonts w:ascii="Book Antiqua" w:eastAsia="Calibri" w:hAnsi="Book Antiqua" w:cs="Arial"/>
          <w:sz w:val="24"/>
          <w:szCs w:val="24"/>
        </w:rPr>
        <w:t xml:space="preserve"> en ejecución pasiva y </w:t>
      </w:r>
      <w:r w:rsidR="003F5D0B" w:rsidRPr="00770727">
        <w:rPr>
          <w:rFonts w:ascii="Book Antiqua" w:eastAsia="Calibri" w:hAnsi="Book Antiqua" w:cs="Arial"/>
          <w:sz w:val="24"/>
          <w:szCs w:val="24"/>
        </w:rPr>
        <w:t>10</w:t>
      </w:r>
      <w:r w:rsidR="00770727" w:rsidRPr="00770727">
        <w:rPr>
          <w:rFonts w:ascii="Book Antiqua" w:eastAsia="Calibri" w:hAnsi="Book Antiqua" w:cs="Arial"/>
          <w:sz w:val="24"/>
          <w:szCs w:val="24"/>
        </w:rPr>
        <w:t>9</w:t>
      </w:r>
      <w:r w:rsidRPr="00770727">
        <w:rPr>
          <w:rFonts w:ascii="Book Antiqua" w:eastAsia="Calibri" w:hAnsi="Book Antiqua" w:cs="Arial"/>
          <w:sz w:val="24"/>
          <w:szCs w:val="24"/>
        </w:rPr>
        <w:t xml:space="preserve"> sin fase actualizada), lo que representó para ese año un promedio </w:t>
      </w:r>
      <w:r w:rsidR="003F5D0B" w:rsidRPr="00770727">
        <w:rPr>
          <w:rFonts w:ascii="Book Antiqua" w:eastAsia="Calibri" w:hAnsi="Book Antiqua" w:cs="Arial"/>
          <w:sz w:val="24"/>
          <w:szCs w:val="24"/>
        </w:rPr>
        <w:t>d</w:t>
      </w:r>
      <w:r w:rsidRPr="00770727">
        <w:rPr>
          <w:rFonts w:ascii="Book Antiqua" w:eastAsia="Calibri" w:hAnsi="Book Antiqua" w:cs="Arial"/>
          <w:sz w:val="24"/>
          <w:szCs w:val="24"/>
        </w:rPr>
        <w:t xml:space="preserve">e </w:t>
      </w:r>
      <w:r w:rsidR="003F5D0B" w:rsidRPr="00770727">
        <w:rPr>
          <w:rFonts w:ascii="Book Antiqua" w:eastAsia="Calibri" w:hAnsi="Book Antiqua" w:cs="Arial"/>
          <w:sz w:val="24"/>
          <w:szCs w:val="24"/>
        </w:rPr>
        <w:t>un 6</w:t>
      </w:r>
      <w:r w:rsidRPr="00770727">
        <w:rPr>
          <w:rFonts w:ascii="Book Antiqua" w:eastAsia="Calibri" w:hAnsi="Book Antiqua" w:cs="Arial"/>
          <w:sz w:val="24"/>
          <w:szCs w:val="24"/>
        </w:rPr>
        <w:t xml:space="preserve">% del circulante de los Juzgados Especializados de Pensiones Alimentarias se encuentra en fases de demanda, demostrativa y conclusiva, muestra que el </w:t>
      </w:r>
      <w:r w:rsidR="003F5D0B" w:rsidRPr="00770727">
        <w:rPr>
          <w:rFonts w:ascii="Book Antiqua" w:eastAsia="Calibri" w:hAnsi="Book Antiqua" w:cs="Arial"/>
          <w:sz w:val="24"/>
          <w:szCs w:val="24"/>
        </w:rPr>
        <w:t>94%</w:t>
      </w:r>
      <w:r w:rsidRPr="00770727">
        <w:rPr>
          <w:rFonts w:ascii="Book Antiqua" w:eastAsia="Calibri" w:hAnsi="Book Antiqua" w:cs="Arial"/>
          <w:sz w:val="24"/>
          <w:szCs w:val="24"/>
        </w:rPr>
        <w:t xml:space="preserve"> se encuentra en fase de ejecución; por lo cual un </w:t>
      </w:r>
      <w:r w:rsidR="00D85008" w:rsidRPr="00770727">
        <w:rPr>
          <w:rFonts w:ascii="Book Antiqua" w:eastAsia="Calibri" w:hAnsi="Book Antiqua" w:cs="Arial"/>
          <w:sz w:val="24"/>
          <w:szCs w:val="24"/>
        </w:rPr>
        <w:t>94</w:t>
      </w:r>
      <w:r w:rsidRPr="00770727">
        <w:rPr>
          <w:rFonts w:ascii="Book Antiqua" w:eastAsia="Calibri" w:hAnsi="Book Antiqua" w:cs="Arial"/>
          <w:sz w:val="24"/>
          <w:szCs w:val="24"/>
        </w:rPr>
        <w:t>% de los casos ya cuenta con sentencia o acuerdo homologatorio.</w:t>
      </w:r>
      <w:r w:rsidRPr="00D31DE7">
        <w:rPr>
          <w:rFonts w:ascii="Book Antiqua" w:eastAsia="Calibri" w:hAnsi="Book Antiqua" w:cs="Arial"/>
          <w:sz w:val="24"/>
          <w:szCs w:val="24"/>
        </w:rPr>
        <w:t xml:space="preserve"> Es importante indicar que el circulante en ejecución activa genera trabajo para el juzgado en mayor grado que para el circulante en ejecución pasiva. </w:t>
      </w:r>
    </w:p>
    <w:p w14:paraId="7C00D237" w14:textId="77777777" w:rsidR="00D31DE7" w:rsidRPr="00D31DE7" w:rsidRDefault="00D31DE7" w:rsidP="00D31DE7">
      <w:pPr>
        <w:spacing w:after="0" w:line="276" w:lineRule="auto"/>
        <w:jc w:val="both"/>
        <w:rPr>
          <w:rFonts w:ascii="Book Antiqua" w:eastAsia="Calibri" w:hAnsi="Book Antiqua" w:cs="Arial"/>
          <w:sz w:val="24"/>
          <w:szCs w:val="24"/>
        </w:rPr>
      </w:pPr>
    </w:p>
    <w:p w14:paraId="468D9585" w14:textId="68BE1EC4"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Debe considerarse que estas oficinas a nivel nacional iniciaron con inventarios en noviembre 2020 </w:t>
      </w:r>
      <w:r w:rsidR="00F24F7D">
        <w:rPr>
          <w:rFonts w:ascii="Book Antiqua" w:eastAsia="Calibri" w:hAnsi="Book Antiqua" w:cs="Arial"/>
          <w:sz w:val="24"/>
          <w:szCs w:val="24"/>
        </w:rPr>
        <w:t xml:space="preserve">que finalizaron hasta en 2021, por eso en ese año no realizaron el inventario anual. </w:t>
      </w:r>
      <w:r w:rsidRPr="00457CD6">
        <w:rPr>
          <w:rFonts w:ascii="Book Antiqua" w:eastAsia="Calibri" w:hAnsi="Book Antiqua" w:cs="Arial"/>
          <w:sz w:val="24"/>
          <w:szCs w:val="24"/>
        </w:rPr>
        <w:t xml:space="preserve"> Lo</w:t>
      </w:r>
      <w:r w:rsidRPr="00D31DE7">
        <w:rPr>
          <w:rFonts w:ascii="Book Antiqua" w:eastAsia="Calibri" w:hAnsi="Book Antiqua" w:cs="Arial"/>
          <w:sz w:val="24"/>
          <w:szCs w:val="24"/>
        </w:rPr>
        <w:t xml:space="preserve"> anterior como parte del inventario anual </w:t>
      </w:r>
      <w:r w:rsidR="005008DD">
        <w:rPr>
          <w:rFonts w:ascii="Book Antiqua" w:eastAsia="Calibri" w:hAnsi="Book Antiqua" w:cs="Arial"/>
          <w:sz w:val="24"/>
          <w:szCs w:val="24"/>
        </w:rPr>
        <w:t xml:space="preserve">2020 </w:t>
      </w:r>
      <w:r w:rsidRPr="00D31DE7">
        <w:rPr>
          <w:rFonts w:ascii="Book Antiqua" w:eastAsia="Calibri" w:hAnsi="Book Antiqua" w:cs="Arial"/>
          <w:sz w:val="24"/>
          <w:szCs w:val="24"/>
        </w:rPr>
        <w:t xml:space="preserve">en la materia y además como una de las tareas asociadas a la depuración de la información en los sistemas de conformidad con las recomendaciones emitidas por la Contraloría General de la República. </w:t>
      </w:r>
    </w:p>
    <w:p w14:paraId="40ADEDCD" w14:textId="636E5755"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Cabe mencionar que como parte de las acciones institucionales para garantizar la depuración de la información </w:t>
      </w:r>
      <w:r w:rsidR="005008DD">
        <w:rPr>
          <w:rFonts w:ascii="Book Antiqua" w:eastAsia="Calibri" w:hAnsi="Book Antiqua" w:cs="Arial"/>
          <w:sz w:val="24"/>
          <w:szCs w:val="24"/>
        </w:rPr>
        <w:t>a partir del 2020, dentro d</w:t>
      </w:r>
      <w:r w:rsidRPr="00D31DE7">
        <w:rPr>
          <w:rFonts w:ascii="Book Antiqua" w:eastAsia="Calibri" w:hAnsi="Book Antiqua" w:cs="Arial"/>
          <w:sz w:val="24"/>
          <w:szCs w:val="24"/>
        </w:rPr>
        <w:t xml:space="preserve">el informe de inconsistencias mensual de los despachos, </w:t>
      </w:r>
      <w:r w:rsidR="00F31657">
        <w:rPr>
          <w:rFonts w:ascii="Book Antiqua" w:eastAsia="Calibri" w:hAnsi="Book Antiqua" w:cs="Arial"/>
          <w:sz w:val="24"/>
          <w:szCs w:val="24"/>
        </w:rPr>
        <w:t xml:space="preserve">se tienen </w:t>
      </w:r>
      <w:r w:rsidRPr="00D31DE7">
        <w:rPr>
          <w:rFonts w:ascii="Book Antiqua" w:eastAsia="Calibri" w:hAnsi="Book Antiqua" w:cs="Arial"/>
          <w:sz w:val="24"/>
          <w:szCs w:val="24"/>
        </w:rPr>
        <w:t xml:space="preserve">5 variables adicionales </w:t>
      </w:r>
      <w:r w:rsidR="005008DD">
        <w:rPr>
          <w:rFonts w:ascii="Book Antiqua" w:eastAsia="Calibri" w:hAnsi="Book Antiqua" w:cs="Arial"/>
          <w:sz w:val="24"/>
          <w:szCs w:val="24"/>
        </w:rPr>
        <w:t xml:space="preserve">de revisión obligatoria </w:t>
      </w:r>
      <w:r w:rsidRPr="00D31DE7">
        <w:rPr>
          <w:rFonts w:ascii="Book Antiqua" w:eastAsia="Calibri" w:hAnsi="Book Antiqua" w:cs="Arial"/>
          <w:sz w:val="24"/>
          <w:szCs w:val="24"/>
        </w:rPr>
        <w:t>(comunicado mediante circular 191-2020).</w:t>
      </w:r>
    </w:p>
    <w:p w14:paraId="6B88AD2F" w14:textId="77777777"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 </w:t>
      </w:r>
    </w:p>
    <w:p w14:paraId="7568CA80"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Expedientes con fecha de entrada mayor a la fecha de término.</w:t>
      </w:r>
    </w:p>
    <w:p w14:paraId="502D7607"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xml:space="preserve">•  Expedientes donde la clase de asunto asignada no corresponde a las aprobadas por la Comisión de Familia, Niñez y Adolescencia. </w:t>
      </w:r>
    </w:p>
    <w:p w14:paraId="0DD3AD00" w14:textId="41B9F436"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xml:space="preserve"> • Expedientes donde el procedimiento asignado no corresponde a los aprobados por la Comisión de Familia, Niñez y Adolescencia.</w:t>
      </w:r>
    </w:p>
    <w:p w14:paraId="0CA090FA"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Expedientes donde el principal se encuentra cerrado estadísticamente, pero tiene un incidente o legajo de apremio que se está tramitando.</w:t>
      </w:r>
    </w:p>
    <w:p w14:paraId="06E66E3D"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Expedientes donde la fecha de pase a fallo sea menor a la fecha de dictado de sentencia.”</w:t>
      </w:r>
    </w:p>
    <w:p w14:paraId="511FBC1A" w14:textId="77777777" w:rsidR="00D31DE7" w:rsidRPr="00D31DE7" w:rsidRDefault="00D31DE7" w:rsidP="00D31DE7">
      <w:pPr>
        <w:spacing w:after="0" w:line="276" w:lineRule="auto"/>
        <w:jc w:val="both"/>
        <w:rPr>
          <w:rFonts w:ascii="Book Antiqua" w:eastAsia="Calibri" w:hAnsi="Book Antiqua" w:cs="Arial"/>
          <w:sz w:val="24"/>
          <w:szCs w:val="24"/>
        </w:rPr>
      </w:pPr>
    </w:p>
    <w:p w14:paraId="49801626" w14:textId="458847E0"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Para monitorear con mayor detalle la materia</w:t>
      </w:r>
      <w:r w:rsidR="005008DD">
        <w:rPr>
          <w:rFonts w:ascii="Book Antiqua" w:eastAsia="Calibri" w:hAnsi="Book Antiqua" w:cs="Arial"/>
          <w:sz w:val="24"/>
          <w:szCs w:val="24"/>
        </w:rPr>
        <w:t xml:space="preserve"> a partir del 2020</w:t>
      </w:r>
      <w:r w:rsidRPr="00D31DE7">
        <w:rPr>
          <w:rFonts w:ascii="Book Antiqua" w:eastAsia="Calibri" w:hAnsi="Book Antiqua" w:cs="Arial"/>
          <w:sz w:val="24"/>
          <w:szCs w:val="24"/>
        </w:rPr>
        <w:t>, se creó el reporte “Informe de Inconsistencias para Familia y Pensiones Alimentarias” en la plataforma SIGMA; además de un cambio en la fórmula estadística (comunicado mediante circular 207-2020</w:t>
      </w:r>
      <w:r w:rsidR="00672F59">
        <w:rPr>
          <w:rFonts w:ascii="Book Antiqua" w:eastAsia="Calibri" w:hAnsi="Book Antiqua" w:cs="Arial"/>
          <w:sz w:val="24"/>
          <w:szCs w:val="24"/>
        </w:rPr>
        <w:t>)</w:t>
      </w:r>
      <w:r w:rsidRPr="00D31DE7">
        <w:rPr>
          <w:rFonts w:ascii="Book Antiqua" w:eastAsia="Calibri" w:hAnsi="Book Antiqua" w:cs="Arial"/>
          <w:sz w:val="24"/>
          <w:szCs w:val="24"/>
        </w:rPr>
        <w:t>.</w:t>
      </w:r>
    </w:p>
    <w:p w14:paraId="5C327C3B" w14:textId="75E0E03A" w:rsidR="00D13D1F" w:rsidRDefault="00D13D1F" w:rsidP="00A65874"/>
    <w:p w14:paraId="01EA13F8" w14:textId="0BAD299E" w:rsidR="00AC768E" w:rsidRPr="00352675" w:rsidRDefault="00AC768E" w:rsidP="00AC768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Ilustración </w:t>
      </w:r>
      <w:r w:rsidRPr="00352675">
        <w:rPr>
          <w:rFonts w:ascii="Book Antiqua" w:eastAsia="Calibri" w:hAnsi="Book Antiqua" w:cs="Arial"/>
          <w:b/>
          <w:bCs/>
          <w:color w:val="1F497D"/>
          <w:szCs w:val="24"/>
          <w:lang w:val="es-ES" w:eastAsia="es-ES"/>
        </w:rPr>
        <w:fldChar w:fldCharType="begin"/>
      </w:r>
      <w:r w:rsidRPr="00352675">
        <w:rPr>
          <w:rFonts w:ascii="Book Antiqua" w:eastAsia="Calibri" w:hAnsi="Book Antiqua" w:cs="Arial"/>
          <w:b/>
          <w:bCs/>
          <w:color w:val="1F497D"/>
          <w:szCs w:val="24"/>
          <w:lang w:val="es-ES" w:eastAsia="es-ES"/>
        </w:rPr>
        <w:instrText xml:space="preserve"> SEQ Ilustración \* ARABIC </w:instrText>
      </w:r>
      <w:r w:rsidRPr="00352675">
        <w:rPr>
          <w:rFonts w:ascii="Book Antiqua" w:eastAsia="Calibri" w:hAnsi="Book Antiqua" w:cs="Arial"/>
          <w:b/>
          <w:bCs/>
          <w:color w:val="1F497D"/>
          <w:szCs w:val="24"/>
          <w:lang w:val="es-ES" w:eastAsia="es-ES"/>
        </w:rPr>
        <w:fldChar w:fldCharType="separate"/>
      </w:r>
      <w:r>
        <w:rPr>
          <w:rFonts w:ascii="Book Antiqua" w:eastAsia="Calibri" w:hAnsi="Book Antiqua" w:cs="Arial"/>
          <w:b/>
          <w:bCs/>
          <w:noProof/>
          <w:color w:val="1F497D"/>
          <w:szCs w:val="24"/>
          <w:lang w:val="es-ES" w:eastAsia="es-ES"/>
        </w:rPr>
        <w:t>7</w:t>
      </w:r>
      <w:r w:rsidRPr="00352675">
        <w:rPr>
          <w:rFonts w:ascii="Book Antiqua" w:eastAsia="Calibri" w:hAnsi="Book Antiqua" w:cs="Arial"/>
          <w:b/>
          <w:bCs/>
          <w:color w:val="1F497D"/>
          <w:szCs w:val="24"/>
          <w:lang w:val="es-ES" w:eastAsia="es-ES"/>
        </w:rPr>
        <w:fldChar w:fldCharType="end"/>
      </w:r>
    </w:p>
    <w:p w14:paraId="43FE8330" w14:textId="77777777" w:rsidR="00457CD6"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Contenido del reporte “Informe de Inconsistencias para Familia y</w:t>
      </w:r>
    </w:p>
    <w:p w14:paraId="1E37CA55" w14:textId="693E5AFF" w:rsidR="006566E3" w:rsidRPr="006566E3"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 Pensiones Alimentarias”,</w:t>
      </w:r>
      <w:r w:rsidR="005008DD">
        <w:rPr>
          <w:rFonts w:ascii="Book Antiqua" w:eastAsia="Calibri" w:hAnsi="Book Antiqua" w:cs="Arial"/>
          <w:b/>
          <w:bCs/>
          <w:color w:val="1F497D"/>
          <w:szCs w:val="24"/>
          <w:lang w:val="es-ES" w:eastAsia="es-ES"/>
        </w:rPr>
        <w:t xml:space="preserve"> existente en Sigma a partir del</w:t>
      </w:r>
      <w:r w:rsidRPr="006566E3">
        <w:rPr>
          <w:rFonts w:ascii="Book Antiqua" w:eastAsia="Calibri" w:hAnsi="Book Antiqua" w:cs="Arial"/>
          <w:b/>
          <w:bCs/>
          <w:color w:val="1F497D"/>
          <w:szCs w:val="24"/>
          <w:lang w:val="es-ES" w:eastAsia="es-ES"/>
        </w:rPr>
        <w:t>2020</w:t>
      </w:r>
    </w:p>
    <w:p w14:paraId="58911203" w14:textId="6550F11B" w:rsidR="006566E3" w:rsidRDefault="006566E3" w:rsidP="006566E3">
      <w:pPr>
        <w:jc w:val="center"/>
      </w:pPr>
      <w:r w:rsidRPr="006566E3">
        <w:rPr>
          <w:rFonts w:ascii="Book Antiqua" w:eastAsia="Calibri" w:hAnsi="Book Antiqua" w:cs="Arial"/>
          <w:noProof/>
        </w:rPr>
        <w:drawing>
          <wp:inline distT="0" distB="0" distL="0" distR="0" wp14:anchorId="6D3E7D96" wp14:editId="1164C919">
            <wp:extent cx="2816768" cy="2918129"/>
            <wp:effectExtent l="0" t="0" r="3175" b="0"/>
            <wp:docPr id="1263269099" name="Picture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5901" cy="2927590"/>
                    </a:xfrm>
                    <a:prstGeom prst="rect">
                      <a:avLst/>
                    </a:prstGeom>
                  </pic:spPr>
                </pic:pic>
              </a:graphicData>
            </a:graphic>
          </wp:inline>
        </w:drawing>
      </w:r>
    </w:p>
    <w:p w14:paraId="36ADB46D" w14:textId="77777777" w:rsidR="006566E3" w:rsidRPr="006566E3" w:rsidRDefault="006566E3" w:rsidP="006566E3">
      <w:pPr>
        <w:spacing w:after="0" w:line="276" w:lineRule="auto"/>
        <w:ind w:firstLine="2268"/>
        <w:jc w:val="both"/>
        <w:rPr>
          <w:rFonts w:ascii="Book Antiqua" w:eastAsia="Calibri" w:hAnsi="Book Antiqua" w:cs="Arial"/>
          <w:i/>
          <w:iCs/>
          <w:sz w:val="20"/>
          <w:szCs w:val="20"/>
        </w:rPr>
      </w:pPr>
      <w:r w:rsidRPr="009B6BF6">
        <w:rPr>
          <w:rFonts w:ascii="Book Antiqua" w:eastAsia="Calibri" w:hAnsi="Book Antiqua" w:cs="Arial"/>
          <w:b/>
          <w:bCs/>
          <w:i/>
          <w:iCs/>
          <w:sz w:val="20"/>
          <w:szCs w:val="20"/>
        </w:rPr>
        <w:t>Fuente:</w:t>
      </w:r>
      <w:r w:rsidRPr="006566E3">
        <w:rPr>
          <w:rFonts w:ascii="Book Antiqua" w:eastAsia="Calibri" w:hAnsi="Book Antiqua" w:cs="Arial"/>
          <w:i/>
          <w:iCs/>
          <w:sz w:val="20"/>
          <w:szCs w:val="20"/>
        </w:rPr>
        <w:t xml:space="preserve"> SIGMA.</w:t>
      </w:r>
    </w:p>
    <w:p w14:paraId="7CFC5D6B" w14:textId="7898D777" w:rsidR="006566E3" w:rsidRDefault="006566E3" w:rsidP="00A65874"/>
    <w:p w14:paraId="2DBDFD4F" w14:textId="7323B5AC" w:rsidR="006566E3" w:rsidRDefault="006566E3" w:rsidP="006566E3">
      <w:pPr>
        <w:spacing w:after="0" w:line="276" w:lineRule="auto"/>
        <w:jc w:val="both"/>
        <w:rPr>
          <w:rFonts w:ascii="Book Antiqua" w:eastAsia="Calibri" w:hAnsi="Book Antiqua" w:cs="Arial"/>
          <w:sz w:val="24"/>
          <w:szCs w:val="24"/>
        </w:rPr>
      </w:pPr>
      <w:r w:rsidRPr="006566E3">
        <w:rPr>
          <w:rFonts w:ascii="Book Antiqua" w:eastAsia="Calibri" w:hAnsi="Book Antiqua" w:cs="Arial"/>
          <w:sz w:val="24"/>
          <w:szCs w:val="24"/>
        </w:rPr>
        <w:t>Utilizando los resultados de carga de trabajo calculada, se puede realizar la comparación con la cantidad de puestos que deberían tener cada despacho especializados según los niveles de entrada mensual, tomando en cuenta que al menos se requieren de 2 personas técnicas judicial</w:t>
      </w:r>
      <w:r w:rsidR="00572DB3">
        <w:rPr>
          <w:rFonts w:ascii="Book Antiqua" w:eastAsia="Calibri" w:hAnsi="Book Antiqua" w:cs="Arial"/>
          <w:sz w:val="24"/>
          <w:szCs w:val="24"/>
        </w:rPr>
        <w:t>es</w:t>
      </w:r>
      <w:r w:rsidRPr="006566E3">
        <w:rPr>
          <w:rFonts w:ascii="Book Antiqua" w:eastAsia="Calibri" w:hAnsi="Book Antiqua" w:cs="Arial"/>
          <w:sz w:val="24"/>
          <w:szCs w:val="24"/>
        </w:rPr>
        <w:t xml:space="preserve"> en la manifestación, comparando contra los valores promedio de entrada de personal juzgador y personal técnico judicial, que tienen un promedio país de </w:t>
      </w:r>
      <w:r w:rsidR="00C70DCB" w:rsidRPr="00C70DCB">
        <w:rPr>
          <w:rFonts w:ascii="Book Antiqua" w:eastAsia="Calibri" w:hAnsi="Book Antiqua" w:cs="Arial"/>
          <w:sz w:val="24"/>
          <w:szCs w:val="24"/>
        </w:rPr>
        <w:t>58</w:t>
      </w:r>
      <w:r w:rsidRPr="00C70DCB">
        <w:rPr>
          <w:rFonts w:ascii="Book Antiqua" w:eastAsia="Calibri" w:hAnsi="Book Antiqua" w:cs="Arial"/>
          <w:sz w:val="24"/>
          <w:szCs w:val="24"/>
        </w:rPr>
        <w:t xml:space="preserve"> y 3</w:t>
      </w:r>
      <w:r w:rsidR="00C70DCB" w:rsidRPr="00C70DCB">
        <w:rPr>
          <w:rFonts w:ascii="Book Antiqua" w:eastAsia="Calibri" w:hAnsi="Book Antiqua" w:cs="Arial"/>
          <w:sz w:val="24"/>
          <w:szCs w:val="24"/>
        </w:rPr>
        <w:t>0</w:t>
      </w:r>
      <w:r w:rsidRPr="006566E3">
        <w:rPr>
          <w:rFonts w:ascii="Book Antiqua" w:eastAsia="Calibri" w:hAnsi="Book Antiqua" w:cs="Arial"/>
          <w:sz w:val="24"/>
          <w:szCs w:val="24"/>
        </w:rPr>
        <w:t xml:space="preserve"> asuntos de entrada mensual.</w:t>
      </w:r>
    </w:p>
    <w:p w14:paraId="1A8EEB57" w14:textId="195C6077" w:rsidR="006566E3" w:rsidRDefault="006566E3" w:rsidP="00A65874"/>
    <w:p w14:paraId="78BF1B58" w14:textId="77777777" w:rsidR="005008DD" w:rsidRPr="00330700" w:rsidRDefault="005008DD"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Plazos por tipo de proceso</w:t>
      </w:r>
    </w:p>
    <w:p w14:paraId="5688F7C1" w14:textId="77777777" w:rsidR="005008DD" w:rsidRPr="009C6BEF" w:rsidRDefault="005008DD" w:rsidP="005008DD">
      <w:pPr>
        <w:spacing w:after="0" w:line="240" w:lineRule="auto"/>
        <w:jc w:val="both"/>
        <w:rPr>
          <w:rFonts w:ascii="Book Antiqua" w:eastAsia="Calibri" w:hAnsi="Book Antiqua" w:cs="Arial"/>
          <w:lang w:val="es-ES_tradnl"/>
        </w:rPr>
      </w:pPr>
    </w:p>
    <w:p w14:paraId="5F957975" w14:textId="77777777" w:rsidR="005008DD" w:rsidRPr="004B0BF5" w:rsidRDefault="005008DD" w:rsidP="005008D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Pr="004B0BF5">
        <w:rPr>
          <w:rFonts w:ascii="Book Antiqua" w:eastAsia="Calibri" w:hAnsi="Book Antiqua" w:cs="Arial"/>
          <w:sz w:val="24"/>
          <w:szCs w:val="24"/>
        </w:rPr>
        <w:t xml:space="preserve">rangos de duración </w:t>
      </w:r>
      <w:r>
        <w:rPr>
          <w:rFonts w:ascii="Book Antiqua" w:eastAsia="Calibri" w:hAnsi="Book Antiqua" w:cs="Arial"/>
          <w:sz w:val="24"/>
          <w:szCs w:val="24"/>
        </w:rPr>
        <w:t xml:space="preserve">corresponden al </w:t>
      </w:r>
      <w:r w:rsidRPr="004B0BF5">
        <w:rPr>
          <w:rFonts w:ascii="Book Antiqua" w:eastAsia="Calibri" w:hAnsi="Book Antiqua" w:cs="Arial"/>
          <w:sz w:val="24"/>
          <w:szCs w:val="24"/>
        </w:rPr>
        <w:t xml:space="preserve">plazo legal, </w:t>
      </w:r>
      <w:r>
        <w:rPr>
          <w:rFonts w:ascii="Book Antiqua" w:eastAsia="Calibri" w:hAnsi="Book Antiqua" w:cs="Arial"/>
          <w:sz w:val="24"/>
          <w:szCs w:val="24"/>
        </w:rPr>
        <w:t xml:space="preserve">o </w:t>
      </w:r>
      <w:r w:rsidRPr="004B0BF5">
        <w:rPr>
          <w:rFonts w:ascii="Book Antiqua" w:eastAsia="Calibri" w:hAnsi="Book Antiqua" w:cs="Arial"/>
          <w:sz w:val="24"/>
          <w:szCs w:val="24"/>
        </w:rPr>
        <w:t>se encuentran dentro del criterio experto según informe 1212-PLA-EV-2020</w:t>
      </w:r>
      <w:r>
        <w:rPr>
          <w:rFonts w:ascii="Book Antiqua" w:eastAsia="Calibri" w:hAnsi="Book Antiqua" w:cs="Arial"/>
          <w:sz w:val="24"/>
          <w:szCs w:val="24"/>
        </w:rPr>
        <w:t xml:space="preserve">, aprobado por Consejo Superior en sesión </w:t>
      </w:r>
      <w:r w:rsidRPr="00D44759">
        <w:rPr>
          <w:rFonts w:ascii="Book Antiqua" w:eastAsia="Calibri" w:hAnsi="Book Antiqua" w:cs="Arial"/>
          <w:sz w:val="24"/>
          <w:szCs w:val="24"/>
        </w:rPr>
        <w:t xml:space="preserve">82-2020 celebrada el 20 de agosto del 2020, </w:t>
      </w:r>
      <w:r>
        <w:rPr>
          <w:rFonts w:ascii="Book Antiqua" w:eastAsia="Calibri" w:hAnsi="Book Antiqua" w:cs="Arial"/>
          <w:sz w:val="24"/>
          <w:szCs w:val="24"/>
        </w:rPr>
        <w:t>artículo</w:t>
      </w:r>
      <w:r w:rsidRPr="00D44759">
        <w:rPr>
          <w:rFonts w:ascii="Book Antiqua" w:eastAsia="Calibri" w:hAnsi="Book Antiqua" w:cs="Arial"/>
          <w:sz w:val="24"/>
          <w:szCs w:val="24"/>
        </w:rPr>
        <w:t xml:space="preserve"> XLI</w:t>
      </w:r>
      <w:r>
        <w:rPr>
          <w:rFonts w:ascii="Book Antiqua" w:eastAsia="Calibri" w:hAnsi="Book Antiqua" w:cs="Arial"/>
          <w:sz w:val="24"/>
          <w:szCs w:val="24"/>
        </w:rPr>
        <w:t>-Circulares 96-2021 y 213-2021</w:t>
      </w:r>
    </w:p>
    <w:p w14:paraId="74DCEB31" w14:textId="77777777" w:rsidR="00AC768E" w:rsidRDefault="00AC768E" w:rsidP="00AC768E">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72C52B29" w14:textId="0D223877" w:rsidR="00AC768E" w:rsidRPr="00352675" w:rsidRDefault="00AC768E" w:rsidP="00AC768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Ilustración </w:t>
      </w:r>
      <w:r w:rsidRPr="00352675">
        <w:rPr>
          <w:rFonts w:ascii="Book Antiqua" w:eastAsia="Calibri" w:hAnsi="Book Antiqua" w:cs="Arial"/>
          <w:b/>
          <w:bCs/>
          <w:color w:val="1F497D"/>
          <w:szCs w:val="24"/>
          <w:lang w:val="es-ES" w:eastAsia="es-ES"/>
        </w:rPr>
        <w:fldChar w:fldCharType="begin"/>
      </w:r>
      <w:r w:rsidRPr="00352675">
        <w:rPr>
          <w:rFonts w:ascii="Book Antiqua" w:eastAsia="Calibri" w:hAnsi="Book Antiqua" w:cs="Arial"/>
          <w:b/>
          <w:bCs/>
          <w:color w:val="1F497D"/>
          <w:szCs w:val="24"/>
          <w:lang w:val="es-ES" w:eastAsia="es-ES"/>
        </w:rPr>
        <w:instrText xml:space="preserve"> SEQ Ilustración \* ARABIC </w:instrText>
      </w:r>
      <w:r w:rsidRPr="00352675">
        <w:rPr>
          <w:rFonts w:ascii="Book Antiqua" w:eastAsia="Calibri" w:hAnsi="Book Antiqua" w:cs="Arial"/>
          <w:b/>
          <w:bCs/>
          <w:color w:val="1F497D"/>
          <w:szCs w:val="24"/>
          <w:lang w:val="es-ES" w:eastAsia="es-ES"/>
        </w:rPr>
        <w:fldChar w:fldCharType="separate"/>
      </w:r>
      <w:r>
        <w:rPr>
          <w:rFonts w:ascii="Book Antiqua" w:eastAsia="Calibri" w:hAnsi="Book Antiqua" w:cs="Arial"/>
          <w:b/>
          <w:bCs/>
          <w:noProof/>
          <w:color w:val="1F497D"/>
          <w:szCs w:val="24"/>
          <w:lang w:val="es-ES" w:eastAsia="es-ES"/>
        </w:rPr>
        <w:t>8</w:t>
      </w:r>
      <w:r w:rsidRPr="00352675">
        <w:rPr>
          <w:rFonts w:ascii="Book Antiqua" w:eastAsia="Calibri" w:hAnsi="Book Antiqua" w:cs="Arial"/>
          <w:b/>
          <w:bCs/>
          <w:color w:val="1F497D"/>
          <w:szCs w:val="24"/>
          <w:lang w:val="es-ES" w:eastAsia="es-ES"/>
        </w:rPr>
        <w:fldChar w:fldCharType="end"/>
      </w:r>
    </w:p>
    <w:p w14:paraId="28F59363" w14:textId="4535320D" w:rsidR="005008DD" w:rsidRPr="00352675" w:rsidRDefault="005008DD" w:rsidP="005008DD">
      <w:pPr>
        <w:spacing w:after="0" w:line="240"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Plazos legales y según criterio experto </w:t>
      </w:r>
    </w:p>
    <w:p w14:paraId="31F0A101" w14:textId="77777777" w:rsidR="005008DD" w:rsidRDefault="005008DD" w:rsidP="001D0C10">
      <w:pPr>
        <w:spacing w:after="0" w:line="276" w:lineRule="auto"/>
        <w:jc w:val="center"/>
        <w:rPr>
          <w:rFonts w:ascii="Book Antiqua" w:eastAsia="Calibri" w:hAnsi="Book Antiqua" w:cs="Arial"/>
          <w:i/>
          <w:iCs/>
          <w:sz w:val="20"/>
          <w:szCs w:val="20"/>
        </w:rPr>
      </w:pPr>
      <w:r>
        <w:rPr>
          <w:noProof/>
        </w:rPr>
        <w:drawing>
          <wp:inline distT="0" distB="0" distL="0" distR="0" wp14:anchorId="7632A95A" wp14:editId="12B940E8">
            <wp:extent cx="3566160" cy="1170159"/>
            <wp:effectExtent l="0" t="0" r="0" b="0"/>
            <wp:docPr id="13" name="Picture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9"/>
                    <a:stretch>
                      <a:fillRect/>
                    </a:stretch>
                  </pic:blipFill>
                  <pic:spPr>
                    <a:xfrm>
                      <a:off x="0" y="0"/>
                      <a:ext cx="3597341" cy="1180390"/>
                    </a:xfrm>
                    <a:prstGeom prst="rect">
                      <a:avLst/>
                    </a:prstGeom>
                  </pic:spPr>
                </pic:pic>
              </a:graphicData>
            </a:graphic>
          </wp:inline>
        </w:drawing>
      </w:r>
    </w:p>
    <w:p w14:paraId="775D6453" w14:textId="133D7EFB" w:rsidR="005008DD" w:rsidRPr="00352675" w:rsidRDefault="00E8664C" w:rsidP="005008DD">
      <w:pPr>
        <w:spacing w:after="0" w:line="276" w:lineRule="auto"/>
        <w:rPr>
          <w:rFonts w:ascii="Book Antiqua" w:eastAsia="Calibri" w:hAnsi="Book Antiqua" w:cs="Arial"/>
          <w:sz w:val="24"/>
          <w:szCs w:val="24"/>
        </w:rPr>
      </w:pPr>
      <w:r>
        <w:rPr>
          <w:rFonts w:ascii="Book Antiqua" w:eastAsia="Calibri" w:hAnsi="Book Antiqua" w:cs="Arial"/>
          <w:i/>
          <w:iCs/>
          <w:sz w:val="20"/>
          <w:szCs w:val="20"/>
        </w:rPr>
        <w:t xml:space="preserve">                   </w:t>
      </w:r>
      <w:r w:rsidR="00456779">
        <w:rPr>
          <w:rFonts w:ascii="Book Antiqua" w:eastAsia="Calibri" w:hAnsi="Book Antiqua" w:cs="Arial"/>
          <w:i/>
          <w:iCs/>
          <w:sz w:val="20"/>
          <w:szCs w:val="20"/>
        </w:rPr>
        <w:t xml:space="preserve">                  </w:t>
      </w:r>
      <w:r w:rsidR="005008DD" w:rsidRPr="009B6BF6">
        <w:rPr>
          <w:rFonts w:ascii="Book Antiqua" w:eastAsia="Calibri" w:hAnsi="Book Antiqua" w:cs="Arial"/>
          <w:b/>
          <w:bCs/>
          <w:i/>
          <w:iCs/>
          <w:sz w:val="20"/>
          <w:szCs w:val="20"/>
        </w:rPr>
        <w:t>Fuente</w:t>
      </w:r>
      <w:r w:rsidR="009B6BF6">
        <w:rPr>
          <w:rFonts w:ascii="Book Antiqua" w:eastAsia="Calibri" w:hAnsi="Book Antiqua" w:cs="Arial"/>
          <w:b/>
          <w:bCs/>
          <w:i/>
          <w:iCs/>
          <w:sz w:val="20"/>
          <w:szCs w:val="20"/>
        </w:rPr>
        <w:t>:</w:t>
      </w:r>
      <w:r w:rsidR="005008DD" w:rsidRPr="00352675">
        <w:rPr>
          <w:rFonts w:ascii="Book Antiqua" w:eastAsia="Calibri" w:hAnsi="Book Antiqua" w:cs="Arial"/>
          <w:i/>
          <w:iCs/>
          <w:sz w:val="20"/>
          <w:szCs w:val="20"/>
        </w:rPr>
        <w:t xml:space="preserve"> </w:t>
      </w:r>
      <w:r w:rsidR="005008DD">
        <w:rPr>
          <w:rFonts w:ascii="Book Antiqua" w:eastAsia="Calibri" w:hAnsi="Book Antiqua" w:cs="Arial"/>
          <w:i/>
          <w:iCs/>
          <w:sz w:val="20"/>
          <w:szCs w:val="20"/>
        </w:rPr>
        <w:t>Circular 213-2021</w:t>
      </w:r>
      <w:r w:rsidR="005008DD" w:rsidRPr="00352675">
        <w:rPr>
          <w:rFonts w:ascii="Book Antiqua" w:eastAsia="Calibri" w:hAnsi="Book Antiqua" w:cs="Arial"/>
          <w:i/>
          <w:iCs/>
          <w:sz w:val="20"/>
          <w:szCs w:val="20"/>
        </w:rPr>
        <w:t>.</w:t>
      </w:r>
      <w:r w:rsidR="005008DD" w:rsidRPr="00352675">
        <w:rPr>
          <w:rFonts w:ascii="Book Antiqua" w:eastAsia="Calibri" w:hAnsi="Book Antiqua" w:cs="Arial"/>
          <w:sz w:val="24"/>
          <w:szCs w:val="24"/>
        </w:rPr>
        <w:t xml:space="preserve"> </w:t>
      </w:r>
    </w:p>
    <w:p w14:paraId="54DEB07F" w14:textId="77777777" w:rsidR="005008DD" w:rsidRDefault="005008DD" w:rsidP="005008DD">
      <w:pPr>
        <w:spacing w:line="276" w:lineRule="auto"/>
        <w:jc w:val="both"/>
        <w:rPr>
          <w:rFonts w:ascii="Book Antiqua" w:hAnsi="Book Antiqua"/>
          <w:sz w:val="24"/>
          <w:szCs w:val="24"/>
        </w:rPr>
      </w:pPr>
    </w:p>
    <w:p w14:paraId="7E25EB26" w14:textId="51B9F70B" w:rsidR="005008DD" w:rsidRDefault="005008DD" w:rsidP="005008DD">
      <w:pPr>
        <w:spacing w:after="0" w:line="276" w:lineRule="auto"/>
        <w:jc w:val="both"/>
        <w:rPr>
          <w:rFonts w:ascii="Book Antiqua" w:eastAsia="Calibri" w:hAnsi="Book Antiqua" w:cs="Arial"/>
          <w:sz w:val="24"/>
          <w:szCs w:val="24"/>
        </w:rPr>
      </w:pPr>
      <w:r w:rsidRPr="00B80873">
        <w:rPr>
          <w:rFonts w:ascii="Book Antiqua" w:eastAsia="Calibri" w:hAnsi="Book Antiqua" w:cs="Arial"/>
          <w:sz w:val="24"/>
          <w:szCs w:val="24"/>
        </w:rPr>
        <w:t>Cabe mencionar que como oportunidad de mejora se gestionó con la Dirección de Tecnología de la Información</w:t>
      </w:r>
      <w:r>
        <w:rPr>
          <w:rFonts w:ascii="Book Antiqua" w:eastAsia="Calibri" w:hAnsi="Book Antiqua" w:cs="Arial"/>
          <w:sz w:val="24"/>
          <w:szCs w:val="24"/>
        </w:rPr>
        <w:t xml:space="preserve"> desde el 2020, la creación de</w:t>
      </w:r>
      <w:r w:rsidRPr="00B80873">
        <w:rPr>
          <w:rFonts w:ascii="Book Antiqua" w:eastAsia="Calibri" w:hAnsi="Book Antiqua" w:cs="Arial"/>
          <w:sz w:val="24"/>
          <w:szCs w:val="24"/>
        </w:rPr>
        <w:t xml:space="preserve"> </w:t>
      </w:r>
      <w:r>
        <w:rPr>
          <w:rFonts w:ascii="Book Antiqua" w:eastAsia="Calibri" w:hAnsi="Book Antiqua" w:cs="Arial"/>
          <w:sz w:val="24"/>
          <w:szCs w:val="24"/>
        </w:rPr>
        <w:t>un reporte en SIGMA</w:t>
      </w:r>
      <w:r w:rsidRPr="00756438">
        <w:rPr>
          <w:rFonts w:ascii="Book Antiqua" w:eastAsia="Calibri" w:hAnsi="Book Antiqua" w:cs="Arial"/>
          <w:sz w:val="24"/>
          <w:szCs w:val="24"/>
        </w:rPr>
        <w:t xml:space="preserve"> para visualizar por código</w:t>
      </w:r>
      <w:r w:rsidRPr="00792F0C">
        <w:rPr>
          <w:rFonts w:ascii="Book Antiqua" w:eastAsia="Calibri" w:hAnsi="Book Antiqua" w:cs="Arial"/>
          <w:sz w:val="24"/>
          <w:szCs w:val="24"/>
        </w:rPr>
        <w:t xml:space="preserve"> de colores aquellos rangos de duración que sobrepas</w:t>
      </w:r>
      <w:r>
        <w:rPr>
          <w:rFonts w:ascii="Book Antiqua" w:eastAsia="Calibri" w:hAnsi="Book Antiqua" w:cs="Arial"/>
          <w:sz w:val="24"/>
          <w:szCs w:val="24"/>
        </w:rPr>
        <w:t>a</w:t>
      </w:r>
      <w:r w:rsidRPr="00792F0C">
        <w:rPr>
          <w:rFonts w:ascii="Book Antiqua" w:eastAsia="Calibri" w:hAnsi="Book Antiqua" w:cs="Arial"/>
          <w:sz w:val="24"/>
          <w:szCs w:val="24"/>
        </w:rPr>
        <w:t>n los parámetros legales o de criterio experto, de forma que las mismas oficinas</w:t>
      </w:r>
      <w:r w:rsidRPr="00B80873">
        <w:rPr>
          <w:rFonts w:ascii="Book Antiqua" w:eastAsia="Calibri" w:hAnsi="Book Antiqua" w:cs="Arial"/>
          <w:sz w:val="24"/>
          <w:szCs w:val="24"/>
        </w:rPr>
        <w:t xml:space="preserve"> se autogestionen y puedan dar atención a aquellas causas que superen los rangos estándar; tanto para la cejilla de duración de casos activos como la cejilla de duraciones de casos terminados.</w:t>
      </w:r>
      <w:r>
        <w:rPr>
          <w:rFonts w:ascii="Book Antiqua" w:eastAsia="Calibri" w:hAnsi="Book Antiqua" w:cs="Arial"/>
          <w:sz w:val="24"/>
          <w:szCs w:val="24"/>
        </w:rPr>
        <w:t xml:space="preserve"> </w:t>
      </w:r>
    </w:p>
    <w:p w14:paraId="66474519" w14:textId="5732C3B2" w:rsidR="004C3D9C" w:rsidRDefault="004C3D9C" w:rsidP="005008DD">
      <w:pPr>
        <w:spacing w:after="0" w:line="276" w:lineRule="auto"/>
        <w:jc w:val="both"/>
        <w:rPr>
          <w:rFonts w:ascii="Book Antiqua" w:eastAsia="Calibri" w:hAnsi="Book Antiqua" w:cs="Arial"/>
          <w:sz w:val="24"/>
          <w:szCs w:val="24"/>
        </w:rPr>
      </w:pPr>
    </w:p>
    <w:p w14:paraId="518A67EB" w14:textId="45C17D8F" w:rsidR="004C3D9C" w:rsidRDefault="004C3D9C" w:rsidP="005008DD">
      <w:pPr>
        <w:spacing w:after="0" w:line="276" w:lineRule="auto"/>
        <w:jc w:val="both"/>
        <w:rPr>
          <w:rFonts w:ascii="Book Antiqua" w:eastAsia="Calibri" w:hAnsi="Book Antiqua" w:cs="Arial"/>
          <w:sz w:val="24"/>
          <w:szCs w:val="24"/>
        </w:rPr>
      </w:pPr>
    </w:p>
    <w:p w14:paraId="2AFAB2F6" w14:textId="77777777" w:rsidR="004C3D9C" w:rsidRDefault="004C3D9C" w:rsidP="005008DD">
      <w:pPr>
        <w:spacing w:after="0" w:line="276" w:lineRule="auto"/>
        <w:jc w:val="both"/>
        <w:rPr>
          <w:rFonts w:ascii="Book Antiqua" w:eastAsia="Calibri" w:hAnsi="Book Antiqua" w:cs="Arial"/>
          <w:sz w:val="24"/>
          <w:szCs w:val="24"/>
        </w:rPr>
      </w:pPr>
    </w:p>
    <w:p w14:paraId="0FBB0A0B" w14:textId="77777777" w:rsidR="005008DD" w:rsidRDefault="005008DD" w:rsidP="005008DD">
      <w:pPr>
        <w:spacing w:after="0" w:line="276" w:lineRule="auto"/>
        <w:jc w:val="both"/>
        <w:rPr>
          <w:rFonts w:ascii="Book Antiqua" w:eastAsia="Calibri" w:hAnsi="Book Antiqua" w:cs="Arial"/>
          <w:sz w:val="24"/>
          <w:szCs w:val="24"/>
        </w:rPr>
      </w:pPr>
    </w:p>
    <w:p w14:paraId="7BA390A5" w14:textId="6C7A5792" w:rsidR="00572DB3" w:rsidRPr="00572DB3"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t xml:space="preserve">Cuadro </w:t>
      </w:r>
      <w:r w:rsidRPr="00572DB3">
        <w:rPr>
          <w:rFonts w:ascii="Book Antiqua" w:eastAsia="Calibri" w:hAnsi="Book Antiqua" w:cs="Arial"/>
          <w:b/>
          <w:bCs/>
          <w:color w:val="1F497D"/>
          <w:szCs w:val="24"/>
          <w:lang w:val="es-ES" w:eastAsia="es-ES"/>
        </w:rPr>
        <w:fldChar w:fldCharType="begin"/>
      </w:r>
      <w:r w:rsidRPr="00572DB3">
        <w:rPr>
          <w:rFonts w:ascii="Book Antiqua" w:eastAsia="Calibri" w:hAnsi="Book Antiqua" w:cs="Arial"/>
          <w:b/>
          <w:bCs/>
          <w:color w:val="1F497D"/>
          <w:szCs w:val="24"/>
          <w:lang w:val="es-ES" w:eastAsia="es-ES"/>
        </w:rPr>
        <w:instrText xml:space="preserve"> SEQ Cuadro \* ARABIC </w:instrText>
      </w:r>
      <w:r w:rsidRPr="00572DB3">
        <w:rPr>
          <w:rFonts w:ascii="Book Antiqua" w:eastAsia="Calibri" w:hAnsi="Book Antiqua" w:cs="Arial"/>
          <w:b/>
          <w:bCs/>
          <w:color w:val="1F497D"/>
          <w:szCs w:val="24"/>
          <w:lang w:val="es-ES" w:eastAsia="es-ES"/>
        </w:rPr>
        <w:fldChar w:fldCharType="separate"/>
      </w:r>
      <w:r w:rsidR="00950574">
        <w:rPr>
          <w:rFonts w:ascii="Book Antiqua" w:eastAsia="Calibri" w:hAnsi="Book Antiqua" w:cs="Arial"/>
          <w:b/>
          <w:bCs/>
          <w:noProof/>
          <w:color w:val="1F497D"/>
          <w:szCs w:val="24"/>
          <w:lang w:val="es-ES" w:eastAsia="es-ES"/>
        </w:rPr>
        <w:t>71</w:t>
      </w:r>
      <w:r w:rsidRPr="00572DB3">
        <w:rPr>
          <w:rFonts w:ascii="Book Antiqua" w:eastAsia="Calibri" w:hAnsi="Book Antiqua" w:cs="Arial"/>
          <w:b/>
          <w:bCs/>
          <w:color w:val="1F497D"/>
          <w:szCs w:val="24"/>
          <w:lang w:val="es-ES" w:eastAsia="es-ES"/>
        </w:rPr>
        <w:fldChar w:fldCharType="end"/>
      </w:r>
    </w:p>
    <w:p w14:paraId="2E951AFB" w14:textId="77777777" w:rsidR="00D95481" w:rsidRPr="00A21379"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21379">
        <w:rPr>
          <w:rFonts w:ascii="Book Antiqua" w:eastAsia="Calibri" w:hAnsi="Book Antiqua" w:cs="Arial"/>
          <w:b/>
          <w:bCs/>
          <w:color w:val="1F497D"/>
          <w:szCs w:val="24"/>
          <w:lang w:val="es-ES" w:eastAsia="es-ES"/>
        </w:rPr>
        <w:t xml:space="preserve">Cantidad de persona juzgadora y persona técnica judicial requeridas </w:t>
      </w:r>
    </w:p>
    <w:p w14:paraId="4CF104AC" w14:textId="4283714B" w:rsidR="00572DB3"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21379">
        <w:rPr>
          <w:rFonts w:ascii="Book Antiqua" w:eastAsia="Calibri" w:hAnsi="Book Antiqua" w:cs="Arial"/>
          <w:b/>
          <w:bCs/>
          <w:color w:val="1F497D"/>
          <w:szCs w:val="24"/>
          <w:lang w:val="es-ES" w:eastAsia="es-ES"/>
        </w:rPr>
        <w:t>según promedio de entrada de casos</w:t>
      </w:r>
    </w:p>
    <w:tbl>
      <w:tblPr>
        <w:tblW w:w="9260" w:type="dxa"/>
        <w:jc w:val="center"/>
        <w:tblCellMar>
          <w:left w:w="70" w:type="dxa"/>
          <w:right w:w="70" w:type="dxa"/>
        </w:tblCellMar>
        <w:tblLook w:val="04A0" w:firstRow="1" w:lastRow="0" w:firstColumn="1" w:lastColumn="0" w:noHBand="0" w:noVBand="1"/>
      </w:tblPr>
      <w:tblGrid>
        <w:gridCol w:w="2168"/>
        <w:gridCol w:w="1000"/>
        <w:gridCol w:w="1051"/>
        <w:gridCol w:w="960"/>
        <w:gridCol w:w="1051"/>
        <w:gridCol w:w="950"/>
        <w:gridCol w:w="1080"/>
        <w:gridCol w:w="1000"/>
      </w:tblGrid>
      <w:tr w:rsidR="00A21379" w:rsidRPr="00A21379" w14:paraId="59BDC0EA" w14:textId="77777777" w:rsidTr="00612E7C">
        <w:trPr>
          <w:trHeight w:val="20"/>
          <w:jc w:val="center"/>
        </w:trPr>
        <w:tc>
          <w:tcPr>
            <w:tcW w:w="228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65A40E2"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Despacho</w:t>
            </w:r>
          </w:p>
        </w:tc>
        <w:tc>
          <w:tcPr>
            <w:tcW w:w="1000"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F77E8CF"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Promedio mensual de Entrada</w:t>
            </w:r>
          </w:p>
        </w:tc>
        <w:tc>
          <w:tcPr>
            <w:tcW w:w="1980" w:type="dxa"/>
            <w:gridSpan w:val="2"/>
            <w:tcBorders>
              <w:top w:val="single" w:sz="8" w:space="0" w:color="auto"/>
              <w:left w:val="nil"/>
              <w:bottom w:val="single" w:sz="8" w:space="0" w:color="auto"/>
              <w:right w:val="single" w:sz="8" w:space="0" w:color="000000"/>
            </w:tcBorders>
            <w:shd w:val="clear" w:color="000000" w:fill="002060"/>
            <w:vAlign w:val="center"/>
            <w:hideMark/>
          </w:tcPr>
          <w:p w14:paraId="062B045A"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Recurso humano actual</w:t>
            </w:r>
          </w:p>
        </w:tc>
        <w:tc>
          <w:tcPr>
            <w:tcW w:w="1920" w:type="dxa"/>
            <w:gridSpan w:val="2"/>
            <w:tcBorders>
              <w:top w:val="single" w:sz="8" w:space="0" w:color="auto"/>
              <w:left w:val="nil"/>
              <w:bottom w:val="single" w:sz="8" w:space="0" w:color="auto"/>
              <w:right w:val="single" w:sz="8" w:space="0" w:color="000000"/>
            </w:tcBorders>
            <w:shd w:val="clear" w:color="000000" w:fill="002060"/>
            <w:vAlign w:val="center"/>
            <w:hideMark/>
          </w:tcPr>
          <w:p w14:paraId="3B52982F"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Recurso humano requerido</w:t>
            </w:r>
          </w:p>
        </w:tc>
        <w:tc>
          <w:tcPr>
            <w:tcW w:w="2080" w:type="dxa"/>
            <w:gridSpan w:val="2"/>
            <w:tcBorders>
              <w:top w:val="single" w:sz="8" w:space="0" w:color="auto"/>
              <w:left w:val="nil"/>
              <w:bottom w:val="single" w:sz="8" w:space="0" w:color="auto"/>
              <w:right w:val="single" w:sz="8" w:space="0" w:color="000000"/>
            </w:tcBorders>
            <w:shd w:val="clear" w:color="000000" w:fill="002060"/>
            <w:vAlign w:val="center"/>
            <w:hideMark/>
          </w:tcPr>
          <w:p w14:paraId="6AA51259"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Variación</w:t>
            </w:r>
          </w:p>
        </w:tc>
      </w:tr>
      <w:tr w:rsidR="00A21379" w:rsidRPr="00A21379" w14:paraId="35171651" w14:textId="77777777" w:rsidTr="00612E7C">
        <w:trPr>
          <w:trHeight w:val="20"/>
          <w:jc w:val="center"/>
        </w:trPr>
        <w:tc>
          <w:tcPr>
            <w:tcW w:w="2280" w:type="dxa"/>
            <w:vMerge/>
            <w:tcBorders>
              <w:top w:val="single" w:sz="8" w:space="0" w:color="auto"/>
              <w:left w:val="single" w:sz="8" w:space="0" w:color="auto"/>
              <w:bottom w:val="single" w:sz="8" w:space="0" w:color="000000"/>
              <w:right w:val="single" w:sz="8" w:space="0" w:color="auto"/>
            </w:tcBorders>
            <w:vAlign w:val="center"/>
            <w:hideMark/>
          </w:tcPr>
          <w:p w14:paraId="5F9EB004" w14:textId="77777777" w:rsidR="00A21379" w:rsidRPr="00A21379" w:rsidRDefault="00A21379" w:rsidP="00A21379">
            <w:pPr>
              <w:spacing w:after="0" w:line="240" w:lineRule="auto"/>
              <w:rPr>
                <w:rFonts w:ascii="Book Antiqua" w:eastAsia="Times New Roman" w:hAnsi="Book Antiqua" w:cs="Calibri"/>
                <w:b/>
                <w:bCs/>
                <w:color w:val="FFFFFF"/>
                <w:sz w:val="18"/>
                <w:szCs w:val="18"/>
                <w:lang w:eastAsia="es-CR"/>
              </w:rPr>
            </w:pPr>
          </w:p>
        </w:tc>
        <w:tc>
          <w:tcPr>
            <w:tcW w:w="1000" w:type="dxa"/>
            <w:vMerge/>
            <w:tcBorders>
              <w:top w:val="single" w:sz="8" w:space="0" w:color="auto"/>
              <w:left w:val="single" w:sz="8" w:space="0" w:color="auto"/>
              <w:bottom w:val="single" w:sz="8" w:space="0" w:color="000000"/>
              <w:right w:val="single" w:sz="8" w:space="0" w:color="auto"/>
            </w:tcBorders>
            <w:vAlign w:val="center"/>
            <w:hideMark/>
          </w:tcPr>
          <w:p w14:paraId="65D36F94" w14:textId="77777777" w:rsidR="00A21379" w:rsidRPr="00A21379" w:rsidRDefault="00A21379" w:rsidP="00A21379">
            <w:pPr>
              <w:spacing w:after="0" w:line="240" w:lineRule="auto"/>
              <w:rPr>
                <w:rFonts w:ascii="Book Antiqua" w:eastAsia="Times New Roman" w:hAnsi="Book Antiqua" w:cs="Calibri"/>
                <w:b/>
                <w:bCs/>
                <w:color w:val="FFFFFF"/>
                <w:sz w:val="18"/>
                <w:szCs w:val="18"/>
                <w:lang w:eastAsia="es-CR"/>
              </w:rPr>
            </w:pPr>
          </w:p>
        </w:tc>
        <w:tc>
          <w:tcPr>
            <w:tcW w:w="1020" w:type="dxa"/>
            <w:tcBorders>
              <w:top w:val="nil"/>
              <w:left w:val="nil"/>
              <w:bottom w:val="single" w:sz="8" w:space="0" w:color="auto"/>
              <w:right w:val="single" w:sz="8" w:space="0" w:color="auto"/>
            </w:tcBorders>
            <w:shd w:val="clear" w:color="000000" w:fill="002060"/>
            <w:vAlign w:val="center"/>
            <w:hideMark/>
          </w:tcPr>
          <w:p w14:paraId="7B6C70B5"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Personas Juzgadoras</w:t>
            </w:r>
          </w:p>
        </w:tc>
        <w:tc>
          <w:tcPr>
            <w:tcW w:w="960" w:type="dxa"/>
            <w:tcBorders>
              <w:top w:val="nil"/>
              <w:left w:val="nil"/>
              <w:bottom w:val="single" w:sz="8" w:space="0" w:color="auto"/>
              <w:right w:val="single" w:sz="8" w:space="0" w:color="auto"/>
            </w:tcBorders>
            <w:shd w:val="clear" w:color="000000" w:fill="002060"/>
            <w:vAlign w:val="center"/>
            <w:hideMark/>
          </w:tcPr>
          <w:p w14:paraId="0A2CB7D5"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Personas Técnicas Judiciales Trámite</w:t>
            </w:r>
          </w:p>
        </w:tc>
        <w:tc>
          <w:tcPr>
            <w:tcW w:w="1000" w:type="dxa"/>
            <w:tcBorders>
              <w:top w:val="nil"/>
              <w:left w:val="nil"/>
              <w:bottom w:val="single" w:sz="8" w:space="0" w:color="auto"/>
              <w:right w:val="single" w:sz="8" w:space="0" w:color="auto"/>
            </w:tcBorders>
            <w:shd w:val="clear" w:color="000000" w:fill="002060"/>
            <w:vAlign w:val="center"/>
            <w:hideMark/>
          </w:tcPr>
          <w:p w14:paraId="70952564"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Personas Juzgadoras</w:t>
            </w:r>
          </w:p>
        </w:tc>
        <w:tc>
          <w:tcPr>
            <w:tcW w:w="920" w:type="dxa"/>
            <w:tcBorders>
              <w:top w:val="nil"/>
              <w:left w:val="nil"/>
              <w:bottom w:val="single" w:sz="8" w:space="0" w:color="auto"/>
              <w:right w:val="single" w:sz="8" w:space="0" w:color="auto"/>
            </w:tcBorders>
            <w:shd w:val="clear" w:color="000000" w:fill="002060"/>
            <w:vAlign w:val="center"/>
            <w:hideMark/>
          </w:tcPr>
          <w:p w14:paraId="24C86451"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Personas Técnicas Judiciales Trámite</w:t>
            </w:r>
          </w:p>
        </w:tc>
        <w:tc>
          <w:tcPr>
            <w:tcW w:w="1080" w:type="dxa"/>
            <w:tcBorders>
              <w:top w:val="nil"/>
              <w:left w:val="nil"/>
              <w:bottom w:val="single" w:sz="8" w:space="0" w:color="auto"/>
              <w:right w:val="single" w:sz="8" w:space="0" w:color="auto"/>
            </w:tcBorders>
            <w:shd w:val="clear" w:color="000000" w:fill="002060"/>
            <w:vAlign w:val="center"/>
            <w:hideMark/>
          </w:tcPr>
          <w:p w14:paraId="36BD3BFC"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Personas Juzgadoras</w:t>
            </w:r>
          </w:p>
        </w:tc>
        <w:tc>
          <w:tcPr>
            <w:tcW w:w="1000" w:type="dxa"/>
            <w:tcBorders>
              <w:top w:val="nil"/>
              <w:left w:val="nil"/>
              <w:bottom w:val="single" w:sz="8" w:space="0" w:color="auto"/>
              <w:right w:val="single" w:sz="8" w:space="0" w:color="auto"/>
            </w:tcBorders>
            <w:shd w:val="clear" w:color="000000" w:fill="002060"/>
            <w:vAlign w:val="center"/>
            <w:hideMark/>
          </w:tcPr>
          <w:p w14:paraId="14B3141B" w14:textId="77777777" w:rsidR="00A21379" w:rsidRPr="00A21379" w:rsidRDefault="00A21379" w:rsidP="00A21379">
            <w:pPr>
              <w:spacing w:after="0" w:line="240" w:lineRule="auto"/>
              <w:jc w:val="center"/>
              <w:rPr>
                <w:rFonts w:ascii="Book Antiqua" w:eastAsia="Times New Roman" w:hAnsi="Book Antiqua" w:cs="Calibri"/>
                <w:b/>
                <w:bCs/>
                <w:color w:val="FFFFFF"/>
                <w:sz w:val="18"/>
                <w:szCs w:val="18"/>
                <w:lang w:eastAsia="es-CR"/>
              </w:rPr>
            </w:pPr>
            <w:r w:rsidRPr="00A21379">
              <w:rPr>
                <w:rFonts w:ascii="Book Antiqua" w:eastAsia="Times New Roman" w:hAnsi="Book Antiqua" w:cs="Calibri"/>
                <w:b/>
                <w:bCs/>
                <w:color w:val="FFFFFF"/>
                <w:sz w:val="18"/>
                <w:szCs w:val="18"/>
                <w:lang w:eastAsia="es-CR"/>
              </w:rPr>
              <w:t>Personas Técnicas Judiciales</w:t>
            </w:r>
          </w:p>
        </w:tc>
      </w:tr>
      <w:tr w:rsidR="00A21379" w:rsidRPr="00A21379" w14:paraId="34462813"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51BFF858"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Juzgado Pensiones Alimentarias Cartago</w:t>
            </w:r>
          </w:p>
        </w:tc>
        <w:tc>
          <w:tcPr>
            <w:tcW w:w="1000" w:type="dxa"/>
            <w:tcBorders>
              <w:top w:val="nil"/>
              <w:left w:val="nil"/>
              <w:bottom w:val="single" w:sz="8" w:space="0" w:color="auto"/>
              <w:right w:val="single" w:sz="8" w:space="0" w:color="auto"/>
            </w:tcBorders>
            <w:shd w:val="clear" w:color="auto" w:fill="auto"/>
            <w:noWrap/>
            <w:vAlign w:val="center"/>
            <w:hideMark/>
          </w:tcPr>
          <w:p w14:paraId="4CA7166B"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426</w:t>
            </w:r>
          </w:p>
        </w:tc>
        <w:tc>
          <w:tcPr>
            <w:tcW w:w="1020" w:type="dxa"/>
            <w:tcBorders>
              <w:top w:val="nil"/>
              <w:left w:val="nil"/>
              <w:bottom w:val="single" w:sz="8" w:space="0" w:color="auto"/>
              <w:right w:val="single" w:sz="8" w:space="0" w:color="auto"/>
            </w:tcBorders>
            <w:shd w:val="clear" w:color="auto" w:fill="auto"/>
            <w:noWrap/>
            <w:vAlign w:val="center"/>
            <w:hideMark/>
          </w:tcPr>
          <w:p w14:paraId="4113E787"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5</w:t>
            </w:r>
          </w:p>
        </w:tc>
        <w:tc>
          <w:tcPr>
            <w:tcW w:w="960" w:type="dxa"/>
            <w:tcBorders>
              <w:top w:val="nil"/>
              <w:left w:val="nil"/>
              <w:bottom w:val="single" w:sz="8" w:space="0" w:color="auto"/>
              <w:right w:val="single" w:sz="8" w:space="0" w:color="auto"/>
            </w:tcBorders>
            <w:shd w:val="clear" w:color="auto" w:fill="auto"/>
            <w:noWrap/>
            <w:vAlign w:val="center"/>
            <w:hideMark/>
          </w:tcPr>
          <w:p w14:paraId="33A60C05"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12</w:t>
            </w:r>
          </w:p>
        </w:tc>
        <w:tc>
          <w:tcPr>
            <w:tcW w:w="1000" w:type="dxa"/>
            <w:tcBorders>
              <w:top w:val="nil"/>
              <w:left w:val="nil"/>
              <w:bottom w:val="single" w:sz="8" w:space="0" w:color="auto"/>
              <w:right w:val="single" w:sz="8" w:space="0" w:color="auto"/>
            </w:tcBorders>
            <w:shd w:val="clear" w:color="000000" w:fill="DBE5F1"/>
            <w:noWrap/>
            <w:vAlign w:val="center"/>
            <w:hideMark/>
          </w:tcPr>
          <w:p w14:paraId="0427FDD4"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4</w:t>
            </w:r>
          </w:p>
        </w:tc>
        <w:tc>
          <w:tcPr>
            <w:tcW w:w="920" w:type="dxa"/>
            <w:tcBorders>
              <w:top w:val="nil"/>
              <w:left w:val="nil"/>
              <w:bottom w:val="single" w:sz="8" w:space="0" w:color="auto"/>
              <w:right w:val="single" w:sz="8" w:space="0" w:color="auto"/>
            </w:tcBorders>
            <w:shd w:val="clear" w:color="000000" w:fill="DBE5F1"/>
            <w:noWrap/>
            <w:vAlign w:val="center"/>
            <w:hideMark/>
          </w:tcPr>
          <w:p w14:paraId="0D41519C"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14</w:t>
            </w:r>
          </w:p>
        </w:tc>
        <w:tc>
          <w:tcPr>
            <w:tcW w:w="1080" w:type="dxa"/>
            <w:tcBorders>
              <w:top w:val="nil"/>
              <w:left w:val="nil"/>
              <w:bottom w:val="single" w:sz="8" w:space="0" w:color="auto"/>
              <w:right w:val="single" w:sz="8" w:space="0" w:color="auto"/>
            </w:tcBorders>
            <w:shd w:val="clear" w:color="000000" w:fill="FDE9D9"/>
            <w:noWrap/>
            <w:vAlign w:val="center"/>
            <w:hideMark/>
          </w:tcPr>
          <w:p w14:paraId="1DE48BDD"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w:t>
            </w:r>
          </w:p>
        </w:tc>
        <w:tc>
          <w:tcPr>
            <w:tcW w:w="1000" w:type="dxa"/>
            <w:tcBorders>
              <w:top w:val="nil"/>
              <w:left w:val="nil"/>
              <w:bottom w:val="single" w:sz="8" w:space="0" w:color="auto"/>
              <w:right w:val="single" w:sz="8" w:space="0" w:color="auto"/>
            </w:tcBorders>
            <w:shd w:val="clear" w:color="000000" w:fill="FDE9D9"/>
            <w:noWrap/>
            <w:vAlign w:val="center"/>
            <w:hideMark/>
          </w:tcPr>
          <w:p w14:paraId="63D66DFB" w14:textId="0AEA5835"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2</w:t>
            </w:r>
          </w:p>
        </w:tc>
      </w:tr>
      <w:tr w:rsidR="00A21379" w:rsidRPr="00A21379" w14:paraId="101DC262"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027C3E58"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Juzgado Pensiones Alimentarias Heredia</w:t>
            </w:r>
          </w:p>
        </w:tc>
        <w:tc>
          <w:tcPr>
            <w:tcW w:w="1000" w:type="dxa"/>
            <w:tcBorders>
              <w:top w:val="nil"/>
              <w:left w:val="nil"/>
              <w:bottom w:val="single" w:sz="8" w:space="0" w:color="auto"/>
              <w:right w:val="single" w:sz="8" w:space="0" w:color="auto"/>
            </w:tcBorders>
            <w:shd w:val="clear" w:color="auto" w:fill="auto"/>
            <w:noWrap/>
            <w:vAlign w:val="center"/>
            <w:hideMark/>
          </w:tcPr>
          <w:p w14:paraId="7370567C"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396</w:t>
            </w:r>
          </w:p>
        </w:tc>
        <w:tc>
          <w:tcPr>
            <w:tcW w:w="1020" w:type="dxa"/>
            <w:tcBorders>
              <w:top w:val="nil"/>
              <w:left w:val="nil"/>
              <w:bottom w:val="single" w:sz="8" w:space="0" w:color="auto"/>
              <w:right w:val="single" w:sz="8" w:space="0" w:color="auto"/>
            </w:tcBorders>
            <w:shd w:val="clear" w:color="auto" w:fill="auto"/>
            <w:noWrap/>
            <w:vAlign w:val="center"/>
            <w:hideMark/>
          </w:tcPr>
          <w:p w14:paraId="37B2CCCF"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5</w:t>
            </w:r>
          </w:p>
        </w:tc>
        <w:tc>
          <w:tcPr>
            <w:tcW w:w="960" w:type="dxa"/>
            <w:tcBorders>
              <w:top w:val="nil"/>
              <w:left w:val="nil"/>
              <w:bottom w:val="single" w:sz="8" w:space="0" w:color="auto"/>
              <w:right w:val="single" w:sz="8" w:space="0" w:color="auto"/>
            </w:tcBorders>
            <w:shd w:val="clear" w:color="auto" w:fill="auto"/>
            <w:noWrap/>
            <w:vAlign w:val="center"/>
            <w:hideMark/>
          </w:tcPr>
          <w:p w14:paraId="6167F20C"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13</w:t>
            </w:r>
          </w:p>
        </w:tc>
        <w:tc>
          <w:tcPr>
            <w:tcW w:w="1000" w:type="dxa"/>
            <w:tcBorders>
              <w:top w:val="nil"/>
              <w:left w:val="nil"/>
              <w:bottom w:val="single" w:sz="8" w:space="0" w:color="auto"/>
              <w:right w:val="single" w:sz="8" w:space="0" w:color="auto"/>
            </w:tcBorders>
            <w:shd w:val="clear" w:color="000000" w:fill="DBE5F1"/>
            <w:noWrap/>
            <w:vAlign w:val="center"/>
            <w:hideMark/>
          </w:tcPr>
          <w:p w14:paraId="6BBD8FD2"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5</w:t>
            </w:r>
          </w:p>
        </w:tc>
        <w:tc>
          <w:tcPr>
            <w:tcW w:w="920" w:type="dxa"/>
            <w:tcBorders>
              <w:top w:val="nil"/>
              <w:left w:val="nil"/>
              <w:bottom w:val="single" w:sz="8" w:space="0" w:color="auto"/>
              <w:right w:val="single" w:sz="8" w:space="0" w:color="auto"/>
            </w:tcBorders>
            <w:shd w:val="clear" w:color="000000" w:fill="DBE5F1"/>
            <w:noWrap/>
            <w:vAlign w:val="center"/>
            <w:hideMark/>
          </w:tcPr>
          <w:p w14:paraId="624366D8"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13</w:t>
            </w:r>
          </w:p>
        </w:tc>
        <w:tc>
          <w:tcPr>
            <w:tcW w:w="1080" w:type="dxa"/>
            <w:tcBorders>
              <w:top w:val="nil"/>
              <w:left w:val="nil"/>
              <w:bottom w:val="single" w:sz="8" w:space="0" w:color="auto"/>
              <w:right w:val="single" w:sz="8" w:space="0" w:color="auto"/>
            </w:tcBorders>
            <w:shd w:val="clear" w:color="000000" w:fill="FDE9D9"/>
            <w:noWrap/>
            <w:vAlign w:val="center"/>
            <w:hideMark/>
          </w:tcPr>
          <w:p w14:paraId="4ECD5A8A"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c>
          <w:tcPr>
            <w:tcW w:w="1000" w:type="dxa"/>
            <w:tcBorders>
              <w:top w:val="nil"/>
              <w:left w:val="nil"/>
              <w:bottom w:val="single" w:sz="8" w:space="0" w:color="auto"/>
              <w:right w:val="single" w:sz="8" w:space="0" w:color="auto"/>
            </w:tcBorders>
            <w:shd w:val="clear" w:color="000000" w:fill="FDE9D9"/>
            <w:noWrap/>
            <w:vAlign w:val="center"/>
            <w:hideMark/>
          </w:tcPr>
          <w:p w14:paraId="37173374"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r>
      <w:tr w:rsidR="00A21379" w:rsidRPr="00A21379" w14:paraId="202ECDD7"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60B6E9E3"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 xml:space="preserve">Juzgado Pensiones Alimentarias I Circ. Jud. Alajuela </w:t>
            </w:r>
          </w:p>
        </w:tc>
        <w:tc>
          <w:tcPr>
            <w:tcW w:w="1000" w:type="dxa"/>
            <w:tcBorders>
              <w:top w:val="nil"/>
              <w:left w:val="nil"/>
              <w:bottom w:val="single" w:sz="8" w:space="0" w:color="auto"/>
              <w:right w:val="single" w:sz="8" w:space="0" w:color="auto"/>
            </w:tcBorders>
            <w:shd w:val="clear" w:color="auto" w:fill="auto"/>
            <w:noWrap/>
            <w:vAlign w:val="center"/>
            <w:hideMark/>
          </w:tcPr>
          <w:p w14:paraId="6437A3D2"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552</w:t>
            </w:r>
          </w:p>
        </w:tc>
        <w:tc>
          <w:tcPr>
            <w:tcW w:w="1020" w:type="dxa"/>
            <w:tcBorders>
              <w:top w:val="nil"/>
              <w:left w:val="nil"/>
              <w:bottom w:val="single" w:sz="8" w:space="0" w:color="auto"/>
              <w:right w:val="single" w:sz="8" w:space="0" w:color="auto"/>
            </w:tcBorders>
            <w:shd w:val="clear" w:color="auto" w:fill="auto"/>
            <w:noWrap/>
            <w:vAlign w:val="center"/>
            <w:hideMark/>
          </w:tcPr>
          <w:p w14:paraId="4594A0E1"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6</w:t>
            </w:r>
          </w:p>
        </w:tc>
        <w:tc>
          <w:tcPr>
            <w:tcW w:w="960" w:type="dxa"/>
            <w:tcBorders>
              <w:top w:val="nil"/>
              <w:left w:val="nil"/>
              <w:bottom w:val="single" w:sz="8" w:space="0" w:color="auto"/>
              <w:right w:val="single" w:sz="8" w:space="0" w:color="auto"/>
            </w:tcBorders>
            <w:shd w:val="clear" w:color="auto" w:fill="auto"/>
            <w:noWrap/>
            <w:vAlign w:val="center"/>
            <w:hideMark/>
          </w:tcPr>
          <w:p w14:paraId="71ECBFA9"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14</w:t>
            </w:r>
          </w:p>
        </w:tc>
        <w:tc>
          <w:tcPr>
            <w:tcW w:w="1000" w:type="dxa"/>
            <w:tcBorders>
              <w:top w:val="nil"/>
              <w:left w:val="nil"/>
              <w:bottom w:val="single" w:sz="8" w:space="0" w:color="auto"/>
              <w:right w:val="single" w:sz="8" w:space="0" w:color="auto"/>
            </w:tcBorders>
            <w:shd w:val="clear" w:color="000000" w:fill="DBE5F1"/>
            <w:noWrap/>
            <w:vAlign w:val="center"/>
            <w:hideMark/>
          </w:tcPr>
          <w:p w14:paraId="2281B420"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6</w:t>
            </w:r>
          </w:p>
        </w:tc>
        <w:tc>
          <w:tcPr>
            <w:tcW w:w="920" w:type="dxa"/>
            <w:tcBorders>
              <w:top w:val="nil"/>
              <w:left w:val="nil"/>
              <w:bottom w:val="single" w:sz="8" w:space="0" w:color="auto"/>
              <w:right w:val="single" w:sz="8" w:space="0" w:color="auto"/>
            </w:tcBorders>
            <w:shd w:val="clear" w:color="000000" w:fill="DBE5F1"/>
            <w:noWrap/>
            <w:vAlign w:val="center"/>
            <w:hideMark/>
          </w:tcPr>
          <w:p w14:paraId="64E801AB"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18</w:t>
            </w:r>
          </w:p>
        </w:tc>
        <w:tc>
          <w:tcPr>
            <w:tcW w:w="1080" w:type="dxa"/>
            <w:tcBorders>
              <w:top w:val="nil"/>
              <w:left w:val="nil"/>
              <w:bottom w:val="single" w:sz="8" w:space="0" w:color="auto"/>
              <w:right w:val="single" w:sz="8" w:space="0" w:color="auto"/>
            </w:tcBorders>
            <w:shd w:val="clear" w:color="000000" w:fill="FDE9D9"/>
            <w:noWrap/>
            <w:vAlign w:val="center"/>
            <w:hideMark/>
          </w:tcPr>
          <w:p w14:paraId="3394F95A"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c>
          <w:tcPr>
            <w:tcW w:w="1000" w:type="dxa"/>
            <w:tcBorders>
              <w:top w:val="nil"/>
              <w:left w:val="nil"/>
              <w:bottom w:val="single" w:sz="8" w:space="0" w:color="auto"/>
              <w:right w:val="single" w:sz="8" w:space="0" w:color="auto"/>
            </w:tcBorders>
            <w:shd w:val="clear" w:color="000000" w:fill="FDE9D9"/>
            <w:noWrap/>
            <w:vAlign w:val="center"/>
            <w:hideMark/>
          </w:tcPr>
          <w:p w14:paraId="752ED1AD" w14:textId="5B469D54"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4</w:t>
            </w:r>
          </w:p>
        </w:tc>
      </w:tr>
      <w:tr w:rsidR="00A21379" w:rsidRPr="00A21379" w14:paraId="657F0054"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3E9B6B7A"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 xml:space="preserve">Juzgado Pensiones Alimentarias I Circ. Jud. San José </w:t>
            </w:r>
          </w:p>
        </w:tc>
        <w:tc>
          <w:tcPr>
            <w:tcW w:w="1000" w:type="dxa"/>
            <w:tcBorders>
              <w:top w:val="nil"/>
              <w:left w:val="nil"/>
              <w:bottom w:val="single" w:sz="8" w:space="0" w:color="auto"/>
              <w:right w:val="single" w:sz="8" w:space="0" w:color="auto"/>
            </w:tcBorders>
            <w:shd w:val="clear" w:color="auto" w:fill="auto"/>
            <w:noWrap/>
            <w:vAlign w:val="center"/>
            <w:hideMark/>
          </w:tcPr>
          <w:p w14:paraId="6B76EDE7"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350</w:t>
            </w:r>
          </w:p>
        </w:tc>
        <w:tc>
          <w:tcPr>
            <w:tcW w:w="1020" w:type="dxa"/>
            <w:tcBorders>
              <w:top w:val="nil"/>
              <w:left w:val="nil"/>
              <w:bottom w:val="single" w:sz="8" w:space="0" w:color="auto"/>
              <w:right w:val="single" w:sz="8" w:space="0" w:color="auto"/>
            </w:tcBorders>
            <w:shd w:val="clear" w:color="auto" w:fill="auto"/>
            <w:noWrap/>
            <w:vAlign w:val="center"/>
            <w:hideMark/>
          </w:tcPr>
          <w:p w14:paraId="4C9194CD"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4</w:t>
            </w:r>
          </w:p>
        </w:tc>
        <w:tc>
          <w:tcPr>
            <w:tcW w:w="960" w:type="dxa"/>
            <w:tcBorders>
              <w:top w:val="nil"/>
              <w:left w:val="nil"/>
              <w:bottom w:val="single" w:sz="8" w:space="0" w:color="auto"/>
              <w:right w:val="single" w:sz="8" w:space="0" w:color="auto"/>
            </w:tcBorders>
            <w:shd w:val="clear" w:color="auto" w:fill="auto"/>
            <w:noWrap/>
            <w:vAlign w:val="center"/>
            <w:hideMark/>
          </w:tcPr>
          <w:p w14:paraId="08066D3E"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11</w:t>
            </w:r>
          </w:p>
        </w:tc>
        <w:tc>
          <w:tcPr>
            <w:tcW w:w="1000" w:type="dxa"/>
            <w:tcBorders>
              <w:top w:val="nil"/>
              <w:left w:val="nil"/>
              <w:bottom w:val="single" w:sz="8" w:space="0" w:color="auto"/>
              <w:right w:val="single" w:sz="8" w:space="0" w:color="auto"/>
            </w:tcBorders>
            <w:shd w:val="clear" w:color="000000" w:fill="DBE5F1"/>
            <w:noWrap/>
            <w:vAlign w:val="center"/>
            <w:hideMark/>
          </w:tcPr>
          <w:p w14:paraId="7999A528"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4</w:t>
            </w:r>
          </w:p>
        </w:tc>
        <w:tc>
          <w:tcPr>
            <w:tcW w:w="920" w:type="dxa"/>
            <w:tcBorders>
              <w:top w:val="nil"/>
              <w:left w:val="nil"/>
              <w:bottom w:val="single" w:sz="8" w:space="0" w:color="auto"/>
              <w:right w:val="single" w:sz="8" w:space="0" w:color="auto"/>
            </w:tcBorders>
            <w:shd w:val="clear" w:color="000000" w:fill="DBE5F1"/>
            <w:noWrap/>
            <w:vAlign w:val="center"/>
            <w:hideMark/>
          </w:tcPr>
          <w:p w14:paraId="1661F43B"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12</w:t>
            </w:r>
          </w:p>
        </w:tc>
        <w:tc>
          <w:tcPr>
            <w:tcW w:w="1080" w:type="dxa"/>
            <w:tcBorders>
              <w:top w:val="nil"/>
              <w:left w:val="nil"/>
              <w:bottom w:val="single" w:sz="8" w:space="0" w:color="auto"/>
              <w:right w:val="single" w:sz="8" w:space="0" w:color="auto"/>
            </w:tcBorders>
            <w:shd w:val="clear" w:color="000000" w:fill="FDE9D9"/>
            <w:noWrap/>
            <w:vAlign w:val="center"/>
            <w:hideMark/>
          </w:tcPr>
          <w:p w14:paraId="46E34949"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c>
          <w:tcPr>
            <w:tcW w:w="1000" w:type="dxa"/>
            <w:tcBorders>
              <w:top w:val="nil"/>
              <w:left w:val="nil"/>
              <w:bottom w:val="single" w:sz="8" w:space="0" w:color="auto"/>
              <w:right w:val="single" w:sz="8" w:space="0" w:color="auto"/>
            </w:tcBorders>
            <w:shd w:val="clear" w:color="000000" w:fill="FDE9D9"/>
            <w:noWrap/>
            <w:vAlign w:val="center"/>
            <w:hideMark/>
          </w:tcPr>
          <w:p w14:paraId="187F44CC" w14:textId="3F0E8292"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1</w:t>
            </w:r>
          </w:p>
        </w:tc>
      </w:tr>
      <w:tr w:rsidR="00A21379" w:rsidRPr="00A21379" w14:paraId="16744D5B"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543C7586"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 xml:space="preserve">Juzgado Pensiones Alimentarias I Circ. Jud. Zona Atlántica (Limón) </w:t>
            </w:r>
          </w:p>
        </w:tc>
        <w:tc>
          <w:tcPr>
            <w:tcW w:w="1000" w:type="dxa"/>
            <w:tcBorders>
              <w:top w:val="nil"/>
              <w:left w:val="nil"/>
              <w:bottom w:val="single" w:sz="8" w:space="0" w:color="auto"/>
              <w:right w:val="single" w:sz="8" w:space="0" w:color="auto"/>
            </w:tcBorders>
            <w:shd w:val="clear" w:color="auto" w:fill="auto"/>
            <w:noWrap/>
            <w:vAlign w:val="center"/>
            <w:hideMark/>
          </w:tcPr>
          <w:p w14:paraId="2E757BCF"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276</w:t>
            </w:r>
          </w:p>
        </w:tc>
        <w:tc>
          <w:tcPr>
            <w:tcW w:w="1020" w:type="dxa"/>
            <w:tcBorders>
              <w:top w:val="nil"/>
              <w:left w:val="nil"/>
              <w:bottom w:val="single" w:sz="8" w:space="0" w:color="auto"/>
              <w:right w:val="single" w:sz="8" w:space="0" w:color="auto"/>
            </w:tcBorders>
            <w:shd w:val="clear" w:color="auto" w:fill="auto"/>
            <w:noWrap/>
            <w:vAlign w:val="center"/>
            <w:hideMark/>
          </w:tcPr>
          <w:p w14:paraId="6C1B7DC7"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w:t>
            </w:r>
          </w:p>
        </w:tc>
        <w:tc>
          <w:tcPr>
            <w:tcW w:w="960" w:type="dxa"/>
            <w:tcBorders>
              <w:top w:val="nil"/>
              <w:left w:val="nil"/>
              <w:bottom w:val="single" w:sz="8" w:space="0" w:color="auto"/>
              <w:right w:val="single" w:sz="8" w:space="0" w:color="auto"/>
            </w:tcBorders>
            <w:shd w:val="clear" w:color="auto" w:fill="auto"/>
            <w:noWrap/>
            <w:vAlign w:val="center"/>
            <w:hideMark/>
          </w:tcPr>
          <w:p w14:paraId="75B5235E"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9</w:t>
            </w:r>
          </w:p>
        </w:tc>
        <w:tc>
          <w:tcPr>
            <w:tcW w:w="1000" w:type="dxa"/>
            <w:tcBorders>
              <w:top w:val="nil"/>
              <w:left w:val="nil"/>
              <w:bottom w:val="single" w:sz="8" w:space="0" w:color="auto"/>
              <w:right w:val="single" w:sz="8" w:space="0" w:color="auto"/>
            </w:tcBorders>
            <w:shd w:val="clear" w:color="000000" w:fill="DBE5F1"/>
            <w:noWrap/>
            <w:vAlign w:val="center"/>
            <w:hideMark/>
          </w:tcPr>
          <w:p w14:paraId="411AB287"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w:t>
            </w:r>
          </w:p>
        </w:tc>
        <w:tc>
          <w:tcPr>
            <w:tcW w:w="920" w:type="dxa"/>
            <w:tcBorders>
              <w:top w:val="nil"/>
              <w:left w:val="nil"/>
              <w:bottom w:val="single" w:sz="8" w:space="0" w:color="auto"/>
              <w:right w:val="single" w:sz="8" w:space="0" w:color="auto"/>
            </w:tcBorders>
            <w:shd w:val="clear" w:color="000000" w:fill="DBE5F1"/>
            <w:noWrap/>
            <w:vAlign w:val="center"/>
            <w:hideMark/>
          </w:tcPr>
          <w:p w14:paraId="383FB5BE"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9</w:t>
            </w:r>
          </w:p>
        </w:tc>
        <w:tc>
          <w:tcPr>
            <w:tcW w:w="1080" w:type="dxa"/>
            <w:tcBorders>
              <w:top w:val="nil"/>
              <w:left w:val="nil"/>
              <w:bottom w:val="single" w:sz="8" w:space="0" w:color="auto"/>
              <w:right w:val="single" w:sz="8" w:space="0" w:color="auto"/>
            </w:tcBorders>
            <w:shd w:val="clear" w:color="000000" w:fill="FDE9D9"/>
            <w:noWrap/>
            <w:vAlign w:val="center"/>
            <w:hideMark/>
          </w:tcPr>
          <w:p w14:paraId="7F2C058C"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c>
          <w:tcPr>
            <w:tcW w:w="1000" w:type="dxa"/>
            <w:tcBorders>
              <w:top w:val="nil"/>
              <w:left w:val="nil"/>
              <w:bottom w:val="single" w:sz="8" w:space="0" w:color="auto"/>
              <w:right w:val="single" w:sz="8" w:space="0" w:color="auto"/>
            </w:tcBorders>
            <w:shd w:val="clear" w:color="000000" w:fill="FDE9D9"/>
            <w:noWrap/>
            <w:vAlign w:val="center"/>
            <w:hideMark/>
          </w:tcPr>
          <w:p w14:paraId="56DDCFA8"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r>
      <w:tr w:rsidR="00A21379" w:rsidRPr="00A21379" w14:paraId="0B921410"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06C85010"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 xml:space="preserve">Juzgado Pensiones Alimentarias I Circ. Jud. Zona Sur </w:t>
            </w:r>
          </w:p>
        </w:tc>
        <w:tc>
          <w:tcPr>
            <w:tcW w:w="1000" w:type="dxa"/>
            <w:tcBorders>
              <w:top w:val="nil"/>
              <w:left w:val="nil"/>
              <w:bottom w:val="single" w:sz="8" w:space="0" w:color="auto"/>
              <w:right w:val="single" w:sz="8" w:space="0" w:color="auto"/>
            </w:tcBorders>
            <w:shd w:val="clear" w:color="auto" w:fill="auto"/>
            <w:noWrap/>
            <w:vAlign w:val="center"/>
            <w:hideMark/>
          </w:tcPr>
          <w:p w14:paraId="4DB42B89"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225</w:t>
            </w:r>
          </w:p>
        </w:tc>
        <w:tc>
          <w:tcPr>
            <w:tcW w:w="1020" w:type="dxa"/>
            <w:tcBorders>
              <w:top w:val="nil"/>
              <w:left w:val="nil"/>
              <w:bottom w:val="single" w:sz="8" w:space="0" w:color="auto"/>
              <w:right w:val="single" w:sz="8" w:space="0" w:color="auto"/>
            </w:tcBorders>
            <w:shd w:val="clear" w:color="auto" w:fill="auto"/>
            <w:noWrap/>
            <w:vAlign w:val="center"/>
            <w:hideMark/>
          </w:tcPr>
          <w:p w14:paraId="13F709AE"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w:t>
            </w:r>
          </w:p>
        </w:tc>
        <w:tc>
          <w:tcPr>
            <w:tcW w:w="960" w:type="dxa"/>
            <w:tcBorders>
              <w:top w:val="nil"/>
              <w:left w:val="nil"/>
              <w:bottom w:val="single" w:sz="8" w:space="0" w:color="auto"/>
              <w:right w:val="single" w:sz="8" w:space="0" w:color="auto"/>
            </w:tcBorders>
            <w:shd w:val="clear" w:color="auto" w:fill="auto"/>
            <w:noWrap/>
            <w:vAlign w:val="center"/>
            <w:hideMark/>
          </w:tcPr>
          <w:p w14:paraId="073B02B3"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8</w:t>
            </w:r>
          </w:p>
        </w:tc>
        <w:tc>
          <w:tcPr>
            <w:tcW w:w="1000" w:type="dxa"/>
            <w:tcBorders>
              <w:top w:val="nil"/>
              <w:left w:val="nil"/>
              <w:bottom w:val="single" w:sz="8" w:space="0" w:color="auto"/>
              <w:right w:val="single" w:sz="8" w:space="0" w:color="auto"/>
            </w:tcBorders>
            <w:shd w:val="clear" w:color="000000" w:fill="DBE5F1"/>
            <w:noWrap/>
            <w:vAlign w:val="center"/>
            <w:hideMark/>
          </w:tcPr>
          <w:p w14:paraId="7DE34020"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2</w:t>
            </w:r>
          </w:p>
        </w:tc>
        <w:tc>
          <w:tcPr>
            <w:tcW w:w="920" w:type="dxa"/>
            <w:tcBorders>
              <w:top w:val="nil"/>
              <w:left w:val="nil"/>
              <w:bottom w:val="single" w:sz="8" w:space="0" w:color="auto"/>
              <w:right w:val="single" w:sz="8" w:space="0" w:color="auto"/>
            </w:tcBorders>
            <w:shd w:val="clear" w:color="000000" w:fill="DBE5F1"/>
            <w:noWrap/>
            <w:vAlign w:val="center"/>
            <w:hideMark/>
          </w:tcPr>
          <w:p w14:paraId="1220072F"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8</w:t>
            </w:r>
          </w:p>
        </w:tc>
        <w:tc>
          <w:tcPr>
            <w:tcW w:w="1080" w:type="dxa"/>
            <w:tcBorders>
              <w:top w:val="nil"/>
              <w:left w:val="nil"/>
              <w:bottom w:val="single" w:sz="8" w:space="0" w:color="auto"/>
              <w:right w:val="single" w:sz="8" w:space="0" w:color="auto"/>
            </w:tcBorders>
            <w:shd w:val="clear" w:color="000000" w:fill="FDE9D9"/>
            <w:noWrap/>
            <w:vAlign w:val="center"/>
            <w:hideMark/>
          </w:tcPr>
          <w:p w14:paraId="71C05DC7"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w:t>
            </w:r>
          </w:p>
        </w:tc>
        <w:tc>
          <w:tcPr>
            <w:tcW w:w="1000" w:type="dxa"/>
            <w:tcBorders>
              <w:top w:val="nil"/>
              <w:left w:val="nil"/>
              <w:bottom w:val="single" w:sz="8" w:space="0" w:color="auto"/>
              <w:right w:val="single" w:sz="8" w:space="0" w:color="auto"/>
            </w:tcBorders>
            <w:shd w:val="clear" w:color="000000" w:fill="FDE9D9"/>
            <w:noWrap/>
            <w:vAlign w:val="center"/>
            <w:hideMark/>
          </w:tcPr>
          <w:p w14:paraId="7BDA94F9"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r>
      <w:tr w:rsidR="00A21379" w:rsidRPr="00A21379" w14:paraId="6D304804"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7E186A2C"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 xml:space="preserve">Juzgado Pensiones Alimentarias II Circ. Jud. San José </w:t>
            </w:r>
          </w:p>
        </w:tc>
        <w:tc>
          <w:tcPr>
            <w:tcW w:w="1000" w:type="dxa"/>
            <w:tcBorders>
              <w:top w:val="nil"/>
              <w:left w:val="nil"/>
              <w:bottom w:val="single" w:sz="8" w:space="0" w:color="auto"/>
              <w:right w:val="single" w:sz="8" w:space="0" w:color="auto"/>
            </w:tcBorders>
            <w:shd w:val="clear" w:color="auto" w:fill="auto"/>
            <w:noWrap/>
            <w:vAlign w:val="center"/>
            <w:hideMark/>
          </w:tcPr>
          <w:p w14:paraId="09AE1B50"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833</w:t>
            </w:r>
          </w:p>
        </w:tc>
        <w:tc>
          <w:tcPr>
            <w:tcW w:w="1020" w:type="dxa"/>
            <w:tcBorders>
              <w:top w:val="nil"/>
              <w:left w:val="nil"/>
              <w:bottom w:val="single" w:sz="8" w:space="0" w:color="auto"/>
              <w:right w:val="single" w:sz="8" w:space="0" w:color="auto"/>
            </w:tcBorders>
            <w:shd w:val="clear" w:color="auto" w:fill="auto"/>
            <w:noWrap/>
            <w:vAlign w:val="center"/>
            <w:hideMark/>
          </w:tcPr>
          <w:p w14:paraId="775A9351"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12</w:t>
            </w:r>
          </w:p>
        </w:tc>
        <w:tc>
          <w:tcPr>
            <w:tcW w:w="960" w:type="dxa"/>
            <w:tcBorders>
              <w:top w:val="nil"/>
              <w:left w:val="nil"/>
              <w:bottom w:val="single" w:sz="8" w:space="0" w:color="auto"/>
              <w:right w:val="single" w:sz="8" w:space="0" w:color="auto"/>
            </w:tcBorders>
            <w:shd w:val="clear" w:color="auto" w:fill="auto"/>
            <w:noWrap/>
            <w:vAlign w:val="center"/>
            <w:hideMark/>
          </w:tcPr>
          <w:p w14:paraId="68D280A9"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26</w:t>
            </w:r>
          </w:p>
        </w:tc>
        <w:tc>
          <w:tcPr>
            <w:tcW w:w="1000" w:type="dxa"/>
            <w:tcBorders>
              <w:top w:val="nil"/>
              <w:left w:val="nil"/>
              <w:bottom w:val="single" w:sz="8" w:space="0" w:color="auto"/>
              <w:right w:val="single" w:sz="8" w:space="0" w:color="auto"/>
            </w:tcBorders>
            <w:shd w:val="clear" w:color="000000" w:fill="DBE5F1"/>
            <w:noWrap/>
            <w:vAlign w:val="center"/>
            <w:hideMark/>
          </w:tcPr>
          <w:p w14:paraId="6E9EC582"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9</w:t>
            </w:r>
          </w:p>
        </w:tc>
        <w:tc>
          <w:tcPr>
            <w:tcW w:w="920" w:type="dxa"/>
            <w:tcBorders>
              <w:top w:val="nil"/>
              <w:left w:val="nil"/>
              <w:bottom w:val="single" w:sz="8" w:space="0" w:color="auto"/>
              <w:right w:val="single" w:sz="8" w:space="0" w:color="auto"/>
            </w:tcBorders>
            <w:shd w:val="clear" w:color="000000" w:fill="DBE5F1"/>
            <w:noWrap/>
            <w:vAlign w:val="center"/>
            <w:hideMark/>
          </w:tcPr>
          <w:p w14:paraId="5C0BFE91"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28</w:t>
            </w:r>
          </w:p>
        </w:tc>
        <w:tc>
          <w:tcPr>
            <w:tcW w:w="1080" w:type="dxa"/>
            <w:tcBorders>
              <w:top w:val="nil"/>
              <w:left w:val="nil"/>
              <w:bottom w:val="single" w:sz="8" w:space="0" w:color="auto"/>
              <w:right w:val="single" w:sz="8" w:space="0" w:color="auto"/>
            </w:tcBorders>
            <w:shd w:val="clear" w:color="000000" w:fill="FDE9D9"/>
            <w:noWrap/>
            <w:vAlign w:val="center"/>
            <w:hideMark/>
          </w:tcPr>
          <w:p w14:paraId="5331E1B5"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w:t>
            </w:r>
          </w:p>
        </w:tc>
        <w:tc>
          <w:tcPr>
            <w:tcW w:w="1000" w:type="dxa"/>
            <w:tcBorders>
              <w:top w:val="nil"/>
              <w:left w:val="nil"/>
              <w:bottom w:val="single" w:sz="8" w:space="0" w:color="auto"/>
              <w:right w:val="single" w:sz="8" w:space="0" w:color="auto"/>
            </w:tcBorders>
            <w:shd w:val="clear" w:color="000000" w:fill="FDE9D9"/>
            <w:noWrap/>
            <w:vAlign w:val="center"/>
            <w:hideMark/>
          </w:tcPr>
          <w:p w14:paraId="3BACBF36" w14:textId="2AB3F9D3"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2</w:t>
            </w:r>
          </w:p>
        </w:tc>
      </w:tr>
      <w:tr w:rsidR="00A21379" w:rsidRPr="00A21379" w14:paraId="713512E9"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7047B3A4"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 xml:space="preserve">Juzgado Pensiones Alimentarias II Circ. Jud. Zona Atlántica </w:t>
            </w:r>
          </w:p>
        </w:tc>
        <w:tc>
          <w:tcPr>
            <w:tcW w:w="1000" w:type="dxa"/>
            <w:tcBorders>
              <w:top w:val="nil"/>
              <w:left w:val="nil"/>
              <w:bottom w:val="single" w:sz="8" w:space="0" w:color="auto"/>
              <w:right w:val="single" w:sz="8" w:space="0" w:color="auto"/>
            </w:tcBorders>
            <w:shd w:val="clear" w:color="auto" w:fill="auto"/>
            <w:noWrap/>
            <w:vAlign w:val="center"/>
            <w:hideMark/>
          </w:tcPr>
          <w:p w14:paraId="09C393E4"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426</w:t>
            </w:r>
          </w:p>
        </w:tc>
        <w:tc>
          <w:tcPr>
            <w:tcW w:w="1020" w:type="dxa"/>
            <w:tcBorders>
              <w:top w:val="nil"/>
              <w:left w:val="nil"/>
              <w:bottom w:val="single" w:sz="8" w:space="0" w:color="auto"/>
              <w:right w:val="single" w:sz="8" w:space="0" w:color="auto"/>
            </w:tcBorders>
            <w:shd w:val="clear" w:color="auto" w:fill="auto"/>
            <w:noWrap/>
            <w:vAlign w:val="center"/>
            <w:hideMark/>
          </w:tcPr>
          <w:p w14:paraId="2F0D484D"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w:t>
            </w:r>
          </w:p>
        </w:tc>
        <w:tc>
          <w:tcPr>
            <w:tcW w:w="960" w:type="dxa"/>
            <w:tcBorders>
              <w:top w:val="nil"/>
              <w:left w:val="nil"/>
              <w:bottom w:val="single" w:sz="8" w:space="0" w:color="auto"/>
              <w:right w:val="single" w:sz="8" w:space="0" w:color="auto"/>
            </w:tcBorders>
            <w:shd w:val="clear" w:color="auto" w:fill="auto"/>
            <w:noWrap/>
            <w:vAlign w:val="center"/>
            <w:hideMark/>
          </w:tcPr>
          <w:p w14:paraId="2B9B8DD6"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8</w:t>
            </w:r>
          </w:p>
        </w:tc>
        <w:tc>
          <w:tcPr>
            <w:tcW w:w="1000" w:type="dxa"/>
            <w:tcBorders>
              <w:top w:val="nil"/>
              <w:left w:val="nil"/>
              <w:bottom w:val="single" w:sz="8" w:space="0" w:color="auto"/>
              <w:right w:val="single" w:sz="8" w:space="0" w:color="auto"/>
            </w:tcBorders>
            <w:shd w:val="clear" w:color="000000" w:fill="DBE5F1"/>
            <w:noWrap/>
            <w:vAlign w:val="center"/>
            <w:hideMark/>
          </w:tcPr>
          <w:p w14:paraId="099D18BF"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4</w:t>
            </w:r>
          </w:p>
        </w:tc>
        <w:tc>
          <w:tcPr>
            <w:tcW w:w="920" w:type="dxa"/>
            <w:tcBorders>
              <w:top w:val="nil"/>
              <w:left w:val="nil"/>
              <w:bottom w:val="single" w:sz="8" w:space="0" w:color="auto"/>
              <w:right w:val="single" w:sz="8" w:space="0" w:color="auto"/>
            </w:tcBorders>
            <w:shd w:val="clear" w:color="000000" w:fill="DBE5F1"/>
            <w:noWrap/>
            <w:vAlign w:val="center"/>
            <w:hideMark/>
          </w:tcPr>
          <w:p w14:paraId="6ACB0E3B"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14</w:t>
            </w:r>
          </w:p>
        </w:tc>
        <w:tc>
          <w:tcPr>
            <w:tcW w:w="1080" w:type="dxa"/>
            <w:tcBorders>
              <w:top w:val="nil"/>
              <w:left w:val="nil"/>
              <w:bottom w:val="single" w:sz="8" w:space="0" w:color="auto"/>
              <w:right w:val="single" w:sz="8" w:space="0" w:color="auto"/>
            </w:tcBorders>
            <w:shd w:val="clear" w:color="000000" w:fill="FDE9D9"/>
            <w:noWrap/>
            <w:vAlign w:val="center"/>
            <w:hideMark/>
          </w:tcPr>
          <w:p w14:paraId="0AEDEC24" w14:textId="2515B1AE"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1</w:t>
            </w:r>
          </w:p>
        </w:tc>
        <w:tc>
          <w:tcPr>
            <w:tcW w:w="1000" w:type="dxa"/>
            <w:tcBorders>
              <w:top w:val="nil"/>
              <w:left w:val="nil"/>
              <w:bottom w:val="single" w:sz="8" w:space="0" w:color="auto"/>
              <w:right w:val="single" w:sz="8" w:space="0" w:color="auto"/>
            </w:tcBorders>
            <w:shd w:val="clear" w:color="000000" w:fill="FDE9D9"/>
            <w:noWrap/>
            <w:vAlign w:val="center"/>
            <w:hideMark/>
          </w:tcPr>
          <w:p w14:paraId="6488DA8C" w14:textId="5583E4E0"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6</w:t>
            </w:r>
          </w:p>
        </w:tc>
      </w:tr>
      <w:tr w:rsidR="00A21379" w:rsidRPr="00A21379" w14:paraId="2AA6E123"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1C235D9F"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 xml:space="preserve">Juzgado Pensiones Alimentarias III Circ. Jud. San José </w:t>
            </w:r>
          </w:p>
        </w:tc>
        <w:tc>
          <w:tcPr>
            <w:tcW w:w="1000" w:type="dxa"/>
            <w:tcBorders>
              <w:top w:val="nil"/>
              <w:left w:val="nil"/>
              <w:bottom w:val="single" w:sz="8" w:space="0" w:color="auto"/>
              <w:right w:val="single" w:sz="8" w:space="0" w:color="auto"/>
            </w:tcBorders>
            <w:shd w:val="clear" w:color="auto" w:fill="auto"/>
            <w:noWrap/>
            <w:vAlign w:val="center"/>
            <w:hideMark/>
          </w:tcPr>
          <w:p w14:paraId="13CB62AC"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539</w:t>
            </w:r>
          </w:p>
        </w:tc>
        <w:tc>
          <w:tcPr>
            <w:tcW w:w="1020" w:type="dxa"/>
            <w:tcBorders>
              <w:top w:val="nil"/>
              <w:left w:val="nil"/>
              <w:bottom w:val="single" w:sz="8" w:space="0" w:color="auto"/>
              <w:right w:val="single" w:sz="8" w:space="0" w:color="auto"/>
            </w:tcBorders>
            <w:shd w:val="clear" w:color="auto" w:fill="auto"/>
            <w:noWrap/>
            <w:vAlign w:val="center"/>
            <w:hideMark/>
          </w:tcPr>
          <w:p w14:paraId="7C952604"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5</w:t>
            </w:r>
          </w:p>
        </w:tc>
        <w:tc>
          <w:tcPr>
            <w:tcW w:w="960" w:type="dxa"/>
            <w:tcBorders>
              <w:top w:val="nil"/>
              <w:left w:val="nil"/>
              <w:bottom w:val="single" w:sz="8" w:space="0" w:color="auto"/>
              <w:right w:val="single" w:sz="8" w:space="0" w:color="auto"/>
            </w:tcBorders>
            <w:shd w:val="clear" w:color="auto" w:fill="auto"/>
            <w:noWrap/>
            <w:vAlign w:val="center"/>
            <w:hideMark/>
          </w:tcPr>
          <w:p w14:paraId="00E056E0"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17</w:t>
            </w:r>
          </w:p>
        </w:tc>
        <w:tc>
          <w:tcPr>
            <w:tcW w:w="1000" w:type="dxa"/>
            <w:tcBorders>
              <w:top w:val="nil"/>
              <w:left w:val="nil"/>
              <w:bottom w:val="single" w:sz="8" w:space="0" w:color="auto"/>
              <w:right w:val="single" w:sz="8" w:space="0" w:color="auto"/>
            </w:tcBorders>
            <w:shd w:val="clear" w:color="000000" w:fill="DBE5F1"/>
            <w:noWrap/>
            <w:vAlign w:val="center"/>
            <w:hideMark/>
          </w:tcPr>
          <w:p w14:paraId="397186BF"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5</w:t>
            </w:r>
          </w:p>
        </w:tc>
        <w:tc>
          <w:tcPr>
            <w:tcW w:w="920" w:type="dxa"/>
            <w:tcBorders>
              <w:top w:val="nil"/>
              <w:left w:val="nil"/>
              <w:bottom w:val="single" w:sz="8" w:space="0" w:color="auto"/>
              <w:right w:val="single" w:sz="8" w:space="0" w:color="auto"/>
            </w:tcBorders>
            <w:shd w:val="clear" w:color="000000" w:fill="DBE5F1"/>
            <w:noWrap/>
            <w:vAlign w:val="center"/>
            <w:hideMark/>
          </w:tcPr>
          <w:p w14:paraId="534B3024"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18</w:t>
            </w:r>
          </w:p>
        </w:tc>
        <w:tc>
          <w:tcPr>
            <w:tcW w:w="1080" w:type="dxa"/>
            <w:tcBorders>
              <w:top w:val="nil"/>
              <w:left w:val="nil"/>
              <w:bottom w:val="single" w:sz="8" w:space="0" w:color="auto"/>
              <w:right w:val="single" w:sz="8" w:space="0" w:color="auto"/>
            </w:tcBorders>
            <w:shd w:val="clear" w:color="000000" w:fill="FDE9D9"/>
            <w:noWrap/>
            <w:vAlign w:val="center"/>
            <w:hideMark/>
          </w:tcPr>
          <w:p w14:paraId="0682C9D2"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c>
          <w:tcPr>
            <w:tcW w:w="1000" w:type="dxa"/>
            <w:tcBorders>
              <w:top w:val="nil"/>
              <w:left w:val="nil"/>
              <w:bottom w:val="single" w:sz="8" w:space="0" w:color="auto"/>
              <w:right w:val="single" w:sz="8" w:space="0" w:color="auto"/>
            </w:tcBorders>
            <w:shd w:val="clear" w:color="000000" w:fill="FDE9D9"/>
            <w:noWrap/>
            <w:vAlign w:val="center"/>
            <w:hideMark/>
          </w:tcPr>
          <w:p w14:paraId="6285309D" w14:textId="3FF03B51"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1</w:t>
            </w:r>
          </w:p>
        </w:tc>
      </w:tr>
      <w:tr w:rsidR="00A21379" w:rsidRPr="00A21379" w14:paraId="7487A536"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5F17B6FB"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Juzgado Pensiones Alimentarias Puntarenas</w:t>
            </w:r>
          </w:p>
        </w:tc>
        <w:tc>
          <w:tcPr>
            <w:tcW w:w="1000" w:type="dxa"/>
            <w:tcBorders>
              <w:top w:val="nil"/>
              <w:left w:val="nil"/>
              <w:bottom w:val="single" w:sz="8" w:space="0" w:color="auto"/>
              <w:right w:val="single" w:sz="8" w:space="0" w:color="auto"/>
            </w:tcBorders>
            <w:shd w:val="clear" w:color="auto" w:fill="auto"/>
            <w:noWrap/>
            <w:vAlign w:val="center"/>
            <w:hideMark/>
          </w:tcPr>
          <w:p w14:paraId="2BD3AF06"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318</w:t>
            </w:r>
          </w:p>
        </w:tc>
        <w:tc>
          <w:tcPr>
            <w:tcW w:w="1020" w:type="dxa"/>
            <w:tcBorders>
              <w:top w:val="nil"/>
              <w:left w:val="nil"/>
              <w:bottom w:val="single" w:sz="8" w:space="0" w:color="auto"/>
              <w:right w:val="single" w:sz="8" w:space="0" w:color="auto"/>
            </w:tcBorders>
            <w:shd w:val="clear" w:color="auto" w:fill="auto"/>
            <w:noWrap/>
            <w:vAlign w:val="center"/>
            <w:hideMark/>
          </w:tcPr>
          <w:p w14:paraId="72EE4BF9"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w:t>
            </w:r>
          </w:p>
        </w:tc>
        <w:tc>
          <w:tcPr>
            <w:tcW w:w="960" w:type="dxa"/>
            <w:tcBorders>
              <w:top w:val="nil"/>
              <w:left w:val="nil"/>
              <w:bottom w:val="single" w:sz="8" w:space="0" w:color="auto"/>
              <w:right w:val="single" w:sz="8" w:space="0" w:color="auto"/>
            </w:tcBorders>
            <w:shd w:val="clear" w:color="auto" w:fill="auto"/>
            <w:noWrap/>
            <w:vAlign w:val="center"/>
            <w:hideMark/>
          </w:tcPr>
          <w:p w14:paraId="3AE584A5"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8</w:t>
            </w:r>
          </w:p>
        </w:tc>
        <w:tc>
          <w:tcPr>
            <w:tcW w:w="1000" w:type="dxa"/>
            <w:tcBorders>
              <w:top w:val="nil"/>
              <w:left w:val="nil"/>
              <w:bottom w:val="single" w:sz="8" w:space="0" w:color="auto"/>
              <w:right w:val="single" w:sz="8" w:space="0" w:color="auto"/>
            </w:tcBorders>
            <w:shd w:val="clear" w:color="000000" w:fill="DBE5F1"/>
            <w:noWrap/>
            <w:vAlign w:val="center"/>
            <w:hideMark/>
          </w:tcPr>
          <w:p w14:paraId="121E8B15"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3</w:t>
            </w:r>
          </w:p>
        </w:tc>
        <w:tc>
          <w:tcPr>
            <w:tcW w:w="920" w:type="dxa"/>
            <w:tcBorders>
              <w:top w:val="nil"/>
              <w:left w:val="nil"/>
              <w:bottom w:val="single" w:sz="8" w:space="0" w:color="auto"/>
              <w:right w:val="single" w:sz="8" w:space="0" w:color="auto"/>
            </w:tcBorders>
            <w:shd w:val="clear" w:color="000000" w:fill="DBE5F1"/>
            <w:noWrap/>
            <w:vAlign w:val="center"/>
            <w:hideMark/>
          </w:tcPr>
          <w:p w14:paraId="38CA4FA3"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11</w:t>
            </w:r>
          </w:p>
        </w:tc>
        <w:tc>
          <w:tcPr>
            <w:tcW w:w="1080" w:type="dxa"/>
            <w:tcBorders>
              <w:top w:val="nil"/>
              <w:left w:val="nil"/>
              <w:bottom w:val="single" w:sz="8" w:space="0" w:color="auto"/>
              <w:right w:val="single" w:sz="8" w:space="0" w:color="auto"/>
            </w:tcBorders>
            <w:shd w:val="clear" w:color="000000" w:fill="FDE9D9"/>
            <w:noWrap/>
            <w:vAlign w:val="center"/>
            <w:hideMark/>
          </w:tcPr>
          <w:p w14:paraId="445E0418"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0</w:t>
            </w:r>
          </w:p>
        </w:tc>
        <w:tc>
          <w:tcPr>
            <w:tcW w:w="1000" w:type="dxa"/>
            <w:tcBorders>
              <w:top w:val="nil"/>
              <w:left w:val="nil"/>
              <w:bottom w:val="single" w:sz="8" w:space="0" w:color="auto"/>
              <w:right w:val="single" w:sz="8" w:space="0" w:color="auto"/>
            </w:tcBorders>
            <w:shd w:val="clear" w:color="000000" w:fill="FDE9D9"/>
            <w:noWrap/>
            <w:vAlign w:val="center"/>
            <w:hideMark/>
          </w:tcPr>
          <w:p w14:paraId="65CFEB6D" w14:textId="7E207960"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3</w:t>
            </w:r>
          </w:p>
        </w:tc>
      </w:tr>
      <w:tr w:rsidR="00A21379" w:rsidRPr="00A21379" w14:paraId="1ED38BBD"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12DA090C"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Juzgado Pensiones Alimentarias Sarapiquí</w:t>
            </w:r>
          </w:p>
        </w:tc>
        <w:tc>
          <w:tcPr>
            <w:tcW w:w="1000" w:type="dxa"/>
            <w:tcBorders>
              <w:top w:val="nil"/>
              <w:left w:val="nil"/>
              <w:bottom w:val="single" w:sz="8" w:space="0" w:color="auto"/>
              <w:right w:val="single" w:sz="8" w:space="0" w:color="auto"/>
            </w:tcBorders>
            <w:shd w:val="clear" w:color="auto" w:fill="auto"/>
            <w:noWrap/>
            <w:vAlign w:val="center"/>
            <w:hideMark/>
          </w:tcPr>
          <w:p w14:paraId="5199D1B9"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165</w:t>
            </w:r>
          </w:p>
        </w:tc>
        <w:tc>
          <w:tcPr>
            <w:tcW w:w="1020" w:type="dxa"/>
            <w:tcBorders>
              <w:top w:val="nil"/>
              <w:left w:val="nil"/>
              <w:bottom w:val="single" w:sz="8" w:space="0" w:color="auto"/>
              <w:right w:val="single" w:sz="8" w:space="0" w:color="auto"/>
            </w:tcBorders>
            <w:shd w:val="clear" w:color="auto" w:fill="auto"/>
            <w:noWrap/>
            <w:vAlign w:val="center"/>
            <w:hideMark/>
          </w:tcPr>
          <w:p w14:paraId="150F812C"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w:t>
            </w:r>
          </w:p>
        </w:tc>
        <w:tc>
          <w:tcPr>
            <w:tcW w:w="960" w:type="dxa"/>
            <w:tcBorders>
              <w:top w:val="nil"/>
              <w:left w:val="nil"/>
              <w:bottom w:val="single" w:sz="8" w:space="0" w:color="auto"/>
              <w:right w:val="single" w:sz="8" w:space="0" w:color="auto"/>
            </w:tcBorders>
            <w:shd w:val="clear" w:color="auto" w:fill="auto"/>
            <w:noWrap/>
            <w:vAlign w:val="center"/>
            <w:hideMark/>
          </w:tcPr>
          <w:p w14:paraId="0EDB3C18"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2</w:t>
            </w:r>
          </w:p>
        </w:tc>
        <w:tc>
          <w:tcPr>
            <w:tcW w:w="1000" w:type="dxa"/>
            <w:tcBorders>
              <w:top w:val="nil"/>
              <w:left w:val="nil"/>
              <w:bottom w:val="single" w:sz="8" w:space="0" w:color="auto"/>
              <w:right w:val="single" w:sz="8" w:space="0" w:color="auto"/>
            </w:tcBorders>
            <w:shd w:val="clear" w:color="000000" w:fill="DBE5F1"/>
            <w:noWrap/>
            <w:vAlign w:val="center"/>
            <w:hideMark/>
          </w:tcPr>
          <w:p w14:paraId="0B9D26A9"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2</w:t>
            </w:r>
          </w:p>
        </w:tc>
        <w:tc>
          <w:tcPr>
            <w:tcW w:w="920" w:type="dxa"/>
            <w:tcBorders>
              <w:top w:val="nil"/>
              <w:left w:val="nil"/>
              <w:bottom w:val="single" w:sz="8" w:space="0" w:color="auto"/>
              <w:right w:val="single" w:sz="8" w:space="0" w:color="auto"/>
            </w:tcBorders>
            <w:shd w:val="clear" w:color="000000" w:fill="DBE5F1"/>
            <w:noWrap/>
            <w:vAlign w:val="center"/>
            <w:hideMark/>
          </w:tcPr>
          <w:p w14:paraId="26E0CEE1"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6</w:t>
            </w:r>
          </w:p>
        </w:tc>
        <w:tc>
          <w:tcPr>
            <w:tcW w:w="1080" w:type="dxa"/>
            <w:tcBorders>
              <w:top w:val="nil"/>
              <w:left w:val="nil"/>
              <w:bottom w:val="single" w:sz="8" w:space="0" w:color="auto"/>
              <w:right w:val="single" w:sz="8" w:space="0" w:color="auto"/>
            </w:tcBorders>
            <w:shd w:val="clear" w:color="000000" w:fill="FDE9D9"/>
            <w:noWrap/>
            <w:vAlign w:val="center"/>
            <w:hideMark/>
          </w:tcPr>
          <w:p w14:paraId="196D4B08" w14:textId="4E9E2C48"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1</w:t>
            </w:r>
          </w:p>
        </w:tc>
        <w:tc>
          <w:tcPr>
            <w:tcW w:w="1000" w:type="dxa"/>
            <w:tcBorders>
              <w:top w:val="nil"/>
              <w:left w:val="nil"/>
              <w:bottom w:val="single" w:sz="8" w:space="0" w:color="auto"/>
              <w:right w:val="single" w:sz="8" w:space="0" w:color="auto"/>
            </w:tcBorders>
            <w:shd w:val="clear" w:color="000000" w:fill="FDE9D9"/>
            <w:noWrap/>
            <w:vAlign w:val="center"/>
            <w:hideMark/>
          </w:tcPr>
          <w:p w14:paraId="10E43BB7" w14:textId="3EDD47BE"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4</w:t>
            </w:r>
          </w:p>
        </w:tc>
      </w:tr>
      <w:tr w:rsidR="00A21379" w:rsidRPr="00A21379" w14:paraId="183515A5" w14:textId="77777777" w:rsidTr="00612E7C">
        <w:trPr>
          <w:trHeight w:val="20"/>
          <w:jc w:val="center"/>
        </w:trPr>
        <w:tc>
          <w:tcPr>
            <w:tcW w:w="2280" w:type="dxa"/>
            <w:tcBorders>
              <w:top w:val="nil"/>
              <w:left w:val="single" w:sz="8" w:space="0" w:color="auto"/>
              <w:bottom w:val="single" w:sz="8" w:space="0" w:color="auto"/>
              <w:right w:val="single" w:sz="8" w:space="0" w:color="auto"/>
            </w:tcBorders>
            <w:shd w:val="clear" w:color="auto" w:fill="auto"/>
            <w:vAlign w:val="center"/>
            <w:hideMark/>
          </w:tcPr>
          <w:p w14:paraId="34A4843D" w14:textId="77777777" w:rsidR="00A21379" w:rsidRPr="00A21379" w:rsidRDefault="00A21379" w:rsidP="00A21379">
            <w:pPr>
              <w:spacing w:after="0" w:line="240" w:lineRule="auto"/>
              <w:rPr>
                <w:rFonts w:ascii="Book Antiqua" w:eastAsia="Times New Roman" w:hAnsi="Book Antiqua" w:cs="Calibri"/>
                <w:b/>
                <w:bCs/>
                <w:color w:val="000000"/>
                <w:sz w:val="18"/>
                <w:szCs w:val="18"/>
                <w:lang w:eastAsia="es-CR"/>
              </w:rPr>
            </w:pPr>
            <w:r w:rsidRPr="00A21379">
              <w:rPr>
                <w:rFonts w:ascii="Book Antiqua" w:eastAsia="Times New Roman" w:hAnsi="Book Antiqua" w:cs="Calibri"/>
                <w:b/>
                <w:bCs/>
                <w:color w:val="000000"/>
                <w:sz w:val="18"/>
                <w:szCs w:val="18"/>
                <w:lang w:eastAsia="es-CR"/>
              </w:rPr>
              <w:t>Juzgado Pensiones Alimentarias Nicoya</w:t>
            </w:r>
          </w:p>
        </w:tc>
        <w:tc>
          <w:tcPr>
            <w:tcW w:w="1000" w:type="dxa"/>
            <w:tcBorders>
              <w:top w:val="nil"/>
              <w:left w:val="nil"/>
              <w:bottom w:val="single" w:sz="8" w:space="0" w:color="auto"/>
              <w:right w:val="single" w:sz="8" w:space="0" w:color="auto"/>
            </w:tcBorders>
            <w:shd w:val="clear" w:color="auto" w:fill="auto"/>
            <w:noWrap/>
            <w:vAlign w:val="center"/>
            <w:hideMark/>
          </w:tcPr>
          <w:p w14:paraId="2671E2F1"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149</w:t>
            </w:r>
          </w:p>
        </w:tc>
        <w:tc>
          <w:tcPr>
            <w:tcW w:w="1020" w:type="dxa"/>
            <w:tcBorders>
              <w:top w:val="nil"/>
              <w:left w:val="nil"/>
              <w:bottom w:val="single" w:sz="8" w:space="0" w:color="auto"/>
              <w:right w:val="single" w:sz="8" w:space="0" w:color="auto"/>
            </w:tcBorders>
            <w:shd w:val="clear" w:color="auto" w:fill="auto"/>
            <w:noWrap/>
            <w:vAlign w:val="center"/>
            <w:hideMark/>
          </w:tcPr>
          <w:p w14:paraId="7A1BF5AA"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2</w:t>
            </w:r>
          </w:p>
        </w:tc>
        <w:tc>
          <w:tcPr>
            <w:tcW w:w="960" w:type="dxa"/>
            <w:tcBorders>
              <w:top w:val="nil"/>
              <w:left w:val="nil"/>
              <w:bottom w:val="single" w:sz="8" w:space="0" w:color="auto"/>
              <w:right w:val="single" w:sz="8" w:space="0" w:color="auto"/>
            </w:tcBorders>
            <w:shd w:val="clear" w:color="auto" w:fill="auto"/>
            <w:noWrap/>
            <w:vAlign w:val="center"/>
            <w:hideMark/>
          </w:tcPr>
          <w:p w14:paraId="1DAC6ADA"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4</w:t>
            </w:r>
          </w:p>
        </w:tc>
        <w:tc>
          <w:tcPr>
            <w:tcW w:w="1000" w:type="dxa"/>
            <w:tcBorders>
              <w:top w:val="nil"/>
              <w:left w:val="nil"/>
              <w:bottom w:val="single" w:sz="8" w:space="0" w:color="auto"/>
              <w:right w:val="single" w:sz="8" w:space="0" w:color="auto"/>
            </w:tcBorders>
            <w:shd w:val="clear" w:color="000000" w:fill="DBE5F1"/>
            <w:noWrap/>
            <w:vAlign w:val="center"/>
            <w:hideMark/>
          </w:tcPr>
          <w:p w14:paraId="7A8BFCD7"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w:t>
            </w:r>
          </w:p>
        </w:tc>
        <w:tc>
          <w:tcPr>
            <w:tcW w:w="920" w:type="dxa"/>
            <w:tcBorders>
              <w:top w:val="nil"/>
              <w:left w:val="nil"/>
              <w:bottom w:val="single" w:sz="8" w:space="0" w:color="auto"/>
              <w:right w:val="single" w:sz="8" w:space="0" w:color="auto"/>
            </w:tcBorders>
            <w:shd w:val="clear" w:color="000000" w:fill="DBE5F1"/>
            <w:noWrap/>
            <w:vAlign w:val="center"/>
            <w:hideMark/>
          </w:tcPr>
          <w:p w14:paraId="676FC787"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5</w:t>
            </w:r>
          </w:p>
        </w:tc>
        <w:tc>
          <w:tcPr>
            <w:tcW w:w="1080" w:type="dxa"/>
            <w:tcBorders>
              <w:top w:val="nil"/>
              <w:left w:val="nil"/>
              <w:bottom w:val="single" w:sz="8" w:space="0" w:color="auto"/>
              <w:right w:val="single" w:sz="8" w:space="0" w:color="auto"/>
            </w:tcBorders>
            <w:shd w:val="clear" w:color="000000" w:fill="FDE9D9"/>
            <w:noWrap/>
            <w:vAlign w:val="center"/>
            <w:hideMark/>
          </w:tcPr>
          <w:p w14:paraId="464676F6" w14:textId="77777777"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sidRPr="00A21379">
              <w:rPr>
                <w:rFonts w:ascii="Book Antiqua" w:eastAsia="Times New Roman" w:hAnsi="Book Antiqua" w:cs="Calibri"/>
                <w:color w:val="000000"/>
                <w:sz w:val="18"/>
                <w:szCs w:val="18"/>
                <w:lang w:eastAsia="es-CR"/>
              </w:rPr>
              <w:t>-1</w:t>
            </w:r>
          </w:p>
        </w:tc>
        <w:tc>
          <w:tcPr>
            <w:tcW w:w="1000" w:type="dxa"/>
            <w:tcBorders>
              <w:top w:val="nil"/>
              <w:left w:val="nil"/>
              <w:bottom w:val="single" w:sz="8" w:space="0" w:color="auto"/>
              <w:right w:val="single" w:sz="8" w:space="0" w:color="auto"/>
            </w:tcBorders>
            <w:shd w:val="clear" w:color="000000" w:fill="FDE9D9"/>
            <w:noWrap/>
            <w:vAlign w:val="center"/>
            <w:hideMark/>
          </w:tcPr>
          <w:p w14:paraId="184E8AF2" w14:textId="4A162535" w:rsidR="00A21379" w:rsidRPr="00A21379" w:rsidRDefault="00A21379" w:rsidP="00A21379">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w:t>
            </w:r>
            <w:r w:rsidRPr="00A21379">
              <w:rPr>
                <w:rFonts w:ascii="Book Antiqua" w:eastAsia="Times New Roman" w:hAnsi="Book Antiqua" w:cs="Calibri"/>
                <w:color w:val="000000"/>
                <w:sz w:val="18"/>
                <w:szCs w:val="18"/>
                <w:lang w:eastAsia="es-CR"/>
              </w:rPr>
              <w:t>1</w:t>
            </w:r>
          </w:p>
        </w:tc>
      </w:tr>
    </w:tbl>
    <w:p w14:paraId="7BD9F142" w14:textId="0DF8553A" w:rsidR="00D95481" w:rsidRPr="00D95481" w:rsidRDefault="00D95481" w:rsidP="00A65874">
      <w:pPr>
        <w:rPr>
          <w:rFonts w:ascii="Book Antiqua" w:hAnsi="Book Antiqua"/>
          <w:i/>
          <w:iCs/>
        </w:rPr>
      </w:pPr>
      <w:r w:rsidRPr="009B6BF6">
        <w:rPr>
          <w:rFonts w:ascii="Book Antiqua" w:hAnsi="Book Antiqua"/>
          <w:b/>
          <w:bCs/>
          <w:i/>
          <w:iCs/>
        </w:rPr>
        <w:t>Fuente:</w:t>
      </w:r>
      <w:r w:rsidRPr="00D95481">
        <w:rPr>
          <w:rFonts w:ascii="Book Antiqua" w:hAnsi="Book Antiqua"/>
          <w:i/>
          <w:iCs/>
        </w:rPr>
        <w:t xml:space="preserve"> </w:t>
      </w:r>
      <w:r w:rsidR="00BF6123">
        <w:rPr>
          <w:rFonts w:ascii="Book Antiqua" w:hAnsi="Book Antiqua"/>
          <w:i/>
          <w:iCs/>
        </w:rPr>
        <w:t xml:space="preserve">Subproceso de </w:t>
      </w:r>
      <w:r w:rsidRPr="00D95481">
        <w:rPr>
          <w:rFonts w:ascii="Book Antiqua" w:hAnsi="Book Antiqua"/>
          <w:i/>
          <w:iCs/>
        </w:rPr>
        <w:t>Modernización Institucional</w:t>
      </w:r>
      <w:r w:rsidR="00BF6123">
        <w:rPr>
          <w:rFonts w:ascii="Book Antiqua" w:hAnsi="Book Antiqua"/>
          <w:i/>
          <w:iCs/>
        </w:rPr>
        <w:t xml:space="preserve"> con datos del Subproceso de Estadística del 2017 al 2022 y consulta del Balance General Interactivo del </w:t>
      </w:r>
      <w:r w:rsidR="00A21379">
        <w:rPr>
          <w:rFonts w:ascii="Book Antiqua" w:hAnsi="Book Antiqua"/>
          <w:i/>
          <w:iCs/>
        </w:rPr>
        <w:t>7</w:t>
      </w:r>
      <w:r w:rsidR="00BF6123">
        <w:rPr>
          <w:rFonts w:ascii="Book Antiqua" w:hAnsi="Book Antiqua"/>
          <w:i/>
          <w:iCs/>
        </w:rPr>
        <w:t>/</w:t>
      </w:r>
      <w:r w:rsidR="00A21379">
        <w:rPr>
          <w:rFonts w:ascii="Book Antiqua" w:hAnsi="Book Antiqua"/>
          <w:i/>
          <w:iCs/>
        </w:rPr>
        <w:t>3</w:t>
      </w:r>
      <w:r w:rsidR="00BF6123">
        <w:rPr>
          <w:rFonts w:ascii="Book Antiqua" w:hAnsi="Book Antiqua"/>
          <w:i/>
          <w:iCs/>
        </w:rPr>
        <w:t>/2023</w:t>
      </w:r>
      <w:r w:rsidRPr="00D95481">
        <w:rPr>
          <w:rFonts w:ascii="Book Antiqua" w:hAnsi="Book Antiqua"/>
          <w:i/>
          <w:iCs/>
        </w:rPr>
        <w:t>.</w:t>
      </w:r>
    </w:p>
    <w:p w14:paraId="2A21CDDE" w14:textId="77777777" w:rsidR="00A21379" w:rsidRDefault="00A21379" w:rsidP="001D0C10">
      <w:pPr>
        <w:spacing w:line="276" w:lineRule="auto"/>
        <w:jc w:val="both"/>
        <w:rPr>
          <w:rFonts w:ascii="Book Antiqua" w:eastAsia="Calibri" w:hAnsi="Book Antiqua" w:cs="Arial"/>
          <w:sz w:val="24"/>
          <w:szCs w:val="24"/>
        </w:rPr>
      </w:pPr>
    </w:p>
    <w:p w14:paraId="191463CA" w14:textId="3C4FB784" w:rsidR="00F94535" w:rsidRDefault="00572DB3" w:rsidP="001D0C10">
      <w:pPr>
        <w:spacing w:line="276" w:lineRule="auto"/>
        <w:jc w:val="both"/>
        <w:rPr>
          <w:rFonts w:ascii="Book Antiqua" w:eastAsia="Calibri" w:hAnsi="Book Antiqua" w:cs="Arial"/>
          <w:sz w:val="24"/>
          <w:szCs w:val="24"/>
        </w:rPr>
      </w:pPr>
      <w:r w:rsidRPr="00572DB3">
        <w:rPr>
          <w:rFonts w:ascii="Book Antiqua" w:eastAsia="Calibri" w:hAnsi="Book Antiqua" w:cs="Arial"/>
          <w:sz w:val="24"/>
          <w:szCs w:val="24"/>
        </w:rPr>
        <w:t>De los resultados anteriores</w:t>
      </w:r>
      <w:r w:rsidR="00456779">
        <w:rPr>
          <w:rFonts w:ascii="Book Antiqua" w:eastAsia="Calibri" w:hAnsi="Book Antiqua" w:cs="Arial"/>
          <w:sz w:val="24"/>
          <w:szCs w:val="24"/>
        </w:rPr>
        <w:t xml:space="preserve">, que es una análisis </w:t>
      </w:r>
      <w:r w:rsidR="00456779" w:rsidRPr="001A75AE">
        <w:rPr>
          <w:rFonts w:ascii="Book Antiqua" w:eastAsia="Calibri" w:hAnsi="Book Antiqua" w:cs="Arial"/>
          <w:sz w:val="24"/>
          <w:szCs w:val="24"/>
        </w:rPr>
        <w:t xml:space="preserve">macro, </w:t>
      </w:r>
      <w:r w:rsidRPr="001A75AE">
        <w:rPr>
          <w:rFonts w:ascii="Book Antiqua" w:eastAsia="Calibri" w:hAnsi="Book Antiqua" w:cs="Arial"/>
          <w:sz w:val="24"/>
          <w:szCs w:val="24"/>
        </w:rPr>
        <w:t>se identifica</w:t>
      </w:r>
      <w:r w:rsidR="001A75AE" w:rsidRPr="001A75AE">
        <w:rPr>
          <w:rFonts w:ascii="Book Antiqua" w:eastAsia="Calibri" w:hAnsi="Book Antiqua" w:cs="Arial"/>
          <w:sz w:val="24"/>
          <w:szCs w:val="24"/>
        </w:rPr>
        <w:t xml:space="preserve">n juzgados </w:t>
      </w:r>
      <w:r w:rsidRPr="001A75AE">
        <w:rPr>
          <w:rFonts w:ascii="Book Antiqua" w:eastAsia="Calibri" w:hAnsi="Book Antiqua" w:cs="Arial"/>
          <w:sz w:val="24"/>
          <w:szCs w:val="24"/>
        </w:rPr>
        <w:t xml:space="preserve">que </w:t>
      </w:r>
      <w:r w:rsidR="00DE06A8" w:rsidRPr="001A75AE">
        <w:rPr>
          <w:rFonts w:ascii="Book Antiqua" w:eastAsia="Calibri" w:hAnsi="Book Antiqua" w:cs="Arial"/>
          <w:sz w:val="24"/>
          <w:szCs w:val="24"/>
        </w:rPr>
        <w:t xml:space="preserve"> registran la necesidad de personas juzgadoras o técnicas judiciales</w:t>
      </w:r>
      <w:r w:rsidR="0012126E" w:rsidRPr="001A75AE">
        <w:rPr>
          <w:rFonts w:ascii="Book Antiqua" w:eastAsia="Calibri" w:hAnsi="Book Antiqua" w:cs="Arial"/>
          <w:sz w:val="24"/>
          <w:szCs w:val="24"/>
        </w:rPr>
        <w:t>;</w:t>
      </w:r>
      <w:r w:rsidR="0012126E">
        <w:rPr>
          <w:rFonts w:ascii="Book Antiqua" w:eastAsia="Calibri" w:hAnsi="Book Antiqua" w:cs="Arial"/>
          <w:sz w:val="24"/>
          <w:szCs w:val="24"/>
        </w:rPr>
        <w:t xml:space="preserve"> sin embargo, </w:t>
      </w:r>
      <w:r w:rsidR="00456779">
        <w:rPr>
          <w:rFonts w:ascii="Book Antiqua" w:eastAsia="Calibri" w:hAnsi="Book Antiqua" w:cs="Arial"/>
          <w:sz w:val="24"/>
          <w:szCs w:val="24"/>
        </w:rPr>
        <w:t xml:space="preserve">con el análisis detallado y complementario, realizado a partir </w:t>
      </w:r>
      <w:r w:rsidR="0012126E">
        <w:rPr>
          <w:rFonts w:ascii="Book Antiqua" w:eastAsia="Calibri" w:hAnsi="Book Antiqua" w:cs="Arial"/>
          <w:sz w:val="24"/>
          <w:szCs w:val="24"/>
        </w:rPr>
        <w:t xml:space="preserve">del seguimiento </w:t>
      </w:r>
      <w:r w:rsidR="00456779">
        <w:rPr>
          <w:rFonts w:ascii="Book Antiqua" w:eastAsia="Calibri" w:hAnsi="Book Antiqua" w:cs="Arial"/>
          <w:sz w:val="24"/>
          <w:szCs w:val="24"/>
        </w:rPr>
        <w:t>en</w:t>
      </w:r>
      <w:r w:rsidR="0012126E">
        <w:rPr>
          <w:rFonts w:ascii="Book Antiqua" w:eastAsia="Calibri" w:hAnsi="Book Antiqua" w:cs="Arial"/>
          <w:sz w:val="24"/>
          <w:szCs w:val="24"/>
        </w:rPr>
        <w:t xml:space="preserve"> estas oficinas</w:t>
      </w:r>
      <w:r w:rsidR="00456779">
        <w:rPr>
          <w:rFonts w:ascii="Book Antiqua" w:eastAsia="Calibri" w:hAnsi="Book Antiqua" w:cs="Arial"/>
          <w:sz w:val="24"/>
          <w:szCs w:val="24"/>
        </w:rPr>
        <w:t>, que realizó la Dirección de Planificación</w:t>
      </w:r>
      <w:r w:rsidR="0012126E">
        <w:rPr>
          <w:rFonts w:ascii="Book Antiqua" w:eastAsia="Calibri" w:hAnsi="Book Antiqua" w:cs="Arial"/>
          <w:sz w:val="24"/>
          <w:szCs w:val="24"/>
        </w:rPr>
        <w:t xml:space="preserve"> de </w:t>
      </w:r>
      <w:r w:rsidR="0012126E" w:rsidRPr="001A75AE">
        <w:rPr>
          <w:rFonts w:ascii="Book Antiqua" w:eastAsia="Calibri" w:hAnsi="Book Antiqua" w:cs="Arial"/>
          <w:sz w:val="24"/>
          <w:szCs w:val="24"/>
        </w:rPr>
        <w:t xml:space="preserve">diciembre 2020 a </w:t>
      </w:r>
      <w:r w:rsidR="003F575C" w:rsidRPr="001A75AE">
        <w:rPr>
          <w:rFonts w:ascii="Book Antiqua" w:eastAsia="Calibri" w:hAnsi="Book Antiqua" w:cs="Arial"/>
          <w:sz w:val="24"/>
          <w:szCs w:val="24"/>
        </w:rPr>
        <w:t>setiembre</w:t>
      </w:r>
      <w:r w:rsidR="0012126E" w:rsidRPr="001A75AE">
        <w:rPr>
          <w:rFonts w:ascii="Book Antiqua" w:eastAsia="Calibri" w:hAnsi="Book Antiqua" w:cs="Arial"/>
          <w:sz w:val="24"/>
          <w:szCs w:val="24"/>
        </w:rPr>
        <w:t xml:space="preserve"> 2021</w:t>
      </w:r>
      <w:r w:rsidR="0012126E">
        <w:rPr>
          <w:rFonts w:ascii="Book Antiqua" w:eastAsia="Calibri" w:hAnsi="Book Antiqua" w:cs="Arial"/>
          <w:sz w:val="24"/>
          <w:szCs w:val="24"/>
        </w:rPr>
        <w:t xml:space="preserve"> por </w:t>
      </w:r>
      <w:r w:rsidR="00121331">
        <w:rPr>
          <w:rFonts w:ascii="Book Antiqua" w:eastAsia="Calibri" w:hAnsi="Book Antiqua" w:cs="Arial"/>
          <w:sz w:val="24"/>
          <w:szCs w:val="24"/>
        </w:rPr>
        <w:t xml:space="preserve">parte de </w:t>
      </w:r>
      <w:r w:rsidR="0012126E">
        <w:rPr>
          <w:rFonts w:ascii="Book Antiqua" w:eastAsia="Calibri" w:hAnsi="Book Antiqua" w:cs="Arial"/>
          <w:sz w:val="24"/>
          <w:szCs w:val="24"/>
        </w:rPr>
        <w:t xml:space="preserve">los Profesionales </w:t>
      </w:r>
      <w:r w:rsidR="00121331">
        <w:rPr>
          <w:rFonts w:ascii="Book Antiqua" w:eastAsia="Calibri" w:hAnsi="Book Antiqua" w:cs="Arial"/>
          <w:sz w:val="24"/>
          <w:szCs w:val="24"/>
        </w:rPr>
        <w:t xml:space="preserve">2 </w:t>
      </w:r>
      <w:r w:rsidR="0012126E">
        <w:rPr>
          <w:rFonts w:ascii="Book Antiqua" w:eastAsia="Calibri" w:hAnsi="Book Antiqua" w:cs="Arial"/>
          <w:sz w:val="24"/>
          <w:szCs w:val="24"/>
        </w:rPr>
        <w:t>del Subproceso de Modernización Institucional</w:t>
      </w:r>
      <w:r w:rsidR="00456779">
        <w:rPr>
          <w:rFonts w:ascii="Book Antiqua" w:eastAsia="Calibri" w:hAnsi="Book Antiqua" w:cs="Arial"/>
          <w:sz w:val="24"/>
          <w:szCs w:val="24"/>
        </w:rPr>
        <w:t>, los cuales se resumen en el</w:t>
      </w:r>
      <w:r w:rsidR="0012126E">
        <w:rPr>
          <w:rFonts w:ascii="Book Antiqua" w:eastAsia="Calibri" w:hAnsi="Book Antiqua" w:cs="Arial"/>
          <w:sz w:val="24"/>
          <w:szCs w:val="24"/>
        </w:rPr>
        <w:t xml:space="preserve"> </w:t>
      </w:r>
      <w:r w:rsidR="003F575C">
        <w:rPr>
          <w:rFonts w:ascii="Book Antiqua" w:eastAsia="Calibri" w:hAnsi="Book Antiqua" w:cs="Arial"/>
          <w:sz w:val="24"/>
          <w:szCs w:val="24"/>
        </w:rPr>
        <w:t xml:space="preserve">informe </w:t>
      </w:r>
      <w:r w:rsidR="003F575C" w:rsidRPr="003F575C">
        <w:rPr>
          <w:rFonts w:ascii="Book Antiqua" w:eastAsia="Calibri" w:hAnsi="Book Antiqua" w:cs="Arial"/>
          <w:sz w:val="24"/>
          <w:szCs w:val="24"/>
        </w:rPr>
        <w:t>de cierre de Pensiones Alimentarias 46-PLA-MI-2022, aprobado por el Consejo Superior en la sesión 11-2022 celebrada el 8 de febrero de 2022, artículo XXXII</w:t>
      </w:r>
      <w:r w:rsidR="003F575C">
        <w:rPr>
          <w:rFonts w:ascii="Book Antiqua" w:eastAsia="Calibri" w:hAnsi="Book Antiqua" w:cs="Arial"/>
          <w:sz w:val="24"/>
          <w:szCs w:val="24"/>
        </w:rPr>
        <w:t>,</w:t>
      </w:r>
      <w:r w:rsidR="003F575C" w:rsidRPr="003F575C">
        <w:rPr>
          <w:rFonts w:ascii="Book Antiqua" w:eastAsia="Calibri" w:hAnsi="Book Antiqua" w:cs="Arial"/>
          <w:sz w:val="24"/>
          <w:szCs w:val="24"/>
        </w:rPr>
        <w:t xml:space="preserve"> </w:t>
      </w:r>
      <w:r w:rsidR="0012126E" w:rsidRPr="0059207A">
        <w:rPr>
          <w:rFonts w:ascii="Book Antiqua" w:eastAsia="Calibri" w:hAnsi="Book Antiqua" w:cs="Arial"/>
          <w:sz w:val="24"/>
          <w:szCs w:val="24"/>
        </w:rPr>
        <w:t xml:space="preserve">se determinó </w:t>
      </w:r>
      <w:r w:rsidR="00A96970" w:rsidRPr="0059207A">
        <w:rPr>
          <w:rFonts w:ascii="Book Antiqua" w:eastAsia="Calibri" w:hAnsi="Book Antiqua" w:cs="Arial"/>
          <w:sz w:val="24"/>
          <w:szCs w:val="24"/>
        </w:rPr>
        <w:t xml:space="preserve">con base en </w:t>
      </w:r>
      <w:r w:rsidR="003F575C" w:rsidRPr="0059207A">
        <w:rPr>
          <w:rFonts w:ascii="Book Antiqua" w:eastAsia="Calibri" w:hAnsi="Book Antiqua" w:cs="Arial"/>
          <w:sz w:val="24"/>
          <w:szCs w:val="24"/>
        </w:rPr>
        <w:t xml:space="preserve">el análisis MAIC; </w:t>
      </w:r>
      <w:r w:rsidR="00A96970" w:rsidRPr="0059207A">
        <w:rPr>
          <w:rFonts w:ascii="Book Antiqua" w:eastAsia="Calibri" w:hAnsi="Book Antiqua" w:cs="Arial"/>
          <w:sz w:val="24"/>
          <w:szCs w:val="24"/>
        </w:rPr>
        <w:t xml:space="preserve">que estos juzgados </w:t>
      </w:r>
      <w:r w:rsidR="000B0FC4" w:rsidRPr="0059207A">
        <w:rPr>
          <w:rFonts w:ascii="Book Antiqua" w:eastAsia="Calibri" w:hAnsi="Book Antiqua" w:cs="Arial"/>
          <w:sz w:val="24"/>
          <w:szCs w:val="24"/>
        </w:rPr>
        <w:t xml:space="preserve">durante </w:t>
      </w:r>
      <w:r w:rsidR="00A96970" w:rsidRPr="0059207A">
        <w:rPr>
          <w:rFonts w:ascii="Book Antiqua" w:eastAsia="Calibri" w:hAnsi="Book Antiqua" w:cs="Arial"/>
          <w:sz w:val="24"/>
          <w:szCs w:val="24"/>
        </w:rPr>
        <w:t>los meses que presentaron una criticidad “D” o “E”</w:t>
      </w:r>
      <w:r w:rsidR="00456779" w:rsidRPr="0059207A">
        <w:rPr>
          <w:rFonts w:ascii="Book Antiqua" w:eastAsia="Calibri" w:hAnsi="Book Antiqua" w:cs="Arial"/>
          <w:sz w:val="24"/>
          <w:szCs w:val="24"/>
        </w:rPr>
        <w:t xml:space="preserve">, </w:t>
      </w:r>
      <w:r w:rsidR="000B0FC4" w:rsidRPr="0059207A">
        <w:rPr>
          <w:rFonts w:ascii="Book Antiqua" w:eastAsia="Calibri" w:hAnsi="Book Antiqua" w:cs="Arial"/>
          <w:sz w:val="24"/>
          <w:szCs w:val="24"/>
        </w:rPr>
        <w:t xml:space="preserve">su </w:t>
      </w:r>
      <w:r w:rsidR="00A96970" w:rsidRPr="0059207A">
        <w:rPr>
          <w:rFonts w:ascii="Book Antiqua" w:eastAsia="Calibri" w:hAnsi="Book Antiqua" w:cs="Arial"/>
          <w:sz w:val="24"/>
          <w:szCs w:val="24"/>
        </w:rPr>
        <w:t xml:space="preserve">calificación </w:t>
      </w:r>
      <w:r w:rsidR="000B0FC4" w:rsidRPr="0059207A">
        <w:rPr>
          <w:rFonts w:ascii="Book Antiqua" w:eastAsia="Calibri" w:hAnsi="Book Antiqua" w:cs="Arial"/>
          <w:sz w:val="24"/>
          <w:szCs w:val="24"/>
        </w:rPr>
        <w:t xml:space="preserve">no obedece a un tema de capacidad operativa reducida, sino a </w:t>
      </w:r>
      <w:r w:rsidR="003F575C" w:rsidRPr="0059207A">
        <w:rPr>
          <w:rFonts w:ascii="Book Antiqua" w:eastAsia="Calibri" w:hAnsi="Book Antiqua" w:cs="Arial"/>
          <w:sz w:val="24"/>
          <w:szCs w:val="24"/>
        </w:rPr>
        <w:t xml:space="preserve">factores </w:t>
      </w:r>
      <w:r w:rsidR="000B0FC4" w:rsidRPr="0059207A">
        <w:rPr>
          <w:rFonts w:ascii="Book Antiqua" w:eastAsia="Calibri" w:hAnsi="Book Antiqua" w:cs="Arial"/>
          <w:sz w:val="24"/>
          <w:szCs w:val="24"/>
        </w:rPr>
        <w:t>aislados</w:t>
      </w:r>
      <w:r w:rsidR="00170CF7" w:rsidRPr="0059207A">
        <w:rPr>
          <w:rFonts w:ascii="Book Antiqua" w:eastAsia="Calibri" w:hAnsi="Book Antiqua" w:cs="Arial"/>
          <w:sz w:val="24"/>
          <w:szCs w:val="24"/>
        </w:rPr>
        <w:t>;</w:t>
      </w:r>
      <w:r w:rsidR="00F94535" w:rsidRPr="0059207A">
        <w:rPr>
          <w:rFonts w:ascii="Book Antiqua" w:eastAsia="Calibri" w:hAnsi="Book Antiqua" w:cs="Arial"/>
          <w:sz w:val="24"/>
          <w:szCs w:val="24"/>
        </w:rPr>
        <w:t xml:space="preserve"> </w:t>
      </w:r>
      <w:r w:rsidR="00170CF7" w:rsidRPr="0059207A">
        <w:rPr>
          <w:rFonts w:ascii="Book Antiqua" w:eastAsia="Calibri" w:hAnsi="Book Antiqua" w:cs="Arial"/>
          <w:sz w:val="24"/>
          <w:szCs w:val="24"/>
        </w:rPr>
        <w:t xml:space="preserve">por ejemplo, en el caso de Pococí, el personal juzgador y técnico judicial </w:t>
      </w:r>
      <w:r w:rsidR="00A958BE" w:rsidRPr="0059207A">
        <w:rPr>
          <w:rFonts w:ascii="Book Antiqua" w:eastAsia="Calibri" w:hAnsi="Book Antiqua" w:cs="Arial"/>
          <w:sz w:val="24"/>
          <w:szCs w:val="24"/>
        </w:rPr>
        <w:t xml:space="preserve">según datos de la matriz de Indicadores de Gestión, </w:t>
      </w:r>
      <w:r w:rsidR="00170CF7" w:rsidRPr="0059207A">
        <w:rPr>
          <w:rFonts w:ascii="Book Antiqua" w:eastAsia="Calibri" w:hAnsi="Book Antiqua" w:cs="Arial"/>
          <w:sz w:val="24"/>
          <w:szCs w:val="24"/>
        </w:rPr>
        <w:t xml:space="preserve">reporta porcentajes de rendimiento mayores al 100%, por lo que no se recomienda la creación de plazas nuevas </w:t>
      </w:r>
      <w:r w:rsidR="00A958BE" w:rsidRPr="0059207A">
        <w:rPr>
          <w:rFonts w:ascii="Book Antiqua" w:eastAsia="Calibri" w:hAnsi="Book Antiqua" w:cs="Arial"/>
          <w:sz w:val="24"/>
          <w:szCs w:val="24"/>
        </w:rPr>
        <w:t>en los Juzgados de Pensiones Alimentarias del Primer Circuito Judicial de Alajuela y II Circuito Judicial de la Zona Atlántica (Pococí).</w:t>
      </w:r>
    </w:p>
    <w:p w14:paraId="47153849" w14:textId="143842AE" w:rsidR="00F94535" w:rsidRDefault="00572DB3" w:rsidP="001D0C10">
      <w:pPr>
        <w:spacing w:line="276" w:lineRule="auto"/>
        <w:ind w:right="-234"/>
        <w:jc w:val="both"/>
        <w:rPr>
          <w:rFonts w:ascii="Book Antiqua" w:eastAsia="Calibri" w:hAnsi="Book Antiqua" w:cs="Arial"/>
          <w:sz w:val="24"/>
          <w:szCs w:val="24"/>
        </w:rPr>
      </w:pPr>
      <w:r w:rsidRPr="00572DB3">
        <w:rPr>
          <w:rFonts w:ascii="Book Antiqua" w:eastAsia="Calibri" w:hAnsi="Book Antiqua" w:cs="Arial"/>
          <w:sz w:val="24"/>
          <w:szCs w:val="24"/>
        </w:rPr>
        <w:t>Es importante señalar que para efectos de este informe</w:t>
      </w:r>
      <w:r w:rsidR="00BF6123">
        <w:rPr>
          <w:rFonts w:ascii="Book Antiqua" w:eastAsia="Calibri" w:hAnsi="Book Antiqua" w:cs="Arial"/>
          <w:sz w:val="24"/>
          <w:szCs w:val="24"/>
        </w:rPr>
        <w:t>,</w:t>
      </w:r>
      <w:r w:rsidRPr="00572DB3">
        <w:rPr>
          <w:rFonts w:ascii="Book Antiqua" w:eastAsia="Calibri" w:hAnsi="Book Antiqua" w:cs="Arial"/>
          <w:sz w:val="24"/>
          <w:szCs w:val="24"/>
        </w:rPr>
        <w:t xml:space="preserve"> no se planteará la reubicación de personas juzgadoras o técnicas judiciales, bajo el entendido que al mantener</w:t>
      </w:r>
      <w:r w:rsidR="00BF6123">
        <w:rPr>
          <w:rFonts w:ascii="Book Antiqua" w:eastAsia="Calibri" w:hAnsi="Book Antiqua" w:cs="Arial"/>
          <w:sz w:val="24"/>
          <w:szCs w:val="24"/>
        </w:rPr>
        <w:t>se</w:t>
      </w:r>
      <w:r w:rsidRPr="00572DB3">
        <w:rPr>
          <w:rFonts w:ascii="Book Antiqua" w:eastAsia="Calibri" w:hAnsi="Book Antiqua" w:cs="Arial"/>
          <w:sz w:val="24"/>
          <w:szCs w:val="24"/>
        </w:rPr>
        <w:t xml:space="preserve"> estas personas e</w:t>
      </w:r>
      <w:r w:rsidR="00B95F0A">
        <w:rPr>
          <w:rFonts w:ascii="Book Antiqua" w:eastAsia="Calibri" w:hAnsi="Book Antiqua" w:cs="Arial"/>
          <w:sz w:val="24"/>
          <w:szCs w:val="24"/>
        </w:rPr>
        <w:t>n</w:t>
      </w:r>
      <w:r w:rsidRPr="00572DB3">
        <w:rPr>
          <w:rFonts w:ascii="Book Antiqua" w:eastAsia="Calibri" w:hAnsi="Book Antiqua" w:cs="Arial"/>
          <w:sz w:val="24"/>
          <w:szCs w:val="24"/>
        </w:rPr>
        <w:t xml:space="preserve"> sus despachos se estaría contribuyendo a la disminución de tiempos en los procesos </w:t>
      </w:r>
      <w:r w:rsidR="00BF6123">
        <w:rPr>
          <w:rFonts w:ascii="Book Antiqua" w:eastAsia="Calibri" w:hAnsi="Book Antiqua" w:cs="Arial"/>
          <w:sz w:val="24"/>
          <w:szCs w:val="24"/>
        </w:rPr>
        <w:t>de</w:t>
      </w:r>
      <w:r w:rsidRPr="00572DB3">
        <w:rPr>
          <w:rFonts w:ascii="Book Antiqua" w:eastAsia="Calibri" w:hAnsi="Book Antiqua" w:cs="Arial"/>
          <w:sz w:val="24"/>
          <w:szCs w:val="24"/>
        </w:rPr>
        <w:t xml:space="preserve"> sus despachos. </w:t>
      </w:r>
    </w:p>
    <w:p w14:paraId="57211B2C" w14:textId="59401E97" w:rsidR="00F94535" w:rsidRDefault="00F94535" w:rsidP="001D0C10">
      <w:pPr>
        <w:spacing w:after="0" w:line="276" w:lineRule="auto"/>
        <w:ind w:right="-376"/>
        <w:jc w:val="both"/>
        <w:rPr>
          <w:rFonts w:ascii="Book Antiqua" w:hAnsi="Book Antiqua"/>
          <w:sz w:val="24"/>
          <w:szCs w:val="24"/>
        </w:rPr>
      </w:pPr>
      <w:r w:rsidRPr="001D0C10">
        <w:rPr>
          <w:rFonts w:ascii="Book Antiqua" w:eastAsia="Calibri" w:hAnsi="Book Antiqua" w:cs="Arial"/>
          <w:sz w:val="24"/>
          <w:szCs w:val="24"/>
        </w:rPr>
        <w:t xml:space="preserve">En cuanto </w:t>
      </w:r>
      <w:r w:rsidRPr="001D0C10">
        <w:rPr>
          <w:rFonts w:ascii="Book Antiqua" w:eastAsia="Calibri" w:hAnsi="Book Antiqua" w:cs="Arial"/>
          <w:b/>
          <w:bCs/>
          <w:sz w:val="24"/>
          <w:szCs w:val="24"/>
        </w:rPr>
        <w:t xml:space="preserve">al </w:t>
      </w:r>
      <w:r w:rsidR="00572DB3" w:rsidRPr="001D0C10">
        <w:rPr>
          <w:rFonts w:ascii="Book Antiqua" w:eastAsia="Calibri" w:hAnsi="Book Antiqua" w:cs="Arial"/>
          <w:b/>
          <w:bCs/>
          <w:sz w:val="24"/>
          <w:szCs w:val="24"/>
        </w:rPr>
        <w:t>Juzgado Pensiones Alimentarias Sarapiquí,</w:t>
      </w:r>
      <w:r w:rsidR="00572DB3" w:rsidRPr="001D0C10">
        <w:rPr>
          <w:rFonts w:ascii="Book Antiqua" w:eastAsia="Calibri" w:hAnsi="Book Antiqua" w:cs="Arial"/>
          <w:sz w:val="24"/>
          <w:szCs w:val="24"/>
        </w:rPr>
        <w:t xml:space="preserve"> </w:t>
      </w:r>
      <w:r w:rsidRPr="001D0C10">
        <w:rPr>
          <w:rFonts w:ascii="Book Antiqua" w:hAnsi="Book Antiqua"/>
          <w:sz w:val="24"/>
          <w:szCs w:val="24"/>
        </w:rPr>
        <w:t>conforme a lo acordado por el Consejo Superior en sesión 95-2021 celebrada el 04 de noviembre del 2021, artículo XXXI, con el fin de atender la carga de trabajo del Juzgado de Pensiones de Sarapiquí, y al escenario aprobado, el Juzgado de Pensiones se refuerza con 3 recursos provenientes del actual Juzgado de Tránsito y Contravenciones de Sarapiquí:</w:t>
      </w:r>
    </w:p>
    <w:p w14:paraId="0BE26651" w14:textId="77777777" w:rsidR="001A75AE" w:rsidRPr="001D0C10" w:rsidRDefault="001A75AE" w:rsidP="001D0C10">
      <w:pPr>
        <w:spacing w:after="0" w:line="276" w:lineRule="auto"/>
        <w:ind w:right="-376"/>
        <w:jc w:val="both"/>
        <w:rPr>
          <w:rFonts w:ascii="Book Antiqua" w:hAnsi="Book Antiqua"/>
          <w:sz w:val="24"/>
          <w:szCs w:val="24"/>
        </w:rPr>
      </w:pPr>
    </w:p>
    <w:p w14:paraId="52D5D17D" w14:textId="77777777" w:rsidR="00F94535" w:rsidRPr="001D0C10" w:rsidRDefault="00F94535">
      <w:pPr>
        <w:pStyle w:val="Prrafodelista"/>
        <w:numPr>
          <w:ilvl w:val="0"/>
          <w:numId w:val="34"/>
        </w:numPr>
        <w:spacing w:after="0" w:line="276" w:lineRule="auto"/>
        <w:ind w:right="-376"/>
        <w:contextualSpacing w:val="0"/>
        <w:jc w:val="both"/>
        <w:rPr>
          <w:rFonts w:ascii="Book Antiqua" w:hAnsi="Book Antiqua"/>
          <w:sz w:val="24"/>
          <w:szCs w:val="24"/>
        </w:rPr>
      </w:pPr>
      <w:r w:rsidRPr="001D0C10">
        <w:rPr>
          <w:rFonts w:ascii="Book Antiqua" w:hAnsi="Book Antiqua"/>
          <w:sz w:val="24"/>
          <w:szCs w:val="24"/>
        </w:rPr>
        <w:t>Una plaza de Jueza o Juez</w:t>
      </w:r>
    </w:p>
    <w:p w14:paraId="6FD28086" w14:textId="077BF4A4" w:rsidR="00F94535" w:rsidRDefault="00F94535">
      <w:pPr>
        <w:pStyle w:val="Prrafodelista"/>
        <w:numPr>
          <w:ilvl w:val="0"/>
          <w:numId w:val="34"/>
        </w:numPr>
        <w:spacing w:after="0" w:line="276" w:lineRule="auto"/>
        <w:ind w:right="-376"/>
        <w:contextualSpacing w:val="0"/>
        <w:jc w:val="both"/>
        <w:rPr>
          <w:rFonts w:ascii="Book Antiqua" w:hAnsi="Book Antiqua"/>
          <w:sz w:val="24"/>
          <w:szCs w:val="24"/>
        </w:rPr>
      </w:pPr>
      <w:r w:rsidRPr="001D0C10">
        <w:rPr>
          <w:rFonts w:ascii="Book Antiqua" w:hAnsi="Book Antiqua"/>
          <w:sz w:val="24"/>
          <w:szCs w:val="24"/>
        </w:rPr>
        <w:t>Una plaza de Técnica o Técnico Judicial</w:t>
      </w:r>
    </w:p>
    <w:p w14:paraId="3964E86F" w14:textId="77777777" w:rsidR="001A75AE" w:rsidRPr="001D0C10" w:rsidRDefault="001A75AE" w:rsidP="001A75AE">
      <w:pPr>
        <w:pStyle w:val="Prrafodelista"/>
        <w:spacing w:after="0" w:line="276" w:lineRule="auto"/>
        <w:ind w:left="928" w:right="-376"/>
        <w:contextualSpacing w:val="0"/>
        <w:jc w:val="both"/>
        <w:rPr>
          <w:rFonts w:ascii="Book Antiqua" w:hAnsi="Book Antiqua"/>
          <w:sz w:val="24"/>
          <w:szCs w:val="24"/>
        </w:rPr>
      </w:pPr>
    </w:p>
    <w:p w14:paraId="477B87E3" w14:textId="6AF8C5EA" w:rsidR="00572DB3" w:rsidRPr="00572DB3" w:rsidRDefault="00F94535" w:rsidP="009B71C9">
      <w:pPr>
        <w:spacing w:line="276" w:lineRule="auto"/>
        <w:ind w:right="-376"/>
        <w:jc w:val="both"/>
        <w:rPr>
          <w:rFonts w:ascii="Book Antiqua" w:eastAsia="Calibri" w:hAnsi="Book Antiqua" w:cs="Arial"/>
          <w:sz w:val="24"/>
          <w:szCs w:val="24"/>
        </w:rPr>
      </w:pPr>
      <w:r w:rsidRPr="001A75AE">
        <w:rPr>
          <w:rFonts w:ascii="Book Antiqua" w:hAnsi="Book Antiqua"/>
          <w:sz w:val="24"/>
          <w:szCs w:val="24"/>
        </w:rPr>
        <w:t>La asignación a tiempo completo de la Auxiliar de Servicios Generales</w:t>
      </w:r>
      <w:r w:rsidRPr="001A75AE">
        <w:rPr>
          <w:rStyle w:val="Refdenotaalpie"/>
          <w:rFonts w:ascii="Book Antiqua" w:hAnsi="Book Antiqua"/>
          <w:sz w:val="24"/>
          <w:szCs w:val="24"/>
        </w:rPr>
        <w:footnoteReference w:id="18"/>
      </w:r>
      <w:r w:rsidRPr="001A75AE">
        <w:rPr>
          <w:rFonts w:ascii="Book Antiqua" w:hAnsi="Book Antiqua"/>
          <w:sz w:val="24"/>
          <w:szCs w:val="24"/>
        </w:rPr>
        <w:t xml:space="preserve"> que comparten el Juzgado Contravencional y Tránsito de Sarapiquí y el Juzgado de Pensiones, pero hasta que se cuente con servicio privado de limpieza para ambas oficinas para colaborar en la atención del público, ya que conforme indica el oficio 1110-PLA-2021 es una de las mayores cargas con la que cuenta este juzgado, así como otras labores administrativas.</w:t>
      </w:r>
    </w:p>
    <w:p w14:paraId="6EF808EA" w14:textId="56B11625" w:rsidR="00F46DA5" w:rsidRDefault="00F46DA5" w:rsidP="009B71C9">
      <w:pPr>
        <w:spacing w:after="0" w:line="276" w:lineRule="auto"/>
        <w:ind w:right="-376"/>
        <w:jc w:val="both"/>
        <w:rPr>
          <w:rFonts w:ascii="Book Antiqua" w:eastAsia="Calibri" w:hAnsi="Book Antiqua" w:cs="Arial"/>
          <w:sz w:val="24"/>
          <w:szCs w:val="24"/>
        </w:rPr>
      </w:pPr>
      <w:r w:rsidRPr="00F46DA5">
        <w:rPr>
          <w:rFonts w:ascii="Book Antiqua" w:eastAsia="Calibri" w:hAnsi="Book Antiqua" w:cs="Arial"/>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62AB7722" w14:textId="5ACECB0A" w:rsidR="000F0B81" w:rsidRDefault="000F0B81" w:rsidP="009B71C9">
      <w:pPr>
        <w:spacing w:after="0" w:line="276" w:lineRule="auto"/>
        <w:ind w:right="-376"/>
        <w:jc w:val="both"/>
        <w:rPr>
          <w:rFonts w:ascii="Book Antiqua" w:eastAsia="Calibri" w:hAnsi="Book Antiqua" w:cs="Arial"/>
          <w:sz w:val="24"/>
          <w:szCs w:val="24"/>
        </w:rPr>
      </w:pPr>
    </w:p>
    <w:p w14:paraId="0FF1B4C8" w14:textId="477B3BF0" w:rsidR="003A293B" w:rsidRDefault="00BF4698" w:rsidP="009B71C9">
      <w:pPr>
        <w:spacing w:after="0" w:line="276" w:lineRule="auto"/>
        <w:ind w:right="-376"/>
        <w:jc w:val="both"/>
        <w:rPr>
          <w:rFonts w:ascii="Book Antiqua" w:eastAsia="Calibri" w:hAnsi="Book Antiqua" w:cs="Arial"/>
          <w:sz w:val="24"/>
          <w:szCs w:val="24"/>
        </w:rPr>
      </w:pPr>
      <w:r>
        <w:rPr>
          <w:rFonts w:ascii="Book Antiqua" w:eastAsia="Calibri" w:hAnsi="Book Antiqua" w:cs="Arial"/>
          <w:sz w:val="24"/>
          <w:szCs w:val="24"/>
        </w:rPr>
        <w:t xml:space="preserve">Por otra parte, </w:t>
      </w:r>
      <w:r w:rsidR="000F0B81">
        <w:rPr>
          <w:rFonts w:ascii="Book Antiqua" w:eastAsia="Calibri" w:hAnsi="Book Antiqua" w:cs="Arial"/>
          <w:sz w:val="24"/>
          <w:szCs w:val="24"/>
        </w:rPr>
        <w:t xml:space="preserve">en el informe 1069-PLA-EV-2020, </w:t>
      </w:r>
      <w:r>
        <w:rPr>
          <w:rFonts w:ascii="Book Antiqua" w:eastAsia="Calibri" w:hAnsi="Book Antiqua" w:cs="Arial"/>
          <w:sz w:val="24"/>
          <w:szCs w:val="24"/>
        </w:rPr>
        <w:t xml:space="preserve">relacionado con el </w:t>
      </w:r>
      <w:bookmarkStart w:id="83" w:name="_Hlk97902625"/>
      <w:r>
        <w:rPr>
          <w:rFonts w:ascii="Book Antiqua" w:eastAsia="Calibri" w:hAnsi="Book Antiqua" w:cs="Arial"/>
          <w:sz w:val="24"/>
          <w:szCs w:val="24"/>
        </w:rPr>
        <w:t xml:space="preserve">Juzgado </w:t>
      </w:r>
      <w:r w:rsidRPr="000F0B81">
        <w:rPr>
          <w:rFonts w:ascii="Book Antiqua" w:eastAsia="Calibri" w:hAnsi="Book Antiqua" w:cs="Arial"/>
          <w:sz w:val="24"/>
          <w:szCs w:val="24"/>
        </w:rPr>
        <w:t>Contravencional y Pensiones Alimentarias del Primer Circuito Judicial de Guanacaste</w:t>
      </w:r>
      <w:bookmarkEnd w:id="83"/>
      <w:r>
        <w:rPr>
          <w:rFonts w:ascii="Book Antiqua" w:eastAsia="Calibri" w:hAnsi="Book Antiqua" w:cs="Arial"/>
          <w:sz w:val="24"/>
          <w:szCs w:val="24"/>
        </w:rPr>
        <w:t xml:space="preserve">, </w:t>
      </w:r>
      <w:r w:rsidR="000F0B81">
        <w:rPr>
          <w:rFonts w:ascii="Book Antiqua" w:eastAsia="Calibri" w:hAnsi="Book Antiqua" w:cs="Arial"/>
          <w:sz w:val="24"/>
          <w:szCs w:val="24"/>
        </w:rPr>
        <w:t xml:space="preserve">aprobado por el Consejo Superior en la sesión 93-2020 celebrada el 24 de setiembre de 2020, artículo XLIV, </w:t>
      </w:r>
      <w:r>
        <w:rPr>
          <w:rFonts w:ascii="Book Antiqua" w:eastAsia="Calibri" w:hAnsi="Book Antiqua" w:cs="Arial"/>
          <w:sz w:val="24"/>
          <w:szCs w:val="24"/>
        </w:rPr>
        <w:t xml:space="preserve">en cuanto al otorgamiento de recurso </w:t>
      </w:r>
      <w:r w:rsidR="00776040">
        <w:rPr>
          <w:rFonts w:ascii="Book Antiqua" w:eastAsia="Calibri" w:hAnsi="Book Antiqua" w:cs="Arial"/>
          <w:sz w:val="24"/>
          <w:szCs w:val="24"/>
        </w:rPr>
        <w:t xml:space="preserve">humano para </w:t>
      </w:r>
      <w:r>
        <w:rPr>
          <w:rFonts w:ascii="Book Antiqua" w:eastAsia="Calibri" w:hAnsi="Book Antiqua" w:cs="Arial"/>
          <w:sz w:val="24"/>
          <w:szCs w:val="24"/>
        </w:rPr>
        <w:t xml:space="preserve">este despacho, </w:t>
      </w:r>
      <w:r w:rsidR="000F0B81">
        <w:rPr>
          <w:rFonts w:ascii="Book Antiqua" w:eastAsia="Calibri" w:hAnsi="Book Antiqua" w:cs="Arial"/>
          <w:sz w:val="24"/>
          <w:szCs w:val="24"/>
        </w:rPr>
        <w:t>se a</w:t>
      </w:r>
      <w:r w:rsidR="003A293B">
        <w:rPr>
          <w:rFonts w:ascii="Book Antiqua" w:eastAsia="Calibri" w:hAnsi="Book Antiqua" w:cs="Arial"/>
          <w:sz w:val="24"/>
          <w:szCs w:val="24"/>
        </w:rPr>
        <w:t>cord</w:t>
      </w:r>
      <w:r w:rsidR="000F0B81">
        <w:rPr>
          <w:rFonts w:ascii="Book Antiqua" w:eastAsia="Calibri" w:hAnsi="Book Antiqua" w:cs="Arial"/>
          <w:sz w:val="24"/>
          <w:szCs w:val="24"/>
        </w:rPr>
        <w:t>ó</w:t>
      </w:r>
      <w:r w:rsidR="003A293B">
        <w:rPr>
          <w:rFonts w:ascii="Book Antiqua" w:eastAsia="Calibri" w:hAnsi="Book Antiqua" w:cs="Arial"/>
          <w:sz w:val="24"/>
          <w:szCs w:val="24"/>
        </w:rPr>
        <w:t>:</w:t>
      </w:r>
    </w:p>
    <w:p w14:paraId="4A501B2B" w14:textId="636E5F1D" w:rsidR="000F0B81" w:rsidRPr="001D0C10" w:rsidRDefault="003A293B" w:rsidP="001D0C10">
      <w:pPr>
        <w:spacing w:after="0" w:line="276" w:lineRule="auto"/>
        <w:ind w:left="567" w:right="616"/>
        <w:jc w:val="both"/>
        <w:rPr>
          <w:rFonts w:ascii="Book Antiqua" w:eastAsia="Calibri" w:hAnsi="Book Antiqua" w:cs="Arial"/>
          <w:i/>
          <w:iCs/>
        </w:rPr>
      </w:pPr>
      <w:r w:rsidRPr="001D0C10">
        <w:rPr>
          <w:rFonts w:ascii="Book Antiqua" w:eastAsia="Calibri" w:hAnsi="Book Antiqua" w:cs="Arial"/>
        </w:rPr>
        <w:t>“…</w:t>
      </w:r>
      <w:r w:rsidRPr="001D0C10">
        <w:rPr>
          <w:rFonts w:ascii="Book Antiqua" w:eastAsia="Calibri" w:hAnsi="Book Antiqua" w:cs="Arial"/>
          <w:i/>
          <w:iCs/>
        </w:rPr>
        <w:t>Se avala dicha recomendación; no obstante, quedará supeditada a la existencia de contenido presupuestario. Considerando que se tienen las limitaciones presupuestarias dadas en los oficios del Ministerio de Hacienda DM-0436-2020, de conformidad con el Título IV de la Ley 9635 “Fortalecimiento de las Finanzas Públicas” se establecen la regla fiscal y los criterios que se deben considerarse para la formulación del presupuesto 2021, en donde se tiene lineamientos como: “…no se autorizará la creación de plazas, ni la solicitud de recursos adicionales al monto de gasto presupuestario máximo comunicado, por lo que estas opciones estarán deshabilitadas en el Sistema de Formulación Presupuestaria (SFP)…”</w:t>
      </w:r>
    </w:p>
    <w:p w14:paraId="60AE201D" w14:textId="77777777" w:rsidR="00456779" w:rsidRDefault="00456779" w:rsidP="00A65874"/>
    <w:p w14:paraId="10A2BF01" w14:textId="62A3594B" w:rsidR="003A293B" w:rsidRDefault="00776040" w:rsidP="003A293B">
      <w:pPr>
        <w:jc w:val="both"/>
        <w:rPr>
          <w:rFonts w:ascii="Book Antiqua" w:eastAsia="Calibri" w:hAnsi="Book Antiqua" w:cs="Arial"/>
          <w:sz w:val="24"/>
          <w:szCs w:val="24"/>
        </w:rPr>
      </w:pPr>
      <w:r>
        <w:rPr>
          <w:rFonts w:ascii="Book Antiqua" w:eastAsia="Calibri" w:hAnsi="Book Antiqua" w:cs="Arial"/>
          <w:sz w:val="24"/>
          <w:szCs w:val="24"/>
        </w:rPr>
        <w:t xml:space="preserve">Por lo tanto, se reitera la necesidad de crear una plaza de persona Técnica Judicial 2 para </w:t>
      </w:r>
      <w:r w:rsidR="002E675E">
        <w:rPr>
          <w:rFonts w:ascii="Book Antiqua" w:eastAsia="Calibri" w:hAnsi="Book Antiqua" w:cs="Arial"/>
          <w:sz w:val="24"/>
          <w:szCs w:val="24"/>
        </w:rPr>
        <w:t xml:space="preserve">la </w:t>
      </w:r>
      <w:r>
        <w:rPr>
          <w:rFonts w:ascii="Book Antiqua" w:eastAsia="Calibri" w:hAnsi="Book Antiqua" w:cs="Arial"/>
          <w:sz w:val="24"/>
          <w:szCs w:val="24"/>
        </w:rPr>
        <w:t>especializa</w:t>
      </w:r>
      <w:r w:rsidR="002E675E">
        <w:rPr>
          <w:rFonts w:ascii="Book Antiqua" w:eastAsia="Calibri" w:hAnsi="Book Antiqua" w:cs="Arial"/>
          <w:sz w:val="24"/>
          <w:szCs w:val="24"/>
        </w:rPr>
        <w:t>ción d</w:t>
      </w:r>
      <w:r>
        <w:rPr>
          <w:rFonts w:ascii="Book Antiqua" w:eastAsia="Calibri" w:hAnsi="Book Antiqua" w:cs="Arial"/>
          <w:sz w:val="24"/>
          <w:szCs w:val="24"/>
        </w:rPr>
        <w:t>el Juzgado Contravencional y Pensiones Alimentarias de Guanacaste</w:t>
      </w:r>
      <w:r w:rsidR="003A293B">
        <w:rPr>
          <w:rFonts w:ascii="Book Antiqua" w:eastAsia="Calibri" w:hAnsi="Book Antiqua" w:cs="Arial"/>
          <w:sz w:val="24"/>
          <w:szCs w:val="24"/>
        </w:rPr>
        <w:t xml:space="preserve">, </w:t>
      </w:r>
      <w:r w:rsidR="002E675E">
        <w:rPr>
          <w:rFonts w:ascii="Book Antiqua" w:eastAsia="Calibri" w:hAnsi="Book Antiqua" w:cs="Arial"/>
          <w:sz w:val="24"/>
          <w:szCs w:val="24"/>
        </w:rPr>
        <w:t xml:space="preserve">por lo que </w:t>
      </w:r>
      <w:r w:rsidR="003A293B">
        <w:rPr>
          <w:rFonts w:ascii="Book Antiqua" w:eastAsia="Calibri" w:hAnsi="Book Antiqua" w:cs="Arial"/>
          <w:sz w:val="24"/>
          <w:szCs w:val="24"/>
        </w:rPr>
        <w:t xml:space="preserve">se incluye para el </w:t>
      </w:r>
      <w:r w:rsidR="002E675E">
        <w:rPr>
          <w:rFonts w:ascii="Book Antiqua" w:eastAsia="Calibri" w:hAnsi="Book Antiqua" w:cs="Arial"/>
          <w:sz w:val="24"/>
          <w:szCs w:val="24"/>
        </w:rPr>
        <w:t xml:space="preserve">presupuesto de </w:t>
      </w:r>
      <w:r w:rsidR="003A293B">
        <w:rPr>
          <w:rFonts w:ascii="Book Antiqua" w:eastAsia="Calibri" w:hAnsi="Book Antiqua" w:cs="Arial"/>
          <w:sz w:val="24"/>
          <w:szCs w:val="24"/>
        </w:rPr>
        <w:t>202</w:t>
      </w:r>
      <w:r w:rsidR="00BF6123">
        <w:rPr>
          <w:rFonts w:ascii="Book Antiqua" w:eastAsia="Calibri" w:hAnsi="Book Antiqua" w:cs="Arial"/>
          <w:sz w:val="24"/>
          <w:szCs w:val="24"/>
        </w:rPr>
        <w:t>4</w:t>
      </w:r>
      <w:r w:rsidR="002E675E">
        <w:rPr>
          <w:rFonts w:ascii="Book Antiqua" w:eastAsia="Calibri" w:hAnsi="Book Antiqua" w:cs="Arial"/>
          <w:sz w:val="24"/>
          <w:szCs w:val="24"/>
        </w:rPr>
        <w:t>,</w:t>
      </w:r>
      <w:r w:rsidR="003A293B">
        <w:rPr>
          <w:rFonts w:ascii="Book Antiqua" w:eastAsia="Calibri" w:hAnsi="Book Antiqua" w:cs="Arial"/>
          <w:sz w:val="24"/>
          <w:szCs w:val="24"/>
        </w:rPr>
        <w:t xml:space="preserve"> la creación de una plaza nueva de persona Técnica Judicial 2</w:t>
      </w:r>
      <w:r w:rsidR="00456779">
        <w:rPr>
          <w:rFonts w:ascii="Book Antiqua" w:eastAsia="Calibri" w:hAnsi="Book Antiqua" w:cs="Arial"/>
          <w:sz w:val="24"/>
          <w:szCs w:val="24"/>
        </w:rPr>
        <w:t xml:space="preserve"> para poder realizar </w:t>
      </w:r>
      <w:r w:rsidR="00F76BC3">
        <w:rPr>
          <w:rFonts w:ascii="Book Antiqua" w:eastAsia="Calibri" w:hAnsi="Book Antiqua" w:cs="Arial"/>
          <w:sz w:val="24"/>
          <w:szCs w:val="24"/>
        </w:rPr>
        <w:t>l</w:t>
      </w:r>
      <w:r w:rsidR="00456779">
        <w:rPr>
          <w:rFonts w:ascii="Book Antiqua" w:eastAsia="Calibri" w:hAnsi="Book Antiqua" w:cs="Arial"/>
          <w:sz w:val="24"/>
          <w:szCs w:val="24"/>
        </w:rPr>
        <w:t>a especialización de la materia de Pensiones</w:t>
      </w:r>
      <w:r w:rsidR="003A293B">
        <w:rPr>
          <w:rFonts w:ascii="Book Antiqua" w:eastAsia="Calibri" w:hAnsi="Book Antiqua" w:cs="Arial"/>
          <w:sz w:val="24"/>
          <w:szCs w:val="24"/>
        </w:rPr>
        <w:t xml:space="preserve">. </w:t>
      </w:r>
    </w:p>
    <w:p w14:paraId="00AAF174" w14:textId="38FD9667" w:rsidR="00DD4859" w:rsidRDefault="00DD4859" w:rsidP="003A293B">
      <w:pPr>
        <w:jc w:val="both"/>
        <w:rPr>
          <w:rFonts w:ascii="Book Antiqua" w:eastAsia="Calibri" w:hAnsi="Book Antiqua" w:cs="Arial"/>
          <w:sz w:val="24"/>
          <w:szCs w:val="24"/>
        </w:rPr>
      </w:pPr>
    </w:p>
    <w:p w14:paraId="0D997D5D" w14:textId="60F19E04" w:rsidR="00DD4859" w:rsidRPr="00DD4859" w:rsidRDefault="00DD4859" w:rsidP="00DD485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D4859">
        <w:rPr>
          <w:rFonts w:ascii="Book Antiqua" w:eastAsia="Calibri" w:hAnsi="Book Antiqua" w:cs="Arial"/>
          <w:b/>
          <w:bCs/>
          <w:color w:val="1F497D"/>
          <w:szCs w:val="24"/>
          <w:lang w:val="es-ES" w:eastAsia="es-ES"/>
        </w:rPr>
        <w:t xml:space="preserve">Cuadro </w:t>
      </w:r>
      <w:r w:rsidRPr="00DD4859">
        <w:rPr>
          <w:rFonts w:ascii="Book Antiqua" w:eastAsia="Calibri" w:hAnsi="Book Antiqua" w:cs="Arial"/>
          <w:b/>
          <w:bCs/>
          <w:color w:val="1F497D"/>
          <w:szCs w:val="24"/>
          <w:lang w:val="es-ES" w:eastAsia="es-ES"/>
        </w:rPr>
        <w:fldChar w:fldCharType="begin"/>
      </w:r>
      <w:r w:rsidRPr="00DD4859">
        <w:rPr>
          <w:rFonts w:ascii="Book Antiqua" w:eastAsia="Calibri" w:hAnsi="Book Antiqua" w:cs="Arial"/>
          <w:b/>
          <w:bCs/>
          <w:color w:val="1F497D"/>
          <w:szCs w:val="24"/>
          <w:lang w:val="es-ES" w:eastAsia="es-ES"/>
        </w:rPr>
        <w:instrText xml:space="preserve"> SEQ Cuadro \* ARABIC </w:instrText>
      </w:r>
      <w:r w:rsidRPr="00DD4859">
        <w:rPr>
          <w:rFonts w:ascii="Book Antiqua" w:eastAsia="Calibri" w:hAnsi="Book Antiqua" w:cs="Arial"/>
          <w:b/>
          <w:bCs/>
          <w:color w:val="1F497D"/>
          <w:szCs w:val="24"/>
          <w:lang w:val="es-ES" w:eastAsia="es-ES"/>
        </w:rPr>
        <w:fldChar w:fldCharType="separate"/>
      </w:r>
      <w:r w:rsidR="0059207A">
        <w:rPr>
          <w:rFonts w:ascii="Book Antiqua" w:eastAsia="Calibri" w:hAnsi="Book Antiqua" w:cs="Arial"/>
          <w:b/>
          <w:bCs/>
          <w:noProof/>
          <w:color w:val="1F497D"/>
          <w:szCs w:val="24"/>
          <w:lang w:val="es-ES" w:eastAsia="es-ES"/>
        </w:rPr>
        <w:t>72</w:t>
      </w:r>
      <w:r w:rsidRPr="00DD4859">
        <w:rPr>
          <w:rFonts w:ascii="Book Antiqua" w:eastAsia="Calibri" w:hAnsi="Book Antiqua" w:cs="Arial"/>
          <w:b/>
          <w:bCs/>
          <w:color w:val="1F497D"/>
          <w:szCs w:val="24"/>
          <w:lang w:val="es-ES" w:eastAsia="es-ES"/>
        </w:rPr>
        <w:fldChar w:fldCharType="end"/>
      </w:r>
      <w:r w:rsidRPr="00DD4859">
        <w:rPr>
          <w:rFonts w:ascii="Book Antiqua" w:eastAsia="Calibri" w:hAnsi="Book Antiqua" w:cs="Arial"/>
          <w:b/>
          <w:bCs/>
          <w:color w:val="1F497D"/>
          <w:szCs w:val="24"/>
          <w:lang w:val="es-ES" w:eastAsia="es-ES"/>
        </w:rPr>
        <w:t xml:space="preserve"> </w:t>
      </w:r>
    </w:p>
    <w:p w14:paraId="546B00B9" w14:textId="4912B488" w:rsidR="00DD4859" w:rsidRPr="00DD4859" w:rsidRDefault="00DD4859" w:rsidP="00DD485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D4859">
        <w:rPr>
          <w:rFonts w:ascii="Book Antiqua" w:eastAsia="Calibri" w:hAnsi="Book Antiqua" w:cs="Arial"/>
          <w:b/>
          <w:bCs/>
          <w:color w:val="1F497D"/>
          <w:szCs w:val="24"/>
          <w:lang w:val="es-ES" w:eastAsia="es-ES"/>
        </w:rPr>
        <w:t xml:space="preserve">Costo de </w:t>
      </w:r>
      <w:r>
        <w:rPr>
          <w:rFonts w:ascii="Book Antiqua" w:eastAsia="Calibri" w:hAnsi="Book Antiqua" w:cs="Arial"/>
          <w:b/>
          <w:bCs/>
          <w:color w:val="1F497D"/>
          <w:szCs w:val="24"/>
          <w:lang w:val="es-ES" w:eastAsia="es-ES"/>
        </w:rPr>
        <w:t xml:space="preserve">recurso humano </w:t>
      </w:r>
      <w:r w:rsidRPr="00DD4859">
        <w:rPr>
          <w:rFonts w:ascii="Book Antiqua" w:eastAsia="Calibri" w:hAnsi="Book Antiqua" w:cs="Arial"/>
          <w:b/>
          <w:bCs/>
          <w:color w:val="1F497D"/>
          <w:szCs w:val="24"/>
          <w:lang w:val="es-ES" w:eastAsia="es-ES"/>
        </w:rPr>
        <w:t>Juzgado Contravencional y Pensiones Alimentarias del Primer Circuito Judicial de Guanacaste</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DD4859" w:rsidRPr="00DD4859" w14:paraId="4FE7ED75" w14:textId="77777777" w:rsidTr="00035934">
        <w:trPr>
          <w:cantSplit/>
          <w:trHeight w:val="664"/>
          <w:tblHeader/>
        </w:trPr>
        <w:tc>
          <w:tcPr>
            <w:tcW w:w="1431" w:type="pct"/>
            <w:tcBorders>
              <w:bottom w:val="single" w:sz="4" w:space="0" w:color="auto"/>
              <w:right w:val="single" w:sz="4" w:space="0" w:color="auto"/>
            </w:tcBorders>
            <w:shd w:val="clear" w:color="auto" w:fill="auto"/>
            <w:vAlign w:val="bottom"/>
            <w:hideMark/>
          </w:tcPr>
          <w:p w14:paraId="756C897B" w14:textId="77777777" w:rsidR="00DD4859" w:rsidRPr="00DD4859" w:rsidRDefault="00DD4859" w:rsidP="00DD4859">
            <w:pPr>
              <w:spacing w:after="0" w:line="276" w:lineRule="auto"/>
              <w:rPr>
                <w:rFonts w:ascii="Book Antiqua" w:eastAsia="Times New Roman" w:hAnsi="Book Antiqua"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5FE32CB1"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293669A1"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277F0B79"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Costo del puesto anual</w:t>
            </w:r>
          </w:p>
        </w:tc>
      </w:tr>
      <w:tr w:rsidR="00DD4859" w:rsidRPr="00DD4859" w14:paraId="1EDA6E85" w14:textId="77777777" w:rsidTr="00035934">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0F8D8CCE" w14:textId="77777777" w:rsidR="00DD4859" w:rsidRPr="00DD4859" w:rsidRDefault="00DD4859" w:rsidP="00DD4859">
            <w:pPr>
              <w:spacing w:after="0" w:line="276" w:lineRule="auto"/>
              <w:rPr>
                <w:rFonts w:ascii="Book Antiqua" w:eastAsia="Times New Roman" w:hAnsi="Book Antiqua" w:cs="Times New Roman"/>
                <w:b/>
                <w:bCs/>
                <w:color w:val="FFFFFF"/>
                <w:lang w:eastAsia="es-CR"/>
              </w:rPr>
            </w:pPr>
            <w:r w:rsidRPr="00DD4859">
              <w:rPr>
                <w:rFonts w:ascii="Book Antiqua" w:eastAsia="Calibri" w:hAnsi="Book Antiqua" w:cs="Arial"/>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445F7282" w14:textId="14972A94"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Book Antiqua" w:eastAsia="Calibri" w:hAnsi="Book Antiqua" w:cs="Arial"/>
                <w:color w:val="000000"/>
              </w:rPr>
              <w:t xml:space="preserve">Técnico Judicial </w:t>
            </w:r>
            <w:r w:rsidR="00BE7BC2">
              <w:rPr>
                <w:rFonts w:ascii="Book Antiqua" w:eastAsia="Calibri" w:hAnsi="Book Antiqua" w:cs="Arial"/>
                <w:color w:val="000000"/>
              </w:rPr>
              <w:t>1</w:t>
            </w:r>
          </w:p>
        </w:tc>
        <w:tc>
          <w:tcPr>
            <w:tcW w:w="908" w:type="pct"/>
            <w:tcBorders>
              <w:top w:val="nil"/>
              <w:left w:val="nil"/>
              <w:bottom w:val="single" w:sz="4" w:space="0" w:color="auto"/>
              <w:right w:val="single" w:sz="4" w:space="0" w:color="auto"/>
            </w:tcBorders>
            <w:shd w:val="clear" w:color="auto" w:fill="auto"/>
            <w:vAlign w:val="center"/>
          </w:tcPr>
          <w:p w14:paraId="1CB8BD7F" w14:textId="77777777"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Book Antiqua" w:eastAsia="Calibri" w:hAnsi="Book Antiqua" w:cs="Arial"/>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764A638F" w14:textId="12D08866"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Times New Roman" w:eastAsia="Calibri" w:hAnsi="Times New Roman" w:cs="Times New Roman"/>
                <w:color w:val="000000"/>
              </w:rPr>
              <w:t>₡</w:t>
            </w:r>
            <w:r w:rsidRPr="00DD4859">
              <w:rPr>
                <w:rFonts w:ascii="Book Antiqua" w:eastAsia="Calibri" w:hAnsi="Book Antiqua" w:cs="Arial"/>
                <w:color w:val="000000"/>
              </w:rPr>
              <w:t>1</w:t>
            </w:r>
            <w:r w:rsidR="00715ECF">
              <w:rPr>
                <w:rFonts w:ascii="Book Antiqua" w:eastAsia="Calibri" w:hAnsi="Book Antiqua" w:cs="Arial"/>
                <w:color w:val="000000"/>
              </w:rPr>
              <w:t xml:space="preserve">5 381 </w:t>
            </w:r>
            <w:r w:rsidRPr="00DD4859">
              <w:rPr>
                <w:rFonts w:ascii="Book Antiqua" w:eastAsia="Calibri" w:hAnsi="Book Antiqua" w:cs="Arial"/>
                <w:color w:val="000000"/>
              </w:rPr>
              <w:t>000</w:t>
            </w:r>
          </w:p>
        </w:tc>
      </w:tr>
    </w:tbl>
    <w:p w14:paraId="562B46FA" w14:textId="2ADF390D" w:rsidR="00DD4859" w:rsidRDefault="00DD4859" w:rsidP="003A293B">
      <w:pPr>
        <w:jc w:val="both"/>
        <w:rPr>
          <w:rFonts w:ascii="Book Antiqua" w:eastAsia="Calibri" w:hAnsi="Book Antiqua" w:cs="Arial"/>
          <w:i/>
          <w:iCs/>
          <w:sz w:val="20"/>
          <w:szCs w:val="20"/>
        </w:rPr>
      </w:pPr>
      <w:r w:rsidRPr="009B6BF6">
        <w:rPr>
          <w:rFonts w:ascii="Book Antiqua" w:eastAsia="Calibri" w:hAnsi="Book Antiqua" w:cs="Arial"/>
          <w:b/>
          <w:bCs/>
          <w:i/>
          <w:iCs/>
          <w:sz w:val="20"/>
          <w:szCs w:val="20"/>
        </w:rPr>
        <w:t>Fuente:</w:t>
      </w:r>
      <w:r w:rsidRPr="001D0C10">
        <w:rPr>
          <w:rFonts w:ascii="Book Antiqua" w:eastAsia="Calibri" w:hAnsi="Book Antiqua" w:cs="Arial"/>
          <w:i/>
          <w:iCs/>
          <w:sz w:val="20"/>
          <w:szCs w:val="20"/>
        </w:rPr>
        <w:t xml:space="preserve"> Modernización Institucional</w:t>
      </w:r>
      <w:r>
        <w:rPr>
          <w:rFonts w:ascii="Book Antiqua" w:eastAsia="Calibri" w:hAnsi="Book Antiqua" w:cs="Arial"/>
          <w:i/>
          <w:iCs/>
          <w:sz w:val="20"/>
          <w:szCs w:val="20"/>
        </w:rPr>
        <w:t>.</w:t>
      </w:r>
    </w:p>
    <w:p w14:paraId="14165356" w14:textId="72F73F37" w:rsidR="00DD4859" w:rsidRPr="004069D9" w:rsidRDefault="00DD4859" w:rsidP="001D0C10">
      <w:pPr>
        <w:jc w:val="both"/>
        <w:rPr>
          <w:rFonts w:ascii="Book Antiqua" w:eastAsia="Calibri" w:hAnsi="Book Antiqua" w:cs="Arial"/>
          <w:sz w:val="24"/>
          <w:szCs w:val="24"/>
        </w:rPr>
      </w:pPr>
      <w:r w:rsidRPr="00DD4859">
        <w:rPr>
          <w:rFonts w:ascii="Book Antiqua" w:eastAsia="Calibri" w:hAnsi="Book Antiqua" w:cs="Arial"/>
          <w:sz w:val="24"/>
          <w:szCs w:val="24"/>
        </w:rPr>
        <w:t xml:space="preserve">El costo anual para hacerle frente a la inclusión del nuevo puesto extraordinario es de </w:t>
      </w:r>
      <w:r w:rsidRPr="00DD4859">
        <w:rPr>
          <w:rFonts w:ascii="Times New Roman" w:eastAsia="Calibri" w:hAnsi="Times New Roman" w:cs="Times New Roman"/>
          <w:sz w:val="24"/>
          <w:szCs w:val="24"/>
        </w:rPr>
        <w:t>₡</w:t>
      </w:r>
      <w:r w:rsidRPr="00DD4859">
        <w:rPr>
          <w:rFonts w:ascii="Book Antiqua" w:eastAsia="Calibri" w:hAnsi="Book Antiqua" w:cs="Arial"/>
          <w:sz w:val="24"/>
          <w:szCs w:val="24"/>
        </w:rPr>
        <w:t>1</w:t>
      </w:r>
      <w:r w:rsidR="00715ECF">
        <w:rPr>
          <w:rFonts w:ascii="Book Antiqua" w:eastAsia="Calibri" w:hAnsi="Book Antiqua" w:cs="Arial"/>
          <w:sz w:val="24"/>
          <w:szCs w:val="24"/>
        </w:rPr>
        <w:t>5 3</w:t>
      </w:r>
      <w:r>
        <w:rPr>
          <w:rFonts w:ascii="Book Antiqua" w:eastAsia="Calibri" w:hAnsi="Book Antiqua" w:cs="Arial"/>
          <w:sz w:val="24"/>
          <w:szCs w:val="24"/>
        </w:rPr>
        <w:t>8</w:t>
      </w:r>
      <w:r w:rsidR="00715ECF">
        <w:rPr>
          <w:rFonts w:ascii="Book Antiqua" w:eastAsia="Calibri" w:hAnsi="Book Antiqua" w:cs="Arial"/>
          <w:sz w:val="24"/>
          <w:szCs w:val="24"/>
        </w:rPr>
        <w:t xml:space="preserve">1 </w:t>
      </w:r>
      <w:r w:rsidRPr="00DD4859">
        <w:rPr>
          <w:rFonts w:ascii="Book Antiqua" w:eastAsia="Calibri" w:hAnsi="Book Antiqua" w:cs="Arial"/>
          <w:sz w:val="24"/>
          <w:szCs w:val="24"/>
        </w:rPr>
        <w:t>000.</w:t>
      </w:r>
    </w:p>
    <w:p w14:paraId="560CE35F" w14:textId="3434B80F" w:rsidR="000047FE" w:rsidRDefault="00BB6640" w:rsidP="000047FE">
      <w:pPr>
        <w:pStyle w:val="Ttulo1"/>
        <w:numPr>
          <w:ilvl w:val="0"/>
          <w:numId w:val="22"/>
        </w:numPr>
        <w:spacing w:line="276" w:lineRule="auto"/>
        <w:ind w:left="360" w:hanging="360"/>
      </w:pPr>
      <w:r>
        <w:t>Otras consideraciones</w:t>
      </w:r>
    </w:p>
    <w:p w14:paraId="6CCC27C0" w14:textId="654B23BA" w:rsidR="003C1C29" w:rsidRDefault="003C1C29" w:rsidP="00833E7E">
      <w:pPr>
        <w:pStyle w:val="Ttulo"/>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A partir del análisis realizado en 202</w:t>
      </w:r>
      <w:r w:rsidR="00494831">
        <w:rPr>
          <w:rFonts w:eastAsia="Calibri" w:cs="Arial"/>
          <w:b w:val="0"/>
          <w:color w:val="auto"/>
          <w:spacing w:val="0"/>
          <w:szCs w:val="24"/>
          <w:lang w:val="es-CR" w:eastAsia="en-US"/>
        </w:rPr>
        <w:t>2</w:t>
      </w:r>
      <w:r w:rsidRPr="001D0C10">
        <w:rPr>
          <w:rFonts w:eastAsia="Calibri" w:cs="Arial"/>
          <w:b w:val="0"/>
          <w:color w:val="auto"/>
          <w:spacing w:val="0"/>
          <w:szCs w:val="24"/>
          <w:lang w:val="es-CR" w:eastAsia="en-US"/>
        </w:rPr>
        <w:t xml:space="preserve"> mediante el informe </w:t>
      </w:r>
      <w:r w:rsidR="00833E7E" w:rsidRPr="001D0C10">
        <w:rPr>
          <w:rFonts w:eastAsia="Calibri" w:cs="Arial"/>
          <w:b w:val="0"/>
          <w:color w:val="auto"/>
          <w:spacing w:val="0"/>
          <w:szCs w:val="24"/>
          <w:lang w:val="es-CR" w:eastAsia="en-US"/>
        </w:rPr>
        <w:t>3</w:t>
      </w:r>
      <w:r w:rsidR="00494831">
        <w:rPr>
          <w:rFonts w:eastAsia="Calibri" w:cs="Arial"/>
          <w:b w:val="0"/>
          <w:color w:val="auto"/>
          <w:spacing w:val="0"/>
          <w:szCs w:val="24"/>
          <w:lang w:val="es-CR" w:eastAsia="en-US"/>
        </w:rPr>
        <w:t>14</w:t>
      </w:r>
      <w:r w:rsidRPr="001D0C10">
        <w:rPr>
          <w:rFonts w:eastAsia="Calibri" w:cs="Arial"/>
          <w:b w:val="0"/>
          <w:color w:val="auto"/>
          <w:spacing w:val="0"/>
          <w:szCs w:val="24"/>
          <w:lang w:val="es-CR" w:eastAsia="en-US"/>
        </w:rPr>
        <w:t>-PLA-</w:t>
      </w:r>
      <w:r w:rsidR="00A958BE" w:rsidRPr="001D0C10">
        <w:rPr>
          <w:rFonts w:eastAsia="Calibri" w:cs="Arial"/>
          <w:b w:val="0"/>
          <w:color w:val="auto"/>
          <w:spacing w:val="0"/>
          <w:szCs w:val="24"/>
          <w:lang w:val="es-CR" w:eastAsia="en-US"/>
        </w:rPr>
        <w:t>MI-</w:t>
      </w:r>
      <w:r w:rsidR="00494831">
        <w:rPr>
          <w:rFonts w:eastAsia="Calibri" w:cs="Arial"/>
          <w:b w:val="0"/>
          <w:color w:val="auto"/>
          <w:spacing w:val="0"/>
          <w:szCs w:val="24"/>
          <w:lang w:val="es-CR" w:eastAsia="en-US"/>
        </w:rPr>
        <w:t>RH-</w:t>
      </w:r>
      <w:r w:rsidRPr="001D0C10">
        <w:rPr>
          <w:rFonts w:eastAsia="Calibri" w:cs="Arial"/>
          <w:b w:val="0"/>
          <w:color w:val="auto"/>
          <w:spacing w:val="0"/>
          <w:szCs w:val="24"/>
          <w:lang w:val="es-CR" w:eastAsia="en-US"/>
        </w:rPr>
        <w:t>202</w:t>
      </w:r>
      <w:r w:rsidR="00494831">
        <w:rPr>
          <w:rFonts w:eastAsia="Calibri" w:cs="Arial"/>
          <w:b w:val="0"/>
          <w:color w:val="auto"/>
          <w:spacing w:val="0"/>
          <w:szCs w:val="24"/>
          <w:lang w:val="es-CR" w:eastAsia="en-US"/>
        </w:rPr>
        <w:t>2</w:t>
      </w:r>
      <w:r w:rsidR="00005CDE">
        <w:rPr>
          <w:rFonts w:eastAsia="Calibri" w:cs="Arial"/>
          <w:b w:val="0"/>
          <w:color w:val="auto"/>
          <w:spacing w:val="0"/>
          <w:szCs w:val="24"/>
          <w:lang w:val="es-CR" w:eastAsia="en-US"/>
        </w:rPr>
        <w:t xml:space="preserve"> para la formulación del presupuesto 202</w:t>
      </w:r>
      <w:r w:rsidR="00494831">
        <w:rPr>
          <w:rFonts w:eastAsia="Calibri" w:cs="Arial"/>
          <w:b w:val="0"/>
          <w:color w:val="auto"/>
          <w:spacing w:val="0"/>
          <w:szCs w:val="24"/>
          <w:lang w:val="es-CR" w:eastAsia="en-US"/>
        </w:rPr>
        <w:t>3</w:t>
      </w:r>
      <w:r w:rsidRPr="001D0C10">
        <w:rPr>
          <w:rFonts w:eastAsia="Calibri" w:cs="Arial"/>
          <w:b w:val="0"/>
          <w:color w:val="auto"/>
          <w:spacing w:val="0"/>
          <w:szCs w:val="24"/>
          <w:lang w:val="es-CR" w:eastAsia="en-US"/>
        </w:rPr>
        <w:t xml:space="preserve">, se solicitó a las distintas dependencias administrativas </w:t>
      </w:r>
      <w:bookmarkStart w:id="84" w:name="_Hlk97182007"/>
      <w:r w:rsidRPr="001D0C10">
        <w:rPr>
          <w:rFonts w:eastAsia="Calibri" w:cs="Arial"/>
          <w:b w:val="0"/>
          <w:color w:val="auto"/>
          <w:spacing w:val="0"/>
          <w:szCs w:val="24"/>
          <w:lang w:val="es-CR" w:eastAsia="en-US"/>
        </w:rPr>
        <w:t xml:space="preserve">actualizar para </w:t>
      </w:r>
      <w:r w:rsidR="00005CDE">
        <w:rPr>
          <w:rFonts w:eastAsia="Calibri" w:cs="Arial"/>
          <w:b w:val="0"/>
          <w:color w:val="auto"/>
          <w:spacing w:val="0"/>
          <w:szCs w:val="24"/>
          <w:lang w:val="es-CR" w:eastAsia="en-US"/>
        </w:rPr>
        <w:t xml:space="preserve">el presente informe, que corresponde a la formulación para </w:t>
      </w:r>
      <w:r w:rsidRPr="001D0C10">
        <w:rPr>
          <w:rFonts w:eastAsia="Calibri" w:cs="Arial"/>
          <w:b w:val="0"/>
          <w:color w:val="auto"/>
          <w:spacing w:val="0"/>
          <w:szCs w:val="24"/>
          <w:lang w:val="es-CR" w:eastAsia="en-US"/>
        </w:rPr>
        <w:t>202</w:t>
      </w:r>
      <w:r w:rsidR="00494831">
        <w:rPr>
          <w:rFonts w:eastAsia="Calibri" w:cs="Arial"/>
          <w:b w:val="0"/>
          <w:color w:val="auto"/>
          <w:spacing w:val="0"/>
          <w:szCs w:val="24"/>
          <w:lang w:val="es-CR" w:eastAsia="en-US"/>
        </w:rPr>
        <w:t>4</w:t>
      </w:r>
      <w:r w:rsidR="00005CDE">
        <w:rPr>
          <w:rFonts w:eastAsia="Calibri" w:cs="Arial"/>
          <w:b w:val="0"/>
          <w:color w:val="auto"/>
          <w:spacing w:val="0"/>
          <w:szCs w:val="24"/>
          <w:lang w:val="es-CR" w:eastAsia="en-US"/>
        </w:rPr>
        <w:t>,</w:t>
      </w:r>
      <w:r w:rsidR="00833E7E" w:rsidRPr="001D0C10">
        <w:rPr>
          <w:rFonts w:eastAsia="Calibri" w:cs="Arial"/>
          <w:b w:val="0"/>
          <w:color w:val="auto"/>
          <w:spacing w:val="0"/>
          <w:szCs w:val="24"/>
          <w:lang w:val="es-CR" w:eastAsia="en-US"/>
        </w:rPr>
        <w:t xml:space="preserve"> </w:t>
      </w:r>
      <w:r w:rsidRPr="001D0C10">
        <w:rPr>
          <w:rFonts w:eastAsia="Calibri" w:cs="Arial"/>
          <w:b w:val="0"/>
          <w:color w:val="auto"/>
          <w:spacing w:val="0"/>
          <w:szCs w:val="24"/>
          <w:lang w:val="es-CR" w:eastAsia="en-US"/>
        </w:rPr>
        <w:t>los requerimientos de presupuesto de cada una.</w:t>
      </w:r>
    </w:p>
    <w:bookmarkEnd w:id="84"/>
    <w:p w14:paraId="533CA029" w14:textId="06F12AB3" w:rsidR="00833E7E" w:rsidRPr="00AA01E7" w:rsidRDefault="00833E7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Ejecutiva</w:t>
      </w:r>
    </w:p>
    <w:p w14:paraId="3A29AB80" w14:textId="0EA6967A" w:rsidR="00B90E2C" w:rsidRDefault="00B90E2C" w:rsidP="00E728EE">
      <w:pPr>
        <w:spacing w:after="0" w:line="276" w:lineRule="auto"/>
        <w:jc w:val="both"/>
        <w:rPr>
          <w:rFonts w:ascii="Book Antiqua" w:eastAsia="Calibri" w:hAnsi="Book Antiqua" w:cs="Arial"/>
          <w:sz w:val="24"/>
          <w:szCs w:val="24"/>
        </w:rPr>
      </w:pPr>
    </w:p>
    <w:p w14:paraId="1F14C374" w14:textId="0BD62815" w:rsidR="00F875F6" w:rsidRDefault="00D4318D" w:rsidP="00E728E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Dirección Ejecutiva mediante oficio </w:t>
      </w:r>
      <w:r w:rsidR="00B15C34">
        <w:rPr>
          <w:rFonts w:ascii="Book Antiqua" w:eastAsia="Calibri" w:hAnsi="Book Antiqua" w:cs="Arial"/>
          <w:sz w:val="24"/>
          <w:szCs w:val="24"/>
        </w:rPr>
        <w:t>622-DE-2023</w:t>
      </w:r>
      <w:r w:rsidR="00F875F6">
        <w:rPr>
          <w:rFonts w:ascii="Book Antiqua" w:eastAsia="Calibri" w:hAnsi="Book Antiqua" w:cs="Arial"/>
          <w:sz w:val="24"/>
          <w:szCs w:val="24"/>
        </w:rPr>
        <w:t xml:space="preserve"> (</w:t>
      </w:r>
      <w:r w:rsidR="00F875F6" w:rsidRPr="00612E7C">
        <w:rPr>
          <w:rFonts w:ascii="Book Antiqua" w:eastAsia="Calibri" w:hAnsi="Book Antiqua" w:cs="Arial"/>
          <w:b/>
          <w:bCs/>
          <w:sz w:val="24"/>
          <w:szCs w:val="24"/>
        </w:rPr>
        <w:t>anexo 2</w:t>
      </w:r>
      <w:r w:rsidR="00606C65">
        <w:rPr>
          <w:rFonts w:ascii="Book Antiqua" w:eastAsia="Calibri" w:hAnsi="Book Antiqua" w:cs="Arial"/>
          <w:b/>
          <w:bCs/>
          <w:sz w:val="24"/>
          <w:szCs w:val="24"/>
        </w:rPr>
        <w:t>4</w:t>
      </w:r>
      <w:r w:rsidR="00F875F6">
        <w:rPr>
          <w:rFonts w:ascii="Book Antiqua" w:eastAsia="Calibri" w:hAnsi="Book Antiqua" w:cs="Arial"/>
          <w:sz w:val="24"/>
          <w:szCs w:val="24"/>
        </w:rPr>
        <w:t>) indicó:</w:t>
      </w:r>
    </w:p>
    <w:p w14:paraId="66E54C06" w14:textId="77777777" w:rsidR="00F875F6" w:rsidRDefault="00F875F6" w:rsidP="00E728EE">
      <w:pPr>
        <w:spacing w:after="0" w:line="276" w:lineRule="auto"/>
        <w:jc w:val="both"/>
        <w:rPr>
          <w:rFonts w:ascii="Book Antiqua" w:eastAsia="Calibri" w:hAnsi="Book Antiqua" w:cs="Arial"/>
          <w:sz w:val="24"/>
          <w:szCs w:val="24"/>
        </w:rPr>
      </w:pPr>
    </w:p>
    <w:p w14:paraId="36F0350A" w14:textId="59BA374F" w:rsidR="00F875F6" w:rsidRDefault="00606C65" w:rsidP="00E728E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w:t>
      </w:r>
    </w:p>
    <w:p w14:paraId="0523962A" w14:textId="77777777" w:rsidR="00606C65" w:rsidRDefault="00606C65" w:rsidP="00E728EE">
      <w:pPr>
        <w:spacing w:after="0" w:line="276" w:lineRule="auto"/>
        <w:jc w:val="both"/>
        <w:rPr>
          <w:rFonts w:ascii="Book Antiqua" w:eastAsia="Calibri" w:hAnsi="Book Antiqua" w:cs="Arial"/>
          <w:sz w:val="24"/>
          <w:szCs w:val="24"/>
        </w:rPr>
      </w:pPr>
    </w:p>
    <w:p w14:paraId="34E75190" w14:textId="1231B697" w:rsidR="00606C65" w:rsidRDefault="00D60016" w:rsidP="00DC6400">
      <w:pPr>
        <w:spacing w:after="0" w:line="276" w:lineRule="auto"/>
        <w:ind w:left="567" w:right="567"/>
        <w:jc w:val="both"/>
        <w:rPr>
          <w:rFonts w:ascii="Book Antiqua" w:eastAsia="Calibri" w:hAnsi="Book Antiqua" w:cs="Arial"/>
          <w:i/>
          <w:iCs/>
          <w:sz w:val="24"/>
          <w:szCs w:val="24"/>
        </w:rPr>
      </w:pPr>
      <w:r w:rsidRPr="00D60016">
        <w:rPr>
          <w:rFonts w:ascii="Book Antiqua" w:eastAsia="Calibri" w:hAnsi="Book Antiqua" w:cs="Arial"/>
          <w:i/>
          <w:iCs/>
          <w:sz w:val="24"/>
          <w:szCs w:val="24"/>
        </w:rPr>
        <w:t>A continuación, se presenta el monto actualizado para los Programas 926 y 927 y se adjunta el desglose total, así como por artículo y subpartida (Presupuesto 2024)</w:t>
      </w:r>
      <w:r w:rsidR="003100D2" w:rsidRPr="00612E7C">
        <w:rPr>
          <w:rFonts w:ascii="Book Antiqua" w:eastAsia="Calibri" w:hAnsi="Book Antiqua" w:cs="Arial"/>
          <w:i/>
          <w:iCs/>
          <w:sz w:val="24"/>
          <w:szCs w:val="24"/>
        </w:rPr>
        <w:t>:</w:t>
      </w:r>
    </w:p>
    <w:p w14:paraId="617CF165" w14:textId="77777777" w:rsidR="00DC6400" w:rsidRDefault="00DC6400" w:rsidP="00DC6400">
      <w:pPr>
        <w:spacing w:after="0" w:line="276" w:lineRule="auto"/>
        <w:ind w:left="567" w:right="567"/>
        <w:jc w:val="both"/>
        <w:rPr>
          <w:rFonts w:ascii="Book Antiqua" w:eastAsia="Calibri" w:hAnsi="Book Antiqua" w:cs="Arial"/>
          <w:i/>
          <w:iCs/>
          <w:sz w:val="24"/>
          <w:szCs w:val="24"/>
        </w:rPr>
      </w:pPr>
    </w:p>
    <w:tbl>
      <w:tblPr>
        <w:tblW w:w="3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2130"/>
      </w:tblGrid>
      <w:tr w:rsidR="00E96539" w:rsidRPr="00E96539" w14:paraId="00802239" w14:textId="77777777" w:rsidTr="002455C0">
        <w:trPr>
          <w:trHeight w:val="300"/>
          <w:jc w:val="center"/>
        </w:trPr>
        <w:tc>
          <w:tcPr>
            <w:tcW w:w="1555" w:type="dxa"/>
            <w:shd w:val="clear" w:color="000000" w:fill="FFE699"/>
            <w:noWrap/>
            <w:vAlign w:val="center"/>
            <w:hideMark/>
          </w:tcPr>
          <w:p w14:paraId="16C4CA3A" w14:textId="77777777" w:rsidR="00E96539" w:rsidRPr="00E96539" w:rsidRDefault="00E96539" w:rsidP="00E96539">
            <w:pPr>
              <w:spacing w:after="0" w:line="240" w:lineRule="auto"/>
              <w:jc w:val="center"/>
              <w:rPr>
                <w:rFonts w:ascii="Arial" w:eastAsia="Times New Roman" w:hAnsi="Arial" w:cs="Arial"/>
                <w:b/>
                <w:bCs/>
                <w:color w:val="000000"/>
                <w:sz w:val="24"/>
                <w:szCs w:val="24"/>
                <w:lang w:eastAsia="es-CR"/>
              </w:rPr>
            </w:pPr>
            <w:r w:rsidRPr="00E96539">
              <w:rPr>
                <w:rFonts w:ascii="Arial" w:eastAsia="Times New Roman" w:hAnsi="Arial" w:cs="Arial"/>
                <w:b/>
                <w:bCs/>
                <w:color w:val="000000"/>
                <w:sz w:val="24"/>
                <w:szCs w:val="24"/>
                <w:lang w:eastAsia="es-CR"/>
              </w:rPr>
              <w:t>Programa</w:t>
            </w:r>
          </w:p>
        </w:tc>
        <w:tc>
          <w:tcPr>
            <w:tcW w:w="2130" w:type="dxa"/>
            <w:shd w:val="clear" w:color="000000" w:fill="FFE699"/>
            <w:noWrap/>
            <w:vAlign w:val="center"/>
            <w:hideMark/>
          </w:tcPr>
          <w:p w14:paraId="168ED4A3" w14:textId="77777777" w:rsidR="00E96539" w:rsidRPr="00E96539" w:rsidRDefault="00E96539" w:rsidP="00E96539">
            <w:pPr>
              <w:spacing w:after="0" w:line="240" w:lineRule="auto"/>
              <w:jc w:val="center"/>
              <w:rPr>
                <w:rFonts w:ascii="Arial" w:eastAsia="Times New Roman" w:hAnsi="Arial" w:cs="Arial"/>
                <w:b/>
                <w:bCs/>
                <w:color w:val="000000"/>
                <w:sz w:val="24"/>
                <w:szCs w:val="24"/>
                <w:lang w:eastAsia="es-CR"/>
              </w:rPr>
            </w:pPr>
            <w:r w:rsidRPr="00E96539">
              <w:rPr>
                <w:rFonts w:ascii="Arial" w:eastAsia="Times New Roman" w:hAnsi="Arial" w:cs="Arial"/>
                <w:b/>
                <w:bCs/>
                <w:color w:val="000000"/>
                <w:sz w:val="24"/>
                <w:szCs w:val="24"/>
                <w:lang w:eastAsia="es-CR"/>
              </w:rPr>
              <w:t>Monto total</w:t>
            </w:r>
          </w:p>
        </w:tc>
      </w:tr>
      <w:tr w:rsidR="00E96539" w:rsidRPr="00E96539" w14:paraId="1264EFD5" w14:textId="77777777" w:rsidTr="002455C0">
        <w:trPr>
          <w:trHeight w:val="288"/>
          <w:jc w:val="center"/>
        </w:trPr>
        <w:tc>
          <w:tcPr>
            <w:tcW w:w="1555" w:type="dxa"/>
            <w:shd w:val="clear" w:color="000000" w:fill="FFFFFF"/>
            <w:noWrap/>
            <w:vAlign w:val="center"/>
            <w:hideMark/>
          </w:tcPr>
          <w:p w14:paraId="4EAD903D" w14:textId="77777777" w:rsidR="00E96539" w:rsidRPr="00E96539" w:rsidRDefault="00E96539" w:rsidP="00E96539">
            <w:pPr>
              <w:spacing w:after="0" w:line="240" w:lineRule="auto"/>
              <w:jc w:val="center"/>
              <w:rPr>
                <w:rFonts w:ascii="Arial" w:eastAsia="Times New Roman" w:hAnsi="Arial" w:cs="Arial"/>
                <w:color w:val="000000"/>
                <w:sz w:val="24"/>
                <w:szCs w:val="24"/>
                <w:lang w:eastAsia="es-CR"/>
              </w:rPr>
            </w:pPr>
            <w:r w:rsidRPr="00E96539">
              <w:rPr>
                <w:rFonts w:ascii="Arial" w:eastAsia="Times New Roman" w:hAnsi="Arial" w:cs="Arial"/>
                <w:color w:val="000000"/>
                <w:sz w:val="24"/>
                <w:szCs w:val="24"/>
                <w:lang w:eastAsia="es-CR"/>
              </w:rPr>
              <w:t>926</w:t>
            </w:r>
          </w:p>
        </w:tc>
        <w:tc>
          <w:tcPr>
            <w:tcW w:w="2130" w:type="dxa"/>
            <w:shd w:val="clear" w:color="000000" w:fill="FFFFFF"/>
            <w:noWrap/>
            <w:vAlign w:val="center"/>
            <w:hideMark/>
          </w:tcPr>
          <w:p w14:paraId="73836274" w14:textId="77777777" w:rsidR="00E96539" w:rsidRPr="00E96539" w:rsidRDefault="00E96539" w:rsidP="00E96539">
            <w:pPr>
              <w:spacing w:after="0" w:line="240" w:lineRule="auto"/>
              <w:jc w:val="right"/>
              <w:rPr>
                <w:rFonts w:ascii="Arial" w:eastAsia="Times New Roman" w:hAnsi="Arial" w:cs="Arial"/>
                <w:color w:val="000000"/>
                <w:sz w:val="24"/>
                <w:szCs w:val="24"/>
                <w:lang w:eastAsia="es-CR"/>
              </w:rPr>
            </w:pPr>
            <w:r w:rsidRPr="00E96539">
              <w:rPr>
                <w:rFonts w:ascii="Arial" w:eastAsia="Times New Roman" w:hAnsi="Arial" w:cs="Arial"/>
                <w:color w:val="000000"/>
                <w:sz w:val="24"/>
                <w:szCs w:val="24"/>
                <w:lang w:eastAsia="es-CR"/>
              </w:rPr>
              <w:t>₡449.772,50</w:t>
            </w:r>
          </w:p>
        </w:tc>
      </w:tr>
      <w:tr w:rsidR="00E96539" w:rsidRPr="00E96539" w14:paraId="0D0A9776" w14:textId="77777777" w:rsidTr="002455C0">
        <w:trPr>
          <w:trHeight w:val="300"/>
          <w:jc w:val="center"/>
        </w:trPr>
        <w:tc>
          <w:tcPr>
            <w:tcW w:w="1555" w:type="dxa"/>
            <w:shd w:val="clear" w:color="000000" w:fill="FFFFFF"/>
            <w:noWrap/>
            <w:vAlign w:val="center"/>
            <w:hideMark/>
          </w:tcPr>
          <w:p w14:paraId="4551833D" w14:textId="77777777" w:rsidR="00E96539" w:rsidRPr="00E96539" w:rsidRDefault="00E96539" w:rsidP="00E96539">
            <w:pPr>
              <w:spacing w:after="0" w:line="240" w:lineRule="auto"/>
              <w:jc w:val="center"/>
              <w:rPr>
                <w:rFonts w:ascii="Arial" w:eastAsia="Times New Roman" w:hAnsi="Arial" w:cs="Arial"/>
                <w:color w:val="000000"/>
                <w:sz w:val="24"/>
                <w:szCs w:val="24"/>
                <w:lang w:eastAsia="es-CR"/>
              </w:rPr>
            </w:pPr>
            <w:r w:rsidRPr="00E96539">
              <w:rPr>
                <w:rFonts w:ascii="Arial" w:eastAsia="Times New Roman" w:hAnsi="Arial" w:cs="Arial"/>
                <w:color w:val="000000"/>
                <w:sz w:val="24"/>
                <w:szCs w:val="24"/>
                <w:lang w:eastAsia="es-CR"/>
              </w:rPr>
              <w:t>927</w:t>
            </w:r>
          </w:p>
        </w:tc>
        <w:tc>
          <w:tcPr>
            <w:tcW w:w="2130" w:type="dxa"/>
            <w:shd w:val="clear" w:color="000000" w:fill="FFFFFF"/>
            <w:noWrap/>
            <w:vAlign w:val="center"/>
            <w:hideMark/>
          </w:tcPr>
          <w:p w14:paraId="6324923A" w14:textId="77777777" w:rsidR="00E96539" w:rsidRPr="00E96539" w:rsidRDefault="00E96539" w:rsidP="00E96539">
            <w:pPr>
              <w:spacing w:after="0" w:line="240" w:lineRule="auto"/>
              <w:jc w:val="right"/>
              <w:rPr>
                <w:rFonts w:ascii="Arial" w:eastAsia="Times New Roman" w:hAnsi="Arial" w:cs="Arial"/>
                <w:color w:val="000000"/>
                <w:sz w:val="24"/>
                <w:szCs w:val="24"/>
                <w:lang w:eastAsia="es-CR"/>
              </w:rPr>
            </w:pPr>
            <w:r w:rsidRPr="00E96539">
              <w:rPr>
                <w:rFonts w:ascii="Arial" w:eastAsia="Times New Roman" w:hAnsi="Arial" w:cs="Arial"/>
                <w:color w:val="000000"/>
                <w:sz w:val="24"/>
                <w:szCs w:val="24"/>
                <w:lang w:eastAsia="es-CR"/>
              </w:rPr>
              <w:t>₡63.883.225,80</w:t>
            </w:r>
          </w:p>
        </w:tc>
      </w:tr>
      <w:tr w:rsidR="00E96539" w:rsidRPr="00E96539" w14:paraId="73E5D30B" w14:textId="77777777" w:rsidTr="002455C0">
        <w:trPr>
          <w:trHeight w:val="300"/>
          <w:jc w:val="center"/>
        </w:trPr>
        <w:tc>
          <w:tcPr>
            <w:tcW w:w="1555" w:type="dxa"/>
            <w:shd w:val="clear" w:color="000000" w:fill="FFFFFF"/>
            <w:noWrap/>
            <w:vAlign w:val="center"/>
          </w:tcPr>
          <w:p w14:paraId="6A613BEB" w14:textId="77777777" w:rsidR="00E96539" w:rsidRPr="00E96539" w:rsidRDefault="00E96539" w:rsidP="00E96539">
            <w:pPr>
              <w:spacing w:after="0" w:line="240" w:lineRule="auto"/>
              <w:rPr>
                <w:rFonts w:ascii="Arial" w:eastAsia="Times New Roman" w:hAnsi="Arial" w:cs="Arial"/>
                <w:b/>
                <w:bCs/>
                <w:color w:val="000000"/>
                <w:sz w:val="24"/>
                <w:szCs w:val="24"/>
                <w:lang w:eastAsia="es-CR"/>
              </w:rPr>
            </w:pPr>
            <w:r w:rsidRPr="00E96539">
              <w:rPr>
                <w:rFonts w:ascii="Arial" w:eastAsia="Times New Roman" w:hAnsi="Arial" w:cs="Arial"/>
                <w:b/>
                <w:bCs/>
                <w:color w:val="000000"/>
                <w:sz w:val="24"/>
                <w:szCs w:val="24"/>
                <w:lang w:eastAsia="es-CR"/>
              </w:rPr>
              <w:t>Total</w:t>
            </w:r>
          </w:p>
        </w:tc>
        <w:tc>
          <w:tcPr>
            <w:tcW w:w="2130" w:type="dxa"/>
            <w:shd w:val="clear" w:color="000000" w:fill="FFFFFF"/>
            <w:noWrap/>
            <w:vAlign w:val="center"/>
          </w:tcPr>
          <w:p w14:paraId="2F448D19" w14:textId="77777777" w:rsidR="00E96539" w:rsidRPr="00E96539" w:rsidRDefault="00E96539" w:rsidP="00E96539">
            <w:pPr>
              <w:spacing w:after="0" w:line="240" w:lineRule="auto"/>
              <w:jc w:val="right"/>
              <w:rPr>
                <w:rFonts w:ascii="Arial" w:eastAsia="Times New Roman" w:hAnsi="Arial" w:cs="Arial"/>
                <w:b/>
                <w:bCs/>
                <w:sz w:val="24"/>
                <w:szCs w:val="24"/>
                <w:u w:val="single"/>
                <w:lang w:eastAsia="es-CR"/>
              </w:rPr>
            </w:pPr>
            <w:r w:rsidRPr="00E96539">
              <w:rPr>
                <w:rFonts w:ascii="Arial" w:eastAsia="Times New Roman" w:hAnsi="Arial" w:cs="Arial"/>
                <w:b/>
                <w:bCs/>
                <w:color w:val="000000"/>
                <w:sz w:val="24"/>
                <w:szCs w:val="24"/>
                <w:u w:val="single"/>
                <w:lang w:eastAsia="es-ES"/>
              </w:rPr>
              <w:t xml:space="preserve">₡64.332.998,30 </w:t>
            </w:r>
          </w:p>
        </w:tc>
      </w:tr>
    </w:tbl>
    <w:p w14:paraId="6BED71D2" w14:textId="77777777" w:rsidR="00DC6400" w:rsidRDefault="00DC6400" w:rsidP="00DC6400">
      <w:pPr>
        <w:spacing w:after="0" w:line="276" w:lineRule="auto"/>
        <w:ind w:left="567" w:right="567"/>
        <w:jc w:val="both"/>
        <w:rPr>
          <w:rFonts w:ascii="Book Antiqua" w:eastAsia="Calibri" w:hAnsi="Book Antiqua" w:cs="Arial"/>
          <w:i/>
          <w:iCs/>
          <w:sz w:val="24"/>
          <w:szCs w:val="24"/>
        </w:rPr>
      </w:pPr>
    </w:p>
    <w:p w14:paraId="3CEF21D3" w14:textId="1F81AA2E" w:rsidR="00D60016" w:rsidRDefault="00D60016" w:rsidP="00D60016">
      <w:pPr>
        <w:spacing w:after="0" w:line="276" w:lineRule="auto"/>
        <w:ind w:left="567" w:right="567"/>
        <w:jc w:val="right"/>
        <w:rPr>
          <w:rFonts w:ascii="Book Antiqua" w:eastAsia="Calibri" w:hAnsi="Book Antiqua" w:cs="Arial"/>
          <w:i/>
          <w:iCs/>
          <w:sz w:val="24"/>
          <w:szCs w:val="24"/>
        </w:rPr>
      </w:pPr>
      <w:r>
        <w:rPr>
          <w:rFonts w:ascii="Book Antiqua" w:eastAsia="Calibri" w:hAnsi="Book Antiqua" w:cs="Arial"/>
          <w:i/>
          <w:iCs/>
          <w:sz w:val="24"/>
          <w:szCs w:val="24"/>
        </w:rPr>
        <w:t>(…)</w:t>
      </w:r>
    </w:p>
    <w:p w14:paraId="76599142" w14:textId="77777777" w:rsidR="008672BE" w:rsidRDefault="008672BE" w:rsidP="00612E7C">
      <w:pPr>
        <w:spacing w:after="0" w:line="276" w:lineRule="auto"/>
        <w:ind w:left="567" w:right="567"/>
        <w:jc w:val="both"/>
        <w:rPr>
          <w:rFonts w:ascii="Book Antiqua" w:eastAsia="Calibri" w:hAnsi="Book Antiqua" w:cs="Arial"/>
          <w:i/>
          <w:iCs/>
          <w:sz w:val="24"/>
          <w:szCs w:val="24"/>
        </w:rPr>
      </w:pPr>
    </w:p>
    <w:p w14:paraId="399468DE" w14:textId="302D6FC7" w:rsidR="008672BE" w:rsidRDefault="008672BE" w:rsidP="008672BE">
      <w:pPr>
        <w:spacing w:after="0" w:line="276" w:lineRule="auto"/>
        <w:ind w:left="567" w:right="567"/>
        <w:jc w:val="both"/>
        <w:rPr>
          <w:rFonts w:ascii="Book Antiqua" w:eastAsia="Calibri" w:hAnsi="Book Antiqua" w:cs="Arial"/>
          <w:sz w:val="24"/>
          <w:szCs w:val="24"/>
        </w:rPr>
      </w:pPr>
      <w:r w:rsidRPr="00612E7C">
        <w:rPr>
          <w:rFonts w:ascii="Book Antiqua" w:eastAsia="Calibri" w:hAnsi="Book Antiqua" w:cs="Arial"/>
          <w:sz w:val="24"/>
          <w:szCs w:val="24"/>
        </w:rPr>
        <w:t xml:space="preserve">Adjuntan </w:t>
      </w:r>
      <w:r>
        <w:rPr>
          <w:rFonts w:ascii="Book Antiqua" w:eastAsia="Calibri" w:hAnsi="Book Antiqua" w:cs="Arial"/>
          <w:sz w:val="24"/>
          <w:szCs w:val="24"/>
        </w:rPr>
        <w:t>también el detalle por partida y subpartida presupuestaria para asumir el costo por mobiliario de las plazas que se recomienda</w:t>
      </w:r>
      <w:r w:rsidR="00077F09">
        <w:rPr>
          <w:rFonts w:ascii="Book Antiqua" w:eastAsia="Calibri" w:hAnsi="Book Antiqua" w:cs="Arial"/>
          <w:sz w:val="24"/>
          <w:szCs w:val="24"/>
        </w:rPr>
        <w:t>n</w:t>
      </w:r>
      <w:r>
        <w:rPr>
          <w:rFonts w:ascii="Book Antiqua" w:eastAsia="Calibri" w:hAnsi="Book Antiqua" w:cs="Arial"/>
          <w:sz w:val="24"/>
          <w:szCs w:val="24"/>
        </w:rPr>
        <w:t xml:space="preserve"> crear en este informe.</w:t>
      </w:r>
    </w:p>
    <w:p w14:paraId="571EF315" w14:textId="77777777" w:rsidR="00077F09" w:rsidRDefault="00077F09" w:rsidP="008672BE">
      <w:pPr>
        <w:spacing w:after="0" w:line="276" w:lineRule="auto"/>
        <w:ind w:left="567" w:right="567"/>
        <w:jc w:val="both"/>
        <w:rPr>
          <w:rFonts w:ascii="Book Antiqua" w:eastAsia="Calibri" w:hAnsi="Book Antiqua" w:cs="Arial"/>
          <w:sz w:val="24"/>
          <w:szCs w:val="24"/>
        </w:rPr>
      </w:pPr>
    </w:p>
    <w:p w14:paraId="002C25E9" w14:textId="28DE7820" w:rsidR="00077F09" w:rsidRDefault="002D0327" w:rsidP="009F2AF6">
      <w:pPr>
        <w:spacing w:after="0" w:line="276" w:lineRule="auto"/>
        <w:ind w:left="567" w:right="567"/>
        <w:jc w:val="center"/>
        <w:rPr>
          <w:rFonts w:ascii="Book Antiqua" w:eastAsia="Calibri" w:hAnsi="Book Antiqua" w:cs="Arial"/>
          <w:sz w:val="24"/>
          <w:szCs w:val="24"/>
        </w:rPr>
      </w:pPr>
      <w:r>
        <w:rPr>
          <w:rFonts w:ascii="Book Antiqua" w:eastAsia="Calibri" w:hAnsi="Book Antiqua" w:cs="Arial"/>
          <w:sz w:val="24"/>
          <w:szCs w:val="24"/>
        </w:rPr>
        <w:object w:dxaOrig="1508" w:dyaOrig="984" w14:anchorId="79B31E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48.6pt" o:ole="">
            <v:imagedata r:id="rId28" o:title=""/>
          </v:shape>
          <o:OLEObject Type="Embed" ProgID="Excel.Sheet.12" ShapeID="_x0000_i1026" DrawAspect="Icon" ObjectID="_1745989907" r:id="rId29"/>
        </w:object>
      </w:r>
    </w:p>
    <w:p w14:paraId="7BDCD707" w14:textId="77777777" w:rsidR="0005009F" w:rsidRDefault="0005009F" w:rsidP="00612E7C">
      <w:pPr>
        <w:spacing w:after="0" w:line="276" w:lineRule="auto"/>
        <w:ind w:left="567" w:right="567"/>
        <w:jc w:val="center"/>
        <w:rPr>
          <w:rFonts w:ascii="Book Antiqua" w:eastAsia="Calibri" w:hAnsi="Book Antiqua" w:cs="Arial"/>
          <w:sz w:val="24"/>
          <w:szCs w:val="24"/>
        </w:rPr>
      </w:pPr>
    </w:p>
    <w:p w14:paraId="4A67974D" w14:textId="2DDBAEC8" w:rsidR="00077F09" w:rsidRPr="008672BE" w:rsidRDefault="00077F09" w:rsidP="00612E7C">
      <w:pPr>
        <w:spacing w:after="0" w:line="276" w:lineRule="auto"/>
        <w:ind w:left="567" w:right="567"/>
        <w:jc w:val="both"/>
        <w:rPr>
          <w:rFonts w:ascii="Book Antiqua" w:eastAsia="Calibri" w:hAnsi="Book Antiqua" w:cs="Arial"/>
          <w:sz w:val="24"/>
          <w:szCs w:val="24"/>
        </w:rPr>
      </w:pPr>
      <w:r>
        <w:rPr>
          <w:rFonts w:ascii="Book Antiqua" w:eastAsia="Calibri" w:hAnsi="Book Antiqua" w:cs="Arial"/>
          <w:sz w:val="24"/>
          <w:szCs w:val="24"/>
        </w:rPr>
        <w:t xml:space="preserve">Nota: Se aclara que el monto para </w:t>
      </w:r>
      <w:r w:rsidR="009B65FD" w:rsidRPr="00612E7C">
        <w:rPr>
          <w:rFonts w:ascii="Book Antiqua" w:eastAsia="Calibri" w:hAnsi="Book Antiqua" w:cs="Arial"/>
          <w:i/>
          <w:iCs/>
          <w:sz w:val="24"/>
          <w:szCs w:val="24"/>
        </w:rPr>
        <w:t>“equipo y mobiliario”</w:t>
      </w:r>
      <w:r w:rsidR="009B65FD">
        <w:rPr>
          <w:rFonts w:ascii="Book Antiqua" w:eastAsia="Calibri" w:hAnsi="Book Antiqua" w:cs="Arial"/>
          <w:sz w:val="24"/>
          <w:szCs w:val="24"/>
        </w:rPr>
        <w:t xml:space="preserve"> (no incluye el equipo de cómputo que es presupuestado por la Direcci</w:t>
      </w:r>
      <w:r w:rsidR="00486B77">
        <w:rPr>
          <w:rFonts w:ascii="Book Antiqua" w:eastAsia="Calibri" w:hAnsi="Book Antiqua" w:cs="Arial"/>
          <w:sz w:val="24"/>
          <w:szCs w:val="24"/>
        </w:rPr>
        <w:t xml:space="preserve">ón </w:t>
      </w:r>
      <w:r w:rsidR="002A101E">
        <w:rPr>
          <w:rFonts w:ascii="Book Antiqua" w:eastAsia="Calibri" w:hAnsi="Book Antiqua" w:cs="Arial"/>
          <w:sz w:val="24"/>
          <w:szCs w:val="24"/>
        </w:rPr>
        <w:t xml:space="preserve">de Tecnología </w:t>
      </w:r>
      <w:r w:rsidR="009F2AF6">
        <w:rPr>
          <w:rFonts w:ascii="Book Antiqua" w:eastAsia="Calibri" w:hAnsi="Book Antiqua" w:cs="Arial"/>
          <w:sz w:val="24"/>
          <w:szCs w:val="24"/>
        </w:rPr>
        <w:t>de Información y Comunicaciones.</w:t>
      </w:r>
    </w:p>
    <w:p w14:paraId="73819B6E" w14:textId="54575F4F" w:rsidR="00494831" w:rsidRDefault="001A75AE" w:rsidP="00E728E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 </w:t>
      </w:r>
    </w:p>
    <w:p w14:paraId="787D1042" w14:textId="4BF60E98" w:rsidR="00833E7E" w:rsidRPr="00AA01E7" w:rsidRDefault="00833E7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 xml:space="preserve">Centro de Apoyo, Coordinación y Mejoramiento de la Función Jurisdiccional </w:t>
      </w:r>
    </w:p>
    <w:p w14:paraId="2E0ED61D" w14:textId="77777777" w:rsidR="000E03BA" w:rsidRDefault="000E03BA" w:rsidP="00EC4580">
      <w:pPr>
        <w:pStyle w:val="Ttulo"/>
        <w:spacing w:line="276" w:lineRule="auto"/>
        <w:jc w:val="both"/>
        <w:rPr>
          <w:rFonts w:eastAsia="Calibri" w:cs="Arial"/>
          <w:b w:val="0"/>
          <w:color w:val="auto"/>
          <w:spacing w:val="0"/>
          <w:szCs w:val="24"/>
          <w:lang w:val="es-CR" w:eastAsia="en-US"/>
        </w:rPr>
      </w:pPr>
    </w:p>
    <w:p w14:paraId="53236CCB" w14:textId="6166566F" w:rsidR="006C5705" w:rsidRDefault="00EC4580" w:rsidP="00EC4580">
      <w:pPr>
        <w:pStyle w:val="Ttulo"/>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Mediante oficio </w:t>
      </w:r>
      <w:r>
        <w:rPr>
          <w:rFonts w:eastAsia="Calibri" w:cs="Arial"/>
          <w:b w:val="0"/>
          <w:color w:val="auto"/>
          <w:spacing w:val="0"/>
          <w:szCs w:val="24"/>
          <w:lang w:val="es-CR" w:eastAsia="en-US"/>
        </w:rPr>
        <w:t>0</w:t>
      </w:r>
      <w:r w:rsidR="00686059">
        <w:rPr>
          <w:rFonts w:eastAsia="Calibri" w:cs="Arial"/>
          <w:b w:val="0"/>
          <w:color w:val="auto"/>
          <w:spacing w:val="0"/>
          <w:szCs w:val="24"/>
          <w:lang w:val="es-CR" w:eastAsia="en-US"/>
        </w:rPr>
        <w:t>5</w:t>
      </w:r>
      <w:r>
        <w:rPr>
          <w:rFonts w:eastAsia="Calibri" w:cs="Arial"/>
          <w:b w:val="0"/>
          <w:color w:val="auto"/>
          <w:spacing w:val="0"/>
          <w:szCs w:val="24"/>
          <w:lang w:val="es-CR" w:eastAsia="en-US"/>
        </w:rPr>
        <w:t>9</w:t>
      </w:r>
      <w:r w:rsidRPr="001D0C10">
        <w:rPr>
          <w:rFonts w:eastAsia="Calibri" w:cs="Arial"/>
          <w:b w:val="0"/>
          <w:color w:val="auto"/>
          <w:spacing w:val="0"/>
          <w:szCs w:val="24"/>
          <w:lang w:val="es-CR" w:eastAsia="en-US"/>
        </w:rPr>
        <w:t>-CACMFJ-JEF-202</w:t>
      </w:r>
      <w:r w:rsidR="00686059">
        <w:rPr>
          <w:rFonts w:eastAsia="Calibri" w:cs="Arial"/>
          <w:b w:val="0"/>
          <w:color w:val="auto"/>
          <w:spacing w:val="0"/>
          <w:szCs w:val="24"/>
          <w:lang w:val="es-CR" w:eastAsia="en-US"/>
        </w:rPr>
        <w:t>3</w:t>
      </w:r>
      <w:r w:rsidRPr="001D0C10">
        <w:rPr>
          <w:rFonts w:eastAsia="Calibri" w:cs="Arial"/>
          <w:b w:val="0"/>
          <w:color w:val="auto"/>
          <w:spacing w:val="0"/>
          <w:szCs w:val="24"/>
          <w:lang w:val="es-CR" w:eastAsia="en-US"/>
        </w:rPr>
        <w:t xml:space="preserve"> del </w:t>
      </w:r>
      <w:r w:rsidR="00686059">
        <w:rPr>
          <w:rFonts w:eastAsia="Calibri" w:cs="Arial"/>
          <w:b w:val="0"/>
          <w:color w:val="auto"/>
          <w:spacing w:val="0"/>
          <w:szCs w:val="24"/>
          <w:lang w:val="es-CR" w:eastAsia="en-US"/>
        </w:rPr>
        <w:t>21 de febrero de 2023</w:t>
      </w:r>
      <w:r w:rsidRPr="001D0C10">
        <w:rPr>
          <w:rFonts w:eastAsia="Calibri" w:cs="Arial"/>
          <w:b w:val="0"/>
          <w:color w:val="auto"/>
          <w:spacing w:val="0"/>
          <w:szCs w:val="24"/>
          <w:lang w:val="es-CR" w:eastAsia="en-US"/>
        </w:rPr>
        <w:t xml:space="preserve"> (</w:t>
      </w:r>
      <w:r w:rsidRPr="00F15FD9">
        <w:rPr>
          <w:rFonts w:eastAsia="Calibri" w:cs="Arial"/>
          <w:bCs/>
          <w:color w:val="auto"/>
          <w:spacing w:val="0"/>
          <w:szCs w:val="24"/>
          <w:lang w:val="es-CR" w:eastAsia="en-US"/>
        </w:rPr>
        <w:t>anexo</w:t>
      </w:r>
      <w:r w:rsidR="00F15FD9" w:rsidRPr="00F15FD9">
        <w:rPr>
          <w:rFonts w:eastAsia="Calibri" w:cs="Arial"/>
          <w:bCs/>
          <w:color w:val="auto"/>
          <w:spacing w:val="0"/>
          <w:szCs w:val="24"/>
          <w:lang w:val="es-CR" w:eastAsia="en-US"/>
        </w:rPr>
        <w:t xml:space="preserve"> 2</w:t>
      </w:r>
      <w:r w:rsidR="00F15FD9">
        <w:rPr>
          <w:rFonts w:eastAsia="Calibri" w:cs="Arial"/>
          <w:bCs/>
          <w:color w:val="auto"/>
          <w:spacing w:val="0"/>
          <w:szCs w:val="24"/>
          <w:lang w:val="es-CR" w:eastAsia="en-US"/>
        </w:rPr>
        <w:t>0</w:t>
      </w:r>
      <w:r w:rsidRPr="001D0C10">
        <w:rPr>
          <w:rFonts w:eastAsia="Calibri" w:cs="Arial"/>
          <w:b w:val="0"/>
          <w:color w:val="auto"/>
          <w:spacing w:val="0"/>
          <w:szCs w:val="24"/>
          <w:lang w:val="es-CR" w:eastAsia="en-US"/>
        </w:rPr>
        <w:t xml:space="preserve">) el CACMFJ </w:t>
      </w:r>
      <w:r w:rsidR="00EF7067">
        <w:rPr>
          <w:rFonts w:eastAsia="Calibri" w:cs="Arial"/>
          <w:b w:val="0"/>
          <w:color w:val="auto"/>
          <w:spacing w:val="0"/>
          <w:szCs w:val="24"/>
          <w:lang w:val="es-CR" w:eastAsia="en-US"/>
        </w:rPr>
        <w:t xml:space="preserve">presenta </w:t>
      </w:r>
      <w:r w:rsidRPr="001D0C10">
        <w:rPr>
          <w:rFonts w:eastAsia="Calibri" w:cs="Arial"/>
          <w:b w:val="0"/>
          <w:color w:val="auto"/>
          <w:spacing w:val="0"/>
          <w:szCs w:val="24"/>
          <w:lang w:val="es-CR" w:eastAsia="en-US"/>
        </w:rPr>
        <w:t xml:space="preserve">la necesidad </w:t>
      </w:r>
      <w:r w:rsidR="00DC75F3">
        <w:rPr>
          <w:rFonts w:eastAsia="Calibri" w:cs="Arial"/>
          <w:b w:val="0"/>
          <w:color w:val="auto"/>
          <w:spacing w:val="0"/>
          <w:szCs w:val="24"/>
          <w:lang w:val="es-CR" w:eastAsia="en-US"/>
        </w:rPr>
        <w:t>de recurso humano</w:t>
      </w:r>
      <w:r w:rsidR="00EF7067">
        <w:rPr>
          <w:rFonts w:eastAsia="Calibri" w:cs="Arial"/>
          <w:b w:val="0"/>
          <w:color w:val="auto"/>
          <w:spacing w:val="0"/>
          <w:szCs w:val="24"/>
          <w:lang w:val="es-CR" w:eastAsia="en-US"/>
        </w:rPr>
        <w:t xml:space="preserve"> para </w:t>
      </w:r>
      <w:r w:rsidR="00EF7067" w:rsidRPr="00EF7067">
        <w:rPr>
          <w:rFonts w:eastAsia="Calibri" w:cs="Arial"/>
          <w:b w:val="0"/>
          <w:color w:val="auto"/>
          <w:spacing w:val="0"/>
          <w:szCs w:val="24"/>
          <w:lang w:val="es-CR" w:eastAsia="en-US"/>
        </w:rPr>
        <w:t>la entrada en vigencia de la Ley 9747 “</w:t>
      </w:r>
      <w:r w:rsidR="00EF7067" w:rsidRPr="001D0C10">
        <w:rPr>
          <w:rFonts w:eastAsia="Calibri" w:cs="Arial"/>
          <w:b w:val="0"/>
          <w:i/>
          <w:iCs/>
          <w:color w:val="auto"/>
          <w:spacing w:val="0"/>
          <w:szCs w:val="24"/>
          <w:lang w:val="es-CR" w:eastAsia="en-US"/>
        </w:rPr>
        <w:t>Código Procesal de Familia</w:t>
      </w:r>
      <w:r w:rsidR="00EF7067">
        <w:rPr>
          <w:rFonts w:eastAsia="Calibri" w:cs="Arial"/>
          <w:b w:val="0"/>
          <w:color w:val="auto"/>
          <w:spacing w:val="0"/>
          <w:szCs w:val="24"/>
          <w:lang w:val="es-CR" w:eastAsia="en-US"/>
        </w:rPr>
        <w:t>”</w:t>
      </w:r>
      <w:r w:rsidR="00EF7067" w:rsidRPr="00EF7067">
        <w:rPr>
          <w:rFonts w:eastAsia="Calibri" w:cs="Arial"/>
          <w:b w:val="0"/>
          <w:color w:val="auto"/>
          <w:spacing w:val="0"/>
          <w:szCs w:val="24"/>
          <w:lang w:val="es-CR" w:eastAsia="en-US"/>
        </w:rPr>
        <w:t xml:space="preserve"> </w:t>
      </w:r>
      <w:r w:rsidR="00EF7067">
        <w:rPr>
          <w:rFonts w:eastAsia="Calibri" w:cs="Arial"/>
          <w:b w:val="0"/>
          <w:color w:val="auto"/>
          <w:spacing w:val="0"/>
          <w:szCs w:val="24"/>
          <w:lang w:val="es-CR" w:eastAsia="en-US"/>
        </w:rPr>
        <w:t>correspondiente a crea</w:t>
      </w:r>
      <w:r w:rsidRPr="001D0C10">
        <w:rPr>
          <w:rFonts w:eastAsia="Calibri" w:cs="Arial"/>
          <w:b w:val="0"/>
          <w:color w:val="auto"/>
          <w:spacing w:val="0"/>
          <w:szCs w:val="24"/>
          <w:lang w:val="es-CR" w:eastAsia="en-US"/>
        </w:rPr>
        <w:t xml:space="preserve">r </w:t>
      </w:r>
      <w:r w:rsidR="00EF7067">
        <w:rPr>
          <w:rFonts w:eastAsia="Calibri" w:cs="Arial"/>
          <w:b w:val="0"/>
          <w:color w:val="auto"/>
          <w:spacing w:val="0"/>
          <w:szCs w:val="24"/>
          <w:lang w:val="es-CR" w:eastAsia="en-US"/>
        </w:rPr>
        <w:t>12</w:t>
      </w:r>
      <w:r w:rsidRPr="001D0C10">
        <w:rPr>
          <w:rFonts w:eastAsia="Calibri" w:cs="Arial"/>
          <w:b w:val="0"/>
          <w:color w:val="auto"/>
          <w:spacing w:val="0"/>
          <w:szCs w:val="24"/>
          <w:lang w:val="es-CR" w:eastAsia="en-US"/>
        </w:rPr>
        <w:t xml:space="preserve"> plazas para </w:t>
      </w:r>
      <w:r w:rsidR="002E675E">
        <w:rPr>
          <w:rFonts w:eastAsia="Calibri" w:cs="Arial"/>
          <w:b w:val="0"/>
          <w:color w:val="auto"/>
          <w:spacing w:val="0"/>
          <w:szCs w:val="24"/>
          <w:lang w:val="es-CR" w:eastAsia="en-US"/>
        </w:rPr>
        <w:t xml:space="preserve">la </w:t>
      </w:r>
      <w:r w:rsidRPr="001D0C10">
        <w:rPr>
          <w:rFonts w:eastAsia="Calibri" w:cs="Arial"/>
          <w:b w:val="0"/>
          <w:color w:val="auto"/>
          <w:spacing w:val="0"/>
          <w:szCs w:val="24"/>
          <w:lang w:val="es-CR" w:eastAsia="en-US"/>
        </w:rPr>
        <w:t>atención de la</w:t>
      </w:r>
      <w:r w:rsidR="00EF7067">
        <w:rPr>
          <w:rFonts w:eastAsia="Calibri" w:cs="Arial"/>
          <w:b w:val="0"/>
          <w:color w:val="auto"/>
          <w:spacing w:val="0"/>
          <w:szCs w:val="24"/>
          <w:lang w:val="es-CR" w:eastAsia="en-US"/>
        </w:rPr>
        <w:t>s</w:t>
      </w:r>
      <w:r w:rsidRPr="001D0C10">
        <w:rPr>
          <w:rFonts w:eastAsia="Calibri" w:cs="Arial"/>
          <w:b w:val="0"/>
          <w:color w:val="auto"/>
          <w:spacing w:val="0"/>
          <w:szCs w:val="24"/>
          <w:lang w:val="es-CR" w:eastAsia="en-US"/>
        </w:rPr>
        <w:t xml:space="preserve"> materia</w:t>
      </w:r>
      <w:r w:rsidR="00EF7067">
        <w:rPr>
          <w:rFonts w:eastAsia="Calibri" w:cs="Arial"/>
          <w:b w:val="0"/>
          <w:color w:val="auto"/>
          <w:spacing w:val="0"/>
          <w:szCs w:val="24"/>
          <w:lang w:val="es-CR" w:eastAsia="en-US"/>
        </w:rPr>
        <w:t>s</w:t>
      </w:r>
      <w:r w:rsidRPr="001D0C10">
        <w:rPr>
          <w:color w:val="auto"/>
          <w:szCs w:val="24"/>
          <w:lang w:val="es-CR"/>
        </w:rPr>
        <w:t xml:space="preserve"> </w:t>
      </w:r>
      <w:r w:rsidRPr="001D0C10">
        <w:rPr>
          <w:rFonts w:eastAsia="Calibri" w:cs="Arial"/>
          <w:b w:val="0"/>
          <w:color w:val="auto"/>
          <w:spacing w:val="0"/>
          <w:szCs w:val="24"/>
          <w:lang w:val="es-CR" w:eastAsia="en-US"/>
        </w:rPr>
        <w:t>de Familia</w:t>
      </w:r>
      <w:r w:rsidR="00EF7067">
        <w:rPr>
          <w:rFonts w:eastAsia="Calibri" w:cs="Arial"/>
          <w:b w:val="0"/>
          <w:color w:val="auto"/>
          <w:spacing w:val="0"/>
          <w:szCs w:val="24"/>
          <w:lang w:val="es-CR" w:eastAsia="en-US"/>
        </w:rPr>
        <w:t xml:space="preserve"> y Pensiones Alimentarias</w:t>
      </w:r>
      <w:r w:rsidRPr="001D0C10">
        <w:rPr>
          <w:rFonts w:eastAsia="Calibri" w:cs="Arial"/>
          <w:b w:val="0"/>
          <w:color w:val="auto"/>
          <w:spacing w:val="0"/>
          <w:szCs w:val="24"/>
          <w:lang w:val="es-CR" w:eastAsia="en-US"/>
        </w:rPr>
        <w:t>, apoyo a las labores de la</w:t>
      </w:r>
      <w:r w:rsidRPr="001D0C10">
        <w:rPr>
          <w:color w:val="auto"/>
          <w:szCs w:val="24"/>
          <w:lang w:val="es-CR"/>
        </w:rPr>
        <w:t xml:space="preserve"> </w:t>
      </w:r>
      <w:r w:rsidRPr="001D0C10">
        <w:rPr>
          <w:rFonts w:eastAsia="Calibri" w:cs="Arial"/>
          <w:b w:val="0"/>
          <w:color w:val="auto"/>
          <w:spacing w:val="0"/>
          <w:szCs w:val="24"/>
          <w:lang w:val="es-CR" w:eastAsia="en-US"/>
        </w:rPr>
        <w:t>gestoría, planes de trabajo, coordinaciones</w:t>
      </w:r>
      <w:r w:rsidR="00EF7067">
        <w:rPr>
          <w:rFonts w:eastAsia="Calibri" w:cs="Arial"/>
          <w:b w:val="0"/>
          <w:color w:val="auto"/>
          <w:spacing w:val="0"/>
          <w:szCs w:val="24"/>
          <w:lang w:val="es-CR" w:eastAsia="en-US"/>
        </w:rPr>
        <w:t>,</w:t>
      </w:r>
      <w:r w:rsidRPr="001D0C10">
        <w:rPr>
          <w:rFonts w:eastAsia="Calibri" w:cs="Arial"/>
          <w:b w:val="0"/>
          <w:color w:val="auto"/>
          <w:spacing w:val="0"/>
          <w:szCs w:val="24"/>
          <w:lang w:val="es-CR" w:eastAsia="en-US"/>
        </w:rPr>
        <w:t xml:space="preserve"> entre otras tareas</w:t>
      </w:r>
      <w:r w:rsidR="001A2A1B">
        <w:rPr>
          <w:rFonts w:eastAsia="Calibri" w:cs="Arial"/>
          <w:b w:val="0"/>
          <w:color w:val="auto"/>
          <w:spacing w:val="0"/>
          <w:szCs w:val="24"/>
          <w:lang w:val="es-CR" w:eastAsia="en-US"/>
        </w:rPr>
        <w:t xml:space="preserve">. </w:t>
      </w:r>
    </w:p>
    <w:p w14:paraId="421A8FAC" w14:textId="4BFECAC4" w:rsidR="00F81BCC" w:rsidRPr="00F81BCC" w:rsidRDefault="00F81BCC" w:rsidP="00F81BC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 xml:space="preserve">Cuadro </w:t>
      </w:r>
      <w:r w:rsidRPr="00F81BCC">
        <w:rPr>
          <w:rFonts w:ascii="Book Antiqua" w:eastAsia="Calibri" w:hAnsi="Book Antiqua" w:cs="Arial"/>
          <w:b/>
          <w:bCs/>
          <w:color w:val="1F497D"/>
          <w:szCs w:val="24"/>
          <w:lang w:val="es-ES" w:eastAsia="es-ES"/>
        </w:rPr>
        <w:fldChar w:fldCharType="begin"/>
      </w:r>
      <w:r w:rsidRPr="00F81BCC">
        <w:rPr>
          <w:rFonts w:ascii="Book Antiqua" w:eastAsia="Calibri" w:hAnsi="Book Antiqua" w:cs="Arial"/>
          <w:b/>
          <w:bCs/>
          <w:color w:val="1F497D"/>
          <w:szCs w:val="24"/>
          <w:lang w:val="es-ES" w:eastAsia="es-ES"/>
        </w:rPr>
        <w:instrText xml:space="preserve"> SEQ Cuadro \* ARABIC </w:instrText>
      </w:r>
      <w:r w:rsidRPr="00F81BCC">
        <w:rPr>
          <w:rFonts w:ascii="Book Antiqua" w:eastAsia="Calibri" w:hAnsi="Book Antiqua" w:cs="Arial"/>
          <w:b/>
          <w:bCs/>
          <w:color w:val="1F497D"/>
          <w:szCs w:val="24"/>
          <w:lang w:val="es-ES" w:eastAsia="es-ES"/>
        </w:rPr>
        <w:fldChar w:fldCharType="separate"/>
      </w:r>
      <w:r w:rsidR="005E0D77">
        <w:rPr>
          <w:rFonts w:ascii="Book Antiqua" w:eastAsia="Calibri" w:hAnsi="Book Antiqua" w:cs="Arial"/>
          <w:b/>
          <w:bCs/>
          <w:noProof/>
          <w:color w:val="1F497D"/>
          <w:szCs w:val="24"/>
          <w:lang w:val="es-ES" w:eastAsia="es-ES"/>
        </w:rPr>
        <w:t>73</w:t>
      </w:r>
      <w:r w:rsidRPr="00F81BCC">
        <w:rPr>
          <w:rFonts w:ascii="Book Antiqua" w:eastAsia="Calibri" w:hAnsi="Book Antiqua" w:cs="Arial"/>
          <w:b/>
          <w:bCs/>
          <w:color w:val="1F497D"/>
          <w:szCs w:val="24"/>
          <w:lang w:val="es-ES" w:eastAsia="es-ES"/>
        </w:rPr>
        <w:fldChar w:fldCharType="end"/>
      </w:r>
      <w:r w:rsidRPr="00F81BCC">
        <w:rPr>
          <w:rFonts w:ascii="Book Antiqua" w:eastAsia="Calibri" w:hAnsi="Book Antiqua" w:cs="Arial"/>
          <w:b/>
          <w:bCs/>
          <w:color w:val="1F497D"/>
          <w:szCs w:val="24"/>
          <w:lang w:val="es-ES" w:eastAsia="es-ES"/>
        </w:rPr>
        <w:t xml:space="preserve"> </w:t>
      </w:r>
    </w:p>
    <w:p w14:paraId="10068B3C" w14:textId="2F3C427A" w:rsidR="00F81BCC" w:rsidRPr="00F81BCC" w:rsidRDefault="00F81BCC" w:rsidP="00F81BC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Propuesta del recurso humano para el CACMFJ-atención Reforma CPF, 202</w:t>
      </w:r>
      <w:r w:rsidR="001A4394">
        <w:rPr>
          <w:rFonts w:ascii="Book Antiqua" w:eastAsia="Calibri" w:hAnsi="Book Antiqua" w:cs="Arial"/>
          <w:b/>
          <w:bCs/>
          <w:color w:val="1F497D"/>
          <w:szCs w:val="24"/>
          <w:lang w:val="es-ES" w:eastAsia="es-ES"/>
        </w:rPr>
        <w:t>4</w:t>
      </w:r>
    </w:p>
    <w:tbl>
      <w:tblPr>
        <w:tblW w:w="10350" w:type="dxa"/>
        <w:jc w:val="center"/>
        <w:tblCellMar>
          <w:left w:w="70" w:type="dxa"/>
          <w:right w:w="70" w:type="dxa"/>
        </w:tblCellMar>
        <w:tblLook w:val="04A0" w:firstRow="1" w:lastRow="0" w:firstColumn="1" w:lastColumn="0" w:noHBand="0" w:noVBand="1"/>
      </w:tblPr>
      <w:tblGrid>
        <w:gridCol w:w="1567"/>
        <w:gridCol w:w="1193"/>
        <w:gridCol w:w="1882"/>
        <w:gridCol w:w="1096"/>
        <w:gridCol w:w="1813"/>
        <w:gridCol w:w="957"/>
        <w:gridCol w:w="1696"/>
        <w:gridCol w:w="146"/>
      </w:tblGrid>
      <w:tr w:rsidR="00F81BCC" w:rsidRPr="00F81BCC" w14:paraId="291958A1" w14:textId="77777777" w:rsidTr="001D0C10">
        <w:trPr>
          <w:gridAfter w:val="1"/>
          <w:wAfter w:w="146" w:type="dxa"/>
          <w:trHeight w:val="450"/>
          <w:jc w:val="center"/>
        </w:trPr>
        <w:tc>
          <w:tcPr>
            <w:tcW w:w="156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4A1BDB1"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Despacho</w:t>
            </w:r>
          </w:p>
        </w:tc>
        <w:tc>
          <w:tcPr>
            <w:tcW w:w="1193"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BF71E6C"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Cantidad</w:t>
            </w:r>
          </w:p>
        </w:tc>
        <w:tc>
          <w:tcPr>
            <w:tcW w:w="1882"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256D706"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Tipo de plaza</w:t>
            </w:r>
          </w:p>
        </w:tc>
        <w:tc>
          <w:tcPr>
            <w:tcW w:w="109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883C717"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Condición actual</w:t>
            </w:r>
          </w:p>
        </w:tc>
        <w:tc>
          <w:tcPr>
            <w:tcW w:w="1813"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7982E4"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Recomendación</w:t>
            </w:r>
          </w:p>
        </w:tc>
        <w:tc>
          <w:tcPr>
            <w:tcW w:w="95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A9F2DE2"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Periodo</w:t>
            </w:r>
          </w:p>
        </w:tc>
        <w:tc>
          <w:tcPr>
            <w:tcW w:w="169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7B014C4" w14:textId="19373586"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Costo total para 2023</w:t>
            </w:r>
            <w:r w:rsidR="007E153E">
              <w:rPr>
                <w:rFonts w:ascii="Book Antiqua" w:eastAsia="Times New Roman" w:hAnsi="Book Antiqua" w:cs="Calibri"/>
                <w:b/>
                <w:bCs/>
                <w:color w:val="FFFFFF"/>
                <w:sz w:val="20"/>
                <w:szCs w:val="20"/>
                <w:lang w:eastAsia="es-CR"/>
              </w:rPr>
              <w:t>*</w:t>
            </w:r>
          </w:p>
        </w:tc>
      </w:tr>
      <w:tr w:rsidR="00F81BCC" w:rsidRPr="00F81BCC" w14:paraId="578B05C2" w14:textId="77777777" w:rsidTr="001D0C10">
        <w:trPr>
          <w:trHeight w:val="300"/>
          <w:jc w:val="center"/>
        </w:trPr>
        <w:tc>
          <w:tcPr>
            <w:tcW w:w="1567" w:type="dxa"/>
            <w:vMerge/>
            <w:tcBorders>
              <w:top w:val="single" w:sz="8" w:space="0" w:color="auto"/>
              <w:left w:val="single" w:sz="8" w:space="0" w:color="auto"/>
              <w:bottom w:val="single" w:sz="8" w:space="0" w:color="000000"/>
              <w:right w:val="single" w:sz="8" w:space="0" w:color="auto"/>
            </w:tcBorders>
            <w:vAlign w:val="center"/>
            <w:hideMark/>
          </w:tcPr>
          <w:p w14:paraId="4C69DF85"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193" w:type="dxa"/>
            <w:vMerge/>
            <w:tcBorders>
              <w:top w:val="single" w:sz="8" w:space="0" w:color="auto"/>
              <w:left w:val="single" w:sz="8" w:space="0" w:color="auto"/>
              <w:bottom w:val="single" w:sz="8" w:space="0" w:color="000000"/>
              <w:right w:val="single" w:sz="8" w:space="0" w:color="auto"/>
            </w:tcBorders>
            <w:vAlign w:val="center"/>
            <w:hideMark/>
          </w:tcPr>
          <w:p w14:paraId="14B0D2A7"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882" w:type="dxa"/>
            <w:vMerge/>
            <w:tcBorders>
              <w:top w:val="single" w:sz="8" w:space="0" w:color="auto"/>
              <w:left w:val="single" w:sz="8" w:space="0" w:color="auto"/>
              <w:bottom w:val="single" w:sz="8" w:space="0" w:color="000000"/>
              <w:right w:val="single" w:sz="8" w:space="0" w:color="auto"/>
            </w:tcBorders>
            <w:vAlign w:val="center"/>
            <w:hideMark/>
          </w:tcPr>
          <w:p w14:paraId="5E8E0245"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096" w:type="dxa"/>
            <w:vMerge/>
            <w:tcBorders>
              <w:top w:val="single" w:sz="8" w:space="0" w:color="auto"/>
              <w:left w:val="single" w:sz="8" w:space="0" w:color="auto"/>
              <w:bottom w:val="single" w:sz="8" w:space="0" w:color="000000"/>
              <w:right w:val="single" w:sz="8" w:space="0" w:color="auto"/>
            </w:tcBorders>
            <w:vAlign w:val="center"/>
            <w:hideMark/>
          </w:tcPr>
          <w:p w14:paraId="08F9F45A"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813" w:type="dxa"/>
            <w:vMerge/>
            <w:tcBorders>
              <w:top w:val="single" w:sz="8" w:space="0" w:color="auto"/>
              <w:left w:val="single" w:sz="8" w:space="0" w:color="auto"/>
              <w:bottom w:val="single" w:sz="8" w:space="0" w:color="000000"/>
              <w:right w:val="single" w:sz="8" w:space="0" w:color="auto"/>
            </w:tcBorders>
            <w:vAlign w:val="center"/>
            <w:hideMark/>
          </w:tcPr>
          <w:p w14:paraId="781FC7A8"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957" w:type="dxa"/>
            <w:vMerge/>
            <w:tcBorders>
              <w:top w:val="single" w:sz="8" w:space="0" w:color="auto"/>
              <w:left w:val="single" w:sz="8" w:space="0" w:color="auto"/>
              <w:bottom w:val="single" w:sz="8" w:space="0" w:color="000000"/>
              <w:right w:val="single" w:sz="8" w:space="0" w:color="auto"/>
            </w:tcBorders>
            <w:vAlign w:val="center"/>
            <w:hideMark/>
          </w:tcPr>
          <w:p w14:paraId="763B6340"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696" w:type="dxa"/>
            <w:vMerge/>
            <w:tcBorders>
              <w:top w:val="single" w:sz="8" w:space="0" w:color="auto"/>
              <w:left w:val="single" w:sz="8" w:space="0" w:color="auto"/>
              <w:bottom w:val="single" w:sz="8" w:space="0" w:color="000000"/>
              <w:right w:val="single" w:sz="8" w:space="0" w:color="auto"/>
            </w:tcBorders>
            <w:vAlign w:val="center"/>
            <w:hideMark/>
          </w:tcPr>
          <w:p w14:paraId="5F5B8BC1"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46" w:type="dxa"/>
            <w:tcBorders>
              <w:top w:val="nil"/>
              <w:left w:val="nil"/>
              <w:bottom w:val="nil"/>
              <w:right w:val="nil"/>
            </w:tcBorders>
            <w:shd w:val="clear" w:color="auto" w:fill="auto"/>
            <w:noWrap/>
            <w:vAlign w:val="bottom"/>
            <w:hideMark/>
          </w:tcPr>
          <w:p w14:paraId="560D4E8B"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p>
        </w:tc>
      </w:tr>
      <w:tr w:rsidR="00F81BCC" w:rsidRPr="00F81BCC" w14:paraId="2FB09ECD" w14:textId="77777777" w:rsidTr="00F81BCC">
        <w:trPr>
          <w:trHeight w:val="300"/>
          <w:jc w:val="center"/>
        </w:trPr>
        <w:tc>
          <w:tcPr>
            <w:tcW w:w="1567" w:type="dxa"/>
            <w:vMerge w:val="restart"/>
            <w:tcBorders>
              <w:top w:val="nil"/>
              <w:left w:val="single" w:sz="8" w:space="0" w:color="auto"/>
              <w:bottom w:val="single" w:sz="8" w:space="0" w:color="000000"/>
              <w:right w:val="single" w:sz="8" w:space="0" w:color="auto"/>
            </w:tcBorders>
            <w:shd w:val="clear" w:color="auto" w:fill="auto"/>
            <w:vAlign w:val="center"/>
            <w:hideMark/>
          </w:tcPr>
          <w:p w14:paraId="0B68C676"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CACMFJ</w:t>
            </w:r>
          </w:p>
        </w:tc>
        <w:tc>
          <w:tcPr>
            <w:tcW w:w="1193" w:type="dxa"/>
            <w:tcBorders>
              <w:top w:val="nil"/>
              <w:left w:val="nil"/>
              <w:bottom w:val="single" w:sz="8" w:space="0" w:color="auto"/>
              <w:right w:val="single" w:sz="8" w:space="0" w:color="auto"/>
            </w:tcBorders>
            <w:shd w:val="clear" w:color="auto" w:fill="auto"/>
            <w:noWrap/>
            <w:vAlign w:val="center"/>
            <w:hideMark/>
          </w:tcPr>
          <w:p w14:paraId="4D924E5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1</w:t>
            </w:r>
          </w:p>
        </w:tc>
        <w:tc>
          <w:tcPr>
            <w:tcW w:w="1882" w:type="dxa"/>
            <w:tcBorders>
              <w:top w:val="nil"/>
              <w:left w:val="nil"/>
              <w:bottom w:val="single" w:sz="8" w:space="0" w:color="auto"/>
              <w:right w:val="single" w:sz="8" w:space="0" w:color="auto"/>
            </w:tcBorders>
            <w:shd w:val="clear" w:color="auto" w:fill="auto"/>
            <w:noWrap/>
            <w:vAlign w:val="center"/>
            <w:hideMark/>
          </w:tcPr>
          <w:p w14:paraId="00D37523"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4 Gestor</w:t>
            </w:r>
          </w:p>
        </w:tc>
        <w:tc>
          <w:tcPr>
            <w:tcW w:w="1096" w:type="dxa"/>
            <w:tcBorders>
              <w:top w:val="nil"/>
              <w:left w:val="nil"/>
              <w:bottom w:val="single" w:sz="8" w:space="0" w:color="auto"/>
              <w:right w:val="single" w:sz="8" w:space="0" w:color="auto"/>
            </w:tcBorders>
            <w:shd w:val="clear" w:color="auto" w:fill="auto"/>
            <w:vAlign w:val="center"/>
            <w:hideMark/>
          </w:tcPr>
          <w:p w14:paraId="4B416EE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284917D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1724A30C" w14:textId="0C555FDA"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w:t>
            </w:r>
            <w:r w:rsidR="00686059">
              <w:rPr>
                <w:rFonts w:ascii="Book Antiqua" w:eastAsia="Times New Roman" w:hAnsi="Book Antiqua" w:cs="Calibri"/>
                <w:color w:val="000000"/>
                <w:sz w:val="20"/>
                <w:szCs w:val="20"/>
                <w:lang w:eastAsia="es-CR"/>
              </w:rPr>
              <w:t>4</w:t>
            </w:r>
          </w:p>
        </w:tc>
        <w:tc>
          <w:tcPr>
            <w:tcW w:w="1696" w:type="dxa"/>
            <w:tcBorders>
              <w:top w:val="nil"/>
              <w:left w:val="nil"/>
              <w:bottom w:val="single" w:sz="8" w:space="0" w:color="auto"/>
              <w:right w:val="single" w:sz="8" w:space="0" w:color="auto"/>
            </w:tcBorders>
            <w:shd w:val="clear" w:color="auto" w:fill="auto"/>
            <w:vAlign w:val="center"/>
            <w:hideMark/>
          </w:tcPr>
          <w:p w14:paraId="738FB436" w14:textId="255B251C"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00686059" w:rsidRPr="00274073">
              <w:rPr>
                <w:rFonts w:ascii="Book Antiqua" w:eastAsia="Times New Roman" w:hAnsi="Book Antiqua" w:cs="Calibri"/>
                <w:sz w:val="20"/>
                <w:szCs w:val="20"/>
                <w:lang w:eastAsia="es-CR"/>
              </w:rPr>
              <w:t>57 547 749</w:t>
            </w:r>
            <w:r w:rsidRPr="00F81BCC">
              <w:rPr>
                <w:rFonts w:ascii="Book Antiqua" w:eastAsia="Times New Roman" w:hAnsi="Book Antiqua" w:cs="Calibri"/>
                <w:color w:val="000000"/>
                <w:sz w:val="20"/>
                <w:szCs w:val="20"/>
                <w:lang w:eastAsia="es-CR"/>
              </w:rPr>
              <w:t>.00</w:t>
            </w:r>
          </w:p>
        </w:tc>
        <w:tc>
          <w:tcPr>
            <w:tcW w:w="146" w:type="dxa"/>
            <w:vAlign w:val="center"/>
            <w:hideMark/>
          </w:tcPr>
          <w:p w14:paraId="6B0165F0"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42B150B1"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25C8E6A1"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2744854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1</w:t>
            </w:r>
          </w:p>
        </w:tc>
        <w:tc>
          <w:tcPr>
            <w:tcW w:w="1882" w:type="dxa"/>
            <w:tcBorders>
              <w:top w:val="nil"/>
              <w:left w:val="nil"/>
              <w:bottom w:val="single" w:sz="8" w:space="0" w:color="auto"/>
              <w:right w:val="single" w:sz="8" w:space="0" w:color="auto"/>
            </w:tcBorders>
            <w:shd w:val="clear" w:color="auto" w:fill="auto"/>
            <w:vAlign w:val="center"/>
            <w:hideMark/>
          </w:tcPr>
          <w:p w14:paraId="0AB8F57E"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Profesional 2</w:t>
            </w:r>
          </w:p>
        </w:tc>
        <w:tc>
          <w:tcPr>
            <w:tcW w:w="1096" w:type="dxa"/>
            <w:tcBorders>
              <w:top w:val="nil"/>
              <w:left w:val="nil"/>
              <w:bottom w:val="single" w:sz="8" w:space="0" w:color="auto"/>
              <w:right w:val="single" w:sz="8" w:space="0" w:color="auto"/>
            </w:tcBorders>
            <w:shd w:val="clear" w:color="auto" w:fill="auto"/>
            <w:vAlign w:val="center"/>
            <w:hideMark/>
          </w:tcPr>
          <w:p w14:paraId="74AEA54F"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6B08ACE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46DEE939" w14:textId="4F1385E5"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w:t>
            </w:r>
            <w:r w:rsidR="00686059">
              <w:rPr>
                <w:rFonts w:ascii="Book Antiqua" w:eastAsia="Times New Roman" w:hAnsi="Book Antiqua" w:cs="Calibri"/>
                <w:color w:val="000000"/>
                <w:sz w:val="20"/>
                <w:szCs w:val="20"/>
                <w:lang w:eastAsia="es-CR"/>
              </w:rPr>
              <w:t>4</w:t>
            </w:r>
          </w:p>
        </w:tc>
        <w:tc>
          <w:tcPr>
            <w:tcW w:w="1696" w:type="dxa"/>
            <w:tcBorders>
              <w:top w:val="nil"/>
              <w:left w:val="nil"/>
              <w:bottom w:val="single" w:sz="8" w:space="0" w:color="auto"/>
              <w:right w:val="single" w:sz="8" w:space="0" w:color="auto"/>
            </w:tcBorders>
            <w:shd w:val="clear" w:color="auto" w:fill="auto"/>
            <w:vAlign w:val="center"/>
            <w:hideMark/>
          </w:tcPr>
          <w:p w14:paraId="70A6038D" w14:textId="44618CA3"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00686059" w:rsidRPr="00274073">
              <w:rPr>
                <w:rFonts w:ascii="Book Antiqua" w:eastAsia="Times New Roman" w:hAnsi="Book Antiqua" w:cs="Calibri"/>
                <w:sz w:val="20"/>
                <w:szCs w:val="20"/>
                <w:lang w:eastAsia="es-CR"/>
              </w:rPr>
              <w:t>34 413 169</w:t>
            </w:r>
            <w:r w:rsidRPr="00F81BCC">
              <w:rPr>
                <w:rFonts w:ascii="Book Antiqua" w:eastAsia="Times New Roman" w:hAnsi="Book Antiqua" w:cs="Calibri"/>
                <w:color w:val="000000"/>
                <w:sz w:val="20"/>
                <w:szCs w:val="20"/>
                <w:lang w:eastAsia="es-CR"/>
              </w:rPr>
              <w:t>.00</w:t>
            </w:r>
          </w:p>
        </w:tc>
        <w:tc>
          <w:tcPr>
            <w:tcW w:w="146" w:type="dxa"/>
            <w:vAlign w:val="center"/>
            <w:hideMark/>
          </w:tcPr>
          <w:p w14:paraId="2BE31BE1"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67690827" w14:textId="77777777" w:rsidTr="00F81BCC">
        <w:trPr>
          <w:trHeight w:val="530"/>
          <w:jc w:val="center"/>
        </w:trPr>
        <w:tc>
          <w:tcPr>
            <w:tcW w:w="1567" w:type="dxa"/>
            <w:vMerge/>
            <w:tcBorders>
              <w:top w:val="nil"/>
              <w:left w:val="single" w:sz="8" w:space="0" w:color="auto"/>
              <w:bottom w:val="single" w:sz="8" w:space="0" w:color="000000"/>
              <w:right w:val="single" w:sz="8" w:space="0" w:color="auto"/>
            </w:tcBorders>
            <w:vAlign w:val="center"/>
            <w:hideMark/>
          </w:tcPr>
          <w:p w14:paraId="27717ADB"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4782F44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w:t>
            </w:r>
          </w:p>
        </w:tc>
        <w:tc>
          <w:tcPr>
            <w:tcW w:w="1882" w:type="dxa"/>
            <w:tcBorders>
              <w:top w:val="nil"/>
              <w:left w:val="nil"/>
              <w:bottom w:val="single" w:sz="8" w:space="0" w:color="auto"/>
              <w:right w:val="single" w:sz="8" w:space="0" w:color="auto"/>
            </w:tcBorders>
            <w:shd w:val="clear" w:color="auto" w:fill="auto"/>
            <w:vAlign w:val="center"/>
            <w:hideMark/>
          </w:tcPr>
          <w:p w14:paraId="05E15382"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Técnica o Técnico Judicial 2</w:t>
            </w:r>
          </w:p>
        </w:tc>
        <w:tc>
          <w:tcPr>
            <w:tcW w:w="1096" w:type="dxa"/>
            <w:tcBorders>
              <w:top w:val="nil"/>
              <w:left w:val="nil"/>
              <w:bottom w:val="single" w:sz="8" w:space="0" w:color="auto"/>
              <w:right w:val="single" w:sz="8" w:space="0" w:color="auto"/>
            </w:tcBorders>
            <w:shd w:val="clear" w:color="auto" w:fill="auto"/>
            <w:vAlign w:val="center"/>
            <w:hideMark/>
          </w:tcPr>
          <w:p w14:paraId="304D594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2267A5D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7D5295F3" w14:textId="37E2FBE3"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w:t>
            </w:r>
            <w:r w:rsidR="00686059">
              <w:rPr>
                <w:rFonts w:ascii="Book Antiqua" w:eastAsia="Times New Roman" w:hAnsi="Book Antiqua" w:cs="Calibri"/>
                <w:color w:val="000000"/>
                <w:sz w:val="20"/>
                <w:szCs w:val="20"/>
                <w:lang w:eastAsia="es-CR"/>
              </w:rPr>
              <w:t>4</w:t>
            </w:r>
          </w:p>
        </w:tc>
        <w:tc>
          <w:tcPr>
            <w:tcW w:w="1696" w:type="dxa"/>
            <w:tcBorders>
              <w:top w:val="nil"/>
              <w:left w:val="nil"/>
              <w:bottom w:val="single" w:sz="8" w:space="0" w:color="auto"/>
              <w:right w:val="single" w:sz="8" w:space="0" w:color="auto"/>
            </w:tcBorders>
            <w:shd w:val="clear" w:color="auto" w:fill="auto"/>
            <w:vAlign w:val="center"/>
            <w:hideMark/>
          </w:tcPr>
          <w:p w14:paraId="644F91D9" w14:textId="02182172"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00686059">
              <w:rPr>
                <w:rFonts w:ascii="Book Antiqua" w:eastAsia="Times New Roman" w:hAnsi="Book Antiqua" w:cs="Calibri"/>
                <w:sz w:val="20"/>
                <w:szCs w:val="20"/>
                <w:lang w:eastAsia="es-CR"/>
              </w:rPr>
              <w:t>29 593 360</w:t>
            </w:r>
            <w:r w:rsidRPr="00F81BCC">
              <w:rPr>
                <w:rFonts w:ascii="Book Antiqua" w:eastAsia="Times New Roman" w:hAnsi="Book Antiqua" w:cs="Calibri"/>
                <w:color w:val="000000"/>
                <w:sz w:val="20"/>
                <w:szCs w:val="20"/>
                <w:lang w:eastAsia="es-CR"/>
              </w:rPr>
              <w:t>.00</w:t>
            </w:r>
          </w:p>
        </w:tc>
        <w:tc>
          <w:tcPr>
            <w:tcW w:w="146" w:type="dxa"/>
            <w:vAlign w:val="center"/>
            <w:hideMark/>
          </w:tcPr>
          <w:p w14:paraId="5B9B145D"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7DF8FA4C"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436AAE3D"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6EAB2D7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4</w:t>
            </w:r>
          </w:p>
        </w:tc>
        <w:tc>
          <w:tcPr>
            <w:tcW w:w="1882" w:type="dxa"/>
            <w:tcBorders>
              <w:top w:val="nil"/>
              <w:left w:val="nil"/>
              <w:bottom w:val="single" w:sz="8" w:space="0" w:color="auto"/>
              <w:right w:val="single" w:sz="8" w:space="0" w:color="auto"/>
            </w:tcBorders>
            <w:shd w:val="clear" w:color="auto" w:fill="auto"/>
            <w:vAlign w:val="center"/>
            <w:hideMark/>
          </w:tcPr>
          <w:p w14:paraId="37FCA0ED"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1</w:t>
            </w:r>
          </w:p>
        </w:tc>
        <w:tc>
          <w:tcPr>
            <w:tcW w:w="1096" w:type="dxa"/>
            <w:tcBorders>
              <w:top w:val="nil"/>
              <w:left w:val="nil"/>
              <w:bottom w:val="single" w:sz="8" w:space="0" w:color="auto"/>
              <w:right w:val="single" w:sz="8" w:space="0" w:color="auto"/>
            </w:tcBorders>
            <w:shd w:val="clear" w:color="auto" w:fill="auto"/>
            <w:vAlign w:val="center"/>
            <w:hideMark/>
          </w:tcPr>
          <w:p w14:paraId="71B66475"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7D38DDD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09A2FBA4" w14:textId="28740833"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w:t>
            </w:r>
            <w:r w:rsidR="00686059">
              <w:rPr>
                <w:rFonts w:ascii="Book Antiqua" w:eastAsia="Times New Roman" w:hAnsi="Book Antiqua" w:cs="Calibri"/>
                <w:color w:val="000000"/>
                <w:sz w:val="20"/>
                <w:szCs w:val="20"/>
                <w:lang w:eastAsia="es-CR"/>
              </w:rPr>
              <w:t>4</w:t>
            </w:r>
          </w:p>
        </w:tc>
        <w:tc>
          <w:tcPr>
            <w:tcW w:w="1696" w:type="dxa"/>
            <w:tcBorders>
              <w:top w:val="nil"/>
              <w:left w:val="nil"/>
              <w:bottom w:val="single" w:sz="8" w:space="0" w:color="auto"/>
              <w:right w:val="single" w:sz="8" w:space="0" w:color="auto"/>
            </w:tcBorders>
            <w:shd w:val="clear" w:color="auto" w:fill="auto"/>
            <w:vAlign w:val="center"/>
            <w:hideMark/>
          </w:tcPr>
          <w:p w14:paraId="4C9C6C2A" w14:textId="1C08A72A"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00686059" w:rsidRPr="00274073">
              <w:rPr>
                <w:rFonts w:ascii="Book Antiqua" w:eastAsia="Times New Roman" w:hAnsi="Book Antiqua" w:cs="Calibri"/>
                <w:sz w:val="20"/>
                <w:szCs w:val="20"/>
                <w:lang w:eastAsia="es-CR"/>
              </w:rPr>
              <w:t>200 640 830</w:t>
            </w:r>
            <w:r w:rsidRPr="00F81BCC">
              <w:rPr>
                <w:rFonts w:ascii="Book Antiqua" w:eastAsia="Times New Roman" w:hAnsi="Book Antiqua" w:cs="Calibri"/>
                <w:color w:val="000000"/>
                <w:sz w:val="20"/>
                <w:szCs w:val="20"/>
                <w:lang w:eastAsia="es-CR"/>
              </w:rPr>
              <w:t>.00</w:t>
            </w:r>
          </w:p>
        </w:tc>
        <w:tc>
          <w:tcPr>
            <w:tcW w:w="146" w:type="dxa"/>
            <w:vAlign w:val="center"/>
            <w:hideMark/>
          </w:tcPr>
          <w:p w14:paraId="27EE59D5"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1D3D8963"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53A71F1C"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4D61456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4</w:t>
            </w:r>
          </w:p>
        </w:tc>
        <w:tc>
          <w:tcPr>
            <w:tcW w:w="1882" w:type="dxa"/>
            <w:tcBorders>
              <w:top w:val="nil"/>
              <w:left w:val="nil"/>
              <w:bottom w:val="single" w:sz="8" w:space="0" w:color="auto"/>
              <w:right w:val="single" w:sz="8" w:space="0" w:color="auto"/>
            </w:tcBorders>
            <w:shd w:val="clear" w:color="auto" w:fill="auto"/>
            <w:vAlign w:val="center"/>
            <w:hideMark/>
          </w:tcPr>
          <w:p w14:paraId="27B10851"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3</w:t>
            </w:r>
          </w:p>
        </w:tc>
        <w:tc>
          <w:tcPr>
            <w:tcW w:w="1096" w:type="dxa"/>
            <w:tcBorders>
              <w:top w:val="nil"/>
              <w:left w:val="nil"/>
              <w:bottom w:val="single" w:sz="8" w:space="0" w:color="auto"/>
              <w:right w:val="single" w:sz="8" w:space="0" w:color="auto"/>
            </w:tcBorders>
            <w:shd w:val="clear" w:color="auto" w:fill="auto"/>
            <w:vAlign w:val="center"/>
            <w:hideMark/>
          </w:tcPr>
          <w:p w14:paraId="4D98DB3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7C1F04B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4D0455EA" w14:textId="60F27971"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w:t>
            </w:r>
            <w:r w:rsidR="00686059">
              <w:rPr>
                <w:rFonts w:ascii="Book Antiqua" w:eastAsia="Times New Roman" w:hAnsi="Book Antiqua" w:cs="Calibri"/>
                <w:color w:val="000000"/>
                <w:sz w:val="20"/>
                <w:szCs w:val="20"/>
                <w:lang w:eastAsia="es-CR"/>
              </w:rPr>
              <w:t>4</w:t>
            </w:r>
          </w:p>
        </w:tc>
        <w:tc>
          <w:tcPr>
            <w:tcW w:w="1696" w:type="dxa"/>
            <w:tcBorders>
              <w:top w:val="nil"/>
              <w:left w:val="nil"/>
              <w:bottom w:val="single" w:sz="8" w:space="0" w:color="auto"/>
              <w:right w:val="single" w:sz="8" w:space="0" w:color="auto"/>
            </w:tcBorders>
            <w:shd w:val="clear" w:color="auto" w:fill="auto"/>
            <w:vAlign w:val="center"/>
            <w:hideMark/>
          </w:tcPr>
          <w:p w14:paraId="3A60DAD5" w14:textId="646B64F3"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00686059" w:rsidRPr="00274073">
              <w:rPr>
                <w:rFonts w:ascii="Book Antiqua" w:eastAsia="Times New Roman" w:hAnsi="Book Antiqua" w:cs="Calibri"/>
                <w:sz w:val="20"/>
                <w:szCs w:val="20"/>
                <w:lang w:eastAsia="es-CR"/>
              </w:rPr>
              <w:t>213 283 287</w:t>
            </w:r>
            <w:r w:rsidRPr="00F81BCC">
              <w:rPr>
                <w:rFonts w:ascii="Book Antiqua" w:eastAsia="Times New Roman" w:hAnsi="Book Antiqua" w:cs="Calibri"/>
                <w:color w:val="000000"/>
                <w:sz w:val="20"/>
                <w:szCs w:val="20"/>
                <w:lang w:eastAsia="es-CR"/>
              </w:rPr>
              <w:t>.00</w:t>
            </w:r>
          </w:p>
        </w:tc>
        <w:tc>
          <w:tcPr>
            <w:tcW w:w="146" w:type="dxa"/>
            <w:vAlign w:val="center"/>
            <w:hideMark/>
          </w:tcPr>
          <w:p w14:paraId="30B7FBA4"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7EEE9776" w14:textId="77777777" w:rsidTr="001D0C10">
        <w:trPr>
          <w:trHeight w:val="300"/>
          <w:jc w:val="center"/>
        </w:trPr>
        <w:tc>
          <w:tcPr>
            <w:tcW w:w="1567" w:type="dxa"/>
            <w:tcBorders>
              <w:top w:val="nil"/>
              <w:left w:val="single" w:sz="8" w:space="0" w:color="auto"/>
              <w:bottom w:val="single" w:sz="8" w:space="0" w:color="auto"/>
              <w:right w:val="single" w:sz="8" w:space="0" w:color="auto"/>
            </w:tcBorders>
            <w:shd w:val="clear" w:color="auto" w:fill="auto"/>
            <w:noWrap/>
            <w:vAlign w:val="center"/>
            <w:hideMark/>
          </w:tcPr>
          <w:p w14:paraId="5CCC6764"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Total</w:t>
            </w:r>
          </w:p>
        </w:tc>
        <w:tc>
          <w:tcPr>
            <w:tcW w:w="1193" w:type="dxa"/>
            <w:tcBorders>
              <w:top w:val="nil"/>
              <w:left w:val="nil"/>
              <w:bottom w:val="single" w:sz="8" w:space="0" w:color="auto"/>
              <w:right w:val="single" w:sz="8" w:space="0" w:color="auto"/>
            </w:tcBorders>
            <w:shd w:val="clear" w:color="auto" w:fill="auto"/>
            <w:noWrap/>
            <w:vAlign w:val="center"/>
            <w:hideMark/>
          </w:tcPr>
          <w:p w14:paraId="28A74BA9"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12</w:t>
            </w:r>
          </w:p>
        </w:tc>
        <w:tc>
          <w:tcPr>
            <w:tcW w:w="5748"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350E4E30"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 </w:t>
            </w:r>
          </w:p>
        </w:tc>
        <w:tc>
          <w:tcPr>
            <w:tcW w:w="1696" w:type="dxa"/>
            <w:tcBorders>
              <w:top w:val="nil"/>
              <w:left w:val="nil"/>
              <w:bottom w:val="single" w:sz="8" w:space="0" w:color="auto"/>
              <w:right w:val="single" w:sz="8" w:space="0" w:color="auto"/>
            </w:tcBorders>
            <w:shd w:val="clear" w:color="auto" w:fill="auto"/>
            <w:noWrap/>
            <w:vAlign w:val="center"/>
            <w:hideMark/>
          </w:tcPr>
          <w:p w14:paraId="00DA5F55" w14:textId="510FBB29"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 xml:space="preserve"> </w:t>
            </w:r>
            <w:r w:rsidRPr="00F81BCC">
              <w:rPr>
                <w:rFonts w:ascii="Times New Roman" w:eastAsia="Times New Roman" w:hAnsi="Times New Roman" w:cs="Times New Roman"/>
                <w:b/>
                <w:bCs/>
                <w:color w:val="000000"/>
                <w:sz w:val="20"/>
                <w:szCs w:val="20"/>
                <w:lang w:eastAsia="es-CR"/>
              </w:rPr>
              <w:t>₡ 535</w:t>
            </w:r>
            <w:r w:rsidR="00686059">
              <w:rPr>
                <w:rFonts w:ascii="Times New Roman" w:eastAsia="Times New Roman" w:hAnsi="Times New Roman" w:cs="Times New Roman"/>
                <w:b/>
                <w:bCs/>
                <w:color w:val="000000"/>
                <w:sz w:val="20"/>
                <w:szCs w:val="20"/>
                <w:lang w:eastAsia="es-CR"/>
              </w:rPr>
              <w:t> </w:t>
            </w:r>
            <w:r w:rsidRPr="00F81BCC">
              <w:rPr>
                <w:rFonts w:ascii="Book Antiqua" w:eastAsia="Times New Roman" w:hAnsi="Book Antiqua" w:cs="Calibri"/>
                <w:b/>
                <w:bCs/>
                <w:color w:val="000000"/>
                <w:sz w:val="20"/>
                <w:szCs w:val="20"/>
                <w:lang w:eastAsia="es-CR"/>
              </w:rPr>
              <w:t>478</w:t>
            </w:r>
            <w:r w:rsidR="00686059">
              <w:rPr>
                <w:rFonts w:ascii="Book Antiqua" w:eastAsia="Times New Roman" w:hAnsi="Book Antiqua" w:cs="Calibri"/>
                <w:b/>
                <w:bCs/>
                <w:color w:val="000000"/>
                <w:sz w:val="20"/>
                <w:szCs w:val="20"/>
                <w:lang w:eastAsia="es-CR"/>
              </w:rPr>
              <w:t xml:space="preserve"> </w:t>
            </w:r>
            <w:r w:rsidRPr="00F81BCC">
              <w:rPr>
                <w:rFonts w:ascii="Book Antiqua" w:eastAsia="Times New Roman" w:hAnsi="Book Antiqua" w:cs="Calibri"/>
                <w:b/>
                <w:bCs/>
                <w:color w:val="000000"/>
                <w:sz w:val="20"/>
                <w:szCs w:val="20"/>
                <w:lang w:eastAsia="es-CR"/>
              </w:rPr>
              <w:t>395.00</w:t>
            </w:r>
          </w:p>
        </w:tc>
        <w:tc>
          <w:tcPr>
            <w:tcW w:w="146" w:type="dxa"/>
            <w:vAlign w:val="center"/>
            <w:hideMark/>
          </w:tcPr>
          <w:p w14:paraId="5487F5D4"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bl>
    <w:p w14:paraId="7870DAC5" w14:textId="09C9082D" w:rsidR="00F81BCC" w:rsidRPr="00686059" w:rsidRDefault="007E153E" w:rsidP="00686059">
      <w:pPr>
        <w:pStyle w:val="Ttulo"/>
        <w:spacing w:before="0" w:after="0" w:line="240" w:lineRule="auto"/>
        <w:ind w:hanging="142"/>
        <w:jc w:val="both"/>
        <w:rPr>
          <w:rFonts w:eastAsia="Calibri" w:cs="Arial"/>
          <w:bCs/>
          <w:color w:val="auto"/>
          <w:spacing w:val="0"/>
          <w:sz w:val="20"/>
          <w:szCs w:val="20"/>
          <w:lang w:val="es-CR" w:eastAsia="en-US"/>
        </w:rPr>
      </w:pPr>
      <w:r w:rsidRPr="00686059">
        <w:rPr>
          <w:rFonts w:eastAsia="Calibri" w:cs="Arial"/>
          <w:bCs/>
          <w:color w:val="auto"/>
          <w:spacing w:val="0"/>
          <w:sz w:val="20"/>
          <w:szCs w:val="20"/>
          <w:lang w:val="es-CR" w:eastAsia="en-US"/>
        </w:rPr>
        <w:t xml:space="preserve">*Dato calculado por el Centro </w:t>
      </w:r>
      <w:r w:rsidR="00097996" w:rsidRPr="00686059">
        <w:rPr>
          <w:rFonts w:eastAsia="Calibri" w:cs="Arial"/>
          <w:bCs/>
          <w:color w:val="auto"/>
          <w:spacing w:val="0"/>
          <w:sz w:val="20"/>
          <w:szCs w:val="20"/>
          <w:lang w:val="es-CR" w:eastAsia="en-US"/>
        </w:rPr>
        <w:t>de Apoyo, Coordinación y Mejoramiento de la Función Jurisdiccional</w:t>
      </w:r>
      <w:r w:rsidR="00686059" w:rsidRPr="00686059">
        <w:rPr>
          <w:rFonts w:eastAsia="Calibri" w:cs="Arial"/>
          <w:bCs/>
          <w:color w:val="auto"/>
          <w:spacing w:val="0"/>
          <w:sz w:val="20"/>
          <w:szCs w:val="20"/>
          <w:lang w:val="es-CR" w:eastAsia="en-US"/>
        </w:rPr>
        <w:t>.</w:t>
      </w:r>
    </w:p>
    <w:p w14:paraId="7C8C0257" w14:textId="77777777" w:rsidR="00097996" w:rsidRDefault="00097996" w:rsidP="00F81BCC">
      <w:pPr>
        <w:spacing w:after="0" w:line="276" w:lineRule="auto"/>
        <w:jc w:val="both"/>
        <w:rPr>
          <w:rFonts w:ascii="Book Antiqua" w:eastAsia="Calibri" w:hAnsi="Book Antiqua" w:cs="Arial"/>
          <w:sz w:val="24"/>
          <w:szCs w:val="24"/>
        </w:rPr>
      </w:pPr>
    </w:p>
    <w:p w14:paraId="5E6CF5E8" w14:textId="0C083FFE" w:rsidR="00D12ED9" w:rsidRDefault="00D12ED9" w:rsidP="00F81BC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propuesta actual </w:t>
      </w:r>
      <w:r w:rsidR="00686059">
        <w:rPr>
          <w:rFonts w:ascii="Book Antiqua" w:eastAsia="Calibri" w:hAnsi="Book Antiqua" w:cs="Arial"/>
          <w:sz w:val="24"/>
          <w:szCs w:val="24"/>
        </w:rPr>
        <w:t xml:space="preserve">no </w:t>
      </w:r>
      <w:r>
        <w:rPr>
          <w:rFonts w:ascii="Book Antiqua" w:eastAsia="Calibri" w:hAnsi="Book Antiqua" w:cs="Arial"/>
          <w:sz w:val="24"/>
          <w:szCs w:val="24"/>
        </w:rPr>
        <w:t xml:space="preserve">varía con respeto a la del año anterior, </w:t>
      </w:r>
      <w:r w:rsidR="00686059">
        <w:rPr>
          <w:rFonts w:ascii="Book Antiqua" w:eastAsia="Calibri" w:hAnsi="Book Antiqua" w:cs="Arial"/>
          <w:sz w:val="24"/>
          <w:szCs w:val="24"/>
        </w:rPr>
        <w:t>donde</w:t>
      </w:r>
      <w:r>
        <w:rPr>
          <w:rFonts w:ascii="Book Antiqua" w:eastAsia="Calibri" w:hAnsi="Book Antiqua" w:cs="Arial"/>
          <w:sz w:val="24"/>
          <w:szCs w:val="24"/>
        </w:rPr>
        <w:t xml:space="preserve"> solicitan 1 </w:t>
      </w:r>
      <w:r w:rsidR="008B5860">
        <w:rPr>
          <w:rFonts w:ascii="Book Antiqua" w:eastAsia="Calibri" w:hAnsi="Book Antiqua" w:cs="Arial"/>
          <w:sz w:val="24"/>
          <w:szCs w:val="24"/>
        </w:rPr>
        <w:t>T</w:t>
      </w:r>
      <w:r>
        <w:rPr>
          <w:rFonts w:ascii="Book Antiqua" w:eastAsia="Calibri" w:hAnsi="Book Antiqua" w:cs="Arial"/>
          <w:sz w:val="24"/>
          <w:szCs w:val="24"/>
        </w:rPr>
        <w:t xml:space="preserve">écnico Judicial 2 de apoyo adicional, lo anterior se considera oportuno dado la entrada en vigencia de la Ley 9747, y además porque esta es la segunda jurisdicción con mayor cantidad de oficinas a cargo para seguimiento, solo por debajo de la materia </w:t>
      </w:r>
      <w:r w:rsidR="008B5860">
        <w:rPr>
          <w:rFonts w:ascii="Book Antiqua" w:eastAsia="Calibri" w:hAnsi="Book Antiqua" w:cs="Arial"/>
          <w:sz w:val="24"/>
          <w:szCs w:val="24"/>
        </w:rPr>
        <w:t>P</w:t>
      </w:r>
      <w:r>
        <w:rPr>
          <w:rFonts w:ascii="Book Antiqua" w:eastAsia="Calibri" w:hAnsi="Book Antiqua" w:cs="Arial"/>
          <w:sz w:val="24"/>
          <w:szCs w:val="24"/>
        </w:rPr>
        <w:t xml:space="preserve">enal (en donde hay 2 plazas de gestoría actualmente). </w:t>
      </w:r>
      <w:r w:rsidR="008B5860">
        <w:rPr>
          <w:rFonts w:ascii="Book Antiqua" w:eastAsia="Calibri" w:hAnsi="Book Antiqua" w:cs="Arial"/>
          <w:sz w:val="24"/>
          <w:szCs w:val="24"/>
        </w:rPr>
        <w:t>Este recurso</w:t>
      </w:r>
      <w:r>
        <w:rPr>
          <w:rFonts w:ascii="Book Antiqua" w:eastAsia="Calibri" w:hAnsi="Book Antiqua" w:cs="Arial"/>
          <w:sz w:val="24"/>
          <w:szCs w:val="24"/>
        </w:rPr>
        <w:t xml:space="preserve"> se estima temporal y con mayor presencia en la etapa inicial del proyecto y de la entrada en vigencia de la nueva norma procesal ya que </w:t>
      </w:r>
      <w:r w:rsidRPr="00F81BCC">
        <w:rPr>
          <w:rFonts w:ascii="Book Antiqua" w:eastAsia="Calibri" w:hAnsi="Book Antiqua" w:cs="Arial"/>
          <w:sz w:val="24"/>
          <w:szCs w:val="24"/>
        </w:rPr>
        <w:t>colabora</w:t>
      </w:r>
      <w:r>
        <w:rPr>
          <w:rFonts w:ascii="Book Antiqua" w:eastAsia="Calibri" w:hAnsi="Book Antiqua" w:cs="Arial"/>
          <w:sz w:val="24"/>
          <w:szCs w:val="24"/>
        </w:rPr>
        <w:t>n</w:t>
      </w:r>
      <w:r w:rsidRPr="00F81BCC">
        <w:rPr>
          <w:rFonts w:ascii="Book Antiqua" w:eastAsia="Calibri" w:hAnsi="Book Antiqua" w:cs="Arial"/>
          <w:sz w:val="24"/>
          <w:szCs w:val="24"/>
        </w:rPr>
        <w:t xml:space="preserve"> con la plaza de Juez Gestor en labores de coordinación de los planes de trabajo</w:t>
      </w:r>
      <w:r>
        <w:rPr>
          <w:rFonts w:ascii="Book Antiqua" w:eastAsia="Calibri" w:hAnsi="Book Antiqua" w:cs="Arial"/>
          <w:sz w:val="24"/>
          <w:szCs w:val="24"/>
        </w:rPr>
        <w:t xml:space="preserve">, </w:t>
      </w:r>
      <w:r w:rsidRPr="00246AF6">
        <w:rPr>
          <w:rFonts w:ascii="Book Antiqua" w:eastAsia="Calibri" w:hAnsi="Book Antiqua" w:cs="Arial"/>
          <w:sz w:val="24"/>
          <w:szCs w:val="24"/>
        </w:rPr>
        <w:t xml:space="preserve">de seguimiento de las materias de </w:t>
      </w:r>
      <w:r>
        <w:rPr>
          <w:rFonts w:ascii="Book Antiqua" w:eastAsia="Calibri" w:hAnsi="Book Antiqua" w:cs="Arial"/>
          <w:sz w:val="24"/>
          <w:szCs w:val="24"/>
        </w:rPr>
        <w:t>F</w:t>
      </w:r>
      <w:r w:rsidRPr="00246AF6">
        <w:rPr>
          <w:rFonts w:ascii="Book Antiqua" w:eastAsia="Calibri" w:hAnsi="Book Antiqua" w:cs="Arial"/>
          <w:sz w:val="24"/>
          <w:szCs w:val="24"/>
        </w:rPr>
        <w:t xml:space="preserve">amilia, </w:t>
      </w:r>
      <w:r>
        <w:rPr>
          <w:rFonts w:ascii="Book Antiqua" w:eastAsia="Calibri" w:hAnsi="Book Antiqua" w:cs="Arial"/>
          <w:sz w:val="24"/>
          <w:szCs w:val="24"/>
        </w:rPr>
        <w:t>P</w:t>
      </w:r>
      <w:r w:rsidRPr="00246AF6">
        <w:rPr>
          <w:rFonts w:ascii="Book Antiqua" w:eastAsia="Calibri" w:hAnsi="Book Antiqua" w:cs="Arial"/>
          <w:sz w:val="24"/>
          <w:szCs w:val="24"/>
        </w:rPr>
        <w:t xml:space="preserve">ensiones </w:t>
      </w:r>
      <w:r>
        <w:rPr>
          <w:rFonts w:ascii="Book Antiqua" w:eastAsia="Calibri" w:hAnsi="Book Antiqua" w:cs="Arial"/>
          <w:sz w:val="24"/>
          <w:szCs w:val="24"/>
        </w:rPr>
        <w:t>Al</w:t>
      </w:r>
      <w:r w:rsidRPr="00246AF6">
        <w:rPr>
          <w:rFonts w:ascii="Book Antiqua" w:eastAsia="Calibri" w:hAnsi="Book Antiqua" w:cs="Arial"/>
          <w:sz w:val="24"/>
          <w:szCs w:val="24"/>
        </w:rPr>
        <w:t>imentarias y Violencia Doméstica,</w:t>
      </w:r>
      <w:r>
        <w:rPr>
          <w:rFonts w:ascii="Book Antiqua" w:eastAsia="Calibri" w:hAnsi="Book Antiqua" w:cs="Arial"/>
          <w:sz w:val="24"/>
          <w:szCs w:val="24"/>
        </w:rPr>
        <w:t xml:space="preserve"> entre otros. </w:t>
      </w:r>
    </w:p>
    <w:p w14:paraId="0F3AA65F" w14:textId="77777777" w:rsidR="00D12ED9" w:rsidRDefault="00D12ED9" w:rsidP="00F81BCC">
      <w:pPr>
        <w:spacing w:after="0" w:line="276" w:lineRule="auto"/>
        <w:jc w:val="both"/>
        <w:rPr>
          <w:rFonts w:ascii="Book Antiqua" w:eastAsia="Calibri" w:hAnsi="Book Antiqua" w:cs="Arial"/>
          <w:sz w:val="24"/>
          <w:szCs w:val="24"/>
        </w:rPr>
      </w:pPr>
    </w:p>
    <w:p w14:paraId="54235791" w14:textId="0F71E676" w:rsidR="00F81BCC" w:rsidRP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La plaza de Jueza o Juez Gestor tiene no solo la responsabilidad de brindar asesoría a las distintas instancias administrativas en el Proyecto de Implementación de la Reforma, dar seguimiento a las distintas labores necesarias para que el Poder Judicial esté listo para implementar el Código Procesal de Familia a partir del 1 de octubre de 202</w:t>
      </w:r>
      <w:r w:rsidR="00686059">
        <w:rPr>
          <w:rFonts w:ascii="Book Antiqua" w:eastAsia="Calibri" w:hAnsi="Book Antiqua" w:cs="Arial"/>
          <w:sz w:val="24"/>
          <w:szCs w:val="24"/>
        </w:rPr>
        <w:t>4</w:t>
      </w:r>
      <w:r w:rsidRPr="00F81BCC">
        <w:rPr>
          <w:rFonts w:ascii="Book Antiqua" w:eastAsia="Calibri" w:hAnsi="Book Antiqua" w:cs="Arial"/>
          <w:sz w:val="24"/>
          <w:szCs w:val="24"/>
        </w:rPr>
        <w:t>, debe dar cumplimiento a las tareas asignadas conforme al cronograma de trabajo del Proyecto y responsabilidades asociadas a los entregables a su cargo, además es un canal de comunicación directo con la Comisión de Familia, Niñez y Adolescencia</w:t>
      </w:r>
      <w:r w:rsidR="00D12ED9">
        <w:rPr>
          <w:rFonts w:ascii="Book Antiqua" w:eastAsia="Calibri" w:hAnsi="Book Antiqua" w:cs="Arial"/>
          <w:sz w:val="24"/>
          <w:szCs w:val="24"/>
        </w:rPr>
        <w:t xml:space="preserve"> y la </w:t>
      </w:r>
      <w:r w:rsidR="00D12ED9" w:rsidRPr="00D12ED9">
        <w:rPr>
          <w:rFonts w:ascii="Book Antiqua" w:eastAsia="Calibri" w:hAnsi="Book Antiqua" w:cs="Arial"/>
          <w:sz w:val="24"/>
          <w:szCs w:val="24"/>
        </w:rPr>
        <w:t>Comisión Permanente para el Seguimiento de la Atención y Prevención de la Violencia Intrafamiliar</w:t>
      </w:r>
      <w:r w:rsidR="00D12ED9">
        <w:rPr>
          <w:rFonts w:ascii="Book Antiqua" w:eastAsia="Calibri" w:hAnsi="Book Antiqua" w:cs="Arial"/>
          <w:sz w:val="24"/>
          <w:szCs w:val="24"/>
        </w:rPr>
        <w:t>.</w:t>
      </w:r>
    </w:p>
    <w:p w14:paraId="6AE32A31" w14:textId="77777777" w:rsidR="00F81BCC" w:rsidRPr="00F81BCC" w:rsidRDefault="00F81BCC" w:rsidP="00F81BCC">
      <w:pPr>
        <w:spacing w:after="0" w:line="276" w:lineRule="auto"/>
        <w:jc w:val="both"/>
        <w:rPr>
          <w:rFonts w:ascii="Book Antiqua" w:eastAsia="Calibri" w:hAnsi="Book Antiqua" w:cs="Arial"/>
          <w:sz w:val="24"/>
          <w:szCs w:val="24"/>
        </w:rPr>
      </w:pPr>
    </w:p>
    <w:p w14:paraId="27D695CF" w14:textId="28629942" w:rsid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La plaza de </w:t>
      </w:r>
      <w:r w:rsidR="002936E1">
        <w:rPr>
          <w:rFonts w:ascii="Book Antiqua" w:eastAsia="Calibri" w:hAnsi="Book Antiqua" w:cs="Arial"/>
          <w:sz w:val="24"/>
          <w:szCs w:val="24"/>
        </w:rPr>
        <w:t>P</w:t>
      </w:r>
      <w:r w:rsidRPr="00F81BCC">
        <w:rPr>
          <w:rFonts w:ascii="Book Antiqua" w:eastAsia="Calibri" w:hAnsi="Book Antiqua" w:cs="Arial"/>
          <w:sz w:val="24"/>
          <w:szCs w:val="24"/>
        </w:rPr>
        <w:t>rofesional 2 debe estar a cargo del seguimiento de las oficinas en materia de Familia, Pensiones Alimentarias y Violencia Doméstica a nivel nacional</w:t>
      </w:r>
      <w:r w:rsidR="00D12ED9">
        <w:rPr>
          <w:rFonts w:ascii="Book Antiqua" w:eastAsia="Calibri" w:hAnsi="Book Antiqua" w:cs="Arial"/>
          <w:sz w:val="24"/>
          <w:szCs w:val="24"/>
        </w:rPr>
        <w:t xml:space="preserve"> (119)</w:t>
      </w:r>
      <w:r w:rsidRPr="00F81BCC">
        <w:rPr>
          <w:rFonts w:ascii="Book Antiqua" w:eastAsia="Calibri" w:hAnsi="Book Antiqua" w:cs="Arial"/>
          <w:sz w:val="24"/>
          <w:szCs w:val="24"/>
        </w:rPr>
        <w:t>, así como enfocada en el diseño de propuesta</w:t>
      </w:r>
      <w:r w:rsidR="002936E1">
        <w:rPr>
          <w:rFonts w:ascii="Book Antiqua" w:eastAsia="Calibri" w:hAnsi="Book Antiqua" w:cs="Arial"/>
          <w:sz w:val="24"/>
          <w:szCs w:val="24"/>
        </w:rPr>
        <w:t>s</w:t>
      </w:r>
      <w:r w:rsidRPr="00F81BCC">
        <w:rPr>
          <w:rFonts w:ascii="Book Antiqua" w:eastAsia="Calibri" w:hAnsi="Book Antiqua" w:cs="Arial"/>
          <w:sz w:val="24"/>
          <w:szCs w:val="24"/>
        </w:rPr>
        <w:t xml:space="preserve">, planes de trabajo y remediales conforme al seguimiento realizado. También esta plaza da apoyo a la figura de Jueza o Juez Gestor en la materia. </w:t>
      </w:r>
    </w:p>
    <w:p w14:paraId="6E3DF15A" w14:textId="77777777" w:rsidR="00F81BCC" w:rsidRPr="00F81BCC" w:rsidRDefault="00F81BCC" w:rsidP="00F81BCC">
      <w:pPr>
        <w:spacing w:after="0" w:line="276" w:lineRule="auto"/>
        <w:jc w:val="both"/>
        <w:rPr>
          <w:rFonts w:ascii="Book Antiqua" w:eastAsia="Calibri" w:hAnsi="Book Antiqua" w:cs="Arial"/>
          <w:sz w:val="24"/>
          <w:szCs w:val="24"/>
        </w:rPr>
      </w:pPr>
    </w:p>
    <w:p w14:paraId="6C910BD8" w14:textId="10EDDB6C" w:rsidR="00D12ED9"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Cabe mencionar que las plazas de Jueza o Juez 3 son plazas para utilizar en planes de descongestionamiento </w:t>
      </w:r>
      <w:r w:rsidR="008B5860">
        <w:rPr>
          <w:rFonts w:ascii="Book Antiqua" w:eastAsia="Calibri" w:hAnsi="Book Antiqua" w:cs="Arial"/>
          <w:sz w:val="24"/>
          <w:szCs w:val="24"/>
        </w:rPr>
        <w:t xml:space="preserve">en materia de Familia </w:t>
      </w:r>
      <w:r w:rsidRPr="00F81BCC">
        <w:rPr>
          <w:rFonts w:ascii="Book Antiqua" w:eastAsia="Calibri" w:hAnsi="Book Antiqua" w:cs="Arial"/>
          <w:sz w:val="24"/>
          <w:szCs w:val="24"/>
        </w:rPr>
        <w:t>a nivel nacional, por lo que deben tener competencia en todo el país</w:t>
      </w:r>
      <w:r w:rsidR="00D12ED9">
        <w:rPr>
          <w:rFonts w:ascii="Book Antiqua" w:eastAsia="Calibri" w:hAnsi="Book Antiqua" w:cs="Arial"/>
          <w:sz w:val="24"/>
          <w:szCs w:val="24"/>
        </w:rPr>
        <w:t xml:space="preserve">, misma situación con las plazas de Jueza o Juez 1 (competencia a nivel nacional), que el año pasado no fueron consideradas pero que se ha denotado la necesidad de contar con recurso de apoyo también en materia de Pensiones Alimentarias. </w:t>
      </w:r>
      <w:r w:rsidRPr="00F81BCC">
        <w:rPr>
          <w:rFonts w:ascii="Book Antiqua" w:eastAsia="Calibri" w:hAnsi="Book Antiqua" w:cs="Arial"/>
          <w:sz w:val="24"/>
          <w:szCs w:val="24"/>
        </w:rPr>
        <w:t xml:space="preserve"> Esta</w:t>
      </w:r>
      <w:r w:rsidR="00D12ED9">
        <w:rPr>
          <w:rFonts w:ascii="Book Antiqua" w:eastAsia="Calibri" w:hAnsi="Book Antiqua" w:cs="Arial"/>
          <w:sz w:val="24"/>
          <w:szCs w:val="24"/>
        </w:rPr>
        <w:t>s</w:t>
      </w:r>
      <w:r w:rsidRPr="00F81BCC">
        <w:rPr>
          <w:rFonts w:ascii="Book Antiqua" w:eastAsia="Calibri" w:hAnsi="Book Antiqua" w:cs="Arial"/>
          <w:sz w:val="24"/>
          <w:szCs w:val="24"/>
        </w:rPr>
        <w:t xml:space="preserve"> necesidad</w:t>
      </w:r>
      <w:r w:rsidR="00D12ED9">
        <w:rPr>
          <w:rFonts w:ascii="Book Antiqua" w:eastAsia="Calibri" w:hAnsi="Book Antiqua" w:cs="Arial"/>
          <w:sz w:val="24"/>
          <w:szCs w:val="24"/>
        </w:rPr>
        <w:t>es</w:t>
      </w:r>
      <w:r w:rsidRPr="00F81BCC">
        <w:rPr>
          <w:rFonts w:ascii="Book Antiqua" w:eastAsia="Calibri" w:hAnsi="Book Antiqua" w:cs="Arial"/>
          <w:sz w:val="24"/>
          <w:szCs w:val="24"/>
        </w:rPr>
        <w:t xml:space="preserve"> en 2019, 2020</w:t>
      </w:r>
      <w:r w:rsidR="000B745B">
        <w:rPr>
          <w:rFonts w:ascii="Book Antiqua" w:eastAsia="Calibri" w:hAnsi="Book Antiqua" w:cs="Arial"/>
          <w:sz w:val="24"/>
          <w:szCs w:val="24"/>
        </w:rPr>
        <w:t>,</w:t>
      </w:r>
      <w:r w:rsidRPr="00F81BCC">
        <w:rPr>
          <w:rFonts w:ascii="Book Antiqua" w:eastAsia="Calibri" w:hAnsi="Book Antiqua" w:cs="Arial"/>
          <w:sz w:val="24"/>
          <w:szCs w:val="24"/>
        </w:rPr>
        <w:t xml:space="preserve"> 2021 </w:t>
      </w:r>
      <w:r w:rsidR="000B745B">
        <w:rPr>
          <w:rFonts w:ascii="Book Antiqua" w:eastAsia="Calibri" w:hAnsi="Book Antiqua" w:cs="Arial"/>
          <w:sz w:val="24"/>
          <w:szCs w:val="24"/>
        </w:rPr>
        <w:t xml:space="preserve">y 2022, </w:t>
      </w:r>
      <w:r w:rsidRPr="00F81BCC">
        <w:rPr>
          <w:rFonts w:ascii="Book Antiqua" w:eastAsia="Calibri" w:hAnsi="Book Antiqua" w:cs="Arial"/>
          <w:sz w:val="24"/>
          <w:szCs w:val="24"/>
        </w:rPr>
        <w:t>se ha</w:t>
      </w:r>
      <w:r w:rsidR="000B745B">
        <w:rPr>
          <w:rFonts w:ascii="Book Antiqua" w:eastAsia="Calibri" w:hAnsi="Book Antiqua" w:cs="Arial"/>
          <w:sz w:val="24"/>
          <w:szCs w:val="24"/>
        </w:rPr>
        <w:t>n</w:t>
      </w:r>
      <w:r w:rsidRPr="00F81BCC">
        <w:rPr>
          <w:rFonts w:ascii="Book Antiqua" w:eastAsia="Calibri" w:hAnsi="Book Antiqua" w:cs="Arial"/>
          <w:sz w:val="24"/>
          <w:szCs w:val="24"/>
        </w:rPr>
        <w:t xml:space="preserve"> cubierto con permisos con goce de salario y sustitución de conformidad con el artículo 44 de la Ley Orgánica del Poder Judicial</w:t>
      </w:r>
      <w:r w:rsidR="00D12ED9">
        <w:rPr>
          <w:rFonts w:ascii="Book Antiqua" w:eastAsia="Calibri" w:hAnsi="Book Antiqua" w:cs="Arial"/>
          <w:sz w:val="24"/>
          <w:szCs w:val="24"/>
        </w:rPr>
        <w:t>.</w:t>
      </w:r>
    </w:p>
    <w:p w14:paraId="7616E44D" w14:textId="3D4B7B76" w:rsidR="00F81BCC" w:rsidRP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 </w:t>
      </w:r>
    </w:p>
    <w:p w14:paraId="674163CB" w14:textId="2C5AB7A6" w:rsidR="00F81BCC" w:rsidRPr="00612E7C" w:rsidRDefault="000B745B" w:rsidP="00F81BC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El </w:t>
      </w:r>
      <w:r w:rsidR="00F81BCC" w:rsidRPr="00F81BCC">
        <w:rPr>
          <w:rFonts w:ascii="Book Antiqua" w:eastAsia="Calibri" w:hAnsi="Book Antiqua" w:cs="Arial"/>
          <w:sz w:val="24"/>
          <w:szCs w:val="24"/>
        </w:rPr>
        <w:t>Centro de Apoyo, Coordinación y Mejoramiento de la Función Jurisdiccional</w:t>
      </w:r>
      <w:r>
        <w:rPr>
          <w:rFonts w:ascii="Book Antiqua" w:eastAsia="Calibri" w:hAnsi="Book Antiqua" w:cs="Arial"/>
          <w:sz w:val="24"/>
          <w:szCs w:val="24"/>
        </w:rPr>
        <w:t xml:space="preserve">, </w:t>
      </w:r>
      <w:r w:rsidRPr="000B745B">
        <w:rPr>
          <w:rFonts w:ascii="Book Antiqua" w:eastAsia="Calibri" w:hAnsi="Book Antiqua" w:cs="Arial"/>
          <w:sz w:val="24"/>
          <w:szCs w:val="24"/>
        </w:rPr>
        <w:t>estima que los costos totales anuales del requerimiento de</w:t>
      </w:r>
      <w:r>
        <w:rPr>
          <w:rFonts w:ascii="Book Antiqua" w:eastAsia="Calibri" w:hAnsi="Book Antiqua" w:cs="Arial"/>
          <w:sz w:val="24"/>
          <w:szCs w:val="24"/>
        </w:rPr>
        <w:t xml:space="preserve"> recurso humano</w:t>
      </w:r>
      <w:r w:rsidR="006140C0">
        <w:rPr>
          <w:rFonts w:ascii="Book Antiqua" w:eastAsia="Calibri" w:hAnsi="Book Antiqua" w:cs="Arial"/>
          <w:sz w:val="24"/>
          <w:szCs w:val="24"/>
        </w:rPr>
        <w:t xml:space="preserve"> </w:t>
      </w:r>
      <w:r>
        <w:rPr>
          <w:rFonts w:ascii="Book Antiqua" w:eastAsia="Calibri" w:hAnsi="Book Antiqua" w:cs="Arial"/>
          <w:sz w:val="24"/>
          <w:szCs w:val="24"/>
        </w:rPr>
        <w:t xml:space="preserve">para el 2024 es de </w:t>
      </w:r>
      <w:r w:rsidR="00F81BCC" w:rsidRPr="008B5860">
        <w:rPr>
          <w:rFonts w:ascii="Times New Roman" w:eastAsia="Calibri" w:hAnsi="Times New Roman" w:cs="Times New Roman"/>
          <w:b/>
          <w:bCs/>
          <w:sz w:val="24"/>
          <w:szCs w:val="24"/>
        </w:rPr>
        <w:t>₡</w:t>
      </w:r>
      <w:r w:rsidR="00641FB7" w:rsidRPr="008B5860">
        <w:rPr>
          <w:rFonts w:ascii="Times New Roman" w:eastAsia="Calibri" w:hAnsi="Times New Roman" w:cs="Times New Roman"/>
          <w:b/>
          <w:bCs/>
          <w:sz w:val="24"/>
          <w:szCs w:val="24"/>
        </w:rPr>
        <w:t>5</w:t>
      </w:r>
      <w:r w:rsidR="00F81BCC" w:rsidRPr="008B5860">
        <w:rPr>
          <w:rFonts w:ascii="Book Antiqua" w:eastAsia="Calibri" w:hAnsi="Book Antiqua" w:cs="Arial"/>
          <w:b/>
          <w:bCs/>
          <w:sz w:val="24"/>
          <w:szCs w:val="24"/>
        </w:rPr>
        <w:t>3</w:t>
      </w:r>
      <w:r w:rsidR="00641FB7" w:rsidRPr="008B5860">
        <w:rPr>
          <w:rFonts w:ascii="Book Antiqua" w:eastAsia="Calibri" w:hAnsi="Book Antiqua" w:cs="Arial"/>
          <w:b/>
          <w:bCs/>
          <w:sz w:val="24"/>
          <w:szCs w:val="24"/>
        </w:rPr>
        <w:t>5</w:t>
      </w:r>
      <w:r>
        <w:rPr>
          <w:rFonts w:ascii="Book Antiqua" w:eastAsia="Calibri" w:hAnsi="Book Antiqua" w:cs="Arial"/>
          <w:b/>
          <w:bCs/>
          <w:sz w:val="24"/>
          <w:szCs w:val="24"/>
        </w:rPr>
        <w:t> </w:t>
      </w:r>
      <w:r w:rsidR="00641FB7" w:rsidRPr="008B5860">
        <w:rPr>
          <w:rFonts w:ascii="Book Antiqua" w:eastAsia="Calibri" w:hAnsi="Book Antiqua" w:cs="Arial"/>
          <w:b/>
          <w:bCs/>
          <w:sz w:val="24"/>
          <w:szCs w:val="24"/>
        </w:rPr>
        <w:t>4</w:t>
      </w:r>
      <w:r w:rsidR="00F81BCC" w:rsidRPr="008B5860">
        <w:rPr>
          <w:rFonts w:ascii="Book Antiqua" w:eastAsia="Calibri" w:hAnsi="Book Antiqua" w:cs="Arial"/>
          <w:b/>
          <w:bCs/>
          <w:sz w:val="24"/>
          <w:szCs w:val="24"/>
        </w:rPr>
        <w:t>7</w:t>
      </w:r>
      <w:r w:rsidR="00641FB7" w:rsidRPr="008B5860">
        <w:rPr>
          <w:rFonts w:ascii="Book Antiqua" w:eastAsia="Calibri" w:hAnsi="Book Antiqua" w:cs="Arial"/>
          <w:b/>
          <w:bCs/>
          <w:sz w:val="24"/>
          <w:szCs w:val="24"/>
        </w:rPr>
        <w:t>8</w:t>
      </w:r>
      <w:r>
        <w:rPr>
          <w:rFonts w:ascii="Book Antiqua" w:eastAsia="Calibri" w:hAnsi="Book Antiqua" w:cs="Arial"/>
          <w:b/>
          <w:bCs/>
          <w:sz w:val="24"/>
          <w:szCs w:val="24"/>
        </w:rPr>
        <w:t xml:space="preserve"> </w:t>
      </w:r>
      <w:r w:rsidR="00641FB7" w:rsidRPr="008B5860">
        <w:rPr>
          <w:rFonts w:ascii="Book Antiqua" w:eastAsia="Calibri" w:hAnsi="Book Antiqua" w:cs="Arial"/>
          <w:b/>
          <w:bCs/>
          <w:sz w:val="24"/>
          <w:szCs w:val="24"/>
        </w:rPr>
        <w:t>395</w:t>
      </w:r>
      <w:r w:rsidR="00F81BCC" w:rsidRPr="008B5860">
        <w:rPr>
          <w:rFonts w:ascii="Book Antiqua" w:eastAsia="Calibri" w:hAnsi="Book Antiqua" w:cs="Arial"/>
          <w:b/>
          <w:bCs/>
          <w:sz w:val="24"/>
          <w:szCs w:val="24"/>
        </w:rPr>
        <w:t>,00</w:t>
      </w:r>
      <w:r w:rsidR="000959C3">
        <w:rPr>
          <w:rFonts w:ascii="Book Antiqua" w:eastAsia="Calibri" w:hAnsi="Book Antiqua" w:cs="Arial"/>
          <w:sz w:val="24"/>
          <w:szCs w:val="24"/>
        </w:rPr>
        <w:t>.</w:t>
      </w:r>
    </w:p>
    <w:p w14:paraId="17EE7D23" w14:textId="3CB1BA15" w:rsidR="001A2A1B" w:rsidRDefault="001A2A1B" w:rsidP="001A2A1B">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t xml:space="preserve">Adicionalmente esta Dirección considera oportuno como se explicó en apartados anteriores contar con 2 plazas de Jueza o Juez 3 y 2 Técnicos Judiciales para planes de Trabajo en materia de Violencia Doméstica a nivel nacional, para reforzar oficinas con mayor carga de trabajo o eventualmente completar estructuras en caso de que con el Modelo de oficina se identifique faltante. </w:t>
      </w:r>
    </w:p>
    <w:p w14:paraId="0E131AC5" w14:textId="0DF6B682" w:rsidR="008B5860" w:rsidRDefault="008B5860" w:rsidP="00F81BCC">
      <w:pPr>
        <w:spacing w:after="0" w:line="276" w:lineRule="auto"/>
        <w:jc w:val="both"/>
        <w:rPr>
          <w:rFonts w:ascii="Book Antiqua" w:eastAsia="Calibri" w:hAnsi="Book Antiqua" w:cs="Arial"/>
          <w:b/>
          <w:bCs/>
          <w:sz w:val="24"/>
          <w:szCs w:val="24"/>
        </w:rPr>
      </w:pPr>
    </w:p>
    <w:p w14:paraId="5EFA68B1" w14:textId="4623A7D1" w:rsidR="008B5860" w:rsidRPr="00292FFD" w:rsidRDefault="006A7470" w:rsidP="00292FFD">
      <w:pPr>
        <w:pStyle w:val="Ttulo3"/>
      </w:pPr>
      <w:r w:rsidRPr="00292FFD">
        <w:t xml:space="preserve">8.2.1 </w:t>
      </w:r>
      <w:r w:rsidR="008B5860" w:rsidRPr="00292FFD">
        <w:t xml:space="preserve">Resultado de los planes de descongestionamiento en materia de Familia </w:t>
      </w:r>
    </w:p>
    <w:p w14:paraId="1AA09176" w14:textId="77777777" w:rsidR="00AA01E7" w:rsidRDefault="00AA01E7" w:rsidP="00833E7E">
      <w:pPr>
        <w:spacing w:after="0" w:line="276" w:lineRule="auto"/>
        <w:jc w:val="both"/>
        <w:rPr>
          <w:rFonts w:ascii="Book Antiqua" w:eastAsia="Calibri" w:hAnsi="Book Antiqua" w:cs="Arial"/>
          <w:sz w:val="24"/>
          <w:szCs w:val="24"/>
        </w:rPr>
      </w:pPr>
    </w:p>
    <w:p w14:paraId="5F007C3F" w14:textId="69AB3EAE" w:rsidR="00833E7E" w:rsidRDefault="004069D9" w:rsidP="00833E7E">
      <w:pPr>
        <w:spacing w:after="0" w:line="276" w:lineRule="auto"/>
        <w:jc w:val="both"/>
        <w:rPr>
          <w:rFonts w:ascii="Book Antiqua" w:eastAsia="Calibri" w:hAnsi="Book Antiqua" w:cs="Arial"/>
          <w:sz w:val="24"/>
          <w:szCs w:val="24"/>
        </w:rPr>
      </w:pPr>
      <w:r w:rsidRPr="00833E7E">
        <w:rPr>
          <w:rFonts w:ascii="Book Antiqua" w:eastAsia="Calibri" w:hAnsi="Book Antiqua" w:cs="Arial"/>
          <w:sz w:val="24"/>
          <w:szCs w:val="24"/>
        </w:rPr>
        <w:t xml:space="preserve">El diseño de los planes </w:t>
      </w:r>
      <w:r>
        <w:rPr>
          <w:rFonts w:ascii="Book Antiqua" w:eastAsia="Calibri" w:hAnsi="Book Antiqua" w:cs="Arial"/>
          <w:sz w:val="24"/>
          <w:szCs w:val="24"/>
        </w:rPr>
        <w:t xml:space="preserve">de </w:t>
      </w:r>
      <w:r w:rsidRPr="00833E7E">
        <w:rPr>
          <w:rFonts w:ascii="Book Antiqua" w:eastAsia="Calibri" w:hAnsi="Book Antiqua" w:cs="Arial"/>
          <w:sz w:val="24"/>
          <w:szCs w:val="24"/>
        </w:rPr>
        <w:t>descongestionamiento se basa</w:t>
      </w:r>
      <w:r w:rsidR="00833E7E" w:rsidRPr="00833E7E">
        <w:rPr>
          <w:rFonts w:ascii="Book Antiqua" w:eastAsia="Calibri" w:hAnsi="Book Antiqua" w:cs="Arial"/>
          <w:sz w:val="24"/>
          <w:szCs w:val="24"/>
        </w:rPr>
        <w:t xml:space="preserve"> en la cantidad de pendiente de fallo tanto en primera como en segunda instancia (PA) </w:t>
      </w:r>
      <w:r w:rsidR="000B745B">
        <w:rPr>
          <w:rFonts w:ascii="Book Antiqua" w:eastAsia="Calibri" w:hAnsi="Book Antiqua" w:cs="Arial"/>
          <w:sz w:val="24"/>
          <w:szCs w:val="24"/>
        </w:rPr>
        <w:t xml:space="preserve">y </w:t>
      </w:r>
      <w:r w:rsidR="00833E7E" w:rsidRPr="00833E7E">
        <w:rPr>
          <w:rFonts w:ascii="Book Antiqua" w:eastAsia="Calibri" w:hAnsi="Book Antiqua" w:cs="Arial"/>
          <w:sz w:val="24"/>
          <w:szCs w:val="24"/>
        </w:rPr>
        <w:t xml:space="preserve">en los juzgados de Familia, los circulantes de los despachos y el rendimiento de las personas juzgadoras de los Despachos, de forma que se orienten los esfuerzos a los Juzgados con mayor retraso pero que presentan un adecuado rendimiento por parte de las personas juzgadoras. </w:t>
      </w:r>
    </w:p>
    <w:p w14:paraId="40EFDC7C" w14:textId="77777777" w:rsidR="006C5705" w:rsidRPr="00833E7E" w:rsidRDefault="006C5705" w:rsidP="00833E7E">
      <w:pPr>
        <w:spacing w:after="0" w:line="276" w:lineRule="auto"/>
        <w:jc w:val="both"/>
        <w:rPr>
          <w:rFonts w:ascii="Book Antiqua" w:eastAsia="Calibri" w:hAnsi="Book Antiqua" w:cs="Arial"/>
          <w:sz w:val="24"/>
          <w:szCs w:val="24"/>
        </w:rPr>
      </w:pPr>
    </w:p>
    <w:p w14:paraId="3BC2C5DC"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85" w:name="_Toc15033089"/>
      <w:bookmarkEnd w:id="85"/>
      <w:r w:rsidRPr="00833E7E">
        <w:rPr>
          <w:rFonts w:ascii="Book Antiqua" w:eastAsia="Calibri" w:hAnsi="Book Antiqua" w:cs="Arial"/>
          <w:sz w:val="24"/>
          <w:szCs w:val="24"/>
          <w:lang w:eastAsia="ko-KR"/>
        </w:rPr>
        <w:t xml:space="preserve"> articulo LXIV.</w:t>
      </w:r>
    </w:p>
    <w:p w14:paraId="3A2D53ED" w14:textId="77777777" w:rsidR="00833E7E" w:rsidRPr="00833E7E" w:rsidRDefault="00833E7E" w:rsidP="00833E7E">
      <w:pPr>
        <w:spacing w:after="0" w:line="276" w:lineRule="auto"/>
        <w:ind w:left="792" w:right="-1"/>
        <w:jc w:val="both"/>
        <w:rPr>
          <w:rFonts w:ascii="Book Antiqua" w:eastAsia="Calibri" w:hAnsi="Book Antiqua" w:cs="Arial"/>
          <w:sz w:val="24"/>
          <w:szCs w:val="24"/>
          <w:lang w:eastAsia="ko-KR"/>
        </w:rPr>
      </w:pPr>
    </w:p>
    <w:p w14:paraId="77F97E1D"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833E7E">
        <w:rPr>
          <w:rFonts w:ascii="Book Antiqua" w:eastAsia="Calibri" w:hAnsi="Book Antiqua" w:cs="Arial"/>
          <w:color w:val="000000"/>
          <w:sz w:val="24"/>
          <w:szCs w:val="24"/>
          <w:shd w:val="clear" w:color="auto" w:fill="FFFFFF"/>
        </w:rPr>
        <w:t>12 de agosto al 30 de septiembre del 2019</w:t>
      </w:r>
      <w:r w:rsidRPr="00833E7E">
        <w:rPr>
          <w:rFonts w:ascii="Book Antiqua" w:eastAsia="Calibri" w:hAnsi="Book Antiqua" w:cs="Arial"/>
          <w:sz w:val="24"/>
          <w:szCs w:val="24"/>
        </w:rPr>
        <w:t>.</w:t>
      </w:r>
    </w:p>
    <w:p w14:paraId="396828A1" w14:textId="77777777" w:rsidR="00833E7E" w:rsidRPr="00833E7E" w:rsidRDefault="00833E7E" w:rsidP="00833E7E">
      <w:pPr>
        <w:spacing w:after="0" w:line="276" w:lineRule="auto"/>
        <w:ind w:left="792" w:right="-1"/>
        <w:jc w:val="both"/>
        <w:rPr>
          <w:rFonts w:ascii="Book Antiqua" w:eastAsia="Calibri" w:hAnsi="Book Antiqua" w:cs="Arial"/>
          <w:sz w:val="24"/>
          <w:szCs w:val="24"/>
          <w:lang w:eastAsia="ko-KR"/>
        </w:rPr>
      </w:pPr>
    </w:p>
    <w:p w14:paraId="6BEB7955"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color w:val="000000"/>
          <w:sz w:val="24"/>
          <w:szCs w:val="24"/>
          <w:shd w:val="clear" w:color="auto" w:fill="FFFFFF"/>
        </w:rPr>
        <w:t xml:space="preserve">El Consejo Superior en sesión 84-19, del 26 de setiembre del 2019, artículo </w:t>
      </w:r>
      <w:r w:rsidRPr="00833E7E">
        <w:rPr>
          <w:rFonts w:ascii="Book Antiqua" w:eastAsia="Calibri" w:hAnsi="Book Antiqua" w:cs="Arial"/>
          <w:color w:val="000000"/>
          <w:sz w:val="24"/>
          <w:szCs w:val="24"/>
        </w:rPr>
        <w:t xml:space="preserve">LXXXIV, aprueba la prórroga de 4 permisos de persona juzgadora para el plan de descongestionamiento en materia de Familia del 1 de </w:t>
      </w:r>
      <w:r w:rsidRPr="00833E7E">
        <w:rPr>
          <w:rFonts w:ascii="Book Antiqua" w:eastAsia="Calibri" w:hAnsi="Book Antiqua" w:cs="Arial"/>
          <w:color w:val="000000"/>
          <w:sz w:val="24"/>
          <w:szCs w:val="24"/>
          <w:shd w:val="clear" w:color="auto" w:fill="FFFFFF"/>
        </w:rPr>
        <w:t>octubre </w:t>
      </w:r>
      <w:r w:rsidRPr="00833E7E">
        <w:rPr>
          <w:rFonts w:ascii="Book Antiqua" w:eastAsia="Calibri" w:hAnsi="Book Antiqua" w:cs="Arial"/>
          <w:sz w:val="24"/>
          <w:szCs w:val="24"/>
        </w:rPr>
        <w:t>y</w:t>
      </w:r>
      <w:r w:rsidRPr="00833E7E">
        <w:rPr>
          <w:rFonts w:ascii="Book Antiqua" w:eastAsia="Calibri" w:hAnsi="Book Antiqua" w:cs="Arial"/>
          <w:color w:val="000000"/>
          <w:sz w:val="24"/>
          <w:szCs w:val="24"/>
          <w:shd w:val="clear" w:color="auto" w:fill="FFFFFF"/>
        </w:rPr>
        <w:t xml:space="preserve"> hasta el último día laboral 2019. </w:t>
      </w:r>
    </w:p>
    <w:p w14:paraId="1D30898C" w14:textId="77777777" w:rsidR="000B745B" w:rsidRDefault="000B745B" w:rsidP="00AA01E7">
      <w:pPr>
        <w:spacing w:after="0" w:line="276" w:lineRule="auto"/>
        <w:jc w:val="both"/>
        <w:rPr>
          <w:rFonts w:ascii="Book Antiqua" w:eastAsia="Calibri" w:hAnsi="Book Antiqua" w:cs="Arial"/>
          <w:b/>
          <w:bCs/>
          <w:sz w:val="24"/>
          <w:szCs w:val="24"/>
        </w:rPr>
      </w:pPr>
    </w:p>
    <w:p w14:paraId="13C79B0A" w14:textId="77777777" w:rsidR="001D2F26" w:rsidRDefault="001D2F26" w:rsidP="00AA01E7">
      <w:pPr>
        <w:spacing w:after="0" w:line="276" w:lineRule="auto"/>
        <w:jc w:val="both"/>
        <w:rPr>
          <w:rFonts w:ascii="Book Antiqua" w:eastAsia="Calibri" w:hAnsi="Book Antiqua" w:cs="Arial"/>
          <w:b/>
          <w:bCs/>
          <w:sz w:val="24"/>
          <w:szCs w:val="24"/>
        </w:rPr>
      </w:pPr>
    </w:p>
    <w:p w14:paraId="16BBF7BB" w14:textId="69908541" w:rsidR="004069D9" w:rsidRDefault="004069D9">
      <w:pPr>
        <w:rPr>
          <w:rFonts w:ascii="Book Antiqua" w:eastAsia="Calibri" w:hAnsi="Book Antiqua" w:cs="Arial"/>
          <w:b/>
          <w:bCs/>
          <w:sz w:val="24"/>
          <w:szCs w:val="24"/>
        </w:rPr>
      </w:pPr>
      <w:r>
        <w:rPr>
          <w:rFonts w:ascii="Book Antiqua" w:eastAsia="Calibri" w:hAnsi="Book Antiqua" w:cs="Arial"/>
          <w:b/>
          <w:bCs/>
          <w:sz w:val="24"/>
          <w:szCs w:val="24"/>
        </w:rPr>
        <w:br w:type="page"/>
      </w:r>
    </w:p>
    <w:p w14:paraId="251240C9" w14:textId="16D5A53B"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2020</w:t>
      </w:r>
    </w:p>
    <w:p w14:paraId="758ECCE7" w14:textId="77777777" w:rsidR="00AA01E7" w:rsidRDefault="00AA01E7" w:rsidP="00F40AB1">
      <w:pPr>
        <w:spacing w:after="0" w:line="276" w:lineRule="auto"/>
        <w:jc w:val="both"/>
        <w:rPr>
          <w:rFonts w:ascii="Book Antiqua" w:eastAsia="Calibri" w:hAnsi="Book Antiqua" w:cs="Arial"/>
          <w:sz w:val="24"/>
          <w:szCs w:val="24"/>
        </w:rPr>
      </w:pPr>
    </w:p>
    <w:p w14:paraId="5BC5F17D" w14:textId="1EF9F092"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Respecto a los planes de descongestionamiento en materia de Familia 2020, se trabajó en dos etapas: una primera etapa de enero a junio y la segunda de octubre a diciembre 2020.</w:t>
      </w:r>
    </w:p>
    <w:p w14:paraId="53CE29BE"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p>
    <w:p w14:paraId="272435FE"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33380E31" w14:textId="77777777" w:rsidR="00F40AB1" w:rsidRPr="00F40AB1" w:rsidRDefault="00F40AB1" w:rsidP="00F40AB1">
      <w:pPr>
        <w:spacing w:after="0" w:line="276" w:lineRule="auto"/>
        <w:ind w:left="792" w:right="-1"/>
        <w:jc w:val="both"/>
        <w:rPr>
          <w:rFonts w:ascii="Book Antiqua" w:eastAsia="Calibri" w:hAnsi="Book Antiqua" w:cs="Arial"/>
          <w:sz w:val="24"/>
          <w:szCs w:val="24"/>
          <w:lang w:eastAsia="ko-KR"/>
        </w:rPr>
      </w:pPr>
    </w:p>
    <w:p w14:paraId="08853B21"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7A3A25D8"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permisos con goce de salario y sustitución -entre ellos-, los planes de trabajo de las materias Familia. En relación con lo anterior, el licenciado Erick Monge Sandí, Director interino del Centro de Apoyo, Coordinación y Mejoramiento de la Función Jurisdiccional, remitió el oficio 125-CACMFJ-JEF-2020, y finalmente se aprueban los permisos </w:t>
      </w:r>
      <w:r w:rsidRPr="00F40AB1">
        <w:rPr>
          <w:rFonts w:ascii="Book Antiqua" w:eastAsia="Calibri" w:hAnsi="Book Antiqua" w:cs="Arial"/>
          <w:sz w:val="24"/>
          <w:szCs w:val="24"/>
        </w:rPr>
        <w:t xml:space="preserve">del 16 mayo hasta el 30 de junio de 2020, por acuerdo del Consejo Superior en sesión 47-2020 celebrada el 14 de mayo del 2020, artículo LVII. </w:t>
      </w:r>
    </w:p>
    <w:p w14:paraId="23CACCE7" w14:textId="77777777" w:rsidR="00F40AB1" w:rsidRPr="00F40AB1" w:rsidRDefault="00F40AB1" w:rsidP="00F40AB1">
      <w:pPr>
        <w:spacing w:after="0" w:line="276" w:lineRule="auto"/>
        <w:ind w:left="792" w:right="-1"/>
        <w:jc w:val="both"/>
        <w:rPr>
          <w:rFonts w:ascii="Book Antiqua" w:eastAsia="Calibri" w:hAnsi="Book Antiqua" w:cs="Arial"/>
          <w:sz w:val="24"/>
          <w:szCs w:val="24"/>
          <w:lang w:eastAsia="ko-KR"/>
        </w:rPr>
      </w:pPr>
    </w:p>
    <w:p w14:paraId="36237018" w14:textId="77777777"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Mediante oficio 1400-PLA-EV-2020 se diseñó el plan de trabajo para octubre A diciembre 2020, informe aprobado por el Consejo Superior en sesión 91-2020 celebrada el 17 de setiembre del 2020, artículo XXIV.</w:t>
      </w:r>
    </w:p>
    <w:p w14:paraId="18AAE63E" w14:textId="3044626D"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El resultado de los planes de descongestionamiento 2020, se encuentran actualizados en el entregable 3.11 del proyecto de Implementación del Código Procesal de Familia en donde se fallaron 891 expedientes para un rendimiento global del 76%.</w:t>
      </w:r>
    </w:p>
    <w:p w14:paraId="5A028A70" w14:textId="77777777" w:rsidR="00F40AB1" w:rsidRPr="00F40AB1" w:rsidRDefault="00F40AB1" w:rsidP="00F40AB1">
      <w:pPr>
        <w:spacing w:after="0" w:line="276" w:lineRule="auto"/>
        <w:jc w:val="both"/>
        <w:rPr>
          <w:rFonts w:ascii="Book Antiqua" w:eastAsia="Calibri" w:hAnsi="Book Antiqua" w:cs="Arial"/>
          <w:sz w:val="24"/>
          <w:szCs w:val="24"/>
        </w:rPr>
      </w:pPr>
    </w:p>
    <w:p w14:paraId="2E85D037" w14:textId="77777777" w:rsidR="00F40AB1" w:rsidRPr="00F40AB1" w:rsidRDefault="00F40AB1" w:rsidP="00F40AB1">
      <w:pPr>
        <w:spacing w:after="0" w:line="276" w:lineRule="auto"/>
        <w:ind w:left="567"/>
        <w:jc w:val="both"/>
        <w:rPr>
          <w:rFonts w:ascii="Book Antiqua" w:eastAsia="Calibri" w:hAnsi="Book Antiqua" w:cs="Arial"/>
          <w:sz w:val="24"/>
          <w:szCs w:val="24"/>
        </w:rPr>
      </w:pPr>
      <w:r w:rsidRPr="00F40AB1">
        <w:rPr>
          <w:rFonts w:ascii="Book Antiqua" w:eastAsia="Calibri" w:hAnsi="Book Antiqua" w:cs="Arial"/>
          <w:sz w:val="24"/>
          <w:szCs w:val="24"/>
        </w:rPr>
        <w:t>“…</w:t>
      </w:r>
    </w:p>
    <w:p w14:paraId="3533E4FB" w14:textId="42DCAF25" w:rsidR="00FF0236" w:rsidRPr="006C3D1F" w:rsidRDefault="00801ECD" w:rsidP="006C3D1F">
      <w:pPr>
        <w:pStyle w:val="Ttulo"/>
        <w:spacing w:line="276" w:lineRule="auto"/>
        <w:rPr>
          <w:szCs w:val="24"/>
          <w:lang w:val="es-CR"/>
        </w:rPr>
      </w:pPr>
      <w:r w:rsidRPr="00801ECD">
        <w:rPr>
          <w:rFonts w:eastAsia="Calibri" w:cs="Arial"/>
          <w:b w:val="0"/>
          <w:noProof/>
          <w:color w:val="auto"/>
          <w:spacing w:val="0"/>
          <w:sz w:val="22"/>
          <w:szCs w:val="22"/>
          <w:lang w:val="es-CR" w:eastAsia="en-US"/>
        </w:rPr>
        <w:drawing>
          <wp:inline distT="0" distB="0" distL="0" distR="0" wp14:anchorId="67ABA3A0" wp14:editId="3EB11EAC">
            <wp:extent cx="4157246" cy="3462020"/>
            <wp:effectExtent l="0" t="0" r="0" b="5080"/>
            <wp:docPr id="1263269089" name="Picture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64255" cy="3467857"/>
                    </a:xfrm>
                    <a:prstGeom prst="rect">
                      <a:avLst/>
                    </a:prstGeom>
                  </pic:spPr>
                </pic:pic>
              </a:graphicData>
            </a:graphic>
          </wp:inline>
        </w:drawing>
      </w:r>
    </w:p>
    <w:p w14:paraId="5C02544F" w14:textId="3CA8DD05"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2021</w:t>
      </w:r>
    </w:p>
    <w:p w14:paraId="216EE9F9" w14:textId="77777777" w:rsidR="00801ECD" w:rsidRDefault="00801ECD" w:rsidP="00801ECD">
      <w:pPr>
        <w:spacing w:after="0" w:line="276" w:lineRule="auto"/>
        <w:jc w:val="both"/>
        <w:rPr>
          <w:rFonts w:ascii="Book Antiqua" w:eastAsia="Calibri" w:hAnsi="Book Antiqua" w:cs="Arial"/>
          <w:sz w:val="24"/>
          <w:szCs w:val="24"/>
        </w:rPr>
      </w:pPr>
    </w:p>
    <w:p w14:paraId="15071C09" w14:textId="13CC36CF" w:rsidR="00801ECD" w:rsidRPr="00801ECD" w:rsidRDefault="00801ECD" w:rsidP="00FF0236">
      <w:pPr>
        <w:spacing w:after="0" w:line="276" w:lineRule="auto"/>
        <w:jc w:val="both"/>
        <w:rPr>
          <w:rFonts w:ascii="Book Antiqua" w:eastAsia="Calibri" w:hAnsi="Book Antiqua" w:cs="Arial"/>
          <w:sz w:val="24"/>
          <w:szCs w:val="24"/>
        </w:rPr>
      </w:pPr>
      <w:r w:rsidRPr="00801ECD">
        <w:rPr>
          <w:rFonts w:ascii="Book Antiqua" w:eastAsia="Calibri" w:hAnsi="Book Antiqua" w:cs="Arial"/>
          <w:sz w:val="24"/>
          <w:szCs w:val="24"/>
        </w:rPr>
        <w:t xml:space="preserve">El Consejo Superior aprobó 4 plazas de persona Juzgadora para descongestionamiento en materia de Familia, de conformidad con la sesión 120-2020 celebrada el 17 de diciembre del 2020, artículo XCI.  </w:t>
      </w:r>
    </w:p>
    <w:p w14:paraId="4CCB4BA0" w14:textId="77777777" w:rsidR="00801ECD" w:rsidRPr="00801ECD" w:rsidRDefault="00801ECD" w:rsidP="00FF0236">
      <w:pPr>
        <w:spacing w:after="0" w:line="276" w:lineRule="auto"/>
        <w:jc w:val="both"/>
        <w:rPr>
          <w:rFonts w:ascii="Book Antiqua" w:eastAsia="Calibri" w:hAnsi="Book Antiqua" w:cs="Arial"/>
          <w:sz w:val="24"/>
          <w:szCs w:val="24"/>
        </w:rPr>
      </w:pPr>
    </w:p>
    <w:p w14:paraId="2E212878" w14:textId="034AF7B5" w:rsidR="00801ECD" w:rsidRPr="00801ECD" w:rsidRDefault="00E415F8" w:rsidP="00FF02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w:t>
      </w:r>
      <w:r w:rsidR="00801ECD" w:rsidRPr="00801ECD">
        <w:rPr>
          <w:rFonts w:ascii="Book Antiqua" w:eastAsia="Calibri" w:hAnsi="Book Antiqua" w:cs="Arial"/>
          <w:sz w:val="24"/>
          <w:szCs w:val="24"/>
        </w:rPr>
        <w:t xml:space="preserve">as plazas se avocaron a fallar asuntos pendientes conforme al plan del año </w:t>
      </w:r>
      <w:r>
        <w:rPr>
          <w:rFonts w:ascii="Book Antiqua" w:eastAsia="Calibri" w:hAnsi="Book Antiqua" w:cs="Arial"/>
          <w:sz w:val="24"/>
          <w:szCs w:val="24"/>
        </w:rPr>
        <w:t>2020</w:t>
      </w:r>
      <w:r w:rsidRPr="00801ECD">
        <w:rPr>
          <w:rFonts w:ascii="Book Antiqua" w:eastAsia="Calibri" w:hAnsi="Book Antiqua" w:cs="Arial"/>
          <w:sz w:val="24"/>
          <w:szCs w:val="24"/>
        </w:rPr>
        <w:t xml:space="preserve"> </w:t>
      </w:r>
      <w:r w:rsidR="00801ECD" w:rsidRPr="00801ECD">
        <w:rPr>
          <w:rFonts w:ascii="Book Antiqua" w:eastAsia="Calibri" w:hAnsi="Book Antiqua" w:cs="Arial"/>
          <w:sz w:val="24"/>
          <w:szCs w:val="24"/>
        </w:rPr>
        <w:t xml:space="preserve">y a colaborar con los despachos especializados, según necesidades identificadas por el CAMCFJ. </w:t>
      </w:r>
    </w:p>
    <w:p w14:paraId="0551392E" w14:textId="6643EE20" w:rsidR="00E415F8" w:rsidRPr="00E415F8" w:rsidRDefault="00E415F8" w:rsidP="00FF02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El resultado del plan de trabajo 2021 consta como entregable 3.16 en el sitio del </w:t>
      </w:r>
      <w:r w:rsidRPr="00E415F8">
        <w:rPr>
          <w:rFonts w:ascii="Book Antiqua" w:eastAsia="Calibri" w:hAnsi="Book Antiqua" w:cs="Arial"/>
          <w:sz w:val="24"/>
          <w:szCs w:val="24"/>
        </w:rPr>
        <w:t>proyecto, y generó el fallo de 953 asuntos en Familia y 420 en Pensiones Alimentarias:</w:t>
      </w:r>
    </w:p>
    <w:p w14:paraId="56C2DCAC" w14:textId="77777777" w:rsidR="00E415F8" w:rsidRPr="00E415F8" w:rsidRDefault="00E415F8" w:rsidP="00FF0236">
      <w:pPr>
        <w:spacing w:after="0" w:line="276" w:lineRule="auto"/>
        <w:jc w:val="both"/>
        <w:rPr>
          <w:rFonts w:ascii="Book Antiqua" w:eastAsia="Calibri" w:hAnsi="Book Antiqua" w:cs="Arial"/>
          <w:sz w:val="24"/>
          <w:szCs w:val="24"/>
        </w:rPr>
      </w:pPr>
    </w:p>
    <w:p w14:paraId="7F53786C" w14:textId="6D920794" w:rsidR="00E415F8" w:rsidRPr="001D0C10" w:rsidRDefault="00E415F8" w:rsidP="001D0C10">
      <w:pPr>
        <w:autoSpaceDE w:val="0"/>
        <w:autoSpaceDN w:val="0"/>
        <w:adjustRightInd w:val="0"/>
        <w:spacing w:after="0" w:line="276" w:lineRule="auto"/>
        <w:jc w:val="both"/>
        <w:rPr>
          <w:rFonts w:ascii="Book Antiqua" w:hAnsi="Book Antiqua" w:cs="Book Antiqua"/>
          <w:i/>
          <w:iCs/>
          <w:color w:val="000000"/>
        </w:rPr>
      </w:pPr>
      <w:r w:rsidRPr="001D0C10">
        <w:rPr>
          <w:rFonts w:ascii="Book Antiqua" w:hAnsi="Book Antiqua" w:cs="Book Antiqua"/>
          <w:color w:val="000000"/>
          <w:sz w:val="24"/>
          <w:szCs w:val="24"/>
        </w:rPr>
        <w:t xml:space="preserve">Respecto a Familia el CACMFJ informó: </w:t>
      </w:r>
      <w:r w:rsidRPr="001D0C10">
        <w:rPr>
          <w:rFonts w:ascii="Book Antiqua" w:hAnsi="Book Antiqua" w:cs="Book Antiqua"/>
          <w:i/>
          <w:iCs/>
          <w:color w:val="000000"/>
          <w:sz w:val="24"/>
          <w:szCs w:val="24"/>
        </w:rPr>
        <w:t>“</w:t>
      </w:r>
      <w:r w:rsidRPr="001D0C10">
        <w:rPr>
          <w:rFonts w:ascii="Book Antiqua" w:hAnsi="Book Antiqua" w:cs="Book Antiqua"/>
          <w:i/>
          <w:iCs/>
          <w:color w:val="000000"/>
        </w:rPr>
        <w:t xml:space="preserve">De enero a setiembre se recibieron 1231 expedientes, 737 de primera instancia y 494 de segunda; se fallaron 953 asuntos, el 57% asuntos de primera instancia y 43% de segunda; logrando el dictado de sentencia del 77% de lo recibido. </w:t>
      </w:r>
    </w:p>
    <w:p w14:paraId="1F5F36B9" w14:textId="70BD5502" w:rsidR="00E415F8" w:rsidRPr="001D0C10" w:rsidRDefault="00E415F8" w:rsidP="00E415F8">
      <w:pPr>
        <w:spacing w:after="0" w:line="276" w:lineRule="auto"/>
        <w:jc w:val="both"/>
        <w:rPr>
          <w:rFonts w:ascii="Book Antiqua" w:hAnsi="Book Antiqua" w:cs="Book Antiqua"/>
          <w:i/>
          <w:iCs/>
          <w:color w:val="000000"/>
        </w:rPr>
      </w:pPr>
      <w:r w:rsidRPr="001D0C10">
        <w:rPr>
          <w:rFonts w:ascii="Book Antiqua" w:hAnsi="Book Antiqua" w:cs="Book Antiqua"/>
          <w:i/>
          <w:iCs/>
          <w:color w:val="000000"/>
        </w:rPr>
        <w:t>278 expedientes se devolvieron sin sentencia por no estar listos para fallo o por falta de trámite, lo que corresponde a un 23% del total recibido, la mayor cantidad de expedientes devueltos fueron de primera instancia”.</w:t>
      </w:r>
    </w:p>
    <w:p w14:paraId="491A5A49" w14:textId="7546DDAD" w:rsidR="00801ECD" w:rsidRPr="001D0C10" w:rsidRDefault="00E415F8" w:rsidP="001D0C10">
      <w:pPr>
        <w:pStyle w:val="Default"/>
        <w:spacing w:line="276" w:lineRule="auto"/>
        <w:jc w:val="both"/>
        <w:rPr>
          <w:i/>
          <w:iCs/>
        </w:rPr>
      </w:pPr>
      <w:r w:rsidRPr="001D0C10">
        <w:t xml:space="preserve">Respecto a Pensiones el CACMFJ indicó: </w:t>
      </w:r>
      <w:r w:rsidRPr="001D0C10">
        <w:rPr>
          <w:i/>
          <w:iCs/>
          <w:sz w:val="22"/>
          <w:szCs w:val="22"/>
        </w:rPr>
        <w:t xml:space="preserve">“De una cuota esperada de 440 expedientes, se recibieron 459, de los cuales se fallaron 420 para un porcentaje del 92% de atención y se devolvieron 39, es decir, lo equivalente a un 8%. El plan de trabajo en materia de pensiones alimentarias cumplió con el 95% de la meta esperada”. </w:t>
      </w:r>
      <w:r w:rsidRPr="001D0C10">
        <w:rPr>
          <w:rFonts w:eastAsia="Calibri" w:cs="Arial"/>
          <w:i/>
          <w:iCs/>
          <w:sz w:val="22"/>
          <w:szCs w:val="22"/>
        </w:rPr>
        <w:t xml:space="preserve"> </w:t>
      </w:r>
    </w:p>
    <w:p w14:paraId="4EC639D7" w14:textId="57A9A1D6" w:rsidR="00E415F8" w:rsidRPr="00E415F8" w:rsidRDefault="00E415F8" w:rsidP="00E415F8">
      <w:pPr>
        <w:spacing w:after="0" w:line="276" w:lineRule="auto"/>
        <w:jc w:val="both"/>
        <w:rPr>
          <w:rFonts w:ascii="Book Antiqua" w:eastAsia="Calibri" w:hAnsi="Book Antiqua" w:cs="Arial"/>
          <w:sz w:val="24"/>
          <w:szCs w:val="24"/>
        </w:rPr>
      </w:pPr>
    </w:p>
    <w:p w14:paraId="118F6EAF" w14:textId="53626C0D"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2022</w:t>
      </w:r>
    </w:p>
    <w:p w14:paraId="005EFEA8" w14:textId="77777777" w:rsidR="00AA01E7" w:rsidRDefault="00AA01E7" w:rsidP="00D35C60">
      <w:pPr>
        <w:spacing w:after="0" w:line="276" w:lineRule="auto"/>
        <w:jc w:val="both"/>
        <w:rPr>
          <w:rFonts w:ascii="Book Antiqua" w:eastAsia="Calibri" w:hAnsi="Book Antiqua" w:cs="Arial"/>
          <w:sz w:val="24"/>
          <w:szCs w:val="24"/>
        </w:rPr>
      </w:pPr>
    </w:p>
    <w:p w14:paraId="5180A5A3" w14:textId="45B308A2" w:rsidR="00D35C60" w:rsidRDefault="00237A51" w:rsidP="00D35C6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El plan </w:t>
      </w:r>
      <w:r w:rsidR="00E415F8">
        <w:rPr>
          <w:rFonts w:ascii="Book Antiqua" w:eastAsia="Calibri" w:hAnsi="Book Antiqua" w:cs="Arial"/>
          <w:sz w:val="24"/>
          <w:szCs w:val="24"/>
        </w:rPr>
        <w:t xml:space="preserve">para 2022 se detalló en el oficio de la Dirección de Planificación 1382-PLA-MI-2021, </w:t>
      </w:r>
      <w:r w:rsidRPr="001D0C10">
        <w:rPr>
          <w:rFonts w:ascii="Book Antiqua" w:eastAsia="Calibri" w:hAnsi="Book Antiqua" w:cs="Arial"/>
          <w:sz w:val="24"/>
          <w:szCs w:val="24"/>
        </w:rPr>
        <w:t xml:space="preserve">inicia con 4 permisos con goce de salario aprobados por el Consejo Superior </w:t>
      </w:r>
      <w:r w:rsidRPr="00237A51">
        <w:rPr>
          <w:rFonts w:ascii="Book Antiqua" w:eastAsia="Calibri" w:hAnsi="Book Antiqua" w:cs="Arial"/>
          <w:sz w:val="24"/>
          <w:szCs w:val="24"/>
        </w:rPr>
        <w:t>en la sesión 107-2021 celebrada el 14 de diciembre del 2021, artículo XXIV</w:t>
      </w:r>
      <w:r w:rsidR="00E415F8">
        <w:rPr>
          <w:rFonts w:ascii="Book Antiqua" w:eastAsia="Calibri" w:hAnsi="Book Antiqua" w:cs="Arial"/>
          <w:sz w:val="24"/>
          <w:szCs w:val="24"/>
        </w:rPr>
        <w:t xml:space="preserve"> en materia de Familia y 4 en Pensiones Alimentarias</w:t>
      </w:r>
      <w:r>
        <w:rPr>
          <w:rFonts w:ascii="Book Antiqua" w:eastAsia="Calibri" w:hAnsi="Book Antiqua" w:cs="Arial"/>
          <w:sz w:val="24"/>
          <w:szCs w:val="24"/>
        </w:rPr>
        <w:t>.</w:t>
      </w:r>
    </w:p>
    <w:p w14:paraId="26699BAA" w14:textId="393387A4" w:rsidR="00237A51" w:rsidRDefault="00237A51" w:rsidP="00D35C60">
      <w:pPr>
        <w:spacing w:after="0" w:line="276" w:lineRule="auto"/>
        <w:jc w:val="both"/>
        <w:rPr>
          <w:rFonts w:ascii="Book Antiqua" w:eastAsia="Calibri" w:hAnsi="Book Antiqua" w:cs="Arial"/>
          <w:sz w:val="24"/>
          <w:szCs w:val="24"/>
        </w:rPr>
      </w:pPr>
    </w:p>
    <w:p w14:paraId="25A5B733" w14:textId="21B8FE84" w:rsidR="00316C41" w:rsidRDefault="003A7EFB" w:rsidP="00D35C6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w:t>
      </w:r>
      <w:r w:rsidR="005C23E6">
        <w:rPr>
          <w:rFonts w:ascii="Book Antiqua" w:eastAsia="Calibri" w:hAnsi="Book Antiqua" w:cs="Arial"/>
          <w:sz w:val="24"/>
          <w:szCs w:val="24"/>
        </w:rPr>
        <w:t xml:space="preserve">as plazas dedicadas al plan de descongestionamiento fallaron </w:t>
      </w:r>
      <w:r w:rsidR="002A6232">
        <w:rPr>
          <w:rFonts w:ascii="Book Antiqua" w:eastAsia="Calibri" w:hAnsi="Book Antiqua" w:cs="Arial"/>
          <w:sz w:val="24"/>
          <w:szCs w:val="24"/>
        </w:rPr>
        <w:t xml:space="preserve">un total de </w:t>
      </w:r>
      <w:r>
        <w:rPr>
          <w:rFonts w:ascii="Book Antiqua" w:eastAsia="Calibri" w:hAnsi="Book Antiqua" w:cs="Arial"/>
          <w:sz w:val="24"/>
          <w:szCs w:val="24"/>
        </w:rPr>
        <w:t>1 745</w:t>
      </w:r>
      <w:r w:rsidR="002A6232">
        <w:rPr>
          <w:rFonts w:ascii="Book Antiqua" w:eastAsia="Calibri" w:hAnsi="Book Antiqua" w:cs="Arial"/>
          <w:sz w:val="24"/>
          <w:szCs w:val="24"/>
        </w:rPr>
        <w:t xml:space="preserve"> expedientes</w:t>
      </w:r>
      <w:r w:rsidR="006B68AA">
        <w:rPr>
          <w:rFonts w:ascii="Book Antiqua" w:eastAsia="Calibri" w:hAnsi="Book Antiqua" w:cs="Arial"/>
          <w:sz w:val="24"/>
          <w:szCs w:val="24"/>
        </w:rPr>
        <w:t xml:space="preserve"> en Familia </w:t>
      </w:r>
      <w:r>
        <w:rPr>
          <w:rFonts w:ascii="Book Antiqua" w:eastAsia="Calibri" w:hAnsi="Book Antiqua" w:cs="Arial"/>
          <w:sz w:val="24"/>
          <w:szCs w:val="24"/>
        </w:rPr>
        <w:t xml:space="preserve">a nivel nacional </w:t>
      </w:r>
      <w:r w:rsidR="006B68AA">
        <w:rPr>
          <w:rFonts w:ascii="Book Antiqua" w:eastAsia="Calibri" w:hAnsi="Book Antiqua" w:cs="Arial"/>
          <w:sz w:val="24"/>
          <w:szCs w:val="24"/>
        </w:rPr>
        <w:t>(</w:t>
      </w:r>
      <w:r w:rsidR="002A6232">
        <w:rPr>
          <w:rFonts w:ascii="Book Antiqua" w:eastAsia="Calibri" w:hAnsi="Book Antiqua" w:cs="Arial"/>
          <w:sz w:val="24"/>
          <w:szCs w:val="24"/>
        </w:rPr>
        <w:t>8</w:t>
      </w:r>
      <w:r>
        <w:rPr>
          <w:rFonts w:ascii="Book Antiqua" w:eastAsia="Calibri" w:hAnsi="Book Antiqua" w:cs="Arial"/>
          <w:sz w:val="24"/>
          <w:szCs w:val="24"/>
        </w:rPr>
        <w:t>44</w:t>
      </w:r>
      <w:r w:rsidR="002A6232">
        <w:rPr>
          <w:rFonts w:ascii="Book Antiqua" w:eastAsia="Calibri" w:hAnsi="Book Antiqua" w:cs="Arial"/>
          <w:sz w:val="24"/>
          <w:szCs w:val="24"/>
        </w:rPr>
        <w:t xml:space="preserve"> Primera Instancia y </w:t>
      </w:r>
      <w:r>
        <w:rPr>
          <w:rFonts w:ascii="Book Antiqua" w:eastAsia="Calibri" w:hAnsi="Book Antiqua" w:cs="Arial"/>
          <w:sz w:val="24"/>
          <w:szCs w:val="24"/>
        </w:rPr>
        <w:t>901</w:t>
      </w:r>
      <w:r w:rsidR="002A6232">
        <w:rPr>
          <w:rFonts w:ascii="Book Antiqua" w:eastAsia="Calibri" w:hAnsi="Book Antiqua" w:cs="Arial"/>
          <w:sz w:val="24"/>
          <w:szCs w:val="24"/>
        </w:rPr>
        <w:t xml:space="preserve"> en Segunda Instancia</w:t>
      </w:r>
      <w:r>
        <w:rPr>
          <w:rFonts w:ascii="Book Antiqua" w:eastAsia="Calibri" w:hAnsi="Book Antiqua" w:cs="Arial"/>
          <w:sz w:val="24"/>
          <w:szCs w:val="24"/>
        </w:rPr>
        <w:t>-Pensiones Alimentarias</w:t>
      </w:r>
      <w:r w:rsidR="006B68AA">
        <w:rPr>
          <w:rFonts w:ascii="Book Antiqua" w:eastAsia="Calibri" w:hAnsi="Book Antiqua" w:cs="Arial"/>
          <w:sz w:val="24"/>
          <w:szCs w:val="24"/>
        </w:rPr>
        <w:t>) y 1</w:t>
      </w:r>
      <w:r>
        <w:rPr>
          <w:rFonts w:ascii="Book Antiqua" w:eastAsia="Calibri" w:hAnsi="Book Antiqua" w:cs="Arial"/>
          <w:sz w:val="24"/>
          <w:szCs w:val="24"/>
        </w:rPr>
        <w:t xml:space="preserve"> 62</w:t>
      </w:r>
      <w:r w:rsidR="006B68AA">
        <w:rPr>
          <w:rFonts w:ascii="Book Antiqua" w:eastAsia="Calibri" w:hAnsi="Book Antiqua" w:cs="Arial"/>
          <w:sz w:val="24"/>
          <w:szCs w:val="24"/>
        </w:rPr>
        <w:t>5 en materia de Pensiones Alimentarias</w:t>
      </w:r>
      <w:r>
        <w:rPr>
          <w:rFonts w:ascii="Book Antiqua" w:eastAsia="Calibri" w:hAnsi="Book Antiqua" w:cs="Arial"/>
          <w:sz w:val="24"/>
          <w:szCs w:val="24"/>
        </w:rPr>
        <w:t xml:space="preserve"> a nivel nacional.</w:t>
      </w:r>
    </w:p>
    <w:p w14:paraId="690011AF" w14:textId="4082D421" w:rsidR="00316C41" w:rsidRPr="00292FFD" w:rsidRDefault="00E14574" w:rsidP="00292FFD">
      <w:pPr>
        <w:pStyle w:val="Ttulo3"/>
      </w:pPr>
      <w:r w:rsidRPr="00292FFD">
        <w:t xml:space="preserve">8.2.2 </w:t>
      </w:r>
      <w:r w:rsidR="00A91936" w:rsidRPr="00292FFD">
        <w:t>Requerimientos adicionales del Centro de Apoyo, Coordinación y Mejoramiento de la Función Jurisdiccio</w:t>
      </w:r>
      <w:r w:rsidR="00D0621C" w:rsidRPr="00292FFD">
        <w:t>nal</w:t>
      </w:r>
    </w:p>
    <w:p w14:paraId="7571BD65" w14:textId="77777777" w:rsidR="00D0621C" w:rsidRDefault="00D0621C" w:rsidP="00D35C60">
      <w:pPr>
        <w:spacing w:after="0" w:line="276" w:lineRule="auto"/>
        <w:jc w:val="both"/>
        <w:rPr>
          <w:rFonts w:ascii="Book Antiqua" w:eastAsia="Calibri" w:hAnsi="Book Antiqua" w:cs="Arial"/>
          <w:sz w:val="24"/>
          <w:szCs w:val="24"/>
        </w:rPr>
      </w:pPr>
    </w:p>
    <w:p w14:paraId="1608547B" w14:textId="4DA3241A" w:rsidR="00D0621C" w:rsidRDefault="00894FE6" w:rsidP="00D65FD9">
      <w:pPr>
        <w:spacing w:after="0" w:line="276" w:lineRule="auto"/>
        <w:jc w:val="both"/>
        <w:rPr>
          <w:rFonts w:ascii="Book Antiqua" w:eastAsia="Calibri" w:hAnsi="Book Antiqua" w:cs="Arial"/>
          <w:sz w:val="24"/>
          <w:szCs w:val="24"/>
        </w:rPr>
      </w:pPr>
      <w:r w:rsidRPr="006D0772">
        <w:rPr>
          <w:rFonts w:ascii="Book Antiqua" w:eastAsia="Calibri" w:hAnsi="Book Antiqua" w:cs="Arial"/>
          <w:sz w:val="24"/>
          <w:szCs w:val="24"/>
        </w:rPr>
        <w:t xml:space="preserve">Mediante </w:t>
      </w:r>
      <w:r w:rsidR="008D4DF1">
        <w:rPr>
          <w:rFonts w:ascii="Book Antiqua" w:eastAsia="Calibri" w:hAnsi="Book Antiqua" w:cs="Arial"/>
          <w:sz w:val="24"/>
          <w:szCs w:val="24"/>
        </w:rPr>
        <w:t xml:space="preserve">oficio </w:t>
      </w:r>
      <w:r w:rsidR="00D65FD9" w:rsidRPr="00D65FD9">
        <w:rPr>
          <w:rFonts w:ascii="Book Antiqua" w:eastAsia="Calibri" w:hAnsi="Book Antiqua" w:cs="Arial"/>
          <w:sz w:val="24"/>
          <w:szCs w:val="24"/>
        </w:rPr>
        <w:t>22-CJF-2023</w:t>
      </w:r>
      <w:r w:rsidR="00D65FD9">
        <w:rPr>
          <w:rFonts w:ascii="Book Antiqua" w:eastAsia="Calibri" w:hAnsi="Book Antiqua" w:cs="Arial"/>
          <w:sz w:val="24"/>
          <w:szCs w:val="24"/>
        </w:rPr>
        <w:t xml:space="preserve"> del </w:t>
      </w:r>
      <w:r w:rsidR="00D65FD9" w:rsidRPr="00D65FD9">
        <w:rPr>
          <w:rFonts w:ascii="Book Antiqua" w:eastAsia="Calibri" w:hAnsi="Book Antiqua" w:cs="Arial"/>
          <w:sz w:val="24"/>
          <w:szCs w:val="24"/>
        </w:rPr>
        <w:t>28 de marzo de 2023</w:t>
      </w:r>
      <w:r w:rsidR="00BE3584">
        <w:rPr>
          <w:rFonts w:ascii="Book Antiqua" w:eastAsia="Calibri" w:hAnsi="Book Antiqua" w:cs="Arial"/>
          <w:sz w:val="24"/>
          <w:szCs w:val="24"/>
        </w:rPr>
        <w:t xml:space="preserve"> (anexo </w:t>
      </w:r>
      <w:r w:rsidR="00110E4A">
        <w:rPr>
          <w:rFonts w:ascii="Book Antiqua" w:eastAsia="Calibri" w:hAnsi="Book Antiqua" w:cs="Arial"/>
          <w:sz w:val="24"/>
          <w:szCs w:val="24"/>
        </w:rPr>
        <w:t>25</w:t>
      </w:r>
      <w:r w:rsidR="00BE3584">
        <w:rPr>
          <w:rFonts w:ascii="Book Antiqua" w:eastAsia="Calibri" w:hAnsi="Book Antiqua" w:cs="Arial"/>
          <w:sz w:val="24"/>
          <w:szCs w:val="24"/>
        </w:rPr>
        <w:t>)</w:t>
      </w:r>
      <w:r w:rsidR="00D65FD9">
        <w:rPr>
          <w:rFonts w:ascii="Book Antiqua" w:eastAsia="Calibri" w:hAnsi="Book Antiqua" w:cs="Arial"/>
          <w:sz w:val="24"/>
          <w:szCs w:val="24"/>
        </w:rPr>
        <w:t>, la</w:t>
      </w:r>
      <w:r w:rsidR="00C32817">
        <w:rPr>
          <w:rFonts w:ascii="Book Antiqua" w:eastAsia="Calibri" w:hAnsi="Book Antiqua" w:cs="Arial"/>
          <w:sz w:val="24"/>
          <w:szCs w:val="24"/>
        </w:rPr>
        <w:t xml:space="preserve"> Magistrada </w:t>
      </w:r>
      <w:r w:rsidR="000233B7">
        <w:rPr>
          <w:rFonts w:ascii="Book Antiqua" w:eastAsia="Calibri" w:hAnsi="Book Antiqua" w:cs="Arial"/>
          <w:sz w:val="24"/>
          <w:szCs w:val="24"/>
        </w:rPr>
        <w:t xml:space="preserve">Roxana Chacón Arrieta, </w:t>
      </w:r>
      <w:r w:rsidR="00081D82">
        <w:rPr>
          <w:rFonts w:ascii="Book Antiqua" w:eastAsia="Calibri" w:hAnsi="Book Antiqua" w:cs="Arial"/>
          <w:sz w:val="24"/>
          <w:szCs w:val="24"/>
        </w:rPr>
        <w:t xml:space="preserve">Coordinadora </w:t>
      </w:r>
      <w:r w:rsidR="002E1DFD">
        <w:rPr>
          <w:rFonts w:ascii="Book Antiqua" w:eastAsia="Calibri" w:hAnsi="Book Antiqua" w:cs="Arial"/>
          <w:sz w:val="24"/>
          <w:szCs w:val="24"/>
        </w:rPr>
        <w:t xml:space="preserve">de la </w:t>
      </w:r>
      <w:r w:rsidR="00FB103D" w:rsidRPr="00FB103D">
        <w:rPr>
          <w:rFonts w:ascii="Book Antiqua" w:eastAsia="Calibri" w:hAnsi="Book Antiqua" w:cs="Arial"/>
          <w:sz w:val="24"/>
          <w:szCs w:val="24"/>
        </w:rPr>
        <w:t>Comisión de la Jurisdicción de Familia, Niñez y Adolescencia</w:t>
      </w:r>
      <w:r w:rsidR="00081D82">
        <w:rPr>
          <w:rFonts w:ascii="Book Antiqua" w:eastAsia="Calibri" w:hAnsi="Book Antiqua" w:cs="Arial"/>
          <w:sz w:val="24"/>
          <w:szCs w:val="24"/>
        </w:rPr>
        <w:t xml:space="preserve">, </w:t>
      </w:r>
      <w:r w:rsidR="00081D82" w:rsidRPr="00081D82">
        <w:rPr>
          <w:rFonts w:ascii="Book Antiqua" w:eastAsia="Calibri" w:hAnsi="Book Antiqua" w:cs="Arial"/>
          <w:sz w:val="24"/>
          <w:szCs w:val="24"/>
        </w:rPr>
        <w:t xml:space="preserve">comunica </w:t>
      </w:r>
      <w:r w:rsidR="00637E74">
        <w:rPr>
          <w:rFonts w:ascii="Book Antiqua" w:eastAsia="Calibri" w:hAnsi="Book Antiqua" w:cs="Arial"/>
          <w:sz w:val="24"/>
          <w:szCs w:val="24"/>
        </w:rPr>
        <w:t xml:space="preserve">que </w:t>
      </w:r>
      <w:r w:rsidR="00081D82" w:rsidRPr="00081D82">
        <w:rPr>
          <w:rFonts w:ascii="Book Antiqua" w:eastAsia="Calibri" w:hAnsi="Book Antiqua" w:cs="Arial"/>
          <w:sz w:val="24"/>
          <w:szCs w:val="24"/>
        </w:rPr>
        <w:t>e</w:t>
      </w:r>
      <w:r w:rsidR="00637E74">
        <w:rPr>
          <w:rFonts w:ascii="Book Antiqua" w:eastAsia="Calibri" w:hAnsi="Book Antiqua" w:cs="Arial"/>
          <w:sz w:val="24"/>
          <w:szCs w:val="24"/>
        </w:rPr>
        <w:t>n</w:t>
      </w:r>
      <w:r w:rsidR="00081D82" w:rsidRPr="00081D82">
        <w:rPr>
          <w:rFonts w:ascii="Book Antiqua" w:eastAsia="Calibri" w:hAnsi="Book Antiqua" w:cs="Arial"/>
          <w:sz w:val="24"/>
          <w:szCs w:val="24"/>
        </w:rPr>
        <w:t xml:space="preserve"> la </w:t>
      </w:r>
      <w:r w:rsidR="00081D82">
        <w:rPr>
          <w:rFonts w:ascii="Book Antiqua" w:eastAsia="Calibri" w:hAnsi="Book Antiqua" w:cs="Arial"/>
          <w:sz w:val="24"/>
          <w:szCs w:val="24"/>
        </w:rPr>
        <w:t xml:space="preserve">sesión </w:t>
      </w:r>
      <w:r w:rsidR="00081D82" w:rsidRPr="00081D82">
        <w:rPr>
          <w:rFonts w:ascii="Book Antiqua" w:eastAsia="Calibri" w:hAnsi="Book Antiqua" w:cs="Arial"/>
          <w:sz w:val="24"/>
          <w:szCs w:val="24"/>
        </w:rPr>
        <w:t>02-2023 celebrada el 14 de marzo</w:t>
      </w:r>
      <w:r w:rsidR="00D65FD9">
        <w:rPr>
          <w:rFonts w:ascii="Book Antiqua" w:eastAsia="Calibri" w:hAnsi="Book Antiqua" w:cs="Arial"/>
          <w:sz w:val="24"/>
          <w:szCs w:val="24"/>
        </w:rPr>
        <w:t xml:space="preserve"> </w:t>
      </w:r>
      <w:r w:rsidR="00F53142">
        <w:rPr>
          <w:rFonts w:ascii="Book Antiqua" w:eastAsia="Calibri" w:hAnsi="Book Antiqua" w:cs="Arial"/>
          <w:sz w:val="24"/>
          <w:szCs w:val="24"/>
        </w:rPr>
        <w:t>del presente año</w:t>
      </w:r>
      <w:r w:rsidR="004B7550">
        <w:rPr>
          <w:rFonts w:ascii="Book Antiqua" w:eastAsia="Calibri" w:hAnsi="Book Antiqua" w:cs="Arial"/>
          <w:sz w:val="24"/>
          <w:szCs w:val="24"/>
        </w:rPr>
        <w:t xml:space="preserve"> se solicitó</w:t>
      </w:r>
      <w:r w:rsidR="00647FF0">
        <w:rPr>
          <w:rFonts w:ascii="Book Antiqua" w:eastAsia="Calibri" w:hAnsi="Book Antiqua" w:cs="Arial"/>
          <w:sz w:val="24"/>
          <w:szCs w:val="24"/>
        </w:rPr>
        <w:t>:</w:t>
      </w:r>
    </w:p>
    <w:p w14:paraId="096D70A0" w14:textId="77777777" w:rsidR="00647FF0" w:rsidRDefault="00647FF0" w:rsidP="00D65FD9">
      <w:pPr>
        <w:spacing w:after="0" w:line="276" w:lineRule="auto"/>
        <w:jc w:val="both"/>
        <w:rPr>
          <w:rFonts w:ascii="Book Antiqua" w:eastAsia="Calibri" w:hAnsi="Book Antiqua" w:cs="Arial"/>
          <w:sz w:val="24"/>
          <w:szCs w:val="24"/>
        </w:rPr>
      </w:pPr>
    </w:p>
    <w:p w14:paraId="6940C9B4" w14:textId="0D4189AD" w:rsidR="00B21D14" w:rsidRPr="006D0772" w:rsidRDefault="00B21D14" w:rsidP="006D0772">
      <w:pPr>
        <w:spacing w:after="0" w:line="276" w:lineRule="auto"/>
        <w:ind w:left="567" w:right="567"/>
        <w:jc w:val="both"/>
        <w:rPr>
          <w:rFonts w:ascii="Book Antiqua" w:eastAsia="Calibri" w:hAnsi="Book Antiqua" w:cs="Arial"/>
          <w:i/>
          <w:iCs/>
          <w:sz w:val="24"/>
          <w:szCs w:val="24"/>
        </w:rPr>
      </w:pPr>
      <w:r>
        <w:rPr>
          <w:rFonts w:ascii="Book Antiqua" w:eastAsia="Calibri" w:hAnsi="Book Antiqua" w:cs="Arial"/>
          <w:i/>
          <w:iCs/>
          <w:sz w:val="24"/>
          <w:szCs w:val="24"/>
        </w:rPr>
        <w:t>“…</w:t>
      </w:r>
      <w:r w:rsidRPr="006D0772">
        <w:rPr>
          <w:rFonts w:ascii="Book Antiqua" w:eastAsia="Calibri" w:hAnsi="Book Antiqua" w:cs="Arial"/>
          <w:i/>
          <w:iCs/>
          <w:sz w:val="24"/>
          <w:szCs w:val="24"/>
        </w:rPr>
        <w:t>al Equipo Gestor, una propuesta actualizada de los recursos necesarios para la implementación del Código Procesal de Familia donde se exponen algunas consideraciones para que sean tomadas en cuenta en la formulación del presupuesto institucional 2024.</w:t>
      </w:r>
    </w:p>
    <w:p w14:paraId="7586F466" w14:textId="77777777" w:rsidR="00B21D14" w:rsidRPr="006D0772" w:rsidRDefault="00B21D14" w:rsidP="006D0772">
      <w:pPr>
        <w:spacing w:after="0" w:line="276" w:lineRule="auto"/>
        <w:ind w:left="567" w:right="567"/>
        <w:jc w:val="both"/>
        <w:rPr>
          <w:rFonts w:ascii="Book Antiqua" w:eastAsia="Calibri" w:hAnsi="Book Antiqua" w:cs="Arial"/>
          <w:i/>
          <w:iCs/>
          <w:sz w:val="24"/>
          <w:szCs w:val="24"/>
        </w:rPr>
      </w:pPr>
    </w:p>
    <w:p w14:paraId="61B451D9" w14:textId="77777777" w:rsidR="00851A75" w:rsidRDefault="00B21D14" w:rsidP="00B21D14">
      <w:pPr>
        <w:spacing w:after="0" w:line="276" w:lineRule="auto"/>
        <w:ind w:left="567" w:right="567"/>
        <w:jc w:val="both"/>
        <w:rPr>
          <w:rFonts w:ascii="Book Antiqua" w:eastAsia="Calibri" w:hAnsi="Book Antiqua" w:cs="Arial"/>
          <w:i/>
          <w:iCs/>
          <w:sz w:val="24"/>
          <w:szCs w:val="24"/>
        </w:rPr>
      </w:pPr>
      <w:r w:rsidRPr="006D0772">
        <w:rPr>
          <w:rFonts w:ascii="Book Antiqua" w:eastAsia="Calibri" w:hAnsi="Book Antiqua" w:cs="Arial"/>
          <w:i/>
          <w:iCs/>
          <w:sz w:val="24"/>
          <w:szCs w:val="24"/>
        </w:rPr>
        <w:t>En atención de lo anterior, se adjunta el oficio N°090-CACMFJ-JEF-2023 del Centro de Apoyo, Coordinación y Mejoramiento de la Función Jurisdiccional, para el trámite que corresponda.</w:t>
      </w:r>
      <w:r w:rsidR="00851A75">
        <w:rPr>
          <w:rFonts w:ascii="Book Antiqua" w:eastAsia="Calibri" w:hAnsi="Book Antiqua" w:cs="Arial"/>
          <w:i/>
          <w:iCs/>
          <w:sz w:val="24"/>
          <w:szCs w:val="24"/>
        </w:rPr>
        <w:t>”</w:t>
      </w:r>
    </w:p>
    <w:p w14:paraId="24218C83" w14:textId="77777777" w:rsidR="00851A75" w:rsidRDefault="00851A75" w:rsidP="00B21D14">
      <w:pPr>
        <w:spacing w:after="0" w:line="276" w:lineRule="auto"/>
        <w:ind w:left="567" w:right="567"/>
        <w:jc w:val="both"/>
        <w:rPr>
          <w:rFonts w:ascii="Book Antiqua" w:eastAsia="Calibri" w:hAnsi="Book Antiqua" w:cs="Arial"/>
          <w:i/>
          <w:iCs/>
          <w:sz w:val="24"/>
          <w:szCs w:val="24"/>
        </w:rPr>
      </w:pPr>
    </w:p>
    <w:p w14:paraId="5EA55249" w14:textId="724A7EAB" w:rsidR="00647FF0" w:rsidRDefault="00E3171E" w:rsidP="00B21D14">
      <w:pPr>
        <w:spacing w:after="0" w:line="276" w:lineRule="auto"/>
        <w:ind w:left="567" w:right="567"/>
        <w:jc w:val="both"/>
        <w:rPr>
          <w:rFonts w:ascii="Book Antiqua" w:eastAsia="Calibri" w:hAnsi="Book Antiqua" w:cs="Arial"/>
          <w:i/>
          <w:iCs/>
          <w:sz w:val="24"/>
          <w:szCs w:val="24"/>
        </w:rPr>
      </w:pPr>
      <w:r>
        <w:rPr>
          <w:rFonts w:ascii="Book Antiqua" w:eastAsia="Calibri" w:hAnsi="Book Antiqua" w:cs="Arial"/>
          <w:sz w:val="24"/>
          <w:szCs w:val="24"/>
        </w:rPr>
        <w:t xml:space="preserve">Por lo anterior, </w:t>
      </w:r>
      <w:r w:rsidR="003600C8">
        <w:rPr>
          <w:rFonts w:ascii="Book Antiqua" w:eastAsia="Calibri" w:hAnsi="Book Antiqua" w:cs="Arial"/>
          <w:sz w:val="24"/>
          <w:szCs w:val="24"/>
        </w:rPr>
        <w:t xml:space="preserve">de acuerdo con el </w:t>
      </w:r>
      <w:r w:rsidR="003600C8" w:rsidRPr="003600C8">
        <w:rPr>
          <w:rFonts w:ascii="Book Antiqua" w:eastAsia="Calibri" w:hAnsi="Book Antiqua" w:cs="Arial"/>
          <w:sz w:val="24"/>
          <w:szCs w:val="24"/>
        </w:rPr>
        <w:t>oficio 090-CACMFJ-JEF-2023 del Centro de Apoyo, Coordinación y Mejoramiento de la Función Jurisdiccional</w:t>
      </w:r>
      <w:r w:rsidR="00AA3100">
        <w:rPr>
          <w:rFonts w:ascii="Book Antiqua" w:eastAsia="Calibri" w:hAnsi="Book Antiqua" w:cs="Arial"/>
          <w:sz w:val="24"/>
          <w:szCs w:val="24"/>
        </w:rPr>
        <w:t xml:space="preserve"> </w:t>
      </w:r>
      <w:r w:rsidR="00554151">
        <w:rPr>
          <w:rFonts w:ascii="Book Antiqua" w:eastAsia="Calibri" w:hAnsi="Book Antiqua" w:cs="Arial"/>
          <w:sz w:val="24"/>
          <w:szCs w:val="24"/>
        </w:rPr>
        <w:t xml:space="preserve">se debe modificar la necesidad de recurso humano </w:t>
      </w:r>
      <w:r w:rsidR="00C37E99">
        <w:rPr>
          <w:rFonts w:ascii="Book Antiqua" w:eastAsia="Calibri" w:hAnsi="Book Antiqua" w:cs="Arial"/>
          <w:sz w:val="24"/>
          <w:szCs w:val="24"/>
        </w:rPr>
        <w:t>para la entrada en vigencia de la Ley 9747 “Código Procesal de Familia</w:t>
      </w:r>
      <w:r w:rsidR="00805F8F">
        <w:rPr>
          <w:rFonts w:ascii="Book Antiqua" w:eastAsia="Calibri" w:hAnsi="Book Antiqua" w:cs="Arial"/>
          <w:sz w:val="24"/>
          <w:szCs w:val="24"/>
        </w:rPr>
        <w:t>”</w:t>
      </w:r>
      <w:r w:rsidR="00E66014">
        <w:rPr>
          <w:rFonts w:ascii="Book Antiqua" w:eastAsia="Calibri" w:hAnsi="Book Antiqua" w:cs="Arial"/>
          <w:sz w:val="24"/>
          <w:szCs w:val="24"/>
        </w:rPr>
        <w:t>, por considerar</w:t>
      </w:r>
      <w:r w:rsidR="002A7447">
        <w:rPr>
          <w:rFonts w:ascii="Book Antiqua" w:eastAsia="Calibri" w:hAnsi="Book Antiqua" w:cs="Arial"/>
          <w:sz w:val="24"/>
          <w:szCs w:val="24"/>
        </w:rPr>
        <w:t xml:space="preserve">se </w:t>
      </w:r>
      <w:r w:rsidR="00D72E8D">
        <w:rPr>
          <w:rFonts w:ascii="Book Antiqua" w:eastAsia="Calibri" w:hAnsi="Book Antiqua" w:cs="Arial"/>
          <w:sz w:val="24"/>
          <w:szCs w:val="24"/>
        </w:rPr>
        <w:t>“</w:t>
      </w:r>
      <w:r w:rsidR="002E6598" w:rsidRPr="006D0772">
        <w:rPr>
          <w:rFonts w:ascii="Book Antiqua" w:eastAsia="Calibri" w:hAnsi="Book Antiqua" w:cs="Arial"/>
          <w:i/>
          <w:iCs/>
          <w:sz w:val="24"/>
          <w:szCs w:val="24"/>
        </w:rPr>
        <w:t>una reforma social</w:t>
      </w:r>
      <w:r w:rsidR="00D72E8D" w:rsidRPr="006D0772">
        <w:rPr>
          <w:rFonts w:ascii="Book Antiqua" w:eastAsia="Calibri" w:hAnsi="Book Antiqua" w:cs="Arial"/>
          <w:i/>
          <w:iCs/>
          <w:sz w:val="24"/>
          <w:szCs w:val="24"/>
        </w:rPr>
        <w:t>,</w:t>
      </w:r>
      <w:r w:rsidR="002E6598" w:rsidRPr="006D0772">
        <w:rPr>
          <w:rFonts w:ascii="Book Antiqua" w:eastAsia="Calibri" w:hAnsi="Book Antiqua" w:cs="Arial"/>
          <w:i/>
          <w:iCs/>
          <w:sz w:val="24"/>
          <w:szCs w:val="24"/>
        </w:rPr>
        <w:t xml:space="preserve"> </w:t>
      </w:r>
      <w:r w:rsidR="002A7447" w:rsidRPr="006D0772">
        <w:rPr>
          <w:rFonts w:ascii="Book Antiqua" w:eastAsia="Calibri" w:hAnsi="Book Antiqua" w:cs="Arial"/>
          <w:i/>
          <w:iCs/>
          <w:sz w:val="24"/>
          <w:szCs w:val="24"/>
        </w:rPr>
        <w:t>con una alta cantidad de población en condiciones de vulnerabilidad, por ello, es necesario brindar el seguimiento oportuno y célere, posterior a la implementación del nuevo Código, procurando un impacto positivo al usuario y al personal institucional, evitando la resistencia al cambio</w:t>
      </w:r>
      <w:r w:rsidR="00D72E8D">
        <w:rPr>
          <w:rFonts w:ascii="Book Antiqua" w:eastAsia="Calibri" w:hAnsi="Book Antiqua" w:cs="Arial"/>
          <w:i/>
          <w:iCs/>
          <w:sz w:val="24"/>
          <w:szCs w:val="24"/>
        </w:rPr>
        <w:t>.”</w:t>
      </w:r>
    </w:p>
    <w:p w14:paraId="456C88FF" w14:textId="77777777" w:rsidR="00A70F93" w:rsidRDefault="00A70F93" w:rsidP="00B21D14">
      <w:pPr>
        <w:spacing w:after="0" w:line="276" w:lineRule="auto"/>
        <w:ind w:left="567" w:right="567"/>
        <w:jc w:val="both"/>
        <w:rPr>
          <w:rFonts w:ascii="Book Antiqua" w:eastAsia="Calibri" w:hAnsi="Book Antiqua" w:cs="Arial"/>
          <w:sz w:val="24"/>
          <w:szCs w:val="24"/>
        </w:rPr>
      </w:pPr>
    </w:p>
    <w:p w14:paraId="66E41FB4" w14:textId="77777777" w:rsidR="00B10850" w:rsidRDefault="00B10850" w:rsidP="00B21D14">
      <w:pPr>
        <w:spacing w:after="0" w:line="276" w:lineRule="auto"/>
        <w:ind w:left="567" w:right="567"/>
        <w:jc w:val="both"/>
        <w:rPr>
          <w:rFonts w:ascii="Book Antiqua" w:eastAsia="Calibri" w:hAnsi="Book Antiqua" w:cs="Arial"/>
          <w:sz w:val="24"/>
          <w:szCs w:val="24"/>
        </w:rPr>
      </w:pPr>
    </w:p>
    <w:p w14:paraId="0D6A3B9D" w14:textId="6F5058C2" w:rsidR="00B10850" w:rsidRPr="00352675" w:rsidRDefault="003A3D9E" w:rsidP="00B1085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Imagen</w:t>
      </w:r>
      <w:r w:rsidRPr="00352675">
        <w:rPr>
          <w:rFonts w:ascii="Book Antiqua" w:eastAsia="Calibri" w:hAnsi="Book Antiqua" w:cs="Arial"/>
          <w:b/>
          <w:bCs/>
          <w:color w:val="1F497D"/>
          <w:szCs w:val="24"/>
          <w:lang w:val="es-ES" w:eastAsia="es-ES"/>
        </w:rPr>
        <w:t xml:space="preserve"> </w:t>
      </w:r>
      <w:r>
        <w:rPr>
          <w:rFonts w:ascii="Book Antiqua" w:eastAsia="Calibri" w:hAnsi="Book Antiqua" w:cs="Arial"/>
          <w:b/>
          <w:bCs/>
          <w:color w:val="1F497D"/>
          <w:szCs w:val="24"/>
          <w:lang w:val="es-ES" w:eastAsia="es-ES"/>
        </w:rPr>
        <w:t>1</w:t>
      </w:r>
    </w:p>
    <w:p w14:paraId="3F7DBAF8" w14:textId="3B7A6DB2" w:rsidR="00B10850" w:rsidRPr="00352675" w:rsidRDefault="00B10850" w:rsidP="00B10850">
      <w:pPr>
        <w:spacing w:after="0" w:line="240"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Necesidad de recurso humano </w:t>
      </w:r>
      <w:r w:rsidR="00E73119">
        <w:rPr>
          <w:rFonts w:ascii="Book Antiqua" w:eastAsia="Calibri" w:hAnsi="Book Antiqua" w:cs="Arial"/>
          <w:b/>
          <w:bCs/>
          <w:color w:val="1F497D"/>
          <w:szCs w:val="24"/>
          <w:lang w:val="es-ES" w:eastAsia="es-ES"/>
        </w:rPr>
        <w:t xml:space="preserve">del CACMFJ- atención </w:t>
      </w:r>
      <w:r w:rsidR="003A3D9E">
        <w:rPr>
          <w:rFonts w:ascii="Book Antiqua" w:eastAsia="Calibri" w:hAnsi="Book Antiqua" w:cs="Arial"/>
          <w:b/>
          <w:bCs/>
          <w:color w:val="1F497D"/>
          <w:szCs w:val="24"/>
          <w:lang w:val="es-ES" w:eastAsia="es-ES"/>
        </w:rPr>
        <w:t>Reforma</w:t>
      </w:r>
      <w:r w:rsidR="00E73119">
        <w:rPr>
          <w:rFonts w:ascii="Book Antiqua" w:eastAsia="Calibri" w:hAnsi="Book Antiqua" w:cs="Arial"/>
          <w:b/>
          <w:bCs/>
          <w:color w:val="1F497D"/>
          <w:szCs w:val="24"/>
          <w:lang w:val="es-ES" w:eastAsia="es-ES"/>
        </w:rPr>
        <w:t xml:space="preserve"> CPF, 2024</w:t>
      </w:r>
    </w:p>
    <w:p w14:paraId="24912FA1" w14:textId="2AC9BE56" w:rsidR="00A70F93" w:rsidRDefault="009E0802" w:rsidP="003A3D9E">
      <w:pPr>
        <w:spacing w:after="0" w:line="276" w:lineRule="auto"/>
        <w:ind w:left="567" w:right="567"/>
        <w:jc w:val="center"/>
        <w:rPr>
          <w:rFonts w:ascii="Book Antiqua" w:eastAsia="Calibri" w:hAnsi="Book Antiqua" w:cs="Arial"/>
          <w:sz w:val="24"/>
          <w:szCs w:val="24"/>
        </w:rPr>
      </w:pPr>
      <w:r w:rsidRPr="009E0802">
        <w:rPr>
          <w:rFonts w:ascii="Book Antiqua" w:eastAsia="Calibri" w:hAnsi="Book Antiqua" w:cs="Arial"/>
          <w:noProof/>
          <w:sz w:val="24"/>
          <w:szCs w:val="24"/>
        </w:rPr>
        <w:drawing>
          <wp:inline distT="0" distB="0" distL="0" distR="0" wp14:anchorId="1897BA18" wp14:editId="0D731191">
            <wp:extent cx="5612130" cy="2279650"/>
            <wp:effectExtent l="0" t="0" r="7620" b="6350"/>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abla&#10;&#10;Descripción generada automáticamente"/>
                    <pic:cNvPicPr/>
                  </pic:nvPicPr>
                  <pic:blipFill>
                    <a:blip r:embed="rId31"/>
                    <a:stretch>
                      <a:fillRect/>
                    </a:stretch>
                  </pic:blipFill>
                  <pic:spPr>
                    <a:xfrm>
                      <a:off x="0" y="0"/>
                      <a:ext cx="5612130" cy="2279650"/>
                    </a:xfrm>
                    <a:prstGeom prst="rect">
                      <a:avLst/>
                    </a:prstGeom>
                  </pic:spPr>
                </pic:pic>
              </a:graphicData>
            </a:graphic>
          </wp:inline>
        </w:drawing>
      </w:r>
    </w:p>
    <w:p w14:paraId="2F5A5F21" w14:textId="7A8DC3E7" w:rsidR="0064475C" w:rsidRPr="005B55E0" w:rsidRDefault="003B6BBD" w:rsidP="00B21D14">
      <w:pPr>
        <w:spacing w:after="0" w:line="276" w:lineRule="auto"/>
        <w:ind w:left="567" w:right="567"/>
        <w:jc w:val="both"/>
        <w:rPr>
          <w:rFonts w:ascii="Book Antiqua" w:eastAsia="Calibri" w:hAnsi="Book Antiqua" w:cs="Arial"/>
          <w:sz w:val="20"/>
          <w:szCs w:val="20"/>
        </w:rPr>
      </w:pPr>
      <w:r w:rsidRPr="005B55E0">
        <w:rPr>
          <w:rFonts w:ascii="Book Antiqua" w:eastAsia="Calibri" w:hAnsi="Book Antiqua" w:cs="Arial"/>
          <w:b/>
          <w:bCs/>
          <w:sz w:val="20"/>
          <w:szCs w:val="20"/>
        </w:rPr>
        <w:t>Fuente:</w:t>
      </w:r>
      <w:r w:rsidRPr="005B55E0">
        <w:rPr>
          <w:rFonts w:ascii="Book Antiqua" w:eastAsia="Calibri" w:hAnsi="Book Antiqua" w:cs="Arial"/>
        </w:rPr>
        <w:t xml:space="preserve"> </w:t>
      </w:r>
      <w:r w:rsidR="00A64781" w:rsidRPr="005B55E0">
        <w:rPr>
          <w:rFonts w:ascii="Book Antiqua" w:eastAsia="Calibri" w:hAnsi="Book Antiqua" w:cs="Arial"/>
          <w:sz w:val="20"/>
          <w:szCs w:val="20"/>
        </w:rPr>
        <w:t>Oficio 090-C</w:t>
      </w:r>
      <w:r w:rsidR="0088484B" w:rsidRPr="005B55E0">
        <w:rPr>
          <w:rFonts w:ascii="Book Antiqua" w:eastAsia="Calibri" w:hAnsi="Book Antiqua" w:cs="Arial"/>
          <w:sz w:val="20"/>
          <w:szCs w:val="20"/>
        </w:rPr>
        <w:t>ACMFJ-JEF-2023 del CACMFJ.</w:t>
      </w:r>
    </w:p>
    <w:p w14:paraId="2DDAD7B2" w14:textId="77777777" w:rsidR="0064475C" w:rsidRDefault="0064475C" w:rsidP="00B21D14">
      <w:pPr>
        <w:spacing w:after="0" w:line="276" w:lineRule="auto"/>
        <w:ind w:left="567" w:right="567"/>
        <w:jc w:val="both"/>
        <w:rPr>
          <w:rFonts w:ascii="Book Antiqua" w:eastAsia="Calibri" w:hAnsi="Book Antiqua" w:cs="Arial"/>
          <w:sz w:val="24"/>
          <w:szCs w:val="24"/>
        </w:rPr>
      </w:pPr>
    </w:p>
    <w:p w14:paraId="378B4B7A" w14:textId="4DA21F32" w:rsidR="00112E39" w:rsidRDefault="00812E6C" w:rsidP="00B21D14">
      <w:pPr>
        <w:spacing w:after="0" w:line="276" w:lineRule="auto"/>
        <w:ind w:left="567" w:right="567"/>
        <w:jc w:val="both"/>
        <w:rPr>
          <w:rFonts w:ascii="Book Antiqua" w:eastAsia="Calibri" w:hAnsi="Book Antiqua" w:cs="Arial"/>
          <w:sz w:val="24"/>
          <w:szCs w:val="24"/>
        </w:rPr>
      </w:pPr>
      <w:r>
        <w:rPr>
          <w:rFonts w:ascii="Book Antiqua" w:eastAsia="Calibri" w:hAnsi="Book Antiqua" w:cs="Arial"/>
          <w:sz w:val="24"/>
          <w:szCs w:val="24"/>
        </w:rPr>
        <w:t>La propuesta varía la cantidad de personal solicitada en el oficio</w:t>
      </w:r>
      <w:r w:rsidR="00CC6958">
        <w:rPr>
          <w:rFonts w:ascii="Book Antiqua" w:eastAsia="Calibri" w:hAnsi="Book Antiqua" w:cs="Arial"/>
          <w:sz w:val="24"/>
          <w:szCs w:val="24"/>
        </w:rPr>
        <w:t xml:space="preserve"> </w:t>
      </w:r>
      <w:r w:rsidR="00CC6958" w:rsidRPr="00CC6958">
        <w:rPr>
          <w:rFonts w:ascii="Book Antiqua" w:eastAsia="Calibri" w:hAnsi="Book Antiqua" w:cs="Arial"/>
          <w:sz w:val="24"/>
          <w:szCs w:val="24"/>
        </w:rPr>
        <w:t>059-CACMFJ-JEF-2023 del 21 de febrero de 2023</w:t>
      </w:r>
      <w:r w:rsidR="00EE0262">
        <w:rPr>
          <w:rFonts w:ascii="Book Antiqua" w:eastAsia="Calibri" w:hAnsi="Book Antiqua" w:cs="Arial"/>
          <w:sz w:val="24"/>
          <w:szCs w:val="24"/>
        </w:rPr>
        <w:t xml:space="preserve">, </w:t>
      </w:r>
      <w:r w:rsidR="006C2B36">
        <w:rPr>
          <w:rFonts w:ascii="Book Antiqua" w:eastAsia="Calibri" w:hAnsi="Book Antiqua" w:cs="Arial"/>
          <w:sz w:val="24"/>
          <w:szCs w:val="24"/>
        </w:rPr>
        <w:t xml:space="preserve">en cuanto a la inclusión de </w:t>
      </w:r>
      <w:r w:rsidR="00E122DD">
        <w:rPr>
          <w:rFonts w:ascii="Book Antiqua" w:eastAsia="Calibri" w:hAnsi="Book Antiqua" w:cs="Arial"/>
          <w:sz w:val="24"/>
          <w:szCs w:val="24"/>
        </w:rPr>
        <w:t xml:space="preserve">personal para </w:t>
      </w:r>
      <w:r w:rsidR="00F511D2">
        <w:rPr>
          <w:rFonts w:ascii="Book Antiqua" w:eastAsia="Calibri" w:hAnsi="Book Antiqua" w:cs="Arial"/>
          <w:sz w:val="24"/>
          <w:szCs w:val="24"/>
        </w:rPr>
        <w:t xml:space="preserve">el seguimiento de la jurisdicción y de </w:t>
      </w:r>
      <w:r w:rsidR="006C2B36">
        <w:rPr>
          <w:rFonts w:ascii="Book Antiqua" w:eastAsia="Calibri" w:hAnsi="Book Antiqua" w:cs="Arial"/>
          <w:sz w:val="24"/>
          <w:szCs w:val="24"/>
        </w:rPr>
        <w:t>plaza</w:t>
      </w:r>
      <w:r w:rsidR="00F511D2">
        <w:rPr>
          <w:rFonts w:ascii="Book Antiqua" w:eastAsia="Calibri" w:hAnsi="Book Antiqua" w:cs="Arial"/>
          <w:sz w:val="24"/>
          <w:szCs w:val="24"/>
        </w:rPr>
        <w:t>s</w:t>
      </w:r>
      <w:r w:rsidR="006C2B36">
        <w:rPr>
          <w:rFonts w:ascii="Book Antiqua" w:eastAsia="Calibri" w:hAnsi="Book Antiqua" w:cs="Arial"/>
          <w:sz w:val="24"/>
          <w:szCs w:val="24"/>
        </w:rPr>
        <w:t xml:space="preserve"> </w:t>
      </w:r>
      <w:r w:rsidR="00F511D2">
        <w:rPr>
          <w:rFonts w:ascii="Book Antiqua" w:eastAsia="Calibri" w:hAnsi="Book Antiqua" w:cs="Arial"/>
          <w:sz w:val="24"/>
          <w:szCs w:val="24"/>
        </w:rPr>
        <w:t xml:space="preserve">para la judicatura </w:t>
      </w:r>
      <w:r w:rsidR="00587FB8">
        <w:rPr>
          <w:rFonts w:ascii="Book Antiqua" w:eastAsia="Calibri" w:hAnsi="Book Antiqua" w:cs="Arial"/>
          <w:sz w:val="24"/>
          <w:szCs w:val="24"/>
        </w:rPr>
        <w:t>que se dedicaran a planes de descongestionamiento para fallo</w:t>
      </w:r>
      <w:r w:rsidR="001D3BC8">
        <w:rPr>
          <w:rFonts w:ascii="Book Antiqua" w:eastAsia="Calibri" w:hAnsi="Book Antiqua" w:cs="Arial"/>
          <w:sz w:val="24"/>
          <w:szCs w:val="24"/>
        </w:rPr>
        <w:t>, audiencias, segunda instancias, entre otras</w:t>
      </w:r>
      <w:r w:rsidR="004D3A40">
        <w:rPr>
          <w:rFonts w:ascii="Book Antiqua" w:eastAsia="Calibri" w:hAnsi="Book Antiqua" w:cs="Arial"/>
          <w:sz w:val="24"/>
          <w:szCs w:val="24"/>
        </w:rPr>
        <w:t>; e</w:t>
      </w:r>
      <w:r w:rsidR="00112E39">
        <w:rPr>
          <w:rFonts w:ascii="Book Antiqua" w:eastAsia="Calibri" w:hAnsi="Book Antiqua" w:cs="Arial"/>
          <w:sz w:val="24"/>
          <w:szCs w:val="24"/>
        </w:rPr>
        <w:t xml:space="preserve">n el siguiente cuadro, se </w:t>
      </w:r>
      <w:r w:rsidR="004D3A40">
        <w:rPr>
          <w:rFonts w:ascii="Book Antiqua" w:eastAsia="Calibri" w:hAnsi="Book Antiqua" w:cs="Arial"/>
          <w:sz w:val="24"/>
          <w:szCs w:val="24"/>
        </w:rPr>
        <w:t xml:space="preserve">observa la cantidad de plazas </w:t>
      </w:r>
      <w:r w:rsidR="00162841">
        <w:rPr>
          <w:rFonts w:ascii="Book Antiqua" w:eastAsia="Calibri" w:hAnsi="Book Antiqua" w:cs="Arial"/>
          <w:sz w:val="24"/>
          <w:szCs w:val="24"/>
        </w:rPr>
        <w:t xml:space="preserve">solicitadas con su respectiva justificación </w:t>
      </w:r>
      <w:r w:rsidR="004C700E">
        <w:rPr>
          <w:rFonts w:ascii="Book Antiqua" w:eastAsia="Calibri" w:hAnsi="Book Antiqua" w:cs="Arial"/>
          <w:sz w:val="24"/>
          <w:szCs w:val="24"/>
        </w:rPr>
        <w:t xml:space="preserve">según lo indicado por el CACMFJ, </w:t>
      </w:r>
      <w:r w:rsidR="00162841">
        <w:rPr>
          <w:rFonts w:ascii="Book Antiqua" w:eastAsia="Calibri" w:hAnsi="Book Antiqua" w:cs="Arial"/>
          <w:sz w:val="24"/>
          <w:szCs w:val="24"/>
        </w:rPr>
        <w:t>que son necesarias para la entrada en vigencia de la Ley 9747 “</w:t>
      </w:r>
      <w:r w:rsidR="00162841" w:rsidRPr="006D0772">
        <w:rPr>
          <w:rFonts w:ascii="Book Antiqua" w:eastAsia="Calibri" w:hAnsi="Book Antiqua" w:cs="Arial"/>
          <w:i/>
          <w:iCs/>
          <w:sz w:val="24"/>
          <w:szCs w:val="24"/>
        </w:rPr>
        <w:t>Código Procesal de Familia</w:t>
      </w:r>
      <w:r w:rsidR="00162841">
        <w:rPr>
          <w:rFonts w:ascii="Book Antiqua" w:eastAsia="Calibri" w:hAnsi="Book Antiqua" w:cs="Arial"/>
          <w:sz w:val="24"/>
          <w:szCs w:val="24"/>
        </w:rPr>
        <w:t>”.</w:t>
      </w:r>
    </w:p>
    <w:p w14:paraId="38860AF6" w14:textId="77777777" w:rsidR="00006F6C" w:rsidRDefault="00006F6C" w:rsidP="004069D9">
      <w:pPr>
        <w:spacing w:after="0" w:line="276" w:lineRule="auto"/>
        <w:ind w:right="567"/>
        <w:jc w:val="both"/>
        <w:rPr>
          <w:rFonts w:ascii="Book Antiqua" w:eastAsia="Calibri" w:hAnsi="Book Antiqua" w:cs="Arial"/>
          <w:sz w:val="24"/>
          <w:szCs w:val="24"/>
        </w:rPr>
      </w:pPr>
    </w:p>
    <w:p w14:paraId="0BE9796D" w14:textId="00943827" w:rsidR="00006F6C" w:rsidRPr="00F81BCC" w:rsidRDefault="00006F6C" w:rsidP="00006F6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 xml:space="preserve">Cuadro </w:t>
      </w:r>
      <w:r w:rsidRPr="00F81BCC">
        <w:rPr>
          <w:rFonts w:ascii="Book Antiqua" w:eastAsia="Calibri" w:hAnsi="Book Antiqua" w:cs="Arial"/>
          <w:b/>
          <w:bCs/>
          <w:color w:val="1F497D"/>
          <w:szCs w:val="24"/>
          <w:lang w:val="es-ES" w:eastAsia="es-ES"/>
        </w:rPr>
        <w:fldChar w:fldCharType="begin"/>
      </w:r>
      <w:r w:rsidRPr="00F81BCC">
        <w:rPr>
          <w:rFonts w:ascii="Book Antiqua" w:eastAsia="Calibri" w:hAnsi="Book Antiqua" w:cs="Arial"/>
          <w:b/>
          <w:bCs/>
          <w:color w:val="1F497D"/>
          <w:szCs w:val="24"/>
          <w:lang w:val="es-ES" w:eastAsia="es-ES"/>
        </w:rPr>
        <w:instrText xml:space="preserve"> SEQ Cuadro \* ARABIC </w:instrText>
      </w:r>
      <w:r w:rsidRPr="00F81BCC">
        <w:rPr>
          <w:rFonts w:ascii="Book Antiqua" w:eastAsia="Calibri" w:hAnsi="Book Antiqua" w:cs="Arial"/>
          <w:b/>
          <w:bCs/>
          <w:color w:val="1F497D"/>
          <w:szCs w:val="24"/>
          <w:lang w:val="es-ES" w:eastAsia="es-ES"/>
        </w:rPr>
        <w:fldChar w:fldCharType="separate"/>
      </w:r>
      <w:r>
        <w:rPr>
          <w:rFonts w:ascii="Book Antiqua" w:eastAsia="Calibri" w:hAnsi="Book Antiqua" w:cs="Arial"/>
          <w:b/>
          <w:bCs/>
          <w:noProof/>
          <w:color w:val="1F497D"/>
          <w:szCs w:val="24"/>
          <w:lang w:val="es-ES" w:eastAsia="es-ES"/>
        </w:rPr>
        <w:t>73</w:t>
      </w:r>
      <w:r w:rsidRPr="00F81BCC">
        <w:rPr>
          <w:rFonts w:ascii="Book Antiqua" w:eastAsia="Calibri" w:hAnsi="Book Antiqua" w:cs="Arial"/>
          <w:b/>
          <w:bCs/>
          <w:color w:val="1F497D"/>
          <w:szCs w:val="24"/>
          <w:lang w:val="es-ES" w:eastAsia="es-ES"/>
        </w:rPr>
        <w:fldChar w:fldCharType="end"/>
      </w:r>
      <w:r w:rsidRPr="00F81BCC">
        <w:rPr>
          <w:rFonts w:ascii="Book Antiqua" w:eastAsia="Calibri" w:hAnsi="Book Antiqua" w:cs="Arial"/>
          <w:b/>
          <w:bCs/>
          <w:color w:val="1F497D"/>
          <w:szCs w:val="24"/>
          <w:lang w:val="es-ES" w:eastAsia="es-ES"/>
        </w:rPr>
        <w:t xml:space="preserve"> </w:t>
      </w:r>
    </w:p>
    <w:p w14:paraId="16E40FE9" w14:textId="77777777" w:rsidR="00006F6C" w:rsidRPr="00F81BCC" w:rsidRDefault="00006F6C" w:rsidP="00006F6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Propuesta del recurso humano para el CACMFJ-atención Reforma CPF, 202</w:t>
      </w:r>
      <w:r>
        <w:rPr>
          <w:rFonts w:ascii="Book Antiqua" w:eastAsia="Calibri" w:hAnsi="Book Antiqua" w:cs="Arial"/>
          <w:b/>
          <w:bCs/>
          <w:color w:val="1F497D"/>
          <w:szCs w:val="24"/>
          <w:lang w:val="es-ES" w:eastAsia="es-ES"/>
        </w:rPr>
        <w:t>4</w:t>
      </w:r>
    </w:p>
    <w:tbl>
      <w:tblPr>
        <w:tblW w:w="10119" w:type="dxa"/>
        <w:jc w:val="center"/>
        <w:tblCellMar>
          <w:left w:w="70" w:type="dxa"/>
          <w:right w:w="70" w:type="dxa"/>
        </w:tblCellMar>
        <w:tblLook w:val="04A0" w:firstRow="1" w:lastRow="0" w:firstColumn="1" w:lastColumn="0" w:noHBand="0" w:noVBand="1"/>
      </w:tblPr>
      <w:tblGrid>
        <w:gridCol w:w="2382"/>
        <w:gridCol w:w="1074"/>
        <w:gridCol w:w="6663"/>
      </w:tblGrid>
      <w:tr w:rsidR="001D013F" w:rsidRPr="001D013F" w14:paraId="59ECB401" w14:textId="77777777" w:rsidTr="00006F6C">
        <w:trPr>
          <w:trHeight w:val="285"/>
          <w:jc w:val="center"/>
        </w:trPr>
        <w:tc>
          <w:tcPr>
            <w:tcW w:w="2382"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E90BBC2" w14:textId="77777777" w:rsidR="001D013F" w:rsidRPr="001D013F" w:rsidRDefault="001D013F" w:rsidP="001D013F">
            <w:pPr>
              <w:spacing w:after="0" w:line="240" w:lineRule="auto"/>
              <w:jc w:val="center"/>
              <w:rPr>
                <w:rFonts w:ascii="Book Antiqua" w:eastAsia="Times New Roman" w:hAnsi="Book Antiqua" w:cs="Calibri"/>
                <w:b/>
                <w:bCs/>
                <w:color w:val="FFFFFF"/>
                <w:sz w:val="20"/>
                <w:szCs w:val="20"/>
                <w:lang w:eastAsia="es-CR"/>
              </w:rPr>
            </w:pPr>
            <w:r w:rsidRPr="001D013F">
              <w:rPr>
                <w:rFonts w:ascii="Book Antiqua" w:eastAsia="Times New Roman" w:hAnsi="Book Antiqua" w:cs="Calibri"/>
                <w:b/>
                <w:bCs/>
                <w:color w:val="FFFFFF"/>
                <w:sz w:val="20"/>
                <w:szCs w:val="20"/>
                <w:lang w:eastAsia="es-CR"/>
              </w:rPr>
              <w:t>Plaza</w:t>
            </w:r>
          </w:p>
        </w:tc>
        <w:tc>
          <w:tcPr>
            <w:tcW w:w="1074" w:type="dxa"/>
            <w:tcBorders>
              <w:top w:val="single" w:sz="4" w:space="0" w:color="auto"/>
              <w:left w:val="nil"/>
              <w:bottom w:val="single" w:sz="4" w:space="0" w:color="auto"/>
              <w:right w:val="single" w:sz="4" w:space="0" w:color="auto"/>
            </w:tcBorders>
            <w:shd w:val="clear" w:color="000000" w:fill="002060"/>
            <w:noWrap/>
            <w:vAlign w:val="bottom"/>
            <w:hideMark/>
          </w:tcPr>
          <w:p w14:paraId="217FE3DC" w14:textId="77777777" w:rsidR="001D013F" w:rsidRPr="001D013F" w:rsidRDefault="001D013F" w:rsidP="001D013F">
            <w:pPr>
              <w:spacing w:after="0" w:line="240" w:lineRule="auto"/>
              <w:jc w:val="center"/>
              <w:rPr>
                <w:rFonts w:ascii="Book Antiqua" w:eastAsia="Times New Roman" w:hAnsi="Book Antiqua" w:cs="Calibri"/>
                <w:b/>
                <w:bCs/>
                <w:color w:val="FFFFFF"/>
                <w:sz w:val="20"/>
                <w:szCs w:val="20"/>
                <w:lang w:eastAsia="es-CR"/>
              </w:rPr>
            </w:pPr>
            <w:r w:rsidRPr="001D013F">
              <w:rPr>
                <w:rFonts w:ascii="Book Antiqua" w:eastAsia="Times New Roman" w:hAnsi="Book Antiqua" w:cs="Calibri"/>
                <w:b/>
                <w:bCs/>
                <w:color w:val="FFFFFF"/>
                <w:sz w:val="20"/>
                <w:szCs w:val="20"/>
                <w:lang w:eastAsia="es-CR"/>
              </w:rPr>
              <w:t>Cantidad</w:t>
            </w:r>
          </w:p>
        </w:tc>
        <w:tc>
          <w:tcPr>
            <w:tcW w:w="6663" w:type="dxa"/>
            <w:tcBorders>
              <w:top w:val="single" w:sz="4" w:space="0" w:color="auto"/>
              <w:left w:val="nil"/>
              <w:bottom w:val="single" w:sz="4" w:space="0" w:color="auto"/>
              <w:right w:val="single" w:sz="4" w:space="0" w:color="auto"/>
            </w:tcBorders>
            <w:shd w:val="clear" w:color="000000" w:fill="002060"/>
            <w:noWrap/>
            <w:vAlign w:val="bottom"/>
            <w:hideMark/>
          </w:tcPr>
          <w:p w14:paraId="4255355B" w14:textId="77777777" w:rsidR="001D013F" w:rsidRPr="001D013F" w:rsidRDefault="001D013F" w:rsidP="001D013F">
            <w:pPr>
              <w:spacing w:after="0" w:line="240" w:lineRule="auto"/>
              <w:jc w:val="center"/>
              <w:rPr>
                <w:rFonts w:ascii="Book Antiqua" w:eastAsia="Times New Roman" w:hAnsi="Book Antiqua" w:cs="Calibri"/>
                <w:b/>
                <w:bCs/>
                <w:color w:val="FFFFFF"/>
                <w:sz w:val="20"/>
                <w:szCs w:val="20"/>
                <w:lang w:eastAsia="es-CR"/>
              </w:rPr>
            </w:pPr>
            <w:r w:rsidRPr="001D013F">
              <w:rPr>
                <w:rFonts w:ascii="Book Antiqua" w:eastAsia="Times New Roman" w:hAnsi="Book Antiqua" w:cs="Calibri"/>
                <w:b/>
                <w:bCs/>
                <w:color w:val="FFFFFF"/>
                <w:sz w:val="20"/>
                <w:szCs w:val="20"/>
                <w:lang w:eastAsia="es-CR"/>
              </w:rPr>
              <w:t>Justificación</w:t>
            </w:r>
          </w:p>
        </w:tc>
      </w:tr>
      <w:tr w:rsidR="001D013F" w:rsidRPr="001D013F" w14:paraId="1FD3D4C4" w14:textId="77777777" w:rsidTr="00006F6C">
        <w:trPr>
          <w:trHeight w:val="630"/>
          <w:jc w:val="center"/>
        </w:trPr>
        <w:tc>
          <w:tcPr>
            <w:tcW w:w="2382" w:type="dxa"/>
            <w:tcBorders>
              <w:top w:val="nil"/>
              <w:left w:val="single" w:sz="4" w:space="0" w:color="auto"/>
              <w:bottom w:val="single" w:sz="4" w:space="0" w:color="auto"/>
              <w:right w:val="single" w:sz="4" w:space="0" w:color="auto"/>
            </w:tcBorders>
            <w:shd w:val="clear" w:color="auto" w:fill="auto"/>
            <w:noWrap/>
            <w:vAlign w:val="center"/>
            <w:hideMark/>
          </w:tcPr>
          <w:p w14:paraId="68C2834C"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Juez/a 4</w:t>
            </w:r>
          </w:p>
        </w:tc>
        <w:tc>
          <w:tcPr>
            <w:tcW w:w="1074" w:type="dxa"/>
            <w:tcBorders>
              <w:top w:val="nil"/>
              <w:left w:val="nil"/>
              <w:bottom w:val="single" w:sz="4" w:space="0" w:color="auto"/>
              <w:right w:val="single" w:sz="4" w:space="0" w:color="auto"/>
            </w:tcBorders>
            <w:shd w:val="clear" w:color="auto" w:fill="auto"/>
            <w:noWrap/>
            <w:vAlign w:val="center"/>
            <w:hideMark/>
          </w:tcPr>
          <w:p w14:paraId="0933DAE5"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1</w:t>
            </w:r>
          </w:p>
        </w:tc>
        <w:tc>
          <w:tcPr>
            <w:tcW w:w="6663" w:type="dxa"/>
            <w:tcBorders>
              <w:top w:val="nil"/>
              <w:left w:val="nil"/>
              <w:bottom w:val="single" w:sz="4" w:space="0" w:color="auto"/>
              <w:right w:val="single" w:sz="4" w:space="0" w:color="auto"/>
            </w:tcBorders>
            <w:shd w:val="clear" w:color="auto" w:fill="auto"/>
            <w:vAlign w:val="bottom"/>
            <w:hideMark/>
          </w:tcPr>
          <w:p w14:paraId="25614654"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Gestor de las materias de familia, pensiones y violencia doméstica, con todas las cualidades y calidades que se requiere para el ejercicio de la laborar de gestoría.</w:t>
            </w:r>
          </w:p>
        </w:tc>
      </w:tr>
      <w:tr w:rsidR="001D013F" w:rsidRPr="001D013F" w14:paraId="0B37C4C3" w14:textId="77777777" w:rsidTr="00006F6C">
        <w:trPr>
          <w:trHeight w:val="581"/>
          <w:jc w:val="center"/>
        </w:trPr>
        <w:tc>
          <w:tcPr>
            <w:tcW w:w="2382" w:type="dxa"/>
            <w:tcBorders>
              <w:top w:val="nil"/>
              <w:left w:val="single" w:sz="4" w:space="0" w:color="auto"/>
              <w:bottom w:val="single" w:sz="4" w:space="0" w:color="auto"/>
              <w:right w:val="single" w:sz="4" w:space="0" w:color="auto"/>
            </w:tcBorders>
            <w:shd w:val="clear" w:color="auto" w:fill="auto"/>
            <w:noWrap/>
            <w:vAlign w:val="center"/>
            <w:hideMark/>
          </w:tcPr>
          <w:p w14:paraId="1C962B49"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Profesional 2</w:t>
            </w:r>
          </w:p>
        </w:tc>
        <w:tc>
          <w:tcPr>
            <w:tcW w:w="1074" w:type="dxa"/>
            <w:tcBorders>
              <w:top w:val="nil"/>
              <w:left w:val="nil"/>
              <w:bottom w:val="single" w:sz="4" w:space="0" w:color="auto"/>
              <w:right w:val="single" w:sz="4" w:space="0" w:color="auto"/>
            </w:tcBorders>
            <w:shd w:val="clear" w:color="auto" w:fill="auto"/>
            <w:noWrap/>
            <w:vAlign w:val="center"/>
            <w:hideMark/>
          </w:tcPr>
          <w:p w14:paraId="48075F51"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2</w:t>
            </w:r>
          </w:p>
        </w:tc>
        <w:tc>
          <w:tcPr>
            <w:tcW w:w="6663" w:type="dxa"/>
            <w:tcBorders>
              <w:top w:val="nil"/>
              <w:left w:val="nil"/>
              <w:bottom w:val="single" w:sz="4" w:space="0" w:color="auto"/>
              <w:right w:val="single" w:sz="4" w:space="0" w:color="auto"/>
            </w:tcBorders>
            <w:shd w:val="clear" w:color="auto" w:fill="auto"/>
            <w:vAlign w:val="bottom"/>
            <w:hideMark/>
          </w:tcPr>
          <w:p w14:paraId="5DE0916C"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Brindar soporte administrativo que acompaña el criterio jurídico para el desarrollo de múltiples actividades administrativas y jurisdiccionales.</w:t>
            </w:r>
          </w:p>
        </w:tc>
      </w:tr>
      <w:tr w:rsidR="001D013F" w:rsidRPr="001D013F" w14:paraId="5A195D7A" w14:textId="77777777" w:rsidTr="00006F6C">
        <w:trPr>
          <w:trHeight w:val="837"/>
          <w:jc w:val="center"/>
        </w:trPr>
        <w:tc>
          <w:tcPr>
            <w:tcW w:w="2382" w:type="dxa"/>
            <w:tcBorders>
              <w:top w:val="nil"/>
              <w:left w:val="single" w:sz="4" w:space="0" w:color="auto"/>
              <w:bottom w:val="single" w:sz="4" w:space="0" w:color="auto"/>
              <w:right w:val="single" w:sz="4" w:space="0" w:color="auto"/>
            </w:tcBorders>
            <w:shd w:val="clear" w:color="auto" w:fill="auto"/>
            <w:noWrap/>
            <w:vAlign w:val="center"/>
            <w:hideMark/>
          </w:tcPr>
          <w:p w14:paraId="75842F39"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Coordinador/a Judicial</w:t>
            </w:r>
          </w:p>
        </w:tc>
        <w:tc>
          <w:tcPr>
            <w:tcW w:w="1074" w:type="dxa"/>
            <w:tcBorders>
              <w:top w:val="nil"/>
              <w:left w:val="nil"/>
              <w:bottom w:val="single" w:sz="4" w:space="0" w:color="auto"/>
              <w:right w:val="single" w:sz="4" w:space="0" w:color="auto"/>
            </w:tcBorders>
            <w:shd w:val="clear" w:color="auto" w:fill="auto"/>
            <w:noWrap/>
            <w:vAlign w:val="center"/>
            <w:hideMark/>
          </w:tcPr>
          <w:p w14:paraId="6B149B5C"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1</w:t>
            </w:r>
          </w:p>
        </w:tc>
        <w:tc>
          <w:tcPr>
            <w:tcW w:w="6663" w:type="dxa"/>
            <w:tcBorders>
              <w:top w:val="nil"/>
              <w:left w:val="nil"/>
              <w:bottom w:val="single" w:sz="4" w:space="0" w:color="auto"/>
              <w:right w:val="single" w:sz="4" w:space="0" w:color="auto"/>
            </w:tcBorders>
            <w:shd w:val="clear" w:color="auto" w:fill="auto"/>
            <w:vAlign w:val="bottom"/>
            <w:hideMark/>
          </w:tcPr>
          <w:p w14:paraId="109909CB"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Symbol" w:hAnsi="Book Antiqua" w:cs="Symbol"/>
                <w:color w:val="000000"/>
                <w:sz w:val="20"/>
                <w:szCs w:val="20"/>
                <w:lang w:val="es-ES" w:eastAsia="es-CR"/>
              </w:rPr>
              <w:t xml:space="preserve">Brindar apoyo en la coordinación de los planes de trabajo y tareas administrativas, así como en el análisis de las 119 matrices de indicadores de gestión de la materia de familia, pensiones alimentarias y violencia doméstica. </w:t>
            </w:r>
          </w:p>
        </w:tc>
      </w:tr>
      <w:tr w:rsidR="001D013F" w:rsidRPr="001D013F" w14:paraId="0D76592D" w14:textId="77777777" w:rsidTr="00006F6C">
        <w:trPr>
          <w:trHeight w:val="1034"/>
          <w:jc w:val="center"/>
        </w:trPr>
        <w:tc>
          <w:tcPr>
            <w:tcW w:w="2382" w:type="dxa"/>
            <w:tcBorders>
              <w:top w:val="nil"/>
              <w:left w:val="single" w:sz="4" w:space="0" w:color="auto"/>
              <w:bottom w:val="single" w:sz="4" w:space="0" w:color="auto"/>
              <w:right w:val="single" w:sz="4" w:space="0" w:color="auto"/>
            </w:tcBorders>
            <w:shd w:val="clear" w:color="auto" w:fill="auto"/>
            <w:noWrap/>
            <w:vAlign w:val="center"/>
            <w:hideMark/>
          </w:tcPr>
          <w:p w14:paraId="1A23FC05"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Técnico/a Supernumerario</w:t>
            </w:r>
          </w:p>
        </w:tc>
        <w:tc>
          <w:tcPr>
            <w:tcW w:w="1074" w:type="dxa"/>
            <w:tcBorders>
              <w:top w:val="nil"/>
              <w:left w:val="nil"/>
              <w:bottom w:val="single" w:sz="4" w:space="0" w:color="auto"/>
              <w:right w:val="single" w:sz="4" w:space="0" w:color="auto"/>
            </w:tcBorders>
            <w:shd w:val="clear" w:color="auto" w:fill="auto"/>
            <w:noWrap/>
            <w:vAlign w:val="center"/>
            <w:hideMark/>
          </w:tcPr>
          <w:p w14:paraId="71881877"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2</w:t>
            </w:r>
          </w:p>
        </w:tc>
        <w:tc>
          <w:tcPr>
            <w:tcW w:w="6663" w:type="dxa"/>
            <w:tcBorders>
              <w:top w:val="nil"/>
              <w:left w:val="nil"/>
              <w:bottom w:val="single" w:sz="4" w:space="0" w:color="auto"/>
              <w:right w:val="single" w:sz="4" w:space="0" w:color="auto"/>
            </w:tcBorders>
            <w:shd w:val="clear" w:color="auto" w:fill="auto"/>
            <w:vAlign w:val="bottom"/>
            <w:hideMark/>
          </w:tcPr>
          <w:p w14:paraId="0D1F8678"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Realizar actividades de apoyo administrativo y coordinación de las labores de seguimiento de las materias de familia, pensiones alimentarias y violencia doméstica, tomando en consideración que la jurisdicción está compuesta por 118 juzgados y 1 Tribunal.</w:t>
            </w:r>
          </w:p>
        </w:tc>
      </w:tr>
      <w:tr w:rsidR="001D013F" w:rsidRPr="001D013F" w14:paraId="3FFCC935" w14:textId="77777777" w:rsidTr="00006F6C">
        <w:trPr>
          <w:trHeight w:val="4362"/>
          <w:jc w:val="center"/>
        </w:trPr>
        <w:tc>
          <w:tcPr>
            <w:tcW w:w="2382" w:type="dxa"/>
            <w:tcBorders>
              <w:top w:val="nil"/>
              <w:left w:val="single" w:sz="4" w:space="0" w:color="auto"/>
              <w:bottom w:val="single" w:sz="4" w:space="0" w:color="auto"/>
              <w:right w:val="single" w:sz="4" w:space="0" w:color="auto"/>
            </w:tcBorders>
            <w:shd w:val="clear" w:color="auto" w:fill="auto"/>
            <w:noWrap/>
            <w:hideMark/>
          </w:tcPr>
          <w:p w14:paraId="1047D3F0"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Juez/a Supernumerario</w:t>
            </w:r>
          </w:p>
        </w:tc>
        <w:tc>
          <w:tcPr>
            <w:tcW w:w="1074" w:type="dxa"/>
            <w:tcBorders>
              <w:top w:val="nil"/>
              <w:left w:val="nil"/>
              <w:bottom w:val="single" w:sz="4" w:space="0" w:color="auto"/>
              <w:right w:val="single" w:sz="4" w:space="0" w:color="auto"/>
            </w:tcBorders>
            <w:shd w:val="clear" w:color="auto" w:fill="auto"/>
            <w:noWrap/>
            <w:vAlign w:val="center"/>
            <w:hideMark/>
          </w:tcPr>
          <w:p w14:paraId="2E9A67B2"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4</w:t>
            </w:r>
          </w:p>
        </w:tc>
        <w:tc>
          <w:tcPr>
            <w:tcW w:w="6663" w:type="dxa"/>
            <w:tcBorders>
              <w:top w:val="nil"/>
              <w:left w:val="nil"/>
              <w:bottom w:val="single" w:sz="4" w:space="0" w:color="auto"/>
              <w:right w:val="single" w:sz="4" w:space="0" w:color="auto"/>
            </w:tcBorders>
            <w:shd w:val="clear" w:color="auto" w:fill="auto"/>
            <w:vAlign w:val="bottom"/>
            <w:hideMark/>
          </w:tcPr>
          <w:p w14:paraId="7488D268"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Descongestionar los 76 despachos competentes en materia de pensiones alimentarias, con competencia nacional y en condición itinerantes.</w:t>
            </w:r>
            <w:r w:rsidRPr="001D013F">
              <w:rPr>
                <w:rFonts w:ascii="Book Antiqua" w:eastAsia="Times New Roman" w:hAnsi="Book Antiqua" w:cs="Calibri"/>
                <w:color w:val="000000"/>
                <w:sz w:val="20"/>
                <w:szCs w:val="20"/>
                <w:lang w:eastAsia="es-CR"/>
              </w:rPr>
              <w:br/>
            </w:r>
            <w:r w:rsidRPr="001D013F">
              <w:rPr>
                <w:rFonts w:ascii="Book Antiqua" w:eastAsia="Times New Roman" w:hAnsi="Book Antiqua" w:cs="Calibri"/>
                <w:color w:val="000000"/>
                <w:sz w:val="20"/>
                <w:szCs w:val="20"/>
                <w:lang w:eastAsia="es-CR"/>
              </w:rPr>
              <w:br/>
              <w:t>Este recurso facilita la preparación total de los despachos que conocen la materia, para que al 1 de octubre de 2024, con la entrada en vigencia el Código Procesal de Familia, las agendas se encuentren a un plazo máximo de dos semanas para poder cumplir con el plazo del señalamiento de la audiencia previa de conciliación que contempla el artículo 269 del Código Procesal citado, sean 10 dentro de los diez días siguientes a la presentación de la demanda.  Este plan es fundamental para que los despachos estén preparados para cumplir con los establecidos legalmente para la realización de las audiencias. Se debe de considerar que son 76 Juzgados que atienden la materia alimentaria en primera instancia en el país, además del tema alimentario atienden otras materias como Laboral, Contravenciones, Tránsito, Pensiones Alimentarias, violencia doméstica y Penal por ministerio de Ley;  además la gran mayoría atienden multiplicidad de personas usuarias en condición de vulnerabilidad que requieren prontas respuestas del aparato jurisdiccional.</w:t>
            </w:r>
          </w:p>
        </w:tc>
      </w:tr>
      <w:tr w:rsidR="001D013F" w:rsidRPr="001D013F" w14:paraId="5DB21F75" w14:textId="77777777" w:rsidTr="00006F6C">
        <w:trPr>
          <w:trHeight w:val="1802"/>
          <w:jc w:val="center"/>
        </w:trPr>
        <w:tc>
          <w:tcPr>
            <w:tcW w:w="2382" w:type="dxa"/>
            <w:tcBorders>
              <w:top w:val="nil"/>
              <w:left w:val="single" w:sz="4" w:space="0" w:color="auto"/>
              <w:bottom w:val="single" w:sz="4" w:space="0" w:color="auto"/>
              <w:right w:val="single" w:sz="4" w:space="0" w:color="auto"/>
            </w:tcBorders>
            <w:shd w:val="clear" w:color="auto" w:fill="auto"/>
            <w:noWrap/>
            <w:vAlign w:val="bottom"/>
            <w:hideMark/>
          </w:tcPr>
          <w:p w14:paraId="5FBFBF9B"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Juez/a 3</w:t>
            </w:r>
          </w:p>
        </w:tc>
        <w:tc>
          <w:tcPr>
            <w:tcW w:w="1074" w:type="dxa"/>
            <w:tcBorders>
              <w:top w:val="nil"/>
              <w:left w:val="nil"/>
              <w:bottom w:val="single" w:sz="4" w:space="0" w:color="auto"/>
              <w:right w:val="single" w:sz="4" w:space="0" w:color="auto"/>
            </w:tcBorders>
            <w:shd w:val="clear" w:color="auto" w:fill="auto"/>
            <w:noWrap/>
            <w:vAlign w:val="center"/>
            <w:hideMark/>
          </w:tcPr>
          <w:p w14:paraId="5A2696D7"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4</w:t>
            </w:r>
          </w:p>
        </w:tc>
        <w:tc>
          <w:tcPr>
            <w:tcW w:w="6663" w:type="dxa"/>
            <w:tcBorders>
              <w:top w:val="nil"/>
              <w:left w:val="nil"/>
              <w:bottom w:val="single" w:sz="4" w:space="0" w:color="auto"/>
              <w:right w:val="single" w:sz="4" w:space="0" w:color="auto"/>
            </w:tcBorders>
            <w:shd w:val="clear" w:color="auto" w:fill="auto"/>
            <w:vAlign w:val="bottom"/>
            <w:hideMark/>
          </w:tcPr>
          <w:p w14:paraId="1575A7C6"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Realizar audiencias y dictado de sentencia en materia de familia, violencia doméstica, niñez y adolescencia; según lo contempla el artículo 223 para el proceso principal del Código que es el resolutivo familiar, el señalamiento inicial debe realizarse dentro de los 10 días hábiles, lo que el recurso solicitado, nos permite cumplir. Además, en el caso de los juzgados mixtos, implica en muchas ocasiones atender temas de otras materias en virtud del servicio público que se debe de brindar.</w:t>
            </w:r>
          </w:p>
        </w:tc>
      </w:tr>
      <w:tr w:rsidR="001D013F" w:rsidRPr="001D013F" w14:paraId="486B0C4B" w14:textId="77777777" w:rsidTr="00006F6C">
        <w:trPr>
          <w:trHeight w:val="285"/>
          <w:jc w:val="center"/>
        </w:trPr>
        <w:tc>
          <w:tcPr>
            <w:tcW w:w="2382" w:type="dxa"/>
            <w:tcBorders>
              <w:top w:val="nil"/>
              <w:left w:val="single" w:sz="4" w:space="0" w:color="auto"/>
              <w:bottom w:val="single" w:sz="4" w:space="0" w:color="auto"/>
              <w:right w:val="single" w:sz="4" w:space="0" w:color="auto"/>
            </w:tcBorders>
            <w:shd w:val="clear" w:color="auto" w:fill="auto"/>
            <w:noWrap/>
            <w:vAlign w:val="bottom"/>
            <w:hideMark/>
          </w:tcPr>
          <w:p w14:paraId="156DC51E"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Técnico/a Judicial 2</w:t>
            </w:r>
          </w:p>
        </w:tc>
        <w:tc>
          <w:tcPr>
            <w:tcW w:w="1074" w:type="dxa"/>
            <w:tcBorders>
              <w:top w:val="nil"/>
              <w:left w:val="nil"/>
              <w:bottom w:val="single" w:sz="4" w:space="0" w:color="auto"/>
              <w:right w:val="single" w:sz="4" w:space="0" w:color="auto"/>
            </w:tcBorders>
            <w:shd w:val="clear" w:color="auto" w:fill="auto"/>
            <w:noWrap/>
            <w:vAlign w:val="center"/>
            <w:hideMark/>
          </w:tcPr>
          <w:p w14:paraId="2F2FBBCF"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4</w:t>
            </w:r>
          </w:p>
        </w:tc>
        <w:tc>
          <w:tcPr>
            <w:tcW w:w="6663" w:type="dxa"/>
            <w:tcBorders>
              <w:top w:val="nil"/>
              <w:left w:val="nil"/>
              <w:bottom w:val="single" w:sz="4" w:space="0" w:color="auto"/>
              <w:right w:val="single" w:sz="4" w:space="0" w:color="auto"/>
            </w:tcBorders>
            <w:shd w:val="clear" w:color="auto" w:fill="auto"/>
            <w:vAlign w:val="bottom"/>
            <w:hideMark/>
          </w:tcPr>
          <w:p w14:paraId="5544B89C"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Atención de escritos y demandas nuevas a nivel nacional.</w:t>
            </w:r>
          </w:p>
        </w:tc>
      </w:tr>
      <w:tr w:rsidR="001D013F" w:rsidRPr="001D013F" w14:paraId="07EB4D06" w14:textId="77777777" w:rsidTr="00006F6C">
        <w:trPr>
          <w:trHeight w:val="4362"/>
          <w:jc w:val="center"/>
        </w:trPr>
        <w:tc>
          <w:tcPr>
            <w:tcW w:w="2382" w:type="dxa"/>
            <w:tcBorders>
              <w:top w:val="nil"/>
              <w:left w:val="single" w:sz="4" w:space="0" w:color="auto"/>
              <w:bottom w:val="single" w:sz="4" w:space="0" w:color="auto"/>
              <w:right w:val="single" w:sz="4" w:space="0" w:color="auto"/>
            </w:tcBorders>
            <w:shd w:val="clear" w:color="auto" w:fill="auto"/>
            <w:noWrap/>
            <w:hideMark/>
          </w:tcPr>
          <w:p w14:paraId="4DC367FF"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Juez/a Supernumerario</w:t>
            </w:r>
          </w:p>
        </w:tc>
        <w:tc>
          <w:tcPr>
            <w:tcW w:w="1074" w:type="dxa"/>
            <w:tcBorders>
              <w:top w:val="nil"/>
              <w:left w:val="nil"/>
              <w:bottom w:val="single" w:sz="4" w:space="0" w:color="auto"/>
              <w:right w:val="single" w:sz="4" w:space="0" w:color="auto"/>
            </w:tcBorders>
            <w:shd w:val="clear" w:color="auto" w:fill="auto"/>
            <w:noWrap/>
            <w:vAlign w:val="center"/>
            <w:hideMark/>
          </w:tcPr>
          <w:p w14:paraId="5C7977CE"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8</w:t>
            </w:r>
          </w:p>
        </w:tc>
        <w:tc>
          <w:tcPr>
            <w:tcW w:w="6663" w:type="dxa"/>
            <w:tcBorders>
              <w:top w:val="nil"/>
              <w:left w:val="nil"/>
              <w:bottom w:val="single" w:sz="4" w:space="0" w:color="auto"/>
              <w:right w:val="single" w:sz="4" w:space="0" w:color="auto"/>
            </w:tcBorders>
            <w:shd w:val="clear" w:color="auto" w:fill="auto"/>
            <w:vAlign w:val="bottom"/>
            <w:hideMark/>
          </w:tcPr>
          <w:p w14:paraId="3AF5EF54"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Realizar audiencias y dictado de sentencia en materia de pensiones alimentarias, con competencia nacional y en condición itinerantes.</w:t>
            </w:r>
            <w:r w:rsidRPr="001D013F">
              <w:rPr>
                <w:rFonts w:ascii="Book Antiqua" w:eastAsia="Times New Roman" w:hAnsi="Book Antiqua" w:cs="Calibri"/>
                <w:color w:val="000000"/>
                <w:sz w:val="20"/>
                <w:szCs w:val="20"/>
                <w:lang w:eastAsia="es-CR"/>
              </w:rPr>
              <w:br/>
            </w:r>
            <w:r w:rsidRPr="001D013F">
              <w:rPr>
                <w:rFonts w:ascii="Book Antiqua" w:eastAsia="Times New Roman" w:hAnsi="Book Antiqua" w:cs="Calibri"/>
                <w:color w:val="000000"/>
                <w:sz w:val="20"/>
                <w:szCs w:val="20"/>
                <w:lang w:eastAsia="es-CR"/>
              </w:rPr>
              <w:br/>
              <w:t xml:space="preserve">Este recurso facilita la preparación total de los despachos que conocen la materia, para que al 1 de octubre de 2024, con la entrada en vigencia el Código Procesal de Familia, las agendas se encuentren a un plazo máximo de dos semanas para poder cumplir con el plazo del señalamiento de la audiencia previa de conciliación que contempla el artículo 269 del Código Procesal citado, sean 10 dentro de los diez días siguientes a la presentación de la demanda.  Este plan es fundamental para que los despachos estén preparados para cumplir con los establecidos legalmente para la realización de las audiencias. Se debe de considerar que son 76 Juzgados que atienden la materia alimentaria en primera instancia en el país, además del tema alimentario atienden otras materias como Laboral, Contravenciones, Tránsito, Pensiones Alimentarias, violencia doméstica y Penal por ministerio de Ley;  además la gran mayoría atienden multiplicidad de personas usuarias en condición de vulnerabilidad que requieren prontas respuestas del aparato jurisdiccional. </w:t>
            </w:r>
          </w:p>
        </w:tc>
      </w:tr>
      <w:tr w:rsidR="001D013F" w:rsidRPr="001D013F" w14:paraId="376C6F98" w14:textId="77777777" w:rsidTr="00006F6C">
        <w:trPr>
          <w:trHeight w:val="1585"/>
          <w:jc w:val="center"/>
        </w:trPr>
        <w:tc>
          <w:tcPr>
            <w:tcW w:w="2382" w:type="dxa"/>
            <w:tcBorders>
              <w:top w:val="nil"/>
              <w:left w:val="single" w:sz="4" w:space="0" w:color="auto"/>
              <w:bottom w:val="single" w:sz="4" w:space="0" w:color="auto"/>
              <w:right w:val="single" w:sz="4" w:space="0" w:color="auto"/>
            </w:tcBorders>
            <w:shd w:val="clear" w:color="auto" w:fill="auto"/>
            <w:noWrap/>
            <w:vAlign w:val="bottom"/>
            <w:hideMark/>
          </w:tcPr>
          <w:p w14:paraId="68F69B0C"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Juez/a 3</w:t>
            </w:r>
          </w:p>
        </w:tc>
        <w:tc>
          <w:tcPr>
            <w:tcW w:w="1074" w:type="dxa"/>
            <w:tcBorders>
              <w:top w:val="nil"/>
              <w:left w:val="nil"/>
              <w:bottom w:val="single" w:sz="4" w:space="0" w:color="auto"/>
              <w:right w:val="single" w:sz="4" w:space="0" w:color="auto"/>
            </w:tcBorders>
            <w:shd w:val="clear" w:color="auto" w:fill="auto"/>
            <w:noWrap/>
            <w:vAlign w:val="center"/>
            <w:hideMark/>
          </w:tcPr>
          <w:p w14:paraId="57A6FA38"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4</w:t>
            </w:r>
          </w:p>
        </w:tc>
        <w:tc>
          <w:tcPr>
            <w:tcW w:w="6663" w:type="dxa"/>
            <w:tcBorders>
              <w:top w:val="nil"/>
              <w:left w:val="nil"/>
              <w:bottom w:val="single" w:sz="4" w:space="0" w:color="auto"/>
              <w:right w:val="single" w:sz="4" w:space="0" w:color="auto"/>
            </w:tcBorders>
            <w:shd w:val="clear" w:color="auto" w:fill="auto"/>
            <w:vAlign w:val="bottom"/>
            <w:hideMark/>
          </w:tcPr>
          <w:p w14:paraId="3BDA0E89"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Colaborar en el dictado de sentencias de los 30 despachos competentes en materia de familia, según lo contempla el artículo 223 para el proceso principal del Código que es el resolutivo familiar, el señalamiento inicial debe realizarse dentro de los 10 días hábiles, lo que el recurso solicitado, nos permite cumplir. Además, en el caso de los juzgados mixtos, implica en muchas ocasiones atender temas de otras materias en virtud del servicio público que se debe de brindar.</w:t>
            </w:r>
          </w:p>
        </w:tc>
      </w:tr>
      <w:tr w:rsidR="001D013F" w:rsidRPr="001D013F" w14:paraId="2047B494" w14:textId="77777777" w:rsidTr="00006F6C">
        <w:trPr>
          <w:trHeight w:val="3643"/>
          <w:jc w:val="center"/>
        </w:trPr>
        <w:tc>
          <w:tcPr>
            <w:tcW w:w="2382" w:type="dxa"/>
            <w:tcBorders>
              <w:top w:val="nil"/>
              <w:left w:val="single" w:sz="4" w:space="0" w:color="auto"/>
              <w:bottom w:val="single" w:sz="4" w:space="0" w:color="auto"/>
              <w:right w:val="single" w:sz="4" w:space="0" w:color="auto"/>
            </w:tcBorders>
            <w:shd w:val="clear" w:color="auto" w:fill="auto"/>
            <w:noWrap/>
            <w:hideMark/>
          </w:tcPr>
          <w:p w14:paraId="5601DB2E" w14:textId="77777777"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Juez/a 4</w:t>
            </w:r>
          </w:p>
        </w:tc>
        <w:tc>
          <w:tcPr>
            <w:tcW w:w="1074" w:type="dxa"/>
            <w:tcBorders>
              <w:top w:val="nil"/>
              <w:left w:val="nil"/>
              <w:bottom w:val="single" w:sz="4" w:space="0" w:color="auto"/>
              <w:right w:val="single" w:sz="4" w:space="0" w:color="auto"/>
            </w:tcBorders>
            <w:shd w:val="clear" w:color="auto" w:fill="auto"/>
            <w:noWrap/>
            <w:vAlign w:val="center"/>
            <w:hideMark/>
          </w:tcPr>
          <w:p w14:paraId="2042600F"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3</w:t>
            </w:r>
          </w:p>
        </w:tc>
        <w:tc>
          <w:tcPr>
            <w:tcW w:w="6663" w:type="dxa"/>
            <w:tcBorders>
              <w:top w:val="nil"/>
              <w:left w:val="nil"/>
              <w:bottom w:val="single" w:sz="4" w:space="0" w:color="auto"/>
              <w:right w:val="single" w:sz="4" w:space="0" w:color="auto"/>
            </w:tcBorders>
            <w:shd w:val="clear" w:color="auto" w:fill="auto"/>
            <w:vAlign w:val="bottom"/>
            <w:hideMark/>
          </w:tcPr>
          <w:p w14:paraId="2D6BEBF4" w14:textId="04E841B5" w:rsidR="001D013F" w:rsidRPr="001D013F" w:rsidRDefault="001D013F" w:rsidP="001D013F">
            <w:pPr>
              <w:spacing w:after="0" w:line="240" w:lineRule="auto"/>
              <w:rPr>
                <w:rFonts w:ascii="Book Antiqua" w:eastAsia="Times New Roman" w:hAnsi="Book Antiqua" w:cs="Calibri"/>
                <w:color w:val="000000"/>
                <w:sz w:val="20"/>
                <w:szCs w:val="20"/>
                <w:lang w:eastAsia="es-CR"/>
              </w:rPr>
            </w:pPr>
            <w:r w:rsidRPr="001D013F">
              <w:rPr>
                <w:rFonts w:ascii="Book Antiqua" w:eastAsia="Times New Roman" w:hAnsi="Book Antiqua" w:cs="Calibri"/>
                <w:color w:val="000000"/>
                <w:sz w:val="20"/>
                <w:szCs w:val="20"/>
                <w:lang w:eastAsia="es-CR"/>
              </w:rPr>
              <w:t xml:space="preserve">Dictado de sentencias de segunda instancia en materia de familia, violencia doméstica, niñez y adolescencia. </w:t>
            </w:r>
            <w:r w:rsidRPr="001D013F">
              <w:rPr>
                <w:rFonts w:ascii="Book Antiqua" w:eastAsia="Times New Roman" w:hAnsi="Book Antiqua" w:cs="Calibri"/>
                <w:color w:val="000000"/>
                <w:sz w:val="20"/>
                <w:szCs w:val="20"/>
                <w:lang w:eastAsia="es-CR"/>
              </w:rPr>
              <w:br/>
            </w:r>
            <w:r w:rsidRPr="001D013F">
              <w:rPr>
                <w:rFonts w:ascii="Book Antiqua" w:eastAsia="Times New Roman" w:hAnsi="Book Antiqua" w:cs="Calibri"/>
                <w:color w:val="000000"/>
                <w:sz w:val="20"/>
                <w:szCs w:val="20"/>
                <w:lang w:eastAsia="es-CR"/>
              </w:rPr>
              <w:br/>
              <w:t>La solicitud de este recurso obedece al impacto que tendrá el Tribunal de Familia en la en la entrada producto de la ejecución de los planes de descongestionamiento de fallo y audiencias en primera instancia, por lo que para atender este aumento, se propone la conformación de una triada adicional de personas juzgadoras para que durante el tercer trimestre del año 2024, pueda dedicarse al dictado de sentencia de segunda instancia en el Tribunal de Familia, de manera que al momento de la entrada en vigencia del Código Procesal de Familia, el Tribunal de Familia al igual que los</w:t>
            </w:r>
            <w:r w:rsidR="00110E4A" w:rsidRPr="001D013F">
              <w:rPr>
                <w:rFonts w:ascii="Book Antiqua" w:eastAsia="Times New Roman" w:hAnsi="Book Antiqua" w:cs="Calibri"/>
                <w:color w:val="000000"/>
                <w:sz w:val="20"/>
                <w:szCs w:val="20"/>
                <w:lang w:eastAsia="es-CR"/>
              </w:rPr>
              <w:t xml:space="preserve"> </w:t>
            </w:r>
            <w:r w:rsidRPr="001D013F">
              <w:rPr>
                <w:rFonts w:ascii="Book Antiqua" w:eastAsia="Times New Roman" w:hAnsi="Book Antiqua" w:cs="Calibri"/>
                <w:color w:val="000000"/>
                <w:sz w:val="20"/>
                <w:szCs w:val="20"/>
                <w:lang w:eastAsia="es-CR"/>
              </w:rPr>
              <w:t>juzgados de</w:t>
            </w:r>
            <w:r w:rsidR="00110E4A" w:rsidRPr="001D013F">
              <w:rPr>
                <w:rFonts w:ascii="Book Antiqua" w:eastAsia="Times New Roman" w:hAnsi="Book Antiqua" w:cs="Calibri"/>
                <w:color w:val="000000"/>
                <w:sz w:val="20"/>
                <w:szCs w:val="20"/>
                <w:lang w:eastAsia="es-CR"/>
              </w:rPr>
              <w:t xml:space="preserve"> </w:t>
            </w:r>
            <w:r w:rsidRPr="001D013F">
              <w:rPr>
                <w:rFonts w:ascii="Book Antiqua" w:eastAsia="Times New Roman" w:hAnsi="Book Antiqua" w:cs="Calibri"/>
                <w:color w:val="000000"/>
                <w:sz w:val="20"/>
                <w:szCs w:val="20"/>
                <w:lang w:eastAsia="es-CR"/>
              </w:rPr>
              <w:t>primera instancia, estén en las condiciones óptimas para cumplir con los tiempos de respuesta que se establecen legalmente, tanto en relación a la celebración de audiencias como en el dictado de las respectivas sentencias.</w:t>
            </w:r>
          </w:p>
        </w:tc>
      </w:tr>
      <w:tr w:rsidR="001D013F" w:rsidRPr="001D013F" w14:paraId="189B50E9" w14:textId="77777777" w:rsidTr="00006F6C">
        <w:trPr>
          <w:trHeight w:val="285"/>
          <w:jc w:val="center"/>
        </w:trPr>
        <w:tc>
          <w:tcPr>
            <w:tcW w:w="2382" w:type="dxa"/>
            <w:tcBorders>
              <w:top w:val="nil"/>
              <w:left w:val="single" w:sz="4" w:space="0" w:color="auto"/>
              <w:bottom w:val="single" w:sz="4" w:space="0" w:color="auto"/>
              <w:right w:val="single" w:sz="4" w:space="0" w:color="auto"/>
            </w:tcBorders>
            <w:shd w:val="clear" w:color="auto" w:fill="auto"/>
            <w:noWrap/>
            <w:vAlign w:val="bottom"/>
            <w:hideMark/>
          </w:tcPr>
          <w:p w14:paraId="79E7496F" w14:textId="77777777" w:rsidR="001D013F" w:rsidRPr="001D013F" w:rsidRDefault="001D013F" w:rsidP="001D013F">
            <w:pPr>
              <w:spacing w:after="0" w:line="240" w:lineRule="auto"/>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Total</w:t>
            </w:r>
          </w:p>
        </w:tc>
        <w:tc>
          <w:tcPr>
            <w:tcW w:w="1074" w:type="dxa"/>
            <w:tcBorders>
              <w:top w:val="nil"/>
              <w:left w:val="nil"/>
              <w:bottom w:val="single" w:sz="4" w:space="0" w:color="auto"/>
              <w:right w:val="single" w:sz="4" w:space="0" w:color="auto"/>
            </w:tcBorders>
            <w:shd w:val="clear" w:color="auto" w:fill="auto"/>
            <w:noWrap/>
            <w:vAlign w:val="center"/>
            <w:hideMark/>
          </w:tcPr>
          <w:p w14:paraId="38F925F4" w14:textId="77777777" w:rsidR="001D013F" w:rsidRPr="001D013F" w:rsidRDefault="001D013F" w:rsidP="001D013F">
            <w:pPr>
              <w:spacing w:after="0" w:line="240" w:lineRule="auto"/>
              <w:jc w:val="center"/>
              <w:rPr>
                <w:rFonts w:ascii="Book Antiqua" w:eastAsia="Times New Roman" w:hAnsi="Book Antiqua" w:cs="Calibri"/>
                <w:b/>
                <w:bCs/>
                <w:color w:val="000000"/>
                <w:sz w:val="20"/>
                <w:szCs w:val="20"/>
                <w:lang w:eastAsia="es-CR"/>
              </w:rPr>
            </w:pPr>
            <w:r w:rsidRPr="001D013F">
              <w:rPr>
                <w:rFonts w:ascii="Book Antiqua" w:eastAsia="Times New Roman" w:hAnsi="Book Antiqua" w:cs="Calibri"/>
                <w:b/>
                <w:bCs/>
                <w:color w:val="000000"/>
                <w:sz w:val="20"/>
                <w:szCs w:val="20"/>
                <w:lang w:eastAsia="es-CR"/>
              </w:rPr>
              <w:t>33</w:t>
            </w:r>
          </w:p>
        </w:tc>
        <w:tc>
          <w:tcPr>
            <w:tcW w:w="6663" w:type="dxa"/>
            <w:tcBorders>
              <w:top w:val="nil"/>
              <w:left w:val="nil"/>
              <w:bottom w:val="single" w:sz="4" w:space="0" w:color="auto"/>
              <w:right w:val="single" w:sz="4" w:space="0" w:color="auto"/>
            </w:tcBorders>
            <w:shd w:val="clear" w:color="auto" w:fill="auto"/>
            <w:noWrap/>
            <w:vAlign w:val="bottom"/>
            <w:hideMark/>
          </w:tcPr>
          <w:p w14:paraId="4931DA95" w14:textId="51B844AB" w:rsidR="001D013F" w:rsidRPr="001D013F" w:rsidRDefault="001D013F" w:rsidP="001D013F">
            <w:pPr>
              <w:spacing w:after="0" w:line="240" w:lineRule="auto"/>
              <w:rPr>
                <w:rFonts w:ascii="Book Antiqua" w:eastAsia="Times New Roman" w:hAnsi="Book Antiqua" w:cs="Calibri"/>
                <w:color w:val="000000"/>
                <w:sz w:val="20"/>
                <w:szCs w:val="20"/>
                <w:lang w:eastAsia="es-CR"/>
              </w:rPr>
            </w:pPr>
          </w:p>
        </w:tc>
      </w:tr>
    </w:tbl>
    <w:p w14:paraId="31DD4604" w14:textId="77777777" w:rsidR="005B55E0" w:rsidRPr="00DC0543" w:rsidRDefault="005B55E0" w:rsidP="005B55E0">
      <w:pPr>
        <w:spacing w:after="0" w:line="276" w:lineRule="auto"/>
        <w:ind w:left="567" w:right="567"/>
        <w:jc w:val="both"/>
        <w:rPr>
          <w:rFonts w:ascii="Book Antiqua" w:eastAsia="Calibri" w:hAnsi="Book Antiqua" w:cs="Arial"/>
          <w:sz w:val="20"/>
          <w:szCs w:val="20"/>
        </w:rPr>
      </w:pPr>
      <w:r w:rsidRPr="00DC0543">
        <w:rPr>
          <w:rFonts w:ascii="Book Antiqua" w:eastAsia="Calibri" w:hAnsi="Book Antiqua" w:cs="Arial"/>
          <w:b/>
          <w:bCs/>
          <w:sz w:val="20"/>
          <w:szCs w:val="20"/>
        </w:rPr>
        <w:t>Fuente:</w:t>
      </w:r>
      <w:r w:rsidRPr="00DC0543">
        <w:rPr>
          <w:rFonts w:ascii="Book Antiqua" w:eastAsia="Calibri" w:hAnsi="Book Antiqua" w:cs="Arial"/>
        </w:rPr>
        <w:t xml:space="preserve"> </w:t>
      </w:r>
      <w:r w:rsidRPr="00DC0543">
        <w:rPr>
          <w:rFonts w:ascii="Book Antiqua" w:eastAsia="Calibri" w:hAnsi="Book Antiqua" w:cs="Arial"/>
          <w:sz w:val="20"/>
          <w:szCs w:val="20"/>
        </w:rPr>
        <w:t>Oficio 090-CACMFJ-JEF-2023 del CACMFJ.</w:t>
      </w:r>
    </w:p>
    <w:p w14:paraId="603ED389" w14:textId="77777777" w:rsidR="00775E23" w:rsidRPr="005B55E0" w:rsidRDefault="00775E23" w:rsidP="005B55E0">
      <w:pPr>
        <w:spacing w:after="0" w:line="276" w:lineRule="auto"/>
        <w:ind w:left="567" w:right="567"/>
        <w:jc w:val="both"/>
        <w:rPr>
          <w:rFonts w:ascii="Book Antiqua" w:eastAsia="Calibri" w:hAnsi="Book Antiqua" w:cs="Arial"/>
          <w:sz w:val="24"/>
          <w:szCs w:val="24"/>
        </w:rPr>
      </w:pPr>
    </w:p>
    <w:p w14:paraId="53585549" w14:textId="77777777" w:rsidR="00237A51" w:rsidRDefault="00237A51" w:rsidP="00D35C60">
      <w:pPr>
        <w:spacing w:after="0" w:line="276" w:lineRule="auto"/>
        <w:jc w:val="both"/>
        <w:rPr>
          <w:rFonts w:ascii="Book Antiqua" w:eastAsia="Calibri" w:hAnsi="Book Antiqua" w:cs="Arial"/>
          <w:sz w:val="24"/>
          <w:szCs w:val="24"/>
        </w:rPr>
      </w:pPr>
    </w:p>
    <w:p w14:paraId="509209CC" w14:textId="24CA1C4D" w:rsidR="00C73B13" w:rsidRDefault="00E63B28" w:rsidP="00D35C6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Conforme a </w:t>
      </w:r>
      <w:r w:rsidR="00A456BB">
        <w:rPr>
          <w:rFonts w:ascii="Book Antiqua" w:eastAsia="Calibri" w:hAnsi="Book Antiqua" w:cs="Arial"/>
          <w:sz w:val="24"/>
          <w:szCs w:val="24"/>
        </w:rPr>
        <w:t xml:space="preserve">lo indicado en el oficio 090-CAMFJ-JEF-2023, </w:t>
      </w:r>
      <w:r w:rsidR="006A71E4">
        <w:rPr>
          <w:rFonts w:ascii="Book Antiqua" w:eastAsia="Calibri" w:hAnsi="Book Antiqua" w:cs="Arial"/>
          <w:sz w:val="24"/>
          <w:szCs w:val="24"/>
        </w:rPr>
        <w:t xml:space="preserve">la entrada en vigencia de la Ley 9747, </w:t>
      </w:r>
      <w:r w:rsidR="003A4F3B" w:rsidRPr="006D0772">
        <w:rPr>
          <w:rFonts w:ascii="Book Antiqua" w:eastAsia="Calibri" w:hAnsi="Book Antiqua" w:cs="Arial"/>
          <w:i/>
          <w:iCs/>
          <w:sz w:val="24"/>
          <w:szCs w:val="24"/>
        </w:rPr>
        <w:t>“incluye todos los despachos competentes en materia de Familia, Pensiones Alimentarias, Niñez y Adolescencia, así como Violencia Doméstica. La Jurisdicción de Familia está compuesta por 118 juzgados en todo el país y un Tribunal de Familia; aproximadamente la integra un total 251 personas juzgadoras y 681 puestos de personal técnico, los que serán impactados por la aplicación de la Ley, por ello requiere un acompañamiento jurídico y administrativo posterior, dirigido a todo el personal, con motivo del cambio de paradigma que representa.</w:t>
      </w:r>
      <w:r w:rsidR="003A4F3B">
        <w:rPr>
          <w:rFonts w:ascii="Book Antiqua" w:eastAsia="Calibri" w:hAnsi="Book Antiqua" w:cs="Arial"/>
          <w:sz w:val="24"/>
          <w:szCs w:val="24"/>
        </w:rPr>
        <w:t>”</w:t>
      </w:r>
    </w:p>
    <w:p w14:paraId="2FE3220F" w14:textId="77777777" w:rsidR="00EB52BF" w:rsidRDefault="00EB52BF" w:rsidP="00D35C60">
      <w:pPr>
        <w:spacing w:after="0" w:line="276" w:lineRule="auto"/>
        <w:jc w:val="both"/>
        <w:rPr>
          <w:rFonts w:ascii="Book Antiqua" w:eastAsia="Calibri" w:hAnsi="Book Antiqua" w:cs="Arial"/>
          <w:sz w:val="24"/>
          <w:szCs w:val="24"/>
        </w:rPr>
      </w:pPr>
    </w:p>
    <w:p w14:paraId="76BF8E16" w14:textId="68FEFF51" w:rsidR="00EB52BF" w:rsidRDefault="00EB52BF" w:rsidP="00D35C60">
      <w:pPr>
        <w:spacing w:after="0" w:line="276" w:lineRule="auto"/>
        <w:jc w:val="both"/>
        <w:rPr>
          <w:rFonts w:ascii="Book Antiqua" w:eastAsia="Calibri" w:hAnsi="Book Antiqua" w:cs="Arial"/>
          <w:sz w:val="24"/>
          <w:szCs w:val="24"/>
        </w:rPr>
      </w:pPr>
      <w:r w:rsidRPr="00EB52BF">
        <w:rPr>
          <w:rFonts w:ascii="Book Antiqua" w:eastAsia="Calibri" w:hAnsi="Book Antiqua" w:cs="Arial"/>
          <w:sz w:val="24"/>
          <w:szCs w:val="24"/>
        </w:rPr>
        <w:t>El Centro de Apoyo, Coordinación y Mejoramiento de la Función Jurisdiccional, estima que los costos totales anuales del requerimiento de recurso humano para el 2024 s</w:t>
      </w:r>
      <w:r w:rsidR="00DC3C52">
        <w:rPr>
          <w:rFonts w:ascii="Book Antiqua" w:eastAsia="Calibri" w:hAnsi="Book Antiqua" w:cs="Arial"/>
          <w:sz w:val="24"/>
          <w:szCs w:val="24"/>
        </w:rPr>
        <w:t>on</w:t>
      </w:r>
      <w:r w:rsidRPr="00EB52BF">
        <w:rPr>
          <w:rFonts w:ascii="Book Antiqua" w:eastAsia="Calibri" w:hAnsi="Book Antiqua" w:cs="Arial"/>
          <w:sz w:val="24"/>
          <w:szCs w:val="24"/>
        </w:rPr>
        <w:t xml:space="preserve"> de </w:t>
      </w:r>
      <w:r w:rsidRPr="006D0772">
        <w:rPr>
          <w:rFonts w:ascii="Times New Roman" w:eastAsia="Calibri" w:hAnsi="Times New Roman" w:cs="Times New Roman"/>
          <w:b/>
          <w:bCs/>
          <w:sz w:val="24"/>
          <w:szCs w:val="24"/>
        </w:rPr>
        <w:t>₡</w:t>
      </w:r>
      <w:r w:rsidR="00DC3C52" w:rsidRPr="006D0772">
        <w:rPr>
          <w:rFonts w:ascii="Times New Roman" w:eastAsia="Calibri" w:hAnsi="Times New Roman" w:cs="Times New Roman"/>
          <w:b/>
          <w:bCs/>
          <w:sz w:val="24"/>
          <w:szCs w:val="24"/>
        </w:rPr>
        <w:t>1 333</w:t>
      </w:r>
      <w:r w:rsidRPr="006D0772">
        <w:rPr>
          <w:rFonts w:ascii="Book Antiqua" w:eastAsia="Calibri" w:hAnsi="Book Antiqua" w:cs="Arial"/>
          <w:b/>
          <w:bCs/>
          <w:sz w:val="24"/>
          <w:szCs w:val="24"/>
        </w:rPr>
        <w:t xml:space="preserve"> </w:t>
      </w:r>
      <w:r w:rsidR="00DC3C52" w:rsidRPr="006D0772">
        <w:rPr>
          <w:rFonts w:ascii="Book Antiqua" w:eastAsia="Calibri" w:hAnsi="Book Antiqua" w:cs="Arial"/>
          <w:b/>
          <w:bCs/>
          <w:sz w:val="24"/>
          <w:szCs w:val="24"/>
        </w:rPr>
        <w:t>022</w:t>
      </w:r>
      <w:r w:rsidRPr="006D0772">
        <w:rPr>
          <w:rFonts w:ascii="Book Antiqua" w:eastAsia="Calibri" w:hAnsi="Book Antiqua" w:cs="Arial"/>
          <w:b/>
          <w:bCs/>
          <w:sz w:val="24"/>
          <w:szCs w:val="24"/>
        </w:rPr>
        <w:t xml:space="preserve"> </w:t>
      </w:r>
      <w:r w:rsidR="00DC3C52" w:rsidRPr="006D0772">
        <w:rPr>
          <w:rFonts w:ascii="Book Antiqua" w:eastAsia="Calibri" w:hAnsi="Book Antiqua" w:cs="Arial"/>
          <w:b/>
          <w:bCs/>
          <w:sz w:val="24"/>
          <w:szCs w:val="24"/>
        </w:rPr>
        <w:t>703</w:t>
      </w:r>
      <w:r w:rsidRPr="006D0772">
        <w:rPr>
          <w:rFonts w:ascii="Book Antiqua" w:eastAsia="Calibri" w:hAnsi="Book Antiqua" w:cs="Arial"/>
          <w:b/>
          <w:bCs/>
          <w:sz w:val="24"/>
          <w:szCs w:val="24"/>
        </w:rPr>
        <w:t>,00</w:t>
      </w:r>
      <w:r w:rsidRPr="00EB52BF">
        <w:rPr>
          <w:rFonts w:ascii="Book Antiqua" w:eastAsia="Calibri" w:hAnsi="Book Antiqua" w:cs="Arial"/>
          <w:sz w:val="24"/>
          <w:szCs w:val="24"/>
        </w:rPr>
        <w:t>.</w:t>
      </w:r>
    </w:p>
    <w:p w14:paraId="3A2F4B9D" w14:textId="77777777" w:rsidR="00C73B13" w:rsidRPr="005B55E0" w:rsidRDefault="00C73B13" w:rsidP="00D35C60">
      <w:pPr>
        <w:spacing w:after="0" w:line="276" w:lineRule="auto"/>
        <w:jc w:val="both"/>
        <w:rPr>
          <w:rFonts w:ascii="Book Antiqua" w:eastAsia="Calibri" w:hAnsi="Book Antiqua" w:cs="Arial"/>
          <w:sz w:val="24"/>
          <w:szCs w:val="24"/>
        </w:rPr>
      </w:pPr>
    </w:p>
    <w:p w14:paraId="6145655D" w14:textId="02793521" w:rsidR="00616071" w:rsidRPr="00AA01E7" w:rsidRDefault="00801ECD"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Escuela Judicial</w:t>
      </w:r>
    </w:p>
    <w:p w14:paraId="5260CA55" w14:textId="77777777" w:rsidR="000B745B" w:rsidRDefault="000B745B" w:rsidP="00791446">
      <w:pPr>
        <w:spacing w:line="276" w:lineRule="auto"/>
        <w:jc w:val="both"/>
        <w:rPr>
          <w:rFonts w:ascii="Book Antiqua" w:eastAsia="Calibri" w:hAnsi="Book Antiqua" w:cs="Arial"/>
          <w:sz w:val="24"/>
          <w:szCs w:val="24"/>
        </w:rPr>
      </w:pPr>
    </w:p>
    <w:p w14:paraId="67A19B8A" w14:textId="2C1DF41E" w:rsidR="001C08DD" w:rsidRDefault="00801ECD" w:rsidP="00791446">
      <w:pPr>
        <w:spacing w:line="276" w:lineRule="auto"/>
        <w:jc w:val="both"/>
        <w:rPr>
          <w:rFonts w:ascii="Book Antiqua" w:eastAsia="Calibri" w:hAnsi="Book Antiqua" w:cs="Arial"/>
          <w:sz w:val="24"/>
          <w:szCs w:val="24"/>
        </w:rPr>
      </w:pPr>
      <w:r w:rsidRPr="001D0C10">
        <w:rPr>
          <w:rFonts w:ascii="Book Antiqua" w:eastAsia="Calibri" w:hAnsi="Book Antiqua" w:cs="Arial"/>
          <w:sz w:val="24"/>
          <w:szCs w:val="24"/>
        </w:rPr>
        <w:t>Como parte del proyecto de implementación del Código Procesal de Familia, la Escuela Judicial remiti</w:t>
      </w:r>
      <w:r w:rsidR="007275A2" w:rsidRPr="001D0C10">
        <w:rPr>
          <w:rFonts w:ascii="Book Antiqua" w:eastAsia="Calibri" w:hAnsi="Book Antiqua" w:cs="Arial"/>
          <w:sz w:val="24"/>
          <w:szCs w:val="24"/>
        </w:rPr>
        <w:t>ó</w:t>
      </w:r>
      <w:r w:rsidRPr="001D0C10">
        <w:rPr>
          <w:rFonts w:ascii="Book Antiqua" w:eastAsia="Calibri" w:hAnsi="Book Antiqua" w:cs="Arial"/>
          <w:sz w:val="24"/>
          <w:szCs w:val="24"/>
        </w:rPr>
        <w:t xml:space="preserve"> </w:t>
      </w:r>
      <w:r w:rsidR="00761074">
        <w:rPr>
          <w:rFonts w:ascii="Book Antiqua" w:eastAsia="Calibri" w:hAnsi="Book Antiqua" w:cs="Arial"/>
          <w:sz w:val="24"/>
          <w:szCs w:val="24"/>
        </w:rPr>
        <w:t xml:space="preserve">al Centro de Apoyo, Coordinación y Mejoramiento de la Función Jurisdiccional, </w:t>
      </w:r>
      <w:r w:rsidRPr="001D0C10">
        <w:rPr>
          <w:rFonts w:ascii="Book Antiqua" w:eastAsia="Calibri" w:hAnsi="Book Antiqua" w:cs="Arial"/>
          <w:sz w:val="24"/>
          <w:szCs w:val="24"/>
        </w:rPr>
        <w:t xml:space="preserve">el </w:t>
      </w:r>
      <w:r w:rsidR="007275A2" w:rsidRPr="001D0C10">
        <w:rPr>
          <w:rFonts w:ascii="Book Antiqua" w:eastAsia="Calibri" w:hAnsi="Book Antiqua" w:cs="Arial"/>
          <w:sz w:val="24"/>
          <w:szCs w:val="24"/>
        </w:rPr>
        <w:t>oficio EJ-</w:t>
      </w:r>
      <w:r w:rsidR="00761074">
        <w:rPr>
          <w:rFonts w:ascii="Book Antiqua" w:eastAsia="Calibri" w:hAnsi="Book Antiqua" w:cs="Arial"/>
          <w:sz w:val="24"/>
          <w:szCs w:val="24"/>
        </w:rPr>
        <w:t>ACAD</w:t>
      </w:r>
      <w:r w:rsidR="007275A2" w:rsidRPr="001D0C10">
        <w:rPr>
          <w:rFonts w:ascii="Book Antiqua" w:eastAsia="Calibri" w:hAnsi="Book Antiqua" w:cs="Arial"/>
          <w:sz w:val="24"/>
          <w:szCs w:val="24"/>
        </w:rPr>
        <w:t>-0</w:t>
      </w:r>
      <w:r w:rsidR="00761074">
        <w:rPr>
          <w:rFonts w:ascii="Book Antiqua" w:eastAsia="Calibri" w:hAnsi="Book Antiqua" w:cs="Arial"/>
          <w:sz w:val="24"/>
          <w:szCs w:val="24"/>
        </w:rPr>
        <w:t>02</w:t>
      </w:r>
      <w:r w:rsidR="007275A2" w:rsidRPr="001D0C10">
        <w:rPr>
          <w:rFonts w:ascii="Book Antiqua" w:eastAsia="Calibri" w:hAnsi="Book Antiqua" w:cs="Arial"/>
          <w:sz w:val="24"/>
          <w:szCs w:val="24"/>
        </w:rPr>
        <w:t>-2022</w:t>
      </w:r>
      <w:r w:rsidRPr="001D0C10">
        <w:rPr>
          <w:rFonts w:ascii="Book Antiqua" w:eastAsia="Calibri" w:hAnsi="Book Antiqua" w:cs="Arial"/>
          <w:sz w:val="24"/>
          <w:szCs w:val="24"/>
        </w:rPr>
        <w:t xml:space="preserve"> (</w:t>
      </w:r>
      <w:r w:rsidRPr="00761074">
        <w:rPr>
          <w:rFonts w:ascii="Book Antiqua" w:eastAsia="Calibri" w:hAnsi="Book Antiqua" w:cs="Arial"/>
          <w:b/>
          <w:bCs/>
          <w:i/>
          <w:iCs/>
          <w:sz w:val="24"/>
          <w:szCs w:val="24"/>
        </w:rPr>
        <w:t xml:space="preserve">anexo </w:t>
      </w:r>
      <w:r w:rsidR="00761074" w:rsidRPr="00761074">
        <w:rPr>
          <w:rFonts w:ascii="Book Antiqua" w:eastAsia="Calibri" w:hAnsi="Book Antiqua" w:cs="Arial"/>
          <w:b/>
          <w:bCs/>
          <w:i/>
          <w:iCs/>
          <w:sz w:val="24"/>
          <w:szCs w:val="24"/>
        </w:rPr>
        <w:t>2</w:t>
      </w:r>
      <w:r w:rsidR="00761074">
        <w:rPr>
          <w:rFonts w:ascii="Book Antiqua" w:eastAsia="Calibri" w:hAnsi="Book Antiqua" w:cs="Arial"/>
          <w:b/>
          <w:bCs/>
          <w:i/>
          <w:iCs/>
          <w:sz w:val="24"/>
          <w:szCs w:val="24"/>
        </w:rPr>
        <w:t>1</w:t>
      </w:r>
      <w:r w:rsidR="00616071" w:rsidRPr="001D0C10">
        <w:rPr>
          <w:rFonts w:ascii="Book Antiqua" w:eastAsia="Calibri" w:hAnsi="Book Antiqua" w:cs="Arial"/>
          <w:sz w:val="24"/>
          <w:szCs w:val="24"/>
        </w:rPr>
        <w:t xml:space="preserve">) </w:t>
      </w:r>
      <w:r w:rsidR="00761074">
        <w:rPr>
          <w:rFonts w:ascii="Book Antiqua" w:eastAsia="Calibri" w:hAnsi="Book Antiqua" w:cs="Arial"/>
          <w:sz w:val="24"/>
          <w:szCs w:val="24"/>
        </w:rPr>
        <w:t>en</w:t>
      </w:r>
      <w:r w:rsidRPr="001D0C10">
        <w:rPr>
          <w:rFonts w:ascii="Book Antiqua" w:eastAsia="Calibri" w:hAnsi="Book Antiqua" w:cs="Arial"/>
          <w:sz w:val="24"/>
          <w:szCs w:val="24"/>
        </w:rPr>
        <w:t xml:space="preserve"> </w:t>
      </w:r>
      <w:r w:rsidR="007275A2" w:rsidRPr="001D0C10">
        <w:rPr>
          <w:rFonts w:ascii="Book Antiqua" w:eastAsia="Calibri" w:hAnsi="Book Antiqua" w:cs="Arial"/>
          <w:sz w:val="24"/>
          <w:szCs w:val="24"/>
        </w:rPr>
        <w:t xml:space="preserve">el que se </w:t>
      </w:r>
      <w:r w:rsidR="00A973C2">
        <w:rPr>
          <w:rFonts w:ascii="Book Antiqua" w:eastAsia="Calibri" w:hAnsi="Book Antiqua" w:cs="Arial"/>
          <w:sz w:val="24"/>
          <w:szCs w:val="24"/>
        </w:rPr>
        <w:t>detallan</w:t>
      </w:r>
      <w:r w:rsidRPr="001D0C10">
        <w:rPr>
          <w:rFonts w:ascii="Book Antiqua" w:eastAsia="Calibri" w:hAnsi="Book Antiqua" w:cs="Arial"/>
          <w:sz w:val="24"/>
          <w:szCs w:val="24"/>
        </w:rPr>
        <w:t xml:space="preserve"> </w:t>
      </w:r>
      <w:r w:rsidR="007275A2" w:rsidRPr="001D0C10">
        <w:rPr>
          <w:rFonts w:ascii="Book Antiqua" w:eastAsia="Calibri" w:hAnsi="Book Antiqua" w:cs="Arial"/>
          <w:sz w:val="24"/>
          <w:szCs w:val="24"/>
        </w:rPr>
        <w:t xml:space="preserve">las actividades </w:t>
      </w:r>
      <w:r w:rsidR="00A973C2">
        <w:rPr>
          <w:rFonts w:ascii="Book Antiqua" w:eastAsia="Calibri" w:hAnsi="Book Antiqua" w:cs="Arial"/>
          <w:sz w:val="24"/>
          <w:szCs w:val="24"/>
        </w:rPr>
        <w:t xml:space="preserve">de capacitación </w:t>
      </w:r>
      <w:r w:rsidR="007275A2" w:rsidRPr="001D0C10">
        <w:rPr>
          <w:rFonts w:ascii="Book Antiqua" w:eastAsia="Calibri" w:hAnsi="Book Antiqua" w:cs="Arial"/>
          <w:sz w:val="24"/>
          <w:szCs w:val="24"/>
        </w:rPr>
        <w:t>y el presupuesto requerido</w:t>
      </w:r>
      <w:r w:rsidR="005E0D77">
        <w:rPr>
          <w:rFonts w:ascii="Book Antiqua" w:eastAsia="Calibri" w:hAnsi="Book Antiqua" w:cs="Arial"/>
          <w:sz w:val="24"/>
          <w:szCs w:val="24"/>
        </w:rPr>
        <w:t>, por lo que se considera esta información como insumo para el informe, ya que a la fecha la Escuela Judicial no remitió la información a esta Dirección</w:t>
      </w:r>
      <w:r w:rsidR="001D3719">
        <w:rPr>
          <w:rFonts w:ascii="Book Antiqua" w:eastAsia="Calibri" w:hAnsi="Book Antiqua" w:cs="Arial"/>
          <w:sz w:val="24"/>
          <w:szCs w:val="24"/>
        </w:rPr>
        <w:t xml:space="preserve">. </w:t>
      </w:r>
    </w:p>
    <w:p w14:paraId="07B9281C" w14:textId="657B864E" w:rsidR="004069D9" w:rsidRDefault="00791446" w:rsidP="00791446">
      <w:pPr>
        <w:spacing w:line="276" w:lineRule="auto"/>
        <w:jc w:val="both"/>
        <w:rPr>
          <w:rFonts w:ascii="Book Antiqua" w:eastAsia="Calibri" w:hAnsi="Book Antiqua" w:cs="Arial"/>
          <w:sz w:val="24"/>
          <w:szCs w:val="24"/>
        </w:rPr>
      </w:pPr>
      <w:r>
        <w:rPr>
          <w:rFonts w:ascii="Book Antiqua" w:eastAsia="Calibri" w:hAnsi="Book Antiqua" w:cs="Arial"/>
          <w:sz w:val="24"/>
          <w:szCs w:val="24"/>
        </w:rPr>
        <w:t>El p</w:t>
      </w:r>
      <w:r w:rsidR="001D3719">
        <w:rPr>
          <w:rFonts w:ascii="Book Antiqua" w:eastAsia="Calibri" w:hAnsi="Book Antiqua" w:cs="Arial"/>
          <w:sz w:val="24"/>
          <w:szCs w:val="24"/>
        </w:rPr>
        <w:t xml:space="preserve">resupuesto para capacitación es de </w:t>
      </w:r>
      <w:r w:rsidR="001D3719" w:rsidRPr="00C53D53">
        <w:rPr>
          <w:rFonts w:ascii="Times New Roman" w:eastAsia="Calibri" w:hAnsi="Times New Roman" w:cs="Times New Roman"/>
          <w:sz w:val="24"/>
          <w:szCs w:val="24"/>
        </w:rPr>
        <w:t>₡</w:t>
      </w:r>
      <w:r w:rsidR="001D3719">
        <w:rPr>
          <w:rFonts w:ascii="Book Antiqua" w:eastAsia="Calibri" w:hAnsi="Book Antiqua" w:cs="Arial"/>
          <w:sz w:val="24"/>
          <w:szCs w:val="24"/>
        </w:rPr>
        <w:t xml:space="preserve">81 198 600, </w:t>
      </w:r>
      <w:r w:rsidR="00B173E4" w:rsidRPr="001D0C10">
        <w:rPr>
          <w:rFonts w:ascii="Book Antiqua" w:eastAsia="Calibri" w:hAnsi="Book Antiqua" w:cs="Arial"/>
          <w:sz w:val="24"/>
          <w:szCs w:val="24"/>
        </w:rPr>
        <w:t xml:space="preserve">viáticos </w:t>
      </w:r>
      <w:r w:rsidR="001D3719" w:rsidRPr="001F4D49">
        <w:rPr>
          <w:rFonts w:ascii="Times New Roman" w:eastAsia="Calibri" w:hAnsi="Times New Roman" w:cs="Times New Roman"/>
          <w:sz w:val="24"/>
          <w:szCs w:val="24"/>
        </w:rPr>
        <w:t>₡</w:t>
      </w:r>
      <w:r w:rsidR="001D3719" w:rsidRPr="001F4D49">
        <w:rPr>
          <w:rFonts w:ascii="Book Antiqua" w:eastAsia="Calibri" w:hAnsi="Book Antiqua" w:cs="Arial"/>
          <w:sz w:val="24"/>
          <w:szCs w:val="24"/>
        </w:rPr>
        <w:t xml:space="preserve">13 529 000, </w:t>
      </w:r>
      <w:r w:rsidR="001D3719" w:rsidRPr="001D3719">
        <w:rPr>
          <w:rFonts w:ascii="Book Antiqua" w:eastAsia="Calibri" w:hAnsi="Book Antiqua" w:cs="Arial"/>
          <w:sz w:val="24"/>
          <w:szCs w:val="24"/>
        </w:rPr>
        <w:t xml:space="preserve">transporte </w:t>
      </w:r>
      <w:r w:rsidR="001D3719" w:rsidRPr="001D3719">
        <w:rPr>
          <w:rFonts w:ascii="Times New Roman" w:eastAsia="Calibri" w:hAnsi="Times New Roman" w:cs="Times New Roman"/>
          <w:sz w:val="24"/>
          <w:szCs w:val="24"/>
        </w:rPr>
        <w:t>₡</w:t>
      </w:r>
      <w:r w:rsidR="001D3719" w:rsidRPr="001D3719">
        <w:rPr>
          <w:rFonts w:ascii="Book Antiqua" w:eastAsia="Calibri" w:hAnsi="Book Antiqua" w:cs="Arial"/>
          <w:sz w:val="24"/>
          <w:szCs w:val="24"/>
        </w:rPr>
        <w:t xml:space="preserve">1 000 000, </w:t>
      </w:r>
      <w:r w:rsidR="001D3719">
        <w:rPr>
          <w:rFonts w:ascii="Book Antiqua" w:eastAsia="Calibri" w:hAnsi="Book Antiqua" w:cs="Arial"/>
          <w:sz w:val="24"/>
          <w:szCs w:val="24"/>
        </w:rPr>
        <w:t xml:space="preserve">materiales impresos </w:t>
      </w:r>
      <w:r w:rsidR="001D3719" w:rsidRPr="001D3719">
        <w:rPr>
          <w:rFonts w:ascii="Times New Roman" w:eastAsia="Calibri" w:hAnsi="Times New Roman" w:cs="Times New Roman"/>
          <w:sz w:val="24"/>
          <w:szCs w:val="24"/>
        </w:rPr>
        <w:t>₡</w:t>
      </w:r>
      <w:r w:rsidR="001D3719" w:rsidRPr="001D3719">
        <w:rPr>
          <w:rFonts w:ascii="Book Antiqua" w:eastAsia="Calibri" w:hAnsi="Book Antiqua" w:cs="Arial"/>
          <w:sz w:val="24"/>
          <w:szCs w:val="24"/>
        </w:rPr>
        <w:t xml:space="preserve">1 500 000 y </w:t>
      </w:r>
      <w:r w:rsidR="001D3719">
        <w:rPr>
          <w:rFonts w:ascii="Book Antiqua" w:eastAsia="Calibri" w:hAnsi="Book Antiqua" w:cs="Arial"/>
          <w:sz w:val="24"/>
          <w:szCs w:val="24"/>
        </w:rPr>
        <w:t xml:space="preserve">para dispositivos de almacenamiento </w:t>
      </w:r>
      <w:r w:rsidR="001D3719" w:rsidRPr="00C53D53">
        <w:rPr>
          <w:rFonts w:ascii="Times New Roman" w:eastAsia="Calibri" w:hAnsi="Times New Roman" w:cs="Times New Roman"/>
          <w:sz w:val="24"/>
          <w:szCs w:val="24"/>
        </w:rPr>
        <w:t>₡</w:t>
      </w:r>
      <w:r w:rsidR="001D3719">
        <w:rPr>
          <w:rFonts w:ascii="Times New Roman" w:eastAsia="Calibri" w:hAnsi="Times New Roman" w:cs="Times New Roman"/>
          <w:sz w:val="24"/>
          <w:szCs w:val="24"/>
        </w:rPr>
        <w:t>200 000</w:t>
      </w:r>
      <w:r w:rsidR="007612FD" w:rsidRPr="001D0C10">
        <w:rPr>
          <w:rFonts w:ascii="Book Antiqua" w:eastAsia="Calibri" w:hAnsi="Book Antiqua" w:cs="Arial"/>
          <w:sz w:val="24"/>
          <w:szCs w:val="24"/>
        </w:rPr>
        <w:t xml:space="preserve">, todo para un monto de </w:t>
      </w:r>
      <w:r w:rsidR="00E4418B" w:rsidRPr="00411EB4">
        <w:rPr>
          <w:rFonts w:ascii="Times New Roman" w:eastAsia="Calibri" w:hAnsi="Times New Roman" w:cs="Times New Roman"/>
          <w:sz w:val="24"/>
          <w:szCs w:val="24"/>
        </w:rPr>
        <w:t>₡</w:t>
      </w:r>
      <w:r w:rsidR="001D3719">
        <w:rPr>
          <w:rFonts w:ascii="Book Antiqua" w:eastAsia="Calibri" w:hAnsi="Book Antiqua" w:cs="Arial"/>
          <w:sz w:val="24"/>
          <w:szCs w:val="24"/>
        </w:rPr>
        <w:t>97</w:t>
      </w:r>
      <w:r w:rsidR="00E4418B" w:rsidRPr="00411EB4">
        <w:rPr>
          <w:rFonts w:ascii="Book Antiqua" w:eastAsia="Calibri" w:hAnsi="Book Antiqua" w:cs="Arial"/>
          <w:sz w:val="24"/>
          <w:szCs w:val="24"/>
        </w:rPr>
        <w:t xml:space="preserve"> 4</w:t>
      </w:r>
      <w:r w:rsidR="001D3719">
        <w:rPr>
          <w:rFonts w:ascii="Book Antiqua" w:eastAsia="Calibri" w:hAnsi="Book Antiqua" w:cs="Arial"/>
          <w:sz w:val="24"/>
          <w:szCs w:val="24"/>
        </w:rPr>
        <w:t>27</w:t>
      </w:r>
      <w:r w:rsidR="001C08DD">
        <w:rPr>
          <w:rFonts w:ascii="Book Antiqua" w:eastAsia="Calibri" w:hAnsi="Book Antiqua" w:cs="Arial"/>
          <w:sz w:val="24"/>
          <w:szCs w:val="24"/>
        </w:rPr>
        <w:t> </w:t>
      </w:r>
      <w:r w:rsidR="001D3719">
        <w:rPr>
          <w:rFonts w:ascii="Book Antiqua" w:eastAsia="Calibri" w:hAnsi="Book Antiqua" w:cs="Arial"/>
          <w:sz w:val="24"/>
          <w:szCs w:val="24"/>
        </w:rPr>
        <w:t>600</w:t>
      </w:r>
      <w:r w:rsidR="00B173E4" w:rsidRPr="001D0C10">
        <w:rPr>
          <w:rFonts w:ascii="Book Antiqua" w:eastAsia="Calibri" w:hAnsi="Book Antiqua" w:cs="Arial"/>
          <w:sz w:val="24"/>
          <w:szCs w:val="24"/>
        </w:rPr>
        <w:t>.</w:t>
      </w:r>
    </w:p>
    <w:p w14:paraId="70DD4726" w14:textId="65A93878" w:rsidR="001C08DD" w:rsidRDefault="004069D9" w:rsidP="004069D9">
      <w:pPr>
        <w:rPr>
          <w:rFonts w:ascii="Book Antiqua" w:eastAsia="Calibri" w:hAnsi="Book Antiqua" w:cs="Arial"/>
          <w:sz w:val="24"/>
          <w:szCs w:val="24"/>
        </w:rPr>
      </w:pPr>
      <w:r>
        <w:rPr>
          <w:rFonts w:ascii="Book Antiqua" w:eastAsia="Calibri" w:hAnsi="Book Antiqua" w:cs="Arial"/>
          <w:sz w:val="24"/>
          <w:szCs w:val="24"/>
        </w:rPr>
        <w:br w:type="page"/>
      </w:r>
    </w:p>
    <w:tbl>
      <w:tblPr>
        <w:tblW w:w="10920" w:type="dxa"/>
        <w:jc w:val="center"/>
        <w:tblCellMar>
          <w:left w:w="70" w:type="dxa"/>
          <w:right w:w="70" w:type="dxa"/>
        </w:tblCellMar>
        <w:tblLook w:val="04A0" w:firstRow="1" w:lastRow="0" w:firstColumn="1" w:lastColumn="0" w:noHBand="0" w:noVBand="1"/>
      </w:tblPr>
      <w:tblGrid>
        <w:gridCol w:w="1452"/>
        <w:gridCol w:w="1716"/>
        <w:gridCol w:w="976"/>
        <w:gridCol w:w="1360"/>
        <w:gridCol w:w="1365"/>
        <w:gridCol w:w="1337"/>
        <w:gridCol w:w="904"/>
        <w:gridCol w:w="1810"/>
      </w:tblGrid>
      <w:tr w:rsidR="001D3719" w:rsidRPr="001D3719" w14:paraId="2FE9F60E" w14:textId="77777777" w:rsidTr="001C08DD">
        <w:trPr>
          <w:trHeight w:val="1100"/>
          <w:jc w:val="center"/>
        </w:trPr>
        <w:tc>
          <w:tcPr>
            <w:tcW w:w="1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C62DA" w14:textId="77777777" w:rsidR="001D3719" w:rsidRPr="001D3719" w:rsidRDefault="001D3719" w:rsidP="001D3719">
            <w:pPr>
              <w:spacing w:after="0" w:line="240" w:lineRule="auto"/>
              <w:jc w:val="center"/>
              <w:rPr>
                <w:rFonts w:ascii="Book Antiqua" w:eastAsia="Times New Roman" w:hAnsi="Book Antiqua" w:cs="Arial"/>
                <w:sz w:val="18"/>
                <w:szCs w:val="18"/>
                <w:lang w:eastAsia="es-CR"/>
              </w:rPr>
            </w:pPr>
            <w:r w:rsidRPr="001D3719">
              <w:rPr>
                <w:rFonts w:ascii="Book Antiqua" w:eastAsia="Times New Roman" w:hAnsi="Book Antiqua" w:cs="Calibri"/>
                <w:sz w:val="18"/>
                <w:szCs w:val="18"/>
                <w:lang w:eastAsia="es-CR"/>
              </w:rPr>
              <w:t>Requerimiento</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75A8FA9E" w14:textId="77777777" w:rsidR="001D3719" w:rsidRPr="001D3719" w:rsidRDefault="001D3719" w:rsidP="001D3719">
            <w:pPr>
              <w:spacing w:after="0" w:line="240" w:lineRule="auto"/>
              <w:jc w:val="center"/>
              <w:rPr>
                <w:rFonts w:ascii="Book Antiqua" w:eastAsia="Times New Roman" w:hAnsi="Book Antiqua" w:cs="Arial"/>
                <w:sz w:val="18"/>
                <w:szCs w:val="18"/>
                <w:lang w:eastAsia="es-CR"/>
              </w:rPr>
            </w:pPr>
            <w:r w:rsidRPr="001D3719">
              <w:rPr>
                <w:rFonts w:ascii="Book Antiqua" w:eastAsia="Times New Roman" w:hAnsi="Book Antiqua" w:cs="Calibri"/>
                <w:sz w:val="18"/>
                <w:szCs w:val="18"/>
                <w:lang w:eastAsia="es-CR"/>
              </w:rPr>
              <w:t>Justificación del requerimiento</w:t>
            </w:r>
          </w:p>
        </w:tc>
        <w:tc>
          <w:tcPr>
            <w:tcW w:w="976" w:type="dxa"/>
            <w:tcBorders>
              <w:top w:val="single" w:sz="4" w:space="0" w:color="auto"/>
              <w:left w:val="nil"/>
              <w:bottom w:val="single" w:sz="4" w:space="0" w:color="auto"/>
              <w:right w:val="single" w:sz="4" w:space="0" w:color="auto"/>
            </w:tcBorders>
            <w:shd w:val="clear" w:color="auto" w:fill="auto"/>
            <w:vAlign w:val="center"/>
            <w:hideMark/>
          </w:tcPr>
          <w:p w14:paraId="6EA36CCB" w14:textId="77777777" w:rsidR="001D3719" w:rsidRPr="001D3719" w:rsidRDefault="001D3719" w:rsidP="001D3719">
            <w:pPr>
              <w:spacing w:after="0" w:line="240" w:lineRule="auto"/>
              <w:jc w:val="center"/>
              <w:rPr>
                <w:rFonts w:ascii="Book Antiqua" w:eastAsia="Times New Roman" w:hAnsi="Book Antiqua" w:cs="Arial"/>
                <w:sz w:val="18"/>
                <w:szCs w:val="18"/>
                <w:lang w:eastAsia="es-CR"/>
              </w:rPr>
            </w:pPr>
            <w:r w:rsidRPr="001D3719">
              <w:rPr>
                <w:rFonts w:ascii="Book Antiqua" w:eastAsia="Times New Roman" w:hAnsi="Book Antiqua" w:cs="Calibri"/>
                <w:sz w:val="18"/>
                <w:szCs w:val="18"/>
                <w:lang w:eastAsia="es-CR"/>
              </w:rPr>
              <w:t>Oficina</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0E918915" w14:textId="77777777" w:rsidR="001D3719" w:rsidRPr="001D3719" w:rsidRDefault="001D3719" w:rsidP="001D3719">
            <w:pPr>
              <w:spacing w:after="0" w:line="240" w:lineRule="auto"/>
              <w:jc w:val="center"/>
              <w:rPr>
                <w:rFonts w:ascii="Book Antiqua" w:eastAsia="Times New Roman" w:hAnsi="Book Antiqua" w:cs="Arial"/>
                <w:sz w:val="18"/>
                <w:szCs w:val="18"/>
                <w:lang w:eastAsia="es-CR"/>
              </w:rPr>
            </w:pPr>
            <w:r w:rsidRPr="001D3719">
              <w:rPr>
                <w:rFonts w:ascii="Book Antiqua" w:eastAsia="Times New Roman" w:hAnsi="Book Antiqua" w:cs="Calibri"/>
                <w:sz w:val="18"/>
                <w:szCs w:val="18"/>
                <w:lang w:eastAsia="es-CR"/>
              </w:rPr>
              <w:t>Programa presupuestario</w:t>
            </w:r>
          </w:p>
        </w:tc>
        <w:tc>
          <w:tcPr>
            <w:tcW w:w="1365" w:type="dxa"/>
            <w:tcBorders>
              <w:top w:val="single" w:sz="4" w:space="0" w:color="auto"/>
              <w:left w:val="nil"/>
              <w:bottom w:val="single" w:sz="4" w:space="0" w:color="auto"/>
              <w:right w:val="single" w:sz="4" w:space="0" w:color="auto"/>
            </w:tcBorders>
            <w:shd w:val="clear" w:color="auto" w:fill="auto"/>
            <w:vAlign w:val="center"/>
            <w:hideMark/>
          </w:tcPr>
          <w:p w14:paraId="00449C50" w14:textId="77777777" w:rsidR="001D3719" w:rsidRPr="001D3719" w:rsidRDefault="001D3719" w:rsidP="001D3719">
            <w:pPr>
              <w:spacing w:after="0" w:line="240" w:lineRule="auto"/>
              <w:jc w:val="center"/>
              <w:rPr>
                <w:rFonts w:ascii="Book Antiqua" w:eastAsia="Times New Roman" w:hAnsi="Book Antiqua" w:cs="Arial"/>
                <w:sz w:val="18"/>
                <w:szCs w:val="18"/>
                <w:lang w:eastAsia="es-CR"/>
              </w:rPr>
            </w:pPr>
            <w:r w:rsidRPr="001D3719">
              <w:rPr>
                <w:rFonts w:ascii="Book Antiqua" w:eastAsia="Times New Roman" w:hAnsi="Book Antiqua" w:cs="Calibri"/>
                <w:sz w:val="18"/>
                <w:szCs w:val="18"/>
                <w:lang w:eastAsia="es-CR"/>
              </w:rPr>
              <w:t>Partida presupuestaria</w:t>
            </w:r>
          </w:p>
        </w:tc>
        <w:tc>
          <w:tcPr>
            <w:tcW w:w="1337" w:type="dxa"/>
            <w:tcBorders>
              <w:top w:val="single" w:sz="4" w:space="0" w:color="auto"/>
              <w:left w:val="nil"/>
              <w:bottom w:val="single" w:sz="4" w:space="0" w:color="auto"/>
              <w:right w:val="single" w:sz="4" w:space="0" w:color="auto"/>
            </w:tcBorders>
            <w:shd w:val="clear" w:color="auto" w:fill="auto"/>
            <w:vAlign w:val="center"/>
            <w:hideMark/>
          </w:tcPr>
          <w:p w14:paraId="632D4695" w14:textId="77777777" w:rsidR="001D3719" w:rsidRPr="001D3719" w:rsidRDefault="001D3719" w:rsidP="001D3719">
            <w:pPr>
              <w:spacing w:after="0" w:line="240" w:lineRule="auto"/>
              <w:jc w:val="center"/>
              <w:rPr>
                <w:rFonts w:ascii="Book Antiqua" w:eastAsia="Times New Roman" w:hAnsi="Book Antiqua" w:cs="Arial"/>
                <w:sz w:val="18"/>
                <w:szCs w:val="18"/>
                <w:lang w:eastAsia="es-CR"/>
              </w:rPr>
            </w:pPr>
            <w:r w:rsidRPr="001D3719">
              <w:rPr>
                <w:rFonts w:ascii="Book Antiqua" w:eastAsia="Times New Roman" w:hAnsi="Book Antiqua" w:cs="Calibri"/>
                <w:sz w:val="18"/>
                <w:szCs w:val="18"/>
                <w:lang w:eastAsia="es-CR"/>
              </w:rPr>
              <w:t>Monto total requerido</w:t>
            </w:r>
          </w:p>
        </w:tc>
        <w:tc>
          <w:tcPr>
            <w:tcW w:w="904" w:type="dxa"/>
            <w:tcBorders>
              <w:top w:val="single" w:sz="4" w:space="0" w:color="auto"/>
              <w:left w:val="nil"/>
              <w:bottom w:val="single" w:sz="4" w:space="0" w:color="auto"/>
              <w:right w:val="single" w:sz="4" w:space="0" w:color="auto"/>
            </w:tcBorders>
            <w:shd w:val="clear" w:color="auto" w:fill="auto"/>
            <w:vAlign w:val="center"/>
            <w:hideMark/>
          </w:tcPr>
          <w:p w14:paraId="5AF9B1B3" w14:textId="77777777" w:rsidR="001D3719" w:rsidRPr="001D3719" w:rsidRDefault="001D3719" w:rsidP="001D3719">
            <w:pPr>
              <w:spacing w:after="0" w:line="240" w:lineRule="auto"/>
              <w:jc w:val="center"/>
              <w:rPr>
                <w:rFonts w:ascii="Book Antiqua" w:eastAsia="Times New Roman" w:hAnsi="Book Antiqua" w:cs="Arial"/>
                <w:sz w:val="18"/>
                <w:szCs w:val="18"/>
                <w:lang w:eastAsia="es-CR"/>
              </w:rPr>
            </w:pPr>
            <w:r w:rsidRPr="001D3719">
              <w:rPr>
                <w:rFonts w:ascii="Book Antiqua" w:eastAsia="Times New Roman" w:hAnsi="Book Antiqua" w:cs="Calibri"/>
                <w:sz w:val="18"/>
                <w:szCs w:val="18"/>
                <w:lang w:eastAsia="es-CR"/>
              </w:rPr>
              <w:t>Prioridad</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14:paraId="3822F3A6" w14:textId="77777777" w:rsidR="001D3719" w:rsidRPr="001D3719" w:rsidRDefault="001D3719" w:rsidP="001D3719">
            <w:pPr>
              <w:spacing w:after="0" w:line="240" w:lineRule="auto"/>
              <w:jc w:val="center"/>
              <w:rPr>
                <w:rFonts w:ascii="Book Antiqua" w:eastAsia="Times New Roman" w:hAnsi="Book Antiqua" w:cs="Arial"/>
                <w:sz w:val="18"/>
                <w:szCs w:val="18"/>
                <w:lang w:eastAsia="es-CR"/>
              </w:rPr>
            </w:pPr>
            <w:r w:rsidRPr="001D3719">
              <w:rPr>
                <w:rFonts w:ascii="Book Antiqua" w:eastAsia="Times New Roman" w:hAnsi="Book Antiqua" w:cs="Calibri"/>
                <w:sz w:val="18"/>
                <w:szCs w:val="18"/>
                <w:lang w:eastAsia="es-CR"/>
              </w:rPr>
              <w:t>Relevancia para la entrada en vigor del CPF</w:t>
            </w:r>
          </w:p>
        </w:tc>
      </w:tr>
      <w:tr w:rsidR="001D3719" w:rsidRPr="001D3719" w14:paraId="6E53A561" w14:textId="77777777" w:rsidTr="001C08DD">
        <w:trPr>
          <w:trHeight w:val="2500"/>
          <w:jc w:val="center"/>
        </w:trPr>
        <w:tc>
          <w:tcPr>
            <w:tcW w:w="1452" w:type="dxa"/>
            <w:tcBorders>
              <w:top w:val="nil"/>
              <w:left w:val="single" w:sz="4" w:space="0" w:color="auto"/>
              <w:bottom w:val="single" w:sz="4" w:space="0" w:color="auto"/>
              <w:right w:val="single" w:sz="4" w:space="0" w:color="auto"/>
            </w:tcBorders>
            <w:shd w:val="clear" w:color="auto" w:fill="auto"/>
            <w:vAlign w:val="center"/>
            <w:hideMark/>
          </w:tcPr>
          <w:p w14:paraId="3D914D41"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Permisos de personas especialistas 67 semanas juez o jueza 3 </w:t>
            </w:r>
          </w:p>
        </w:tc>
        <w:tc>
          <w:tcPr>
            <w:tcW w:w="1716" w:type="dxa"/>
            <w:tcBorders>
              <w:top w:val="nil"/>
              <w:left w:val="nil"/>
              <w:bottom w:val="single" w:sz="4" w:space="0" w:color="auto"/>
              <w:right w:val="single" w:sz="4" w:space="0" w:color="auto"/>
            </w:tcBorders>
            <w:shd w:val="clear" w:color="auto" w:fill="auto"/>
            <w:vAlign w:val="center"/>
            <w:hideMark/>
          </w:tcPr>
          <w:p w14:paraId="0A4D8C1C"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Las diferentes actividades académicas que se proyecta ejecutar en 2024 requieren de la colaboración de personas especialistas en la materia </w:t>
            </w:r>
          </w:p>
        </w:tc>
        <w:tc>
          <w:tcPr>
            <w:tcW w:w="976" w:type="dxa"/>
            <w:tcBorders>
              <w:top w:val="nil"/>
              <w:left w:val="nil"/>
              <w:bottom w:val="single" w:sz="4" w:space="0" w:color="auto"/>
              <w:right w:val="single" w:sz="4" w:space="0" w:color="auto"/>
            </w:tcBorders>
            <w:shd w:val="clear" w:color="auto" w:fill="auto"/>
            <w:vAlign w:val="center"/>
            <w:hideMark/>
          </w:tcPr>
          <w:p w14:paraId="5C04CB50"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Escuela Judicial </w:t>
            </w:r>
          </w:p>
        </w:tc>
        <w:tc>
          <w:tcPr>
            <w:tcW w:w="1360" w:type="dxa"/>
            <w:tcBorders>
              <w:top w:val="nil"/>
              <w:left w:val="nil"/>
              <w:bottom w:val="single" w:sz="4" w:space="0" w:color="auto"/>
              <w:right w:val="single" w:sz="4" w:space="0" w:color="auto"/>
            </w:tcBorders>
            <w:shd w:val="clear" w:color="auto" w:fill="auto"/>
            <w:vAlign w:val="center"/>
            <w:hideMark/>
          </w:tcPr>
          <w:p w14:paraId="3EF89E4B"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927</w:t>
            </w:r>
          </w:p>
        </w:tc>
        <w:tc>
          <w:tcPr>
            <w:tcW w:w="1365" w:type="dxa"/>
            <w:tcBorders>
              <w:top w:val="nil"/>
              <w:left w:val="nil"/>
              <w:bottom w:val="single" w:sz="4" w:space="0" w:color="auto"/>
              <w:right w:val="single" w:sz="4" w:space="0" w:color="auto"/>
            </w:tcBorders>
            <w:shd w:val="clear" w:color="auto" w:fill="auto"/>
            <w:vAlign w:val="center"/>
            <w:hideMark/>
          </w:tcPr>
          <w:p w14:paraId="62DD821A"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001(suplencias) </w:t>
            </w:r>
          </w:p>
        </w:tc>
        <w:tc>
          <w:tcPr>
            <w:tcW w:w="1337" w:type="dxa"/>
            <w:tcBorders>
              <w:top w:val="nil"/>
              <w:left w:val="nil"/>
              <w:bottom w:val="single" w:sz="4" w:space="0" w:color="auto"/>
              <w:right w:val="single" w:sz="4" w:space="0" w:color="auto"/>
            </w:tcBorders>
            <w:shd w:val="clear" w:color="auto" w:fill="auto"/>
            <w:vAlign w:val="center"/>
            <w:hideMark/>
          </w:tcPr>
          <w:p w14:paraId="66D51DFF"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79,767,688.00 </w:t>
            </w:r>
          </w:p>
        </w:tc>
        <w:tc>
          <w:tcPr>
            <w:tcW w:w="904" w:type="dxa"/>
            <w:tcBorders>
              <w:top w:val="nil"/>
              <w:left w:val="nil"/>
              <w:bottom w:val="single" w:sz="4" w:space="0" w:color="auto"/>
              <w:right w:val="single" w:sz="4" w:space="0" w:color="auto"/>
            </w:tcBorders>
            <w:shd w:val="clear" w:color="auto" w:fill="auto"/>
            <w:vAlign w:val="center"/>
            <w:hideMark/>
          </w:tcPr>
          <w:p w14:paraId="18ECB7D3"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Alta </w:t>
            </w:r>
          </w:p>
        </w:tc>
        <w:tc>
          <w:tcPr>
            <w:tcW w:w="1810" w:type="dxa"/>
            <w:tcBorders>
              <w:top w:val="nil"/>
              <w:left w:val="nil"/>
              <w:bottom w:val="single" w:sz="4" w:space="0" w:color="auto"/>
              <w:right w:val="single" w:sz="4" w:space="0" w:color="auto"/>
            </w:tcBorders>
            <w:shd w:val="clear" w:color="auto" w:fill="auto"/>
            <w:vAlign w:val="center"/>
            <w:hideMark/>
          </w:tcPr>
          <w:p w14:paraId="4C54DA9D"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 indispensable contar con las personas profesionales que ejecutarán las diferentes actividades de capacitación que se requiere realizar en 2024 </w:t>
            </w:r>
          </w:p>
        </w:tc>
      </w:tr>
      <w:tr w:rsidR="001D3719" w:rsidRPr="001D3719" w14:paraId="5CC5EC91" w14:textId="77777777" w:rsidTr="001C08DD">
        <w:trPr>
          <w:trHeight w:val="2240"/>
          <w:jc w:val="center"/>
        </w:trPr>
        <w:tc>
          <w:tcPr>
            <w:tcW w:w="1452" w:type="dxa"/>
            <w:tcBorders>
              <w:top w:val="nil"/>
              <w:left w:val="single" w:sz="4" w:space="0" w:color="auto"/>
              <w:bottom w:val="single" w:sz="4" w:space="0" w:color="auto"/>
              <w:right w:val="single" w:sz="4" w:space="0" w:color="auto"/>
            </w:tcBorders>
            <w:shd w:val="clear" w:color="auto" w:fill="auto"/>
            <w:vAlign w:val="center"/>
            <w:hideMark/>
          </w:tcPr>
          <w:p w14:paraId="19FC6D1B"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4 semanas profesional en psicología 5 días profesional en psicología 5 días profesional en trabajo social </w:t>
            </w:r>
          </w:p>
        </w:tc>
        <w:tc>
          <w:tcPr>
            <w:tcW w:w="1716" w:type="dxa"/>
            <w:tcBorders>
              <w:top w:val="nil"/>
              <w:left w:val="nil"/>
              <w:bottom w:val="single" w:sz="4" w:space="0" w:color="auto"/>
              <w:right w:val="single" w:sz="4" w:space="0" w:color="auto"/>
            </w:tcBorders>
            <w:shd w:val="clear" w:color="auto" w:fill="auto"/>
            <w:vAlign w:val="center"/>
            <w:hideMark/>
          </w:tcPr>
          <w:p w14:paraId="03F269D2"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Las diferentes actividades académicas que se proyecta ejecutar en 2024 requieren de la colaboración de personas especialistas en la materia</w:t>
            </w:r>
          </w:p>
        </w:tc>
        <w:tc>
          <w:tcPr>
            <w:tcW w:w="976" w:type="dxa"/>
            <w:tcBorders>
              <w:top w:val="nil"/>
              <w:left w:val="nil"/>
              <w:bottom w:val="single" w:sz="4" w:space="0" w:color="auto"/>
              <w:right w:val="single" w:sz="4" w:space="0" w:color="auto"/>
            </w:tcBorders>
            <w:shd w:val="clear" w:color="auto" w:fill="auto"/>
            <w:vAlign w:val="center"/>
            <w:hideMark/>
          </w:tcPr>
          <w:p w14:paraId="05D25BEF"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Escuela Judicial </w:t>
            </w:r>
          </w:p>
        </w:tc>
        <w:tc>
          <w:tcPr>
            <w:tcW w:w="1360" w:type="dxa"/>
            <w:tcBorders>
              <w:top w:val="nil"/>
              <w:left w:val="nil"/>
              <w:bottom w:val="single" w:sz="4" w:space="0" w:color="auto"/>
              <w:right w:val="single" w:sz="4" w:space="0" w:color="auto"/>
            </w:tcBorders>
            <w:shd w:val="clear" w:color="auto" w:fill="auto"/>
            <w:vAlign w:val="center"/>
            <w:hideMark/>
          </w:tcPr>
          <w:p w14:paraId="721D8D9A"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926</w:t>
            </w:r>
          </w:p>
        </w:tc>
        <w:tc>
          <w:tcPr>
            <w:tcW w:w="1365" w:type="dxa"/>
            <w:tcBorders>
              <w:top w:val="nil"/>
              <w:left w:val="nil"/>
              <w:bottom w:val="single" w:sz="4" w:space="0" w:color="auto"/>
              <w:right w:val="single" w:sz="4" w:space="0" w:color="auto"/>
            </w:tcBorders>
            <w:shd w:val="clear" w:color="auto" w:fill="auto"/>
            <w:vAlign w:val="center"/>
            <w:hideMark/>
          </w:tcPr>
          <w:p w14:paraId="72CE4C78"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001(suplencias) </w:t>
            </w:r>
          </w:p>
        </w:tc>
        <w:tc>
          <w:tcPr>
            <w:tcW w:w="1337" w:type="dxa"/>
            <w:tcBorders>
              <w:top w:val="nil"/>
              <w:left w:val="nil"/>
              <w:bottom w:val="single" w:sz="4" w:space="0" w:color="auto"/>
              <w:right w:val="single" w:sz="4" w:space="0" w:color="auto"/>
            </w:tcBorders>
            <w:shd w:val="clear" w:color="auto" w:fill="auto"/>
            <w:vAlign w:val="center"/>
            <w:hideMark/>
          </w:tcPr>
          <w:p w14:paraId="6F589DCA"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1,430,912.00 </w:t>
            </w:r>
          </w:p>
        </w:tc>
        <w:tc>
          <w:tcPr>
            <w:tcW w:w="904" w:type="dxa"/>
            <w:tcBorders>
              <w:top w:val="nil"/>
              <w:left w:val="nil"/>
              <w:bottom w:val="single" w:sz="4" w:space="0" w:color="auto"/>
              <w:right w:val="single" w:sz="4" w:space="0" w:color="auto"/>
            </w:tcBorders>
            <w:shd w:val="clear" w:color="auto" w:fill="auto"/>
            <w:vAlign w:val="center"/>
            <w:hideMark/>
          </w:tcPr>
          <w:p w14:paraId="35AA3483"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Alta </w:t>
            </w:r>
          </w:p>
        </w:tc>
        <w:tc>
          <w:tcPr>
            <w:tcW w:w="1810" w:type="dxa"/>
            <w:tcBorders>
              <w:top w:val="nil"/>
              <w:left w:val="nil"/>
              <w:bottom w:val="single" w:sz="4" w:space="0" w:color="auto"/>
              <w:right w:val="single" w:sz="4" w:space="0" w:color="auto"/>
            </w:tcBorders>
            <w:shd w:val="clear" w:color="auto" w:fill="auto"/>
            <w:vAlign w:val="center"/>
            <w:hideMark/>
          </w:tcPr>
          <w:p w14:paraId="5DAD4F3E" w14:textId="229C5F1C"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 indispensable contar con las personas profesionales que ejecutarán </w:t>
            </w:r>
            <w:r w:rsidR="004069D9" w:rsidRPr="001D3719">
              <w:rPr>
                <w:rFonts w:ascii="Book Antiqua" w:eastAsia="Times New Roman" w:hAnsi="Book Antiqua" w:cs="Calibri"/>
                <w:color w:val="000000"/>
                <w:sz w:val="18"/>
                <w:szCs w:val="18"/>
                <w:lang w:eastAsia="es-CR"/>
              </w:rPr>
              <w:t>las diferentes capacitaciones</w:t>
            </w:r>
            <w:r w:rsidRPr="001D3719">
              <w:rPr>
                <w:rFonts w:ascii="Book Antiqua" w:eastAsia="Times New Roman" w:hAnsi="Book Antiqua" w:cs="Calibri"/>
                <w:color w:val="000000"/>
                <w:sz w:val="18"/>
                <w:szCs w:val="18"/>
                <w:lang w:eastAsia="es-CR"/>
              </w:rPr>
              <w:t xml:space="preserve"> que se requiere realizar en 2024</w:t>
            </w:r>
          </w:p>
        </w:tc>
      </w:tr>
      <w:tr w:rsidR="001D3719" w:rsidRPr="001D3719" w14:paraId="1251BFA1" w14:textId="77777777" w:rsidTr="001C08DD">
        <w:trPr>
          <w:trHeight w:val="2540"/>
          <w:jc w:val="center"/>
        </w:trPr>
        <w:tc>
          <w:tcPr>
            <w:tcW w:w="1452" w:type="dxa"/>
            <w:tcBorders>
              <w:top w:val="nil"/>
              <w:left w:val="single" w:sz="4" w:space="0" w:color="auto"/>
              <w:bottom w:val="single" w:sz="4" w:space="0" w:color="auto"/>
              <w:right w:val="single" w:sz="4" w:space="0" w:color="auto"/>
            </w:tcBorders>
            <w:shd w:val="clear" w:color="auto" w:fill="auto"/>
            <w:vAlign w:val="center"/>
            <w:hideMark/>
          </w:tcPr>
          <w:p w14:paraId="301157DC" w14:textId="0E683DFB"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Viáticos </w:t>
            </w:r>
          </w:p>
        </w:tc>
        <w:tc>
          <w:tcPr>
            <w:tcW w:w="1716" w:type="dxa"/>
            <w:tcBorders>
              <w:top w:val="nil"/>
              <w:left w:val="nil"/>
              <w:bottom w:val="single" w:sz="4" w:space="0" w:color="auto"/>
              <w:right w:val="single" w:sz="4" w:space="0" w:color="auto"/>
            </w:tcBorders>
            <w:shd w:val="clear" w:color="auto" w:fill="auto"/>
            <w:vAlign w:val="center"/>
            <w:hideMark/>
          </w:tcPr>
          <w:p w14:paraId="24645CF4" w14:textId="47388A00"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Se requiere contar con contenido presupuestario para sufragar los gastos de viáticos de las giras programadas para el año 2024</w:t>
            </w:r>
          </w:p>
        </w:tc>
        <w:tc>
          <w:tcPr>
            <w:tcW w:w="976" w:type="dxa"/>
            <w:tcBorders>
              <w:top w:val="nil"/>
              <w:left w:val="nil"/>
              <w:bottom w:val="single" w:sz="4" w:space="0" w:color="auto"/>
              <w:right w:val="single" w:sz="4" w:space="0" w:color="auto"/>
            </w:tcBorders>
            <w:shd w:val="clear" w:color="auto" w:fill="auto"/>
            <w:vAlign w:val="center"/>
            <w:hideMark/>
          </w:tcPr>
          <w:p w14:paraId="394EC1CD"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Escuela Judicial </w:t>
            </w:r>
          </w:p>
        </w:tc>
        <w:tc>
          <w:tcPr>
            <w:tcW w:w="1360" w:type="dxa"/>
            <w:tcBorders>
              <w:top w:val="nil"/>
              <w:left w:val="nil"/>
              <w:bottom w:val="single" w:sz="4" w:space="0" w:color="auto"/>
              <w:right w:val="single" w:sz="4" w:space="0" w:color="auto"/>
            </w:tcBorders>
            <w:shd w:val="clear" w:color="auto" w:fill="auto"/>
            <w:vAlign w:val="center"/>
            <w:hideMark/>
          </w:tcPr>
          <w:p w14:paraId="1D6DA20D"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926</w:t>
            </w:r>
          </w:p>
        </w:tc>
        <w:tc>
          <w:tcPr>
            <w:tcW w:w="1365" w:type="dxa"/>
            <w:tcBorders>
              <w:top w:val="nil"/>
              <w:left w:val="nil"/>
              <w:bottom w:val="single" w:sz="4" w:space="0" w:color="auto"/>
              <w:right w:val="single" w:sz="4" w:space="0" w:color="auto"/>
            </w:tcBorders>
            <w:shd w:val="clear" w:color="auto" w:fill="auto"/>
            <w:vAlign w:val="center"/>
            <w:hideMark/>
          </w:tcPr>
          <w:p w14:paraId="11EE98A1"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10502</w:t>
            </w:r>
          </w:p>
        </w:tc>
        <w:tc>
          <w:tcPr>
            <w:tcW w:w="1337" w:type="dxa"/>
            <w:tcBorders>
              <w:top w:val="nil"/>
              <w:left w:val="nil"/>
              <w:bottom w:val="single" w:sz="4" w:space="0" w:color="auto"/>
              <w:right w:val="single" w:sz="4" w:space="0" w:color="auto"/>
            </w:tcBorders>
            <w:shd w:val="clear" w:color="auto" w:fill="auto"/>
            <w:vAlign w:val="center"/>
            <w:hideMark/>
          </w:tcPr>
          <w:p w14:paraId="09620C0B"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Arial"/>
                <w:color w:val="000000"/>
                <w:sz w:val="18"/>
                <w:szCs w:val="18"/>
                <w:lang w:eastAsia="es-CR"/>
              </w:rPr>
              <w:t xml:space="preserve">13,529,000.00 </w:t>
            </w:r>
          </w:p>
        </w:tc>
        <w:tc>
          <w:tcPr>
            <w:tcW w:w="904" w:type="dxa"/>
            <w:tcBorders>
              <w:top w:val="nil"/>
              <w:left w:val="nil"/>
              <w:bottom w:val="single" w:sz="4" w:space="0" w:color="auto"/>
              <w:right w:val="single" w:sz="4" w:space="0" w:color="auto"/>
            </w:tcBorders>
            <w:shd w:val="clear" w:color="auto" w:fill="auto"/>
            <w:vAlign w:val="center"/>
            <w:hideMark/>
          </w:tcPr>
          <w:p w14:paraId="1174B447"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Alta </w:t>
            </w:r>
          </w:p>
        </w:tc>
        <w:tc>
          <w:tcPr>
            <w:tcW w:w="1810" w:type="dxa"/>
            <w:tcBorders>
              <w:top w:val="nil"/>
              <w:left w:val="nil"/>
              <w:bottom w:val="single" w:sz="4" w:space="0" w:color="auto"/>
              <w:right w:val="single" w:sz="4" w:space="0" w:color="auto"/>
            </w:tcBorders>
            <w:shd w:val="clear" w:color="auto" w:fill="auto"/>
            <w:vAlign w:val="center"/>
            <w:hideMark/>
          </w:tcPr>
          <w:p w14:paraId="4534B6B3"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Se proyecta realizar giras como parte de las actividades de formación, en las cuales se integrará al personal de esta jurisdicción y a las personas facilitadoras judiciales </w:t>
            </w:r>
          </w:p>
        </w:tc>
      </w:tr>
      <w:tr w:rsidR="001D3719" w:rsidRPr="001D3719" w14:paraId="79C263C2" w14:textId="77777777" w:rsidTr="001C08DD">
        <w:trPr>
          <w:trHeight w:val="2120"/>
          <w:jc w:val="center"/>
        </w:trPr>
        <w:tc>
          <w:tcPr>
            <w:tcW w:w="1452" w:type="dxa"/>
            <w:tcBorders>
              <w:top w:val="nil"/>
              <w:left w:val="single" w:sz="4" w:space="0" w:color="auto"/>
              <w:bottom w:val="single" w:sz="4" w:space="0" w:color="auto"/>
              <w:right w:val="single" w:sz="4" w:space="0" w:color="auto"/>
            </w:tcBorders>
            <w:shd w:val="clear" w:color="auto" w:fill="auto"/>
            <w:vAlign w:val="center"/>
            <w:hideMark/>
          </w:tcPr>
          <w:p w14:paraId="65314BB8"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Transporte </w:t>
            </w:r>
          </w:p>
        </w:tc>
        <w:tc>
          <w:tcPr>
            <w:tcW w:w="1716" w:type="dxa"/>
            <w:tcBorders>
              <w:top w:val="nil"/>
              <w:left w:val="nil"/>
              <w:bottom w:val="single" w:sz="4" w:space="0" w:color="auto"/>
              <w:right w:val="single" w:sz="4" w:space="0" w:color="auto"/>
            </w:tcBorders>
            <w:shd w:val="clear" w:color="auto" w:fill="auto"/>
            <w:vAlign w:val="center"/>
            <w:hideMark/>
          </w:tcPr>
          <w:p w14:paraId="2F32AF95"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Se requiere contar con viáticos de transporte para realizar las giras </w:t>
            </w:r>
          </w:p>
        </w:tc>
        <w:tc>
          <w:tcPr>
            <w:tcW w:w="976" w:type="dxa"/>
            <w:tcBorders>
              <w:top w:val="nil"/>
              <w:left w:val="nil"/>
              <w:bottom w:val="single" w:sz="4" w:space="0" w:color="auto"/>
              <w:right w:val="single" w:sz="4" w:space="0" w:color="auto"/>
            </w:tcBorders>
            <w:shd w:val="clear" w:color="auto" w:fill="auto"/>
            <w:vAlign w:val="center"/>
            <w:hideMark/>
          </w:tcPr>
          <w:p w14:paraId="4686A385"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Escuela Judicial </w:t>
            </w:r>
          </w:p>
        </w:tc>
        <w:tc>
          <w:tcPr>
            <w:tcW w:w="1360" w:type="dxa"/>
            <w:tcBorders>
              <w:top w:val="nil"/>
              <w:left w:val="nil"/>
              <w:bottom w:val="single" w:sz="4" w:space="0" w:color="auto"/>
              <w:right w:val="single" w:sz="4" w:space="0" w:color="auto"/>
            </w:tcBorders>
            <w:shd w:val="clear" w:color="auto" w:fill="auto"/>
            <w:vAlign w:val="center"/>
            <w:hideMark/>
          </w:tcPr>
          <w:p w14:paraId="363C0E97"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926</w:t>
            </w:r>
          </w:p>
        </w:tc>
        <w:tc>
          <w:tcPr>
            <w:tcW w:w="1365" w:type="dxa"/>
            <w:tcBorders>
              <w:top w:val="nil"/>
              <w:left w:val="nil"/>
              <w:bottom w:val="single" w:sz="4" w:space="0" w:color="auto"/>
              <w:right w:val="single" w:sz="4" w:space="0" w:color="auto"/>
            </w:tcBorders>
            <w:shd w:val="clear" w:color="auto" w:fill="auto"/>
            <w:vAlign w:val="center"/>
            <w:hideMark/>
          </w:tcPr>
          <w:p w14:paraId="39089890"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10501</w:t>
            </w:r>
          </w:p>
        </w:tc>
        <w:tc>
          <w:tcPr>
            <w:tcW w:w="1337" w:type="dxa"/>
            <w:tcBorders>
              <w:top w:val="nil"/>
              <w:left w:val="nil"/>
              <w:bottom w:val="single" w:sz="4" w:space="0" w:color="auto"/>
              <w:right w:val="single" w:sz="4" w:space="0" w:color="auto"/>
            </w:tcBorders>
            <w:shd w:val="clear" w:color="auto" w:fill="auto"/>
            <w:vAlign w:val="center"/>
            <w:hideMark/>
          </w:tcPr>
          <w:p w14:paraId="19D1A0C2"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1,000,000.00 </w:t>
            </w:r>
          </w:p>
        </w:tc>
        <w:tc>
          <w:tcPr>
            <w:tcW w:w="904" w:type="dxa"/>
            <w:tcBorders>
              <w:top w:val="nil"/>
              <w:left w:val="nil"/>
              <w:bottom w:val="single" w:sz="4" w:space="0" w:color="auto"/>
              <w:right w:val="single" w:sz="4" w:space="0" w:color="auto"/>
            </w:tcBorders>
            <w:shd w:val="clear" w:color="auto" w:fill="auto"/>
            <w:vAlign w:val="center"/>
            <w:hideMark/>
          </w:tcPr>
          <w:p w14:paraId="1A110127"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Alta </w:t>
            </w:r>
          </w:p>
        </w:tc>
        <w:tc>
          <w:tcPr>
            <w:tcW w:w="1810" w:type="dxa"/>
            <w:tcBorders>
              <w:top w:val="nil"/>
              <w:left w:val="nil"/>
              <w:bottom w:val="single" w:sz="4" w:space="0" w:color="auto"/>
              <w:right w:val="single" w:sz="4" w:space="0" w:color="auto"/>
            </w:tcBorders>
            <w:shd w:val="clear" w:color="auto" w:fill="auto"/>
            <w:vAlign w:val="center"/>
            <w:hideMark/>
          </w:tcPr>
          <w:p w14:paraId="1966045F"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La importancia radica en la necesidad de ejecutar actividades de capacitación relacionada con el CPF en diferentes regiones del país </w:t>
            </w:r>
          </w:p>
        </w:tc>
      </w:tr>
      <w:tr w:rsidR="001D3719" w:rsidRPr="001D3719" w14:paraId="0B82A6B6" w14:textId="77777777" w:rsidTr="001C08DD">
        <w:trPr>
          <w:trHeight w:val="3120"/>
          <w:jc w:val="center"/>
        </w:trPr>
        <w:tc>
          <w:tcPr>
            <w:tcW w:w="1452" w:type="dxa"/>
            <w:tcBorders>
              <w:top w:val="nil"/>
              <w:left w:val="single" w:sz="4" w:space="0" w:color="auto"/>
              <w:bottom w:val="single" w:sz="4" w:space="0" w:color="auto"/>
              <w:right w:val="single" w:sz="4" w:space="0" w:color="auto"/>
            </w:tcBorders>
            <w:shd w:val="clear" w:color="auto" w:fill="auto"/>
            <w:vAlign w:val="center"/>
            <w:hideMark/>
          </w:tcPr>
          <w:p w14:paraId="317A12F9"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Materiales impresos </w:t>
            </w:r>
          </w:p>
        </w:tc>
        <w:tc>
          <w:tcPr>
            <w:tcW w:w="1716" w:type="dxa"/>
            <w:tcBorders>
              <w:top w:val="nil"/>
              <w:left w:val="nil"/>
              <w:bottom w:val="single" w:sz="4" w:space="0" w:color="auto"/>
              <w:right w:val="single" w:sz="4" w:space="0" w:color="auto"/>
            </w:tcBorders>
            <w:shd w:val="clear" w:color="auto" w:fill="auto"/>
            <w:vAlign w:val="center"/>
            <w:hideMark/>
          </w:tcPr>
          <w:p w14:paraId="333699EC"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 necesario contar con materiales impresos para las personas participantes de las actividades académicas que se tiene proyectado realizar donde participará un aproximado de 1500 personas </w:t>
            </w:r>
          </w:p>
        </w:tc>
        <w:tc>
          <w:tcPr>
            <w:tcW w:w="976" w:type="dxa"/>
            <w:tcBorders>
              <w:top w:val="nil"/>
              <w:left w:val="nil"/>
              <w:bottom w:val="single" w:sz="4" w:space="0" w:color="auto"/>
              <w:right w:val="single" w:sz="4" w:space="0" w:color="auto"/>
            </w:tcBorders>
            <w:shd w:val="clear" w:color="auto" w:fill="auto"/>
            <w:vAlign w:val="center"/>
            <w:hideMark/>
          </w:tcPr>
          <w:p w14:paraId="50BBC6CE"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Escuela Judicial </w:t>
            </w:r>
          </w:p>
        </w:tc>
        <w:tc>
          <w:tcPr>
            <w:tcW w:w="1360" w:type="dxa"/>
            <w:tcBorders>
              <w:top w:val="nil"/>
              <w:left w:val="nil"/>
              <w:bottom w:val="single" w:sz="4" w:space="0" w:color="auto"/>
              <w:right w:val="single" w:sz="4" w:space="0" w:color="auto"/>
            </w:tcBorders>
            <w:shd w:val="clear" w:color="auto" w:fill="auto"/>
            <w:vAlign w:val="center"/>
            <w:hideMark/>
          </w:tcPr>
          <w:p w14:paraId="4EC69F08"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926</w:t>
            </w:r>
          </w:p>
        </w:tc>
        <w:tc>
          <w:tcPr>
            <w:tcW w:w="1365" w:type="dxa"/>
            <w:tcBorders>
              <w:top w:val="nil"/>
              <w:left w:val="nil"/>
              <w:bottom w:val="single" w:sz="4" w:space="0" w:color="auto"/>
              <w:right w:val="single" w:sz="4" w:space="0" w:color="auto"/>
            </w:tcBorders>
            <w:shd w:val="clear" w:color="auto" w:fill="auto"/>
            <w:vAlign w:val="center"/>
            <w:hideMark/>
          </w:tcPr>
          <w:p w14:paraId="34CFD9B6"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29903</w:t>
            </w:r>
          </w:p>
        </w:tc>
        <w:tc>
          <w:tcPr>
            <w:tcW w:w="1337" w:type="dxa"/>
            <w:tcBorders>
              <w:top w:val="nil"/>
              <w:left w:val="nil"/>
              <w:bottom w:val="single" w:sz="4" w:space="0" w:color="auto"/>
              <w:right w:val="single" w:sz="4" w:space="0" w:color="auto"/>
            </w:tcBorders>
            <w:shd w:val="clear" w:color="auto" w:fill="auto"/>
            <w:vAlign w:val="center"/>
            <w:hideMark/>
          </w:tcPr>
          <w:p w14:paraId="24DFF2DC"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1,500,000.00 </w:t>
            </w:r>
          </w:p>
        </w:tc>
        <w:tc>
          <w:tcPr>
            <w:tcW w:w="904" w:type="dxa"/>
            <w:tcBorders>
              <w:top w:val="nil"/>
              <w:left w:val="nil"/>
              <w:bottom w:val="single" w:sz="4" w:space="0" w:color="auto"/>
              <w:right w:val="single" w:sz="4" w:space="0" w:color="auto"/>
            </w:tcBorders>
            <w:shd w:val="clear" w:color="auto" w:fill="auto"/>
            <w:vAlign w:val="center"/>
            <w:hideMark/>
          </w:tcPr>
          <w:p w14:paraId="3E74B04C"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Alta </w:t>
            </w:r>
          </w:p>
        </w:tc>
        <w:tc>
          <w:tcPr>
            <w:tcW w:w="1810" w:type="dxa"/>
            <w:tcBorders>
              <w:top w:val="nil"/>
              <w:left w:val="nil"/>
              <w:bottom w:val="single" w:sz="4" w:space="0" w:color="auto"/>
              <w:right w:val="single" w:sz="4" w:space="0" w:color="auto"/>
            </w:tcBorders>
            <w:shd w:val="clear" w:color="auto" w:fill="auto"/>
            <w:vAlign w:val="center"/>
            <w:hideMark/>
          </w:tcPr>
          <w:p w14:paraId="1D9C2D4D"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La importancia radica en la necesidad de usar los materiales impresos diseñados para la Reforma en material de Familia para las giras que se proyecta realizar </w:t>
            </w:r>
          </w:p>
        </w:tc>
      </w:tr>
      <w:tr w:rsidR="001D3719" w:rsidRPr="001D3719" w14:paraId="2703B632" w14:textId="77777777" w:rsidTr="001C08DD">
        <w:trPr>
          <w:trHeight w:val="2420"/>
          <w:jc w:val="center"/>
        </w:trPr>
        <w:tc>
          <w:tcPr>
            <w:tcW w:w="1452" w:type="dxa"/>
            <w:tcBorders>
              <w:top w:val="nil"/>
              <w:left w:val="single" w:sz="4" w:space="0" w:color="auto"/>
              <w:bottom w:val="single" w:sz="4" w:space="0" w:color="auto"/>
              <w:right w:val="single" w:sz="4" w:space="0" w:color="auto"/>
            </w:tcBorders>
            <w:shd w:val="clear" w:color="auto" w:fill="auto"/>
            <w:vAlign w:val="center"/>
            <w:hideMark/>
          </w:tcPr>
          <w:p w14:paraId="2E424F63"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Dispositivos de almacenamiento externo – Disco duro </w:t>
            </w:r>
          </w:p>
        </w:tc>
        <w:tc>
          <w:tcPr>
            <w:tcW w:w="1716" w:type="dxa"/>
            <w:tcBorders>
              <w:top w:val="nil"/>
              <w:left w:val="nil"/>
              <w:bottom w:val="single" w:sz="4" w:space="0" w:color="auto"/>
              <w:right w:val="single" w:sz="4" w:space="0" w:color="auto"/>
            </w:tcBorders>
            <w:shd w:val="clear" w:color="auto" w:fill="auto"/>
            <w:vAlign w:val="center"/>
            <w:hideMark/>
          </w:tcPr>
          <w:p w14:paraId="40EC5671"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Se requiere contar con dispositivos de almacenamiento externo para el resguardo de fotos, videos, materiales impresos y demás insumos que se generen durante las giras </w:t>
            </w:r>
          </w:p>
        </w:tc>
        <w:tc>
          <w:tcPr>
            <w:tcW w:w="976" w:type="dxa"/>
            <w:tcBorders>
              <w:top w:val="nil"/>
              <w:left w:val="nil"/>
              <w:bottom w:val="single" w:sz="4" w:space="0" w:color="auto"/>
              <w:right w:val="single" w:sz="4" w:space="0" w:color="auto"/>
            </w:tcBorders>
            <w:shd w:val="clear" w:color="auto" w:fill="auto"/>
            <w:vAlign w:val="center"/>
            <w:hideMark/>
          </w:tcPr>
          <w:p w14:paraId="45BCFFD9"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Escuela Judicial </w:t>
            </w:r>
          </w:p>
        </w:tc>
        <w:tc>
          <w:tcPr>
            <w:tcW w:w="1360" w:type="dxa"/>
            <w:tcBorders>
              <w:top w:val="nil"/>
              <w:left w:val="nil"/>
              <w:bottom w:val="single" w:sz="4" w:space="0" w:color="auto"/>
              <w:right w:val="single" w:sz="4" w:space="0" w:color="auto"/>
            </w:tcBorders>
            <w:shd w:val="clear" w:color="auto" w:fill="auto"/>
            <w:vAlign w:val="center"/>
            <w:hideMark/>
          </w:tcPr>
          <w:p w14:paraId="7EAFF6A7"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926</w:t>
            </w:r>
          </w:p>
        </w:tc>
        <w:tc>
          <w:tcPr>
            <w:tcW w:w="1365" w:type="dxa"/>
            <w:tcBorders>
              <w:top w:val="nil"/>
              <w:left w:val="nil"/>
              <w:bottom w:val="single" w:sz="4" w:space="0" w:color="auto"/>
              <w:right w:val="single" w:sz="4" w:space="0" w:color="auto"/>
            </w:tcBorders>
            <w:shd w:val="clear" w:color="auto" w:fill="auto"/>
            <w:vAlign w:val="center"/>
            <w:hideMark/>
          </w:tcPr>
          <w:p w14:paraId="3F96682B"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20304</w:t>
            </w:r>
          </w:p>
        </w:tc>
        <w:tc>
          <w:tcPr>
            <w:tcW w:w="1337" w:type="dxa"/>
            <w:tcBorders>
              <w:top w:val="nil"/>
              <w:left w:val="nil"/>
              <w:bottom w:val="single" w:sz="4" w:space="0" w:color="auto"/>
              <w:right w:val="single" w:sz="4" w:space="0" w:color="auto"/>
            </w:tcBorders>
            <w:shd w:val="clear" w:color="auto" w:fill="auto"/>
            <w:vAlign w:val="center"/>
            <w:hideMark/>
          </w:tcPr>
          <w:p w14:paraId="08270B12"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200.000,00 </w:t>
            </w:r>
          </w:p>
        </w:tc>
        <w:tc>
          <w:tcPr>
            <w:tcW w:w="904" w:type="dxa"/>
            <w:tcBorders>
              <w:top w:val="nil"/>
              <w:left w:val="nil"/>
              <w:bottom w:val="single" w:sz="4" w:space="0" w:color="auto"/>
              <w:right w:val="single" w:sz="4" w:space="0" w:color="auto"/>
            </w:tcBorders>
            <w:shd w:val="clear" w:color="auto" w:fill="auto"/>
            <w:vAlign w:val="center"/>
            <w:hideMark/>
          </w:tcPr>
          <w:p w14:paraId="5CE07606"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Media </w:t>
            </w:r>
          </w:p>
        </w:tc>
        <w:tc>
          <w:tcPr>
            <w:tcW w:w="1810" w:type="dxa"/>
            <w:tcBorders>
              <w:top w:val="nil"/>
              <w:left w:val="nil"/>
              <w:bottom w:val="single" w:sz="4" w:space="0" w:color="auto"/>
              <w:right w:val="single" w:sz="4" w:space="0" w:color="auto"/>
            </w:tcBorders>
            <w:shd w:val="clear" w:color="auto" w:fill="auto"/>
            <w:vAlign w:val="center"/>
            <w:hideMark/>
          </w:tcPr>
          <w:p w14:paraId="2A1C9EC5" w14:textId="77777777" w:rsidR="001D3719" w:rsidRPr="001D3719" w:rsidRDefault="001D3719" w:rsidP="001D3719">
            <w:pPr>
              <w:spacing w:after="0" w:line="240" w:lineRule="auto"/>
              <w:jc w:val="center"/>
              <w:rPr>
                <w:rFonts w:ascii="Book Antiqua" w:eastAsia="Times New Roman" w:hAnsi="Book Antiqua" w:cs="Arial"/>
                <w:color w:val="000000"/>
                <w:sz w:val="18"/>
                <w:szCs w:val="18"/>
                <w:lang w:eastAsia="es-CR"/>
              </w:rPr>
            </w:pPr>
            <w:r w:rsidRPr="001D3719">
              <w:rPr>
                <w:rFonts w:ascii="Book Antiqua" w:eastAsia="Times New Roman" w:hAnsi="Book Antiqua" w:cs="Calibri"/>
                <w:color w:val="000000"/>
                <w:sz w:val="18"/>
                <w:szCs w:val="18"/>
                <w:lang w:eastAsia="es-CR"/>
              </w:rPr>
              <w:t xml:space="preserve">Generar materiales audiovisuales e impresos que puedan utilizarse para actividades de formación y divulgación de la Reforma Procesal de Familia </w:t>
            </w:r>
          </w:p>
        </w:tc>
      </w:tr>
    </w:tbl>
    <w:p w14:paraId="3E220CD0" w14:textId="77777777" w:rsidR="00056442" w:rsidRPr="001D0C10" w:rsidRDefault="00056442" w:rsidP="00801ECD">
      <w:pPr>
        <w:spacing w:after="0" w:line="276" w:lineRule="auto"/>
        <w:jc w:val="both"/>
        <w:rPr>
          <w:rFonts w:ascii="Book Antiqua" w:eastAsia="Calibri" w:hAnsi="Book Antiqua" w:cs="Arial"/>
          <w:i/>
          <w:iCs/>
          <w:sz w:val="20"/>
          <w:szCs w:val="20"/>
        </w:rPr>
      </w:pPr>
    </w:p>
    <w:p w14:paraId="1C6A6C9D" w14:textId="653B35B2" w:rsidR="008051A1" w:rsidRPr="00AA01E7" w:rsidRDefault="007442EC"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 xml:space="preserve">Dirección de Tecnología de </w:t>
      </w:r>
      <w:r w:rsidR="00AA01E7">
        <w:rPr>
          <w:rFonts w:ascii="Book Antiqua" w:eastAsiaTheme="majorEastAsia" w:hAnsi="Book Antiqua" w:cstheme="majorBidi"/>
          <w:b/>
          <w:color w:val="1F3864" w:themeColor="accent1" w:themeShade="80"/>
          <w:sz w:val="24"/>
          <w:lang w:val="es-ES"/>
        </w:rPr>
        <w:t xml:space="preserve">la </w:t>
      </w:r>
      <w:r w:rsidRPr="00AA01E7">
        <w:rPr>
          <w:rFonts w:ascii="Book Antiqua" w:eastAsiaTheme="majorEastAsia" w:hAnsi="Book Antiqua" w:cstheme="majorBidi"/>
          <w:b/>
          <w:color w:val="1F3864" w:themeColor="accent1" w:themeShade="80"/>
          <w:sz w:val="24"/>
          <w:lang w:val="es-ES"/>
        </w:rPr>
        <w:t>Información</w:t>
      </w:r>
      <w:r w:rsidR="00AA01E7">
        <w:rPr>
          <w:rFonts w:ascii="Book Antiqua" w:eastAsiaTheme="majorEastAsia" w:hAnsi="Book Antiqua" w:cstheme="majorBidi"/>
          <w:b/>
          <w:color w:val="1F3864" w:themeColor="accent1" w:themeShade="80"/>
          <w:sz w:val="24"/>
          <w:lang w:val="es-ES"/>
        </w:rPr>
        <w:t xml:space="preserve"> y Comunicaciones</w:t>
      </w:r>
    </w:p>
    <w:p w14:paraId="3BF54B5F" w14:textId="77777777" w:rsidR="00411EB4" w:rsidRDefault="00411EB4"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19ECE749" w14:textId="61BF9107" w:rsidR="00F24894" w:rsidRDefault="00F24894"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r>
        <w:rPr>
          <w:rFonts w:ascii="Book Antiqua" w:eastAsia="Calibri" w:hAnsi="Book Antiqua" w:cs="Times New Roman"/>
          <w:sz w:val="24"/>
          <w:szCs w:val="24"/>
          <w:lang w:val="es-ES" w:eastAsia="es-CR"/>
        </w:rPr>
        <w:t>Mediante correo electrónico del 24 de febrero de 2022, el Jefe del Subproceso de Gestión del Servicio, Proceso de Infraestructura de la Dirección de Tecnología de Información y Comunicaciones, Jonathan Montiel Álvarez</w:t>
      </w:r>
      <w:r w:rsidR="00A02BB3">
        <w:rPr>
          <w:rFonts w:ascii="Book Antiqua" w:eastAsia="Calibri" w:hAnsi="Book Antiqua" w:cs="Times New Roman"/>
          <w:sz w:val="24"/>
          <w:szCs w:val="24"/>
          <w:lang w:val="es-ES" w:eastAsia="es-CR"/>
        </w:rPr>
        <w:t xml:space="preserve"> (</w:t>
      </w:r>
      <w:r w:rsidR="00A02BB3" w:rsidRPr="00A02BB3">
        <w:rPr>
          <w:rFonts w:ascii="Book Antiqua" w:eastAsia="Calibri" w:hAnsi="Book Antiqua" w:cs="Times New Roman"/>
          <w:b/>
          <w:bCs/>
          <w:sz w:val="24"/>
          <w:szCs w:val="24"/>
          <w:lang w:val="es-ES" w:eastAsia="es-CR"/>
        </w:rPr>
        <w:t>anexo</w:t>
      </w:r>
      <w:r w:rsidR="00A02BB3">
        <w:rPr>
          <w:rFonts w:ascii="Book Antiqua" w:eastAsia="Calibri" w:hAnsi="Book Antiqua" w:cs="Times New Roman"/>
          <w:sz w:val="24"/>
          <w:szCs w:val="24"/>
          <w:lang w:val="es-ES" w:eastAsia="es-CR"/>
        </w:rPr>
        <w:t xml:space="preserve"> </w:t>
      </w:r>
      <w:r w:rsidR="00A02BB3" w:rsidRPr="00A02BB3">
        <w:rPr>
          <w:rFonts w:ascii="Book Antiqua" w:eastAsia="Calibri" w:hAnsi="Book Antiqua" w:cs="Times New Roman"/>
          <w:b/>
          <w:bCs/>
          <w:sz w:val="24"/>
          <w:szCs w:val="24"/>
          <w:lang w:val="es-ES" w:eastAsia="es-CR"/>
        </w:rPr>
        <w:t>22</w:t>
      </w:r>
      <w:r w:rsidR="00A02BB3" w:rsidRPr="00A02BB3">
        <w:rPr>
          <w:rFonts w:ascii="Book Antiqua" w:eastAsia="Calibri" w:hAnsi="Book Antiqua" w:cs="Times New Roman"/>
          <w:sz w:val="24"/>
          <w:szCs w:val="24"/>
          <w:lang w:val="es-ES" w:eastAsia="es-CR"/>
        </w:rPr>
        <w:t xml:space="preserve"> </w:t>
      </w:r>
      <w:r w:rsidR="00A02BB3">
        <w:rPr>
          <w:rFonts w:ascii="Book Antiqua" w:eastAsia="Calibri" w:hAnsi="Book Antiqua" w:cs="Times New Roman"/>
          <w:sz w:val="24"/>
          <w:szCs w:val="24"/>
          <w:lang w:val="es-ES" w:eastAsia="es-CR"/>
        </w:rPr>
        <w:t>)</w:t>
      </w:r>
      <w:r>
        <w:rPr>
          <w:rFonts w:ascii="Book Antiqua" w:eastAsia="Calibri" w:hAnsi="Book Antiqua" w:cs="Times New Roman"/>
          <w:sz w:val="24"/>
          <w:szCs w:val="24"/>
          <w:lang w:val="es-ES" w:eastAsia="es-CR"/>
        </w:rPr>
        <w:t xml:space="preserve">, indicó </w:t>
      </w:r>
    </w:p>
    <w:p w14:paraId="12EE9720" w14:textId="77777777" w:rsidR="00F24894" w:rsidRDefault="00F24894"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29DE2C4F" w14:textId="77777777" w:rsidR="00F24894" w:rsidRPr="00F24894" w:rsidRDefault="00F24894" w:rsidP="00F24894">
      <w:pPr>
        <w:shd w:val="clear" w:color="auto" w:fill="FFFFFF" w:themeFill="background1"/>
        <w:spacing w:after="0" w:line="276" w:lineRule="auto"/>
        <w:ind w:left="567" w:right="567"/>
        <w:jc w:val="both"/>
        <w:rPr>
          <w:rFonts w:ascii="Book Antiqua" w:eastAsia="Calibri" w:hAnsi="Book Antiqua" w:cs="Times New Roman"/>
          <w:sz w:val="24"/>
          <w:szCs w:val="24"/>
          <w:lang w:val="es-ES" w:eastAsia="es-CR"/>
        </w:rPr>
      </w:pPr>
      <w:r w:rsidRPr="00F24894">
        <w:rPr>
          <w:rFonts w:ascii="Book Antiqua" w:eastAsia="Calibri" w:hAnsi="Book Antiqua" w:cs="Times New Roman"/>
          <w:i/>
          <w:iCs/>
          <w:sz w:val="24"/>
          <w:szCs w:val="24"/>
          <w:lang w:val="es-ES" w:eastAsia="es-CR"/>
        </w:rPr>
        <w:t>Buenas tardes, en revisión del contenido presupuestario para materias de familia se adjunta la información del año 2023 para el año 2024 no se visualiza nada referente a esta materia</w:t>
      </w:r>
      <w:r w:rsidRPr="00F24894">
        <w:rPr>
          <w:rFonts w:ascii="Book Antiqua" w:eastAsia="Calibri" w:hAnsi="Book Antiqua" w:cs="Times New Roman"/>
          <w:sz w:val="24"/>
          <w:szCs w:val="24"/>
          <w:lang w:val="es-ES" w:eastAsia="es-CR"/>
        </w:rPr>
        <w:t>.</w:t>
      </w:r>
    </w:p>
    <w:p w14:paraId="4B5690AA" w14:textId="77777777" w:rsidR="00F24894" w:rsidRPr="00F24894" w:rsidRDefault="00F24894" w:rsidP="00F24894">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379C2C05" w14:textId="28E807E7" w:rsidR="00F24894" w:rsidRPr="00F24894" w:rsidRDefault="00F24894" w:rsidP="00F24894">
      <w:pPr>
        <w:shd w:val="clear" w:color="auto" w:fill="FFFFFF" w:themeFill="background1"/>
        <w:spacing w:after="0" w:line="276" w:lineRule="auto"/>
        <w:ind w:left="567" w:right="567"/>
        <w:jc w:val="both"/>
        <w:rPr>
          <w:rFonts w:ascii="Book Antiqua" w:eastAsia="Calibri" w:hAnsi="Book Antiqua" w:cs="Times New Roman"/>
          <w:i/>
          <w:iCs/>
          <w:sz w:val="24"/>
          <w:szCs w:val="24"/>
          <w:lang w:val="es-ES" w:eastAsia="es-CR"/>
        </w:rPr>
      </w:pPr>
      <w:r w:rsidRPr="00F24894">
        <w:rPr>
          <w:rFonts w:ascii="Book Antiqua" w:eastAsia="Calibri" w:hAnsi="Book Antiqua" w:cs="Times New Roman"/>
          <w:i/>
          <w:iCs/>
          <w:sz w:val="24"/>
          <w:szCs w:val="24"/>
          <w:lang w:val="es-ES" w:eastAsia="es-CR"/>
        </w:rPr>
        <w:t>Cabe mencionar, que estas necesidades documentadas están dentro de los pendientes a entregar.</w:t>
      </w:r>
    </w:p>
    <w:p w14:paraId="6883DEDD" w14:textId="77777777" w:rsidR="00F24894" w:rsidRDefault="00F24894" w:rsidP="00F24894">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05470FCB" w14:textId="26E9D6E9" w:rsidR="00291748" w:rsidRDefault="00F24894"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r>
        <w:rPr>
          <w:rFonts w:ascii="Book Antiqua" w:eastAsia="Calibri" w:hAnsi="Book Antiqua" w:cs="Times New Roman"/>
          <w:sz w:val="24"/>
          <w:szCs w:val="24"/>
          <w:lang w:val="es-ES" w:eastAsia="es-CR"/>
        </w:rPr>
        <w:t>S</w:t>
      </w:r>
      <w:r w:rsidR="00A53FD9">
        <w:rPr>
          <w:rFonts w:ascii="Book Antiqua" w:eastAsia="Calibri" w:hAnsi="Book Antiqua" w:cs="Times New Roman"/>
          <w:sz w:val="24"/>
          <w:szCs w:val="24"/>
          <w:lang w:val="es-ES" w:eastAsia="es-CR"/>
        </w:rPr>
        <w:t>in embargo, dada</w:t>
      </w:r>
      <w:r w:rsidR="00291748" w:rsidRPr="008051A1">
        <w:rPr>
          <w:rFonts w:ascii="Book Antiqua" w:eastAsia="Calibri" w:hAnsi="Book Antiqua" w:cs="Times New Roman"/>
          <w:sz w:val="24"/>
          <w:szCs w:val="24"/>
          <w:lang w:val="es-ES" w:eastAsia="es-CR"/>
        </w:rPr>
        <w:t xml:space="preserve"> </w:t>
      </w:r>
      <w:r w:rsidR="00A53FD9">
        <w:rPr>
          <w:rFonts w:ascii="Book Antiqua" w:eastAsia="Calibri" w:hAnsi="Book Antiqua" w:cs="Times New Roman"/>
          <w:sz w:val="24"/>
          <w:szCs w:val="24"/>
          <w:lang w:val="es-ES" w:eastAsia="es-CR"/>
        </w:rPr>
        <w:t>la recomendación de plazas nuevas propuesta para 202</w:t>
      </w:r>
      <w:r w:rsidR="00C53D53">
        <w:rPr>
          <w:rFonts w:ascii="Book Antiqua" w:eastAsia="Calibri" w:hAnsi="Book Antiqua" w:cs="Times New Roman"/>
          <w:sz w:val="24"/>
          <w:szCs w:val="24"/>
          <w:lang w:val="es-ES" w:eastAsia="es-CR"/>
        </w:rPr>
        <w:t xml:space="preserve">4, </w:t>
      </w:r>
      <w:r w:rsidR="00291748" w:rsidRPr="008051A1">
        <w:rPr>
          <w:rFonts w:ascii="Book Antiqua" w:eastAsia="Calibri" w:hAnsi="Book Antiqua" w:cs="Times New Roman"/>
          <w:sz w:val="24"/>
          <w:szCs w:val="24"/>
          <w:lang w:val="es-ES" w:eastAsia="es-CR"/>
        </w:rPr>
        <w:t xml:space="preserve">así como </w:t>
      </w:r>
      <w:r w:rsidR="00291748" w:rsidRPr="001F4D49">
        <w:rPr>
          <w:rFonts w:ascii="Book Antiqua" w:eastAsia="Calibri" w:hAnsi="Book Antiqua" w:cs="Times New Roman"/>
          <w:sz w:val="24"/>
          <w:szCs w:val="24"/>
          <w:lang w:val="es-ES" w:eastAsia="es-CR"/>
        </w:rPr>
        <w:t>la creación del sitio web de la Comisión de Familia</w:t>
      </w:r>
      <w:r w:rsidR="00291748" w:rsidRPr="008051A1">
        <w:rPr>
          <w:rFonts w:ascii="Book Antiqua" w:eastAsia="Calibri" w:hAnsi="Book Antiqua" w:cs="Times New Roman"/>
          <w:sz w:val="24"/>
          <w:szCs w:val="24"/>
          <w:lang w:val="es-ES" w:eastAsia="es-CR"/>
        </w:rPr>
        <w:t xml:space="preserve">, </w:t>
      </w:r>
      <w:r w:rsidR="007F7FCA">
        <w:rPr>
          <w:rFonts w:ascii="Book Antiqua" w:eastAsia="Calibri" w:hAnsi="Book Antiqua" w:cs="Times New Roman"/>
          <w:sz w:val="24"/>
          <w:szCs w:val="24"/>
          <w:lang w:val="es-ES" w:eastAsia="es-CR"/>
        </w:rPr>
        <w:t xml:space="preserve">y </w:t>
      </w:r>
      <w:r w:rsidR="009B5516" w:rsidRPr="008051A1">
        <w:rPr>
          <w:rFonts w:ascii="Book Antiqua" w:eastAsia="Calibri" w:hAnsi="Book Antiqua" w:cs="Times New Roman"/>
          <w:sz w:val="24"/>
          <w:szCs w:val="24"/>
          <w:lang w:val="es-ES" w:eastAsia="es-CR"/>
        </w:rPr>
        <w:t>al no otorgarse en las ejecuciones presupuestarias del 2021</w:t>
      </w:r>
      <w:r w:rsidR="0061536D">
        <w:rPr>
          <w:rFonts w:ascii="Book Antiqua" w:eastAsia="Calibri" w:hAnsi="Book Antiqua" w:cs="Times New Roman"/>
          <w:sz w:val="24"/>
          <w:szCs w:val="24"/>
          <w:lang w:val="es-ES" w:eastAsia="es-CR"/>
        </w:rPr>
        <w:t>,</w:t>
      </w:r>
      <w:r w:rsidR="009B5516" w:rsidRPr="008051A1">
        <w:rPr>
          <w:rFonts w:ascii="Book Antiqua" w:eastAsia="Calibri" w:hAnsi="Book Antiqua" w:cs="Times New Roman"/>
          <w:sz w:val="24"/>
          <w:szCs w:val="24"/>
          <w:lang w:val="es-ES" w:eastAsia="es-CR"/>
        </w:rPr>
        <w:t xml:space="preserve"> 2022</w:t>
      </w:r>
      <w:r w:rsidR="00A53FD9">
        <w:rPr>
          <w:rFonts w:ascii="Book Antiqua" w:eastAsia="Calibri" w:hAnsi="Book Antiqua" w:cs="Times New Roman"/>
          <w:sz w:val="24"/>
          <w:szCs w:val="24"/>
          <w:lang w:val="es-ES" w:eastAsia="es-CR"/>
        </w:rPr>
        <w:t xml:space="preserve"> </w:t>
      </w:r>
      <w:r w:rsidR="0061536D">
        <w:rPr>
          <w:rFonts w:ascii="Book Antiqua" w:eastAsia="Calibri" w:hAnsi="Book Antiqua" w:cs="Times New Roman"/>
          <w:sz w:val="24"/>
          <w:szCs w:val="24"/>
          <w:lang w:val="es-ES" w:eastAsia="es-CR"/>
        </w:rPr>
        <w:t xml:space="preserve">y 2023 </w:t>
      </w:r>
      <w:r w:rsidR="009B5516" w:rsidRPr="008051A1">
        <w:rPr>
          <w:rFonts w:ascii="Book Antiqua" w:eastAsia="Calibri" w:hAnsi="Book Antiqua" w:cs="Times New Roman"/>
          <w:sz w:val="24"/>
          <w:szCs w:val="24"/>
          <w:lang w:val="es-ES" w:eastAsia="es-CR"/>
        </w:rPr>
        <w:t xml:space="preserve">los recursos solicitados para la </w:t>
      </w:r>
      <w:r w:rsidR="00411EB4">
        <w:rPr>
          <w:rFonts w:ascii="Book Antiqua" w:eastAsia="Calibri" w:hAnsi="Book Antiqua" w:cs="Times New Roman"/>
          <w:sz w:val="24"/>
          <w:szCs w:val="24"/>
          <w:lang w:val="es-ES" w:eastAsia="es-CR"/>
        </w:rPr>
        <w:t>L</w:t>
      </w:r>
      <w:r w:rsidR="009B5516" w:rsidRPr="008051A1">
        <w:rPr>
          <w:rFonts w:ascii="Book Antiqua" w:eastAsia="Calibri" w:hAnsi="Book Antiqua" w:cs="Times New Roman"/>
          <w:sz w:val="24"/>
          <w:szCs w:val="24"/>
          <w:lang w:val="es-ES" w:eastAsia="es-CR"/>
        </w:rPr>
        <w:t xml:space="preserve">ey 9747, </w:t>
      </w:r>
      <w:r w:rsidR="009B5516" w:rsidRPr="00E0735F">
        <w:rPr>
          <w:rFonts w:ascii="Book Antiqua" w:eastAsia="Calibri" w:hAnsi="Book Antiqua" w:cs="Times New Roman"/>
          <w:sz w:val="24"/>
          <w:szCs w:val="24"/>
          <w:lang w:val="es-ES" w:eastAsia="es-CR"/>
        </w:rPr>
        <w:t xml:space="preserve">se </w:t>
      </w:r>
      <w:r w:rsidR="00411EB4" w:rsidRPr="00E0735F">
        <w:rPr>
          <w:rFonts w:ascii="Book Antiqua" w:eastAsia="Calibri" w:hAnsi="Book Antiqua" w:cs="Times New Roman"/>
          <w:sz w:val="24"/>
          <w:szCs w:val="24"/>
          <w:lang w:val="es-ES" w:eastAsia="es-CR"/>
        </w:rPr>
        <w:t>mantiene</w:t>
      </w:r>
      <w:r w:rsidR="00291748" w:rsidRPr="00E0735F">
        <w:rPr>
          <w:rFonts w:ascii="Book Antiqua" w:eastAsia="Calibri" w:hAnsi="Book Antiqua" w:cs="Times New Roman"/>
          <w:sz w:val="24"/>
          <w:szCs w:val="24"/>
          <w:lang w:val="es-ES" w:eastAsia="es-CR"/>
        </w:rPr>
        <w:t xml:space="preserve"> la incorporación de </w:t>
      </w:r>
      <w:r w:rsidR="00BE3A12" w:rsidRPr="00E0735F">
        <w:rPr>
          <w:rFonts w:ascii="Book Antiqua" w:eastAsia="Calibri" w:hAnsi="Book Antiqua" w:cs="Times New Roman"/>
          <w:sz w:val="24"/>
          <w:szCs w:val="24"/>
          <w:lang w:val="es-ES" w:eastAsia="es-CR"/>
        </w:rPr>
        <w:t xml:space="preserve">15 millones de colones para la construcción del sitio web </w:t>
      </w:r>
      <w:r w:rsidR="005405C6" w:rsidRPr="00E0735F">
        <w:rPr>
          <w:rFonts w:ascii="Book Antiqua" w:eastAsia="Calibri" w:hAnsi="Book Antiqua" w:cs="Times New Roman"/>
          <w:sz w:val="24"/>
          <w:szCs w:val="24"/>
          <w:lang w:val="es-ES" w:eastAsia="es-CR"/>
        </w:rPr>
        <w:t>de</w:t>
      </w:r>
      <w:r w:rsidR="00BE3A12" w:rsidRPr="00E0735F">
        <w:rPr>
          <w:rFonts w:ascii="Book Antiqua" w:eastAsia="Calibri" w:hAnsi="Book Antiqua" w:cs="Times New Roman"/>
          <w:sz w:val="24"/>
          <w:szCs w:val="24"/>
          <w:lang w:val="es-ES" w:eastAsia="es-CR"/>
        </w:rPr>
        <w:t xml:space="preserve"> Comisión de Familia,</w:t>
      </w:r>
      <w:r w:rsidR="00BE3A12">
        <w:rPr>
          <w:rFonts w:ascii="Book Antiqua" w:eastAsia="Calibri" w:hAnsi="Book Antiqua" w:cs="Times New Roman"/>
          <w:sz w:val="24"/>
          <w:szCs w:val="24"/>
          <w:lang w:val="es-ES" w:eastAsia="es-CR"/>
        </w:rPr>
        <w:t xml:space="preserve"> más los equipos con el siguiente costo:</w:t>
      </w:r>
    </w:p>
    <w:p w14:paraId="21690BF9" w14:textId="55FD0D7F" w:rsidR="00BE3A12" w:rsidRDefault="00BE3A12"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67FBAA42" w14:textId="24AC0F39" w:rsidR="00BE3A12" w:rsidRPr="007D422A" w:rsidRDefault="005405C6">
      <w:pPr>
        <w:pStyle w:val="Prrafodelista"/>
        <w:numPr>
          <w:ilvl w:val="0"/>
          <w:numId w:val="41"/>
        </w:numPr>
        <w:shd w:val="clear" w:color="auto" w:fill="FFFFFF" w:themeFill="background1"/>
        <w:spacing w:after="0" w:line="276" w:lineRule="auto"/>
        <w:jc w:val="both"/>
        <w:rPr>
          <w:rFonts w:ascii="Book Antiqua" w:eastAsia="Calibri" w:hAnsi="Book Antiqua" w:cs="Times New Roman"/>
          <w:sz w:val="24"/>
          <w:szCs w:val="24"/>
          <w:lang w:val="es-ES" w:eastAsia="es-CR"/>
        </w:rPr>
      </w:pPr>
      <w:r w:rsidRPr="007D422A">
        <w:rPr>
          <w:rFonts w:ascii="Times New Roman" w:eastAsia="Calibri" w:hAnsi="Times New Roman" w:cs="Times New Roman"/>
          <w:sz w:val="24"/>
          <w:szCs w:val="24"/>
          <w:lang w:val="es-ES" w:eastAsia="es-CR"/>
        </w:rPr>
        <w:t>₡</w:t>
      </w:r>
      <w:r w:rsidRPr="007D422A">
        <w:rPr>
          <w:rFonts w:ascii="Book Antiqua" w:eastAsia="Calibri" w:hAnsi="Book Antiqua" w:cs="Times New Roman"/>
          <w:sz w:val="24"/>
          <w:szCs w:val="24"/>
          <w:lang w:val="es-ES" w:eastAsia="es-CR"/>
        </w:rPr>
        <w:t>1</w:t>
      </w:r>
      <w:r w:rsidR="005C1494">
        <w:rPr>
          <w:rFonts w:ascii="Book Antiqua" w:eastAsia="Calibri" w:hAnsi="Book Antiqua" w:cs="Times New Roman"/>
          <w:sz w:val="24"/>
          <w:szCs w:val="24"/>
          <w:lang w:val="es-ES" w:eastAsia="es-CR"/>
        </w:rPr>
        <w:t>1</w:t>
      </w:r>
      <w:r w:rsidRPr="007D422A">
        <w:rPr>
          <w:rFonts w:ascii="Book Antiqua" w:eastAsia="Calibri" w:hAnsi="Book Antiqua" w:cs="Times New Roman"/>
          <w:sz w:val="24"/>
          <w:szCs w:val="24"/>
          <w:lang w:val="es-ES" w:eastAsia="es-CR"/>
        </w:rPr>
        <w:t xml:space="preserve">4 </w:t>
      </w:r>
      <w:r w:rsidR="005C1494">
        <w:rPr>
          <w:rFonts w:ascii="Book Antiqua" w:eastAsia="Calibri" w:hAnsi="Book Antiqua" w:cs="Times New Roman"/>
          <w:sz w:val="24"/>
          <w:szCs w:val="24"/>
          <w:lang w:val="es-ES" w:eastAsia="es-CR"/>
        </w:rPr>
        <w:t>3</w:t>
      </w:r>
      <w:r w:rsidRPr="007D422A">
        <w:rPr>
          <w:rFonts w:ascii="Book Antiqua" w:eastAsia="Calibri" w:hAnsi="Book Antiqua" w:cs="Times New Roman"/>
          <w:sz w:val="24"/>
          <w:szCs w:val="24"/>
          <w:lang w:val="es-ES" w:eastAsia="es-CR"/>
        </w:rPr>
        <w:t>37,</w:t>
      </w:r>
      <w:r w:rsidR="005C1494">
        <w:rPr>
          <w:rFonts w:ascii="Book Antiqua" w:eastAsia="Calibri" w:hAnsi="Book Antiqua" w:cs="Times New Roman"/>
          <w:sz w:val="24"/>
          <w:szCs w:val="24"/>
          <w:lang w:val="es-ES" w:eastAsia="es-CR"/>
        </w:rPr>
        <w:t>92</w:t>
      </w:r>
      <w:r w:rsidRPr="007D422A">
        <w:rPr>
          <w:rFonts w:ascii="Book Antiqua" w:eastAsia="Calibri" w:hAnsi="Book Antiqua" w:cs="Times New Roman"/>
          <w:sz w:val="24"/>
          <w:szCs w:val="24"/>
          <w:lang w:val="es-ES" w:eastAsia="es-CR"/>
        </w:rPr>
        <w:t xml:space="preserve"> de una </w:t>
      </w:r>
      <w:r w:rsidR="00BE3A12" w:rsidRPr="007D422A">
        <w:rPr>
          <w:rFonts w:ascii="Book Antiqua" w:eastAsia="Calibri" w:hAnsi="Book Antiqua" w:cs="Times New Roman"/>
          <w:sz w:val="24"/>
          <w:szCs w:val="24"/>
          <w:lang w:val="es-ES" w:eastAsia="es-CR"/>
        </w:rPr>
        <w:t xml:space="preserve">licencia E3 </w:t>
      </w:r>
      <w:r w:rsidRPr="007D422A">
        <w:rPr>
          <w:rFonts w:ascii="Book Antiqua" w:eastAsia="Calibri" w:hAnsi="Book Antiqua" w:cs="Times New Roman"/>
          <w:sz w:val="24"/>
          <w:szCs w:val="24"/>
          <w:lang w:val="es-ES" w:eastAsia="es-CR"/>
        </w:rPr>
        <w:t xml:space="preserve">anual </w:t>
      </w:r>
      <w:r w:rsidR="00BE3A12" w:rsidRPr="007D422A">
        <w:rPr>
          <w:rFonts w:ascii="Book Antiqua" w:eastAsia="Calibri" w:hAnsi="Book Antiqua" w:cs="Times New Roman"/>
          <w:sz w:val="24"/>
          <w:szCs w:val="24"/>
          <w:lang w:val="es-ES" w:eastAsia="es-CR"/>
        </w:rPr>
        <w:t xml:space="preserve">para puestos profesionales + </w:t>
      </w:r>
      <w:r w:rsidRPr="007D422A">
        <w:rPr>
          <w:rFonts w:ascii="Times New Roman" w:eastAsia="Calibri" w:hAnsi="Times New Roman" w:cs="Times New Roman"/>
          <w:sz w:val="24"/>
          <w:szCs w:val="24"/>
          <w:lang w:val="es-ES" w:eastAsia="es-CR"/>
        </w:rPr>
        <w:t>₡</w:t>
      </w:r>
      <w:r w:rsidR="003F602A" w:rsidRPr="007D422A">
        <w:rPr>
          <w:rFonts w:ascii="Book Antiqua" w:eastAsia="Calibri" w:hAnsi="Book Antiqua" w:cs="Times New Roman"/>
          <w:sz w:val="24"/>
          <w:szCs w:val="24"/>
          <w:lang w:val="es-ES" w:eastAsia="es-CR"/>
        </w:rPr>
        <w:t>1</w:t>
      </w:r>
      <w:r w:rsidR="004601C0" w:rsidRPr="007D422A">
        <w:rPr>
          <w:rFonts w:ascii="Book Antiqua" w:eastAsia="Calibri" w:hAnsi="Book Antiqua" w:cs="Times New Roman"/>
          <w:sz w:val="24"/>
          <w:szCs w:val="24"/>
          <w:lang w:val="es-ES" w:eastAsia="es-CR"/>
        </w:rPr>
        <w:t> 552 682</w:t>
      </w:r>
      <w:r w:rsidRPr="007D422A">
        <w:rPr>
          <w:rFonts w:ascii="Book Antiqua" w:eastAsia="Calibri" w:hAnsi="Book Antiqua" w:cs="Times New Roman"/>
          <w:sz w:val="24"/>
          <w:szCs w:val="24"/>
          <w:lang w:val="es-ES" w:eastAsia="es-CR"/>
        </w:rPr>
        <w:t xml:space="preserve"> </w:t>
      </w:r>
      <w:r w:rsidR="00BE3A12" w:rsidRPr="007D422A">
        <w:rPr>
          <w:rFonts w:ascii="Book Antiqua" w:eastAsia="Calibri" w:hAnsi="Book Antiqua" w:cs="Times New Roman"/>
          <w:sz w:val="24"/>
          <w:szCs w:val="24"/>
          <w:lang w:val="es-ES" w:eastAsia="es-CR"/>
        </w:rPr>
        <w:t xml:space="preserve">del equipo </w:t>
      </w:r>
      <w:r w:rsidRPr="007D422A">
        <w:rPr>
          <w:rFonts w:ascii="Book Antiqua" w:eastAsia="Calibri" w:hAnsi="Book Antiqua" w:cs="Times New Roman"/>
          <w:sz w:val="24"/>
          <w:szCs w:val="24"/>
          <w:lang w:val="es-ES" w:eastAsia="es-CR"/>
        </w:rPr>
        <w:t>portátil</w:t>
      </w:r>
      <w:r w:rsidR="00BE3A12" w:rsidRPr="007D422A">
        <w:rPr>
          <w:rFonts w:ascii="Book Antiqua" w:eastAsia="Calibri" w:hAnsi="Book Antiqua" w:cs="Times New Roman"/>
          <w:sz w:val="24"/>
          <w:szCs w:val="24"/>
          <w:lang w:val="es-ES" w:eastAsia="es-CR"/>
        </w:rPr>
        <w:t>=</w:t>
      </w:r>
      <w:r w:rsidRPr="007D422A">
        <w:rPr>
          <w:rFonts w:ascii="Book Antiqua" w:eastAsia="Calibri" w:hAnsi="Book Antiqua" w:cs="Times New Roman"/>
          <w:sz w:val="24"/>
          <w:szCs w:val="24"/>
          <w:lang w:val="es-ES" w:eastAsia="es-CR"/>
        </w:rPr>
        <w:t xml:space="preserve"> </w:t>
      </w:r>
      <w:r w:rsidRPr="007D422A">
        <w:rPr>
          <w:rFonts w:ascii="Times New Roman" w:eastAsia="Calibri" w:hAnsi="Times New Roman" w:cs="Times New Roman"/>
          <w:sz w:val="24"/>
          <w:szCs w:val="24"/>
          <w:lang w:val="es-ES" w:eastAsia="es-CR"/>
        </w:rPr>
        <w:t>₡</w:t>
      </w:r>
      <w:r w:rsidR="000C0BAE" w:rsidRPr="007D422A">
        <w:rPr>
          <w:rFonts w:ascii="Book Antiqua" w:eastAsia="Calibri" w:hAnsi="Book Antiqua" w:cs="Times New Roman"/>
          <w:sz w:val="24"/>
          <w:szCs w:val="24"/>
          <w:lang w:val="es-ES" w:eastAsia="es-CR"/>
        </w:rPr>
        <w:t>1</w:t>
      </w:r>
      <w:r w:rsidR="00236BEC" w:rsidRPr="007D422A">
        <w:rPr>
          <w:rFonts w:ascii="Book Antiqua" w:eastAsia="Calibri" w:hAnsi="Book Antiqua" w:cs="Times New Roman"/>
          <w:sz w:val="24"/>
          <w:szCs w:val="24"/>
          <w:lang w:val="es-ES" w:eastAsia="es-CR"/>
        </w:rPr>
        <w:t> 66</w:t>
      </w:r>
      <w:r w:rsidR="00E0735F">
        <w:rPr>
          <w:rFonts w:ascii="Book Antiqua" w:eastAsia="Calibri" w:hAnsi="Book Antiqua" w:cs="Times New Roman"/>
          <w:sz w:val="24"/>
          <w:szCs w:val="24"/>
          <w:lang w:val="es-ES" w:eastAsia="es-CR"/>
        </w:rPr>
        <w:t>7 0</w:t>
      </w:r>
      <w:r w:rsidR="00236BEC" w:rsidRPr="007D422A">
        <w:rPr>
          <w:rFonts w:ascii="Book Antiqua" w:eastAsia="Calibri" w:hAnsi="Book Antiqua" w:cs="Times New Roman"/>
          <w:sz w:val="24"/>
          <w:szCs w:val="24"/>
          <w:lang w:val="es-ES" w:eastAsia="es-CR"/>
        </w:rPr>
        <w:t>19</w:t>
      </w:r>
      <w:r w:rsidR="00E0735F">
        <w:rPr>
          <w:rFonts w:ascii="Book Antiqua" w:eastAsia="Calibri" w:hAnsi="Book Antiqua" w:cs="Times New Roman"/>
          <w:sz w:val="24"/>
          <w:szCs w:val="24"/>
          <w:lang w:val="es-ES" w:eastAsia="es-CR"/>
        </w:rPr>
        <w:t>, 92</w:t>
      </w:r>
      <w:r w:rsidR="007D422A" w:rsidRPr="007D422A">
        <w:rPr>
          <w:rFonts w:ascii="Book Antiqua" w:eastAsia="Calibri" w:hAnsi="Book Antiqua" w:cs="Times New Roman"/>
          <w:sz w:val="24"/>
          <w:szCs w:val="24"/>
          <w:lang w:val="es-ES" w:eastAsia="es-CR"/>
        </w:rPr>
        <w:t>.</w:t>
      </w:r>
    </w:p>
    <w:p w14:paraId="6E33F7C3" w14:textId="7E16EB10" w:rsidR="00BE3A12" w:rsidRPr="007D422A" w:rsidRDefault="005405C6">
      <w:pPr>
        <w:pStyle w:val="Prrafodelista"/>
        <w:numPr>
          <w:ilvl w:val="0"/>
          <w:numId w:val="41"/>
        </w:numPr>
        <w:shd w:val="clear" w:color="auto" w:fill="FFFFFF" w:themeFill="background1"/>
        <w:spacing w:after="0" w:line="276" w:lineRule="auto"/>
        <w:jc w:val="both"/>
        <w:rPr>
          <w:rFonts w:ascii="Book Antiqua" w:eastAsia="Calibri" w:hAnsi="Book Antiqua" w:cs="Times New Roman"/>
          <w:sz w:val="24"/>
          <w:szCs w:val="24"/>
          <w:lang w:val="es-ES" w:eastAsia="es-CR"/>
        </w:rPr>
      </w:pPr>
      <w:r w:rsidRPr="007D422A">
        <w:rPr>
          <w:rFonts w:ascii="Times New Roman" w:eastAsia="Calibri" w:hAnsi="Times New Roman" w:cs="Times New Roman"/>
          <w:sz w:val="24"/>
          <w:szCs w:val="24"/>
          <w:lang w:val="es-ES" w:eastAsia="es-CR"/>
        </w:rPr>
        <w:t>₡</w:t>
      </w:r>
      <w:r w:rsidRPr="007D422A">
        <w:rPr>
          <w:rFonts w:ascii="Book Antiqua" w:eastAsia="Calibri" w:hAnsi="Book Antiqua" w:cs="Times New Roman"/>
          <w:sz w:val="24"/>
          <w:szCs w:val="24"/>
          <w:lang w:val="es-ES" w:eastAsia="es-CR"/>
        </w:rPr>
        <w:t>78</w:t>
      </w:r>
      <w:r w:rsidR="004F2FFA">
        <w:rPr>
          <w:rFonts w:ascii="Book Antiqua" w:eastAsia="Calibri" w:hAnsi="Book Antiqua" w:cs="Times New Roman"/>
          <w:sz w:val="24"/>
          <w:szCs w:val="24"/>
          <w:lang w:val="es-ES" w:eastAsia="es-CR"/>
        </w:rPr>
        <w:t xml:space="preserve"> 186</w:t>
      </w:r>
      <w:r w:rsidRPr="007D422A">
        <w:rPr>
          <w:rFonts w:ascii="Book Antiqua" w:eastAsia="Calibri" w:hAnsi="Book Antiqua" w:cs="Times New Roman"/>
          <w:sz w:val="24"/>
          <w:szCs w:val="24"/>
          <w:lang w:val="es-ES" w:eastAsia="es-CR"/>
        </w:rPr>
        <w:t>,</w:t>
      </w:r>
      <w:r w:rsidR="004F2FFA">
        <w:rPr>
          <w:rFonts w:ascii="Book Antiqua" w:eastAsia="Calibri" w:hAnsi="Book Antiqua" w:cs="Times New Roman"/>
          <w:sz w:val="24"/>
          <w:szCs w:val="24"/>
          <w:lang w:val="es-ES" w:eastAsia="es-CR"/>
        </w:rPr>
        <w:t>96</w:t>
      </w:r>
      <w:r w:rsidRPr="007D422A">
        <w:rPr>
          <w:rFonts w:ascii="Book Antiqua" w:eastAsia="Calibri" w:hAnsi="Book Antiqua" w:cs="Times New Roman"/>
          <w:sz w:val="24"/>
          <w:szCs w:val="24"/>
          <w:lang w:val="es-ES" w:eastAsia="es-CR"/>
        </w:rPr>
        <w:t xml:space="preserve"> de una </w:t>
      </w:r>
      <w:r w:rsidR="00BE3A12" w:rsidRPr="007D422A">
        <w:rPr>
          <w:rFonts w:ascii="Book Antiqua" w:eastAsia="Calibri" w:hAnsi="Book Antiqua" w:cs="Times New Roman"/>
          <w:sz w:val="24"/>
          <w:szCs w:val="24"/>
          <w:lang w:val="es-ES" w:eastAsia="es-CR"/>
        </w:rPr>
        <w:t>licencia</w:t>
      </w:r>
      <w:r w:rsidRPr="007D422A">
        <w:rPr>
          <w:rFonts w:ascii="Book Antiqua" w:eastAsia="Calibri" w:hAnsi="Book Antiqua" w:cs="Times New Roman"/>
          <w:sz w:val="24"/>
          <w:szCs w:val="24"/>
          <w:lang w:val="es-ES" w:eastAsia="es-CR"/>
        </w:rPr>
        <w:t xml:space="preserve"> anual</w:t>
      </w:r>
      <w:r w:rsidR="00BE3A12" w:rsidRPr="007D422A">
        <w:rPr>
          <w:rFonts w:ascii="Book Antiqua" w:eastAsia="Calibri" w:hAnsi="Book Antiqua" w:cs="Times New Roman"/>
          <w:sz w:val="24"/>
          <w:szCs w:val="24"/>
          <w:lang w:val="es-ES" w:eastAsia="es-CR"/>
        </w:rPr>
        <w:t xml:space="preserve"> E0 personal no profesional + </w:t>
      </w:r>
      <w:r w:rsidRPr="007D422A">
        <w:rPr>
          <w:rFonts w:ascii="Times New Roman" w:eastAsia="Calibri" w:hAnsi="Times New Roman" w:cs="Times New Roman"/>
          <w:sz w:val="24"/>
          <w:szCs w:val="24"/>
          <w:lang w:val="es-ES" w:eastAsia="es-CR"/>
        </w:rPr>
        <w:t>₡</w:t>
      </w:r>
      <w:r w:rsidR="00AC4A6C" w:rsidRPr="007D422A">
        <w:rPr>
          <w:rFonts w:ascii="Book Antiqua" w:eastAsia="Calibri" w:hAnsi="Book Antiqua" w:cs="Times New Roman"/>
          <w:sz w:val="24"/>
          <w:szCs w:val="24"/>
          <w:lang w:val="es-ES" w:eastAsia="es-CR"/>
        </w:rPr>
        <w:t>1</w:t>
      </w:r>
      <w:r w:rsidR="0013619B" w:rsidRPr="007D422A">
        <w:rPr>
          <w:rFonts w:ascii="Book Antiqua" w:eastAsia="Calibri" w:hAnsi="Book Antiqua" w:cs="Times New Roman"/>
          <w:sz w:val="24"/>
          <w:szCs w:val="24"/>
          <w:lang w:val="es-ES" w:eastAsia="es-CR"/>
        </w:rPr>
        <w:t> 058 920</w:t>
      </w:r>
      <w:r w:rsidRPr="007D422A">
        <w:rPr>
          <w:rFonts w:ascii="Book Antiqua" w:eastAsia="Calibri" w:hAnsi="Book Antiqua" w:cs="Times New Roman"/>
          <w:sz w:val="24"/>
          <w:szCs w:val="24"/>
          <w:lang w:val="es-ES" w:eastAsia="es-CR"/>
        </w:rPr>
        <w:t xml:space="preserve"> costo</w:t>
      </w:r>
      <w:r w:rsidR="00BE3A12" w:rsidRPr="007D422A">
        <w:rPr>
          <w:rFonts w:ascii="Book Antiqua" w:eastAsia="Calibri" w:hAnsi="Book Antiqua" w:cs="Times New Roman"/>
          <w:sz w:val="24"/>
          <w:szCs w:val="24"/>
          <w:lang w:val="es-ES" w:eastAsia="es-CR"/>
        </w:rPr>
        <w:t xml:space="preserve"> equipo computo de escritorio= </w:t>
      </w:r>
      <w:r w:rsidRPr="007D422A">
        <w:rPr>
          <w:rFonts w:ascii="Times New Roman" w:eastAsia="Calibri" w:hAnsi="Times New Roman" w:cs="Times New Roman"/>
          <w:sz w:val="24"/>
          <w:szCs w:val="24"/>
          <w:lang w:val="es-ES" w:eastAsia="es-CR"/>
        </w:rPr>
        <w:t>₡</w:t>
      </w:r>
      <w:r w:rsidR="00CA7240" w:rsidRPr="007D422A">
        <w:rPr>
          <w:rFonts w:ascii="Book Antiqua" w:eastAsia="Calibri" w:hAnsi="Book Antiqua" w:cs="Times New Roman"/>
          <w:sz w:val="24"/>
          <w:szCs w:val="24"/>
          <w:lang w:val="es-ES" w:eastAsia="es-CR"/>
        </w:rPr>
        <w:t>1 </w:t>
      </w:r>
      <w:r w:rsidR="00A32788">
        <w:rPr>
          <w:rFonts w:ascii="Book Antiqua" w:eastAsia="Calibri" w:hAnsi="Book Antiqua" w:cs="Times New Roman"/>
          <w:sz w:val="24"/>
          <w:szCs w:val="24"/>
          <w:lang w:val="es-ES" w:eastAsia="es-CR"/>
        </w:rPr>
        <w:t>137</w:t>
      </w:r>
      <w:r w:rsidR="00E0735F">
        <w:rPr>
          <w:rFonts w:ascii="Book Antiqua" w:eastAsia="Calibri" w:hAnsi="Book Antiqua" w:cs="Times New Roman"/>
          <w:sz w:val="24"/>
          <w:szCs w:val="24"/>
          <w:lang w:val="es-ES" w:eastAsia="es-CR"/>
        </w:rPr>
        <w:t> 106,96</w:t>
      </w:r>
      <w:r w:rsidR="007D422A" w:rsidRPr="007D422A">
        <w:rPr>
          <w:rFonts w:ascii="Book Antiqua" w:eastAsia="Calibri" w:hAnsi="Book Antiqua" w:cs="Times New Roman"/>
          <w:sz w:val="24"/>
          <w:szCs w:val="24"/>
          <w:lang w:val="es-ES" w:eastAsia="es-CR"/>
        </w:rPr>
        <w:t>.</w:t>
      </w:r>
    </w:p>
    <w:p w14:paraId="167DEDAF" w14:textId="77777777" w:rsidR="00291748" w:rsidRPr="001D0C10" w:rsidRDefault="00291748" w:rsidP="007442EC">
      <w:pPr>
        <w:spacing w:after="0" w:line="276" w:lineRule="auto"/>
        <w:jc w:val="both"/>
        <w:rPr>
          <w:rFonts w:ascii="Book Antiqua" w:eastAsia="Calibri" w:hAnsi="Book Antiqua" w:cs="Times New Roman"/>
          <w:i/>
          <w:iCs/>
          <w:sz w:val="20"/>
          <w:szCs w:val="20"/>
          <w:lang w:val="es-ES" w:eastAsia="es-CR"/>
        </w:rPr>
      </w:pPr>
    </w:p>
    <w:p w14:paraId="71BC402A" w14:textId="01108915" w:rsidR="005405C6" w:rsidRDefault="0020272E" w:rsidP="005405C6">
      <w:pPr>
        <w:spacing w:after="0" w:line="240" w:lineRule="auto"/>
        <w:ind w:right="616"/>
        <w:jc w:val="both"/>
        <w:rPr>
          <w:rFonts w:ascii="Book Antiqua" w:eastAsia="Calibri" w:hAnsi="Book Antiqua" w:cs="Arial"/>
          <w:i/>
          <w:iCs/>
        </w:rPr>
      </w:pPr>
      <w:r w:rsidRPr="00EA13B1">
        <w:rPr>
          <w:rFonts w:ascii="Book Antiqua" w:eastAsia="Calibri" w:hAnsi="Book Antiqua" w:cs="Arial"/>
          <w:sz w:val="24"/>
          <w:szCs w:val="24"/>
        </w:rPr>
        <w:t>S</w:t>
      </w:r>
      <w:r w:rsidR="000B0740" w:rsidRPr="00EA13B1">
        <w:rPr>
          <w:rFonts w:ascii="Book Antiqua" w:eastAsia="Calibri" w:hAnsi="Book Antiqua" w:cs="Arial"/>
          <w:sz w:val="24"/>
          <w:szCs w:val="24"/>
        </w:rPr>
        <w:t>e estima el presupuesto para DTI</w:t>
      </w:r>
      <w:r w:rsidRPr="00EA13B1">
        <w:rPr>
          <w:rFonts w:ascii="Book Antiqua" w:eastAsia="Calibri" w:hAnsi="Book Antiqua" w:cs="Arial"/>
          <w:sz w:val="24"/>
          <w:szCs w:val="24"/>
        </w:rPr>
        <w:t>C</w:t>
      </w:r>
      <w:r w:rsidR="000B0740" w:rsidRPr="00EA13B1">
        <w:rPr>
          <w:rFonts w:ascii="Book Antiqua" w:eastAsia="Calibri" w:hAnsi="Book Antiqua" w:cs="Arial"/>
          <w:sz w:val="24"/>
          <w:szCs w:val="24"/>
        </w:rPr>
        <w:t>:</w:t>
      </w:r>
    </w:p>
    <w:p w14:paraId="45159166" w14:textId="6777E240" w:rsidR="000B0740" w:rsidRDefault="000B0740" w:rsidP="005405C6">
      <w:pPr>
        <w:spacing w:after="0" w:line="240" w:lineRule="auto"/>
        <w:ind w:right="616"/>
        <w:jc w:val="both"/>
        <w:rPr>
          <w:rFonts w:ascii="Book Antiqua" w:eastAsia="Calibri" w:hAnsi="Book Antiqua" w:cs="Arial"/>
          <w:i/>
          <w:iCs/>
        </w:rPr>
      </w:pPr>
    </w:p>
    <w:p w14:paraId="7D2F962D" w14:textId="77777777" w:rsidR="000B0740" w:rsidRDefault="000B0740" w:rsidP="005405C6">
      <w:pPr>
        <w:spacing w:after="0" w:line="240" w:lineRule="auto"/>
        <w:ind w:right="616"/>
        <w:jc w:val="both"/>
        <w:rPr>
          <w:rFonts w:ascii="Book Antiqua" w:eastAsia="Calibri" w:hAnsi="Book Antiqua" w:cs="Arial"/>
          <w:i/>
          <w:iCs/>
        </w:rPr>
      </w:pPr>
    </w:p>
    <w:tbl>
      <w:tblPr>
        <w:tblW w:w="5340" w:type="pct"/>
        <w:tblCellMar>
          <w:left w:w="70" w:type="dxa"/>
          <w:right w:w="70" w:type="dxa"/>
        </w:tblCellMar>
        <w:tblLook w:val="04A0" w:firstRow="1" w:lastRow="0" w:firstColumn="1" w:lastColumn="0" w:noHBand="0" w:noVBand="1"/>
      </w:tblPr>
      <w:tblGrid>
        <w:gridCol w:w="1212"/>
        <w:gridCol w:w="1727"/>
        <w:gridCol w:w="1471"/>
        <w:gridCol w:w="1640"/>
        <w:gridCol w:w="1541"/>
        <w:gridCol w:w="1837"/>
      </w:tblGrid>
      <w:tr w:rsidR="00CF0E4E" w:rsidRPr="00030CBA" w14:paraId="5E2CBD2A" w14:textId="77777777" w:rsidTr="009B71C9">
        <w:trPr>
          <w:trHeight w:val="1167"/>
        </w:trPr>
        <w:tc>
          <w:tcPr>
            <w:tcW w:w="643"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308F34D8"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Cantidad</w:t>
            </w:r>
          </w:p>
        </w:tc>
        <w:tc>
          <w:tcPr>
            <w:tcW w:w="916" w:type="pct"/>
            <w:tcBorders>
              <w:top w:val="single" w:sz="4" w:space="0" w:color="auto"/>
              <w:left w:val="nil"/>
              <w:bottom w:val="single" w:sz="4" w:space="0" w:color="auto"/>
              <w:right w:val="single" w:sz="4" w:space="0" w:color="auto"/>
            </w:tcBorders>
            <w:shd w:val="clear" w:color="000000" w:fill="DDEBF7"/>
            <w:vAlign w:val="center"/>
            <w:hideMark/>
          </w:tcPr>
          <w:p w14:paraId="00EB1E1C"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Licencia puesto no profesional (E0)</w:t>
            </w:r>
          </w:p>
        </w:tc>
        <w:tc>
          <w:tcPr>
            <w:tcW w:w="780" w:type="pct"/>
            <w:tcBorders>
              <w:top w:val="single" w:sz="4" w:space="0" w:color="auto"/>
              <w:left w:val="nil"/>
              <w:bottom w:val="single" w:sz="4" w:space="0" w:color="auto"/>
              <w:right w:val="single" w:sz="4" w:space="0" w:color="auto"/>
            </w:tcBorders>
            <w:shd w:val="clear" w:color="000000" w:fill="DDEBF7"/>
            <w:vAlign w:val="center"/>
            <w:hideMark/>
          </w:tcPr>
          <w:p w14:paraId="56EED144"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equipo puesto no profesional (escritorio)</w:t>
            </w:r>
          </w:p>
        </w:tc>
        <w:tc>
          <w:tcPr>
            <w:tcW w:w="870" w:type="pct"/>
            <w:tcBorders>
              <w:top w:val="single" w:sz="4" w:space="0" w:color="auto"/>
              <w:left w:val="nil"/>
              <w:bottom w:val="single" w:sz="4" w:space="0" w:color="auto"/>
              <w:right w:val="single" w:sz="4" w:space="0" w:color="auto"/>
            </w:tcBorders>
            <w:shd w:val="clear" w:color="000000" w:fill="DDEBF7"/>
            <w:vAlign w:val="center"/>
            <w:hideMark/>
          </w:tcPr>
          <w:p w14:paraId="22DF0748" w14:textId="1AD1A4DF"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Licencia puesto profesional (E03)</w:t>
            </w:r>
          </w:p>
        </w:tc>
        <w:tc>
          <w:tcPr>
            <w:tcW w:w="811" w:type="pct"/>
            <w:tcBorders>
              <w:top w:val="single" w:sz="4" w:space="0" w:color="auto"/>
              <w:left w:val="nil"/>
              <w:bottom w:val="single" w:sz="4" w:space="0" w:color="auto"/>
              <w:right w:val="single" w:sz="4" w:space="0" w:color="auto"/>
            </w:tcBorders>
            <w:shd w:val="clear" w:color="000000" w:fill="DDEBF7"/>
            <w:vAlign w:val="center"/>
            <w:hideMark/>
          </w:tcPr>
          <w:p w14:paraId="61271179" w14:textId="06ED9576"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 xml:space="preserve">Costo equipo portátil puesto profesional </w:t>
            </w:r>
          </w:p>
        </w:tc>
        <w:tc>
          <w:tcPr>
            <w:tcW w:w="980" w:type="pct"/>
            <w:tcBorders>
              <w:top w:val="single" w:sz="4" w:space="0" w:color="auto"/>
              <w:left w:val="nil"/>
              <w:bottom w:val="single" w:sz="4" w:space="0" w:color="auto"/>
              <w:right w:val="single" w:sz="4" w:space="0" w:color="auto"/>
            </w:tcBorders>
            <w:shd w:val="clear" w:color="000000" w:fill="DDEBF7"/>
            <w:vAlign w:val="center"/>
            <w:hideMark/>
          </w:tcPr>
          <w:p w14:paraId="32D63144"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Total</w:t>
            </w:r>
          </w:p>
        </w:tc>
      </w:tr>
      <w:tr w:rsidR="00682B24" w:rsidRPr="00030CBA" w14:paraId="43B4D33F" w14:textId="77777777" w:rsidTr="005B4060">
        <w:trPr>
          <w:trHeight w:val="260"/>
        </w:trPr>
        <w:tc>
          <w:tcPr>
            <w:tcW w:w="643" w:type="pct"/>
            <w:tcBorders>
              <w:top w:val="nil"/>
              <w:left w:val="single" w:sz="4" w:space="0" w:color="auto"/>
              <w:bottom w:val="single" w:sz="4" w:space="0" w:color="auto"/>
              <w:right w:val="single" w:sz="4" w:space="0" w:color="auto"/>
            </w:tcBorders>
            <w:shd w:val="clear" w:color="auto" w:fill="auto"/>
            <w:vAlign w:val="center"/>
            <w:hideMark/>
          </w:tcPr>
          <w:p w14:paraId="7561EEB0" w14:textId="477CA856" w:rsidR="00682B24" w:rsidRPr="00030CBA" w:rsidRDefault="00ED32CD" w:rsidP="00682B24">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31</w:t>
            </w:r>
            <w:r w:rsidR="00682B24">
              <w:rPr>
                <w:rStyle w:val="Refdenotaalpie"/>
                <w:rFonts w:ascii="Book Antiqua" w:eastAsia="Times New Roman" w:hAnsi="Book Antiqua" w:cs="Calibri"/>
                <w:color w:val="000000"/>
                <w:sz w:val="20"/>
                <w:szCs w:val="20"/>
                <w:lang w:eastAsia="es-CR"/>
              </w:rPr>
              <w:footnoteReference w:id="19"/>
            </w:r>
          </w:p>
        </w:tc>
        <w:tc>
          <w:tcPr>
            <w:tcW w:w="916" w:type="pct"/>
            <w:tcBorders>
              <w:top w:val="nil"/>
              <w:left w:val="nil"/>
              <w:bottom w:val="single" w:sz="4" w:space="0" w:color="auto"/>
              <w:right w:val="single" w:sz="4" w:space="0" w:color="auto"/>
            </w:tcBorders>
            <w:shd w:val="clear" w:color="auto" w:fill="auto"/>
            <w:vAlign w:val="center"/>
            <w:hideMark/>
          </w:tcPr>
          <w:p w14:paraId="490ECE7F" w14:textId="52CC9ABC" w:rsidR="00682B24" w:rsidRPr="00030CBA" w:rsidRDefault="00682B24" w:rsidP="00682B24">
            <w:pPr>
              <w:spacing w:after="0" w:line="240" w:lineRule="auto"/>
              <w:jc w:val="center"/>
              <w:rPr>
                <w:rFonts w:ascii="Book Antiqua" w:eastAsia="Times New Roman" w:hAnsi="Book Antiqua" w:cs="Calibri"/>
                <w:color w:val="000000"/>
                <w:sz w:val="20"/>
                <w:szCs w:val="20"/>
                <w:lang w:eastAsia="es-CR"/>
              </w:rPr>
            </w:pPr>
            <w:r>
              <w:rPr>
                <w:rFonts w:ascii="Times New Roman" w:hAnsi="Times New Roman" w:cs="Times New Roman"/>
                <w:color w:val="000000"/>
                <w:sz w:val="20"/>
                <w:szCs w:val="20"/>
              </w:rPr>
              <w:t>₡</w:t>
            </w:r>
            <w:r>
              <w:rPr>
                <w:rFonts w:ascii="Book Antiqua" w:hAnsi="Book Antiqua" w:cs="Arial"/>
                <w:color w:val="000000"/>
                <w:sz w:val="20"/>
                <w:szCs w:val="20"/>
              </w:rPr>
              <w:t>78 186,96</w:t>
            </w:r>
          </w:p>
        </w:tc>
        <w:tc>
          <w:tcPr>
            <w:tcW w:w="780" w:type="pct"/>
            <w:tcBorders>
              <w:top w:val="nil"/>
              <w:left w:val="nil"/>
              <w:bottom w:val="single" w:sz="4" w:space="0" w:color="auto"/>
              <w:right w:val="single" w:sz="4" w:space="0" w:color="auto"/>
            </w:tcBorders>
            <w:shd w:val="clear" w:color="auto" w:fill="auto"/>
            <w:vAlign w:val="center"/>
            <w:hideMark/>
          </w:tcPr>
          <w:p w14:paraId="5814C204" w14:textId="09984155" w:rsidR="00682B24" w:rsidRPr="00030CBA" w:rsidRDefault="00682B24" w:rsidP="00682B24">
            <w:pPr>
              <w:spacing w:after="0" w:line="240" w:lineRule="auto"/>
              <w:jc w:val="center"/>
              <w:rPr>
                <w:rFonts w:ascii="Book Antiqua" w:eastAsia="Times New Roman" w:hAnsi="Book Antiqua" w:cs="Calibri"/>
                <w:color w:val="000000"/>
                <w:sz w:val="20"/>
                <w:szCs w:val="20"/>
                <w:lang w:eastAsia="es-CR"/>
              </w:rPr>
            </w:pPr>
            <w:r>
              <w:rPr>
                <w:rFonts w:ascii="Times New Roman" w:hAnsi="Times New Roman" w:cs="Times New Roman"/>
                <w:color w:val="000000"/>
                <w:sz w:val="20"/>
                <w:szCs w:val="20"/>
              </w:rPr>
              <w:t>₡</w:t>
            </w:r>
            <w:r>
              <w:rPr>
                <w:rFonts w:ascii="Book Antiqua" w:hAnsi="Book Antiqua" w:cs="Arial"/>
                <w:color w:val="000000"/>
                <w:sz w:val="20"/>
                <w:szCs w:val="20"/>
              </w:rPr>
              <w:t>1 058 920,00</w:t>
            </w:r>
          </w:p>
        </w:tc>
        <w:tc>
          <w:tcPr>
            <w:tcW w:w="870" w:type="pct"/>
            <w:tcBorders>
              <w:top w:val="nil"/>
              <w:left w:val="nil"/>
              <w:bottom w:val="single" w:sz="4" w:space="0" w:color="auto"/>
              <w:right w:val="single" w:sz="4" w:space="0" w:color="auto"/>
            </w:tcBorders>
            <w:shd w:val="clear" w:color="auto" w:fill="auto"/>
            <w:vAlign w:val="center"/>
            <w:hideMark/>
          </w:tcPr>
          <w:p w14:paraId="2F63F22A" w14:textId="2CA50985" w:rsidR="00682B24" w:rsidRPr="00030CBA" w:rsidRDefault="00682B24" w:rsidP="00682B24">
            <w:pPr>
              <w:spacing w:after="0" w:line="240" w:lineRule="auto"/>
              <w:rPr>
                <w:rFonts w:ascii="Book Antiqua" w:eastAsia="Times New Roman" w:hAnsi="Book Antiqua" w:cs="Calibri"/>
                <w:color w:val="000000"/>
                <w:sz w:val="20"/>
                <w:szCs w:val="20"/>
                <w:lang w:eastAsia="es-CR"/>
              </w:rPr>
            </w:pPr>
            <w:r>
              <w:rPr>
                <w:rFonts w:ascii="Book Antiqua" w:hAnsi="Book Antiqua" w:cs="Arial"/>
                <w:color w:val="000000"/>
                <w:sz w:val="20"/>
                <w:szCs w:val="20"/>
              </w:rPr>
              <w:t> </w:t>
            </w:r>
          </w:p>
        </w:tc>
        <w:tc>
          <w:tcPr>
            <w:tcW w:w="811" w:type="pct"/>
            <w:tcBorders>
              <w:top w:val="nil"/>
              <w:left w:val="nil"/>
              <w:bottom w:val="single" w:sz="4" w:space="0" w:color="auto"/>
              <w:right w:val="single" w:sz="4" w:space="0" w:color="auto"/>
            </w:tcBorders>
            <w:shd w:val="clear" w:color="auto" w:fill="auto"/>
            <w:vAlign w:val="center"/>
            <w:hideMark/>
          </w:tcPr>
          <w:p w14:paraId="284DFF83" w14:textId="6F604F26" w:rsidR="00682B24" w:rsidRPr="00030CBA" w:rsidRDefault="00682B24" w:rsidP="00682B24">
            <w:pPr>
              <w:spacing w:after="0" w:line="240" w:lineRule="auto"/>
              <w:rPr>
                <w:rFonts w:ascii="Book Antiqua" w:eastAsia="Times New Roman" w:hAnsi="Book Antiqua" w:cs="Calibri"/>
                <w:color w:val="000000"/>
                <w:sz w:val="20"/>
                <w:szCs w:val="20"/>
                <w:lang w:eastAsia="es-CR"/>
              </w:rPr>
            </w:pPr>
            <w:r>
              <w:rPr>
                <w:rFonts w:ascii="Book Antiqua" w:hAnsi="Book Antiqua" w:cs="Arial"/>
                <w:color w:val="000000"/>
                <w:sz w:val="20"/>
                <w:szCs w:val="20"/>
              </w:rPr>
              <w:t> </w:t>
            </w:r>
          </w:p>
        </w:tc>
        <w:tc>
          <w:tcPr>
            <w:tcW w:w="980" w:type="pct"/>
            <w:tcBorders>
              <w:top w:val="nil"/>
              <w:left w:val="nil"/>
              <w:bottom w:val="single" w:sz="4" w:space="0" w:color="auto"/>
              <w:right w:val="single" w:sz="4" w:space="0" w:color="auto"/>
            </w:tcBorders>
            <w:shd w:val="clear" w:color="auto" w:fill="auto"/>
            <w:vAlign w:val="center"/>
          </w:tcPr>
          <w:p w14:paraId="53501EA7" w14:textId="46FA87C4" w:rsidR="00682B24" w:rsidRPr="00030CBA" w:rsidRDefault="005B4060" w:rsidP="00682B24">
            <w:pPr>
              <w:spacing w:after="0" w:line="240" w:lineRule="auto"/>
              <w:rPr>
                <w:rFonts w:ascii="Book Antiqua" w:eastAsia="Times New Roman" w:hAnsi="Book Antiqua" w:cs="Calibri"/>
                <w:color w:val="000000"/>
                <w:sz w:val="20"/>
                <w:szCs w:val="20"/>
                <w:lang w:eastAsia="es-CR"/>
              </w:rPr>
            </w:pP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w:t>
            </w:r>
            <w:r w:rsidR="00042225">
              <w:rPr>
                <w:rFonts w:ascii="Book Antiqua" w:eastAsia="Times New Roman" w:hAnsi="Book Antiqua" w:cs="Calibri"/>
                <w:color w:val="000000"/>
                <w:sz w:val="20"/>
                <w:szCs w:val="20"/>
                <w:lang w:eastAsia="es-CR"/>
              </w:rPr>
              <w:t>35</w:t>
            </w:r>
            <w:r w:rsidR="004C00D7">
              <w:rPr>
                <w:rFonts w:ascii="Book Antiqua" w:eastAsia="Times New Roman" w:hAnsi="Book Antiqua" w:cs="Calibri"/>
                <w:color w:val="000000"/>
                <w:sz w:val="20"/>
                <w:szCs w:val="20"/>
                <w:lang w:eastAsia="es-CR"/>
              </w:rPr>
              <w:t> </w:t>
            </w:r>
            <w:r w:rsidR="00042225">
              <w:rPr>
                <w:rFonts w:ascii="Book Antiqua" w:eastAsia="Times New Roman" w:hAnsi="Book Antiqua" w:cs="Calibri"/>
                <w:color w:val="000000"/>
                <w:sz w:val="20"/>
                <w:szCs w:val="20"/>
                <w:lang w:eastAsia="es-CR"/>
              </w:rPr>
              <w:t>250</w:t>
            </w:r>
            <w:r w:rsidR="004C00D7">
              <w:rPr>
                <w:rFonts w:ascii="Book Antiqua" w:eastAsia="Times New Roman" w:hAnsi="Book Antiqua" w:cs="Calibri"/>
                <w:color w:val="000000"/>
                <w:sz w:val="20"/>
                <w:szCs w:val="20"/>
                <w:lang w:eastAsia="es-CR"/>
              </w:rPr>
              <w:t xml:space="preserve"> </w:t>
            </w:r>
            <w:r w:rsidR="00400189">
              <w:rPr>
                <w:rFonts w:ascii="Book Antiqua" w:eastAsia="Times New Roman" w:hAnsi="Book Antiqua" w:cs="Calibri"/>
                <w:color w:val="000000"/>
                <w:sz w:val="20"/>
                <w:szCs w:val="20"/>
                <w:lang w:eastAsia="es-CR"/>
              </w:rPr>
              <w:t>315</w:t>
            </w:r>
            <w:r w:rsidR="004C00D7">
              <w:rPr>
                <w:rFonts w:ascii="Book Antiqua" w:eastAsia="Times New Roman" w:hAnsi="Book Antiqua" w:cs="Calibri"/>
                <w:color w:val="000000"/>
                <w:sz w:val="20"/>
                <w:szCs w:val="20"/>
                <w:lang w:eastAsia="es-CR"/>
              </w:rPr>
              <w:t>,</w:t>
            </w:r>
            <w:r w:rsidR="00400189">
              <w:rPr>
                <w:rFonts w:ascii="Book Antiqua" w:eastAsia="Times New Roman" w:hAnsi="Book Antiqua" w:cs="Calibri"/>
                <w:color w:val="000000"/>
                <w:sz w:val="20"/>
                <w:szCs w:val="20"/>
                <w:lang w:eastAsia="es-CR"/>
              </w:rPr>
              <w:t>7</w:t>
            </w:r>
            <w:r w:rsidR="004C00D7">
              <w:rPr>
                <w:rFonts w:ascii="Book Antiqua" w:eastAsia="Times New Roman" w:hAnsi="Book Antiqua" w:cs="Calibri"/>
                <w:color w:val="000000"/>
                <w:sz w:val="20"/>
                <w:szCs w:val="20"/>
                <w:lang w:eastAsia="es-CR"/>
              </w:rPr>
              <w:t>6</w:t>
            </w:r>
          </w:p>
        </w:tc>
      </w:tr>
      <w:tr w:rsidR="005B4060" w:rsidRPr="00030CBA" w14:paraId="1C6F6900" w14:textId="77777777" w:rsidTr="005B4060">
        <w:trPr>
          <w:trHeight w:val="260"/>
        </w:trPr>
        <w:tc>
          <w:tcPr>
            <w:tcW w:w="643" w:type="pct"/>
            <w:tcBorders>
              <w:top w:val="nil"/>
              <w:left w:val="single" w:sz="4" w:space="0" w:color="auto"/>
              <w:bottom w:val="single" w:sz="4" w:space="0" w:color="auto"/>
              <w:right w:val="single" w:sz="4" w:space="0" w:color="auto"/>
            </w:tcBorders>
            <w:shd w:val="clear" w:color="auto" w:fill="auto"/>
            <w:vAlign w:val="center"/>
            <w:hideMark/>
          </w:tcPr>
          <w:p w14:paraId="0B18E4EB" w14:textId="106E7A5E" w:rsidR="005B4060" w:rsidRPr="00030CBA" w:rsidRDefault="00B84CFD" w:rsidP="005B4060">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40</w:t>
            </w:r>
            <w:r w:rsidR="005B4060">
              <w:rPr>
                <w:rStyle w:val="Refdenotaalpie"/>
                <w:rFonts w:ascii="Book Antiqua" w:eastAsia="Times New Roman" w:hAnsi="Book Antiqua" w:cs="Calibri"/>
                <w:color w:val="000000"/>
                <w:sz w:val="20"/>
                <w:szCs w:val="20"/>
                <w:lang w:eastAsia="es-CR"/>
              </w:rPr>
              <w:footnoteReference w:id="20"/>
            </w:r>
          </w:p>
        </w:tc>
        <w:tc>
          <w:tcPr>
            <w:tcW w:w="916" w:type="pct"/>
            <w:tcBorders>
              <w:top w:val="nil"/>
              <w:left w:val="nil"/>
              <w:bottom w:val="single" w:sz="4" w:space="0" w:color="auto"/>
              <w:right w:val="single" w:sz="4" w:space="0" w:color="auto"/>
            </w:tcBorders>
            <w:shd w:val="clear" w:color="auto" w:fill="auto"/>
            <w:vAlign w:val="center"/>
            <w:hideMark/>
          </w:tcPr>
          <w:p w14:paraId="5512B45B" w14:textId="4D36E73B" w:rsidR="005B4060" w:rsidRPr="00030CBA" w:rsidRDefault="005B4060" w:rsidP="005B4060">
            <w:pPr>
              <w:spacing w:after="0" w:line="240" w:lineRule="auto"/>
              <w:rPr>
                <w:rFonts w:ascii="Book Antiqua" w:eastAsia="Times New Roman" w:hAnsi="Book Antiqua" w:cs="Calibri"/>
                <w:color w:val="000000"/>
                <w:sz w:val="20"/>
                <w:szCs w:val="20"/>
                <w:lang w:eastAsia="es-CR"/>
              </w:rPr>
            </w:pPr>
            <w:r>
              <w:rPr>
                <w:rFonts w:ascii="Book Antiqua" w:hAnsi="Book Antiqua" w:cs="Arial"/>
                <w:color w:val="000000"/>
                <w:sz w:val="20"/>
                <w:szCs w:val="20"/>
              </w:rPr>
              <w:t> </w:t>
            </w:r>
          </w:p>
        </w:tc>
        <w:tc>
          <w:tcPr>
            <w:tcW w:w="780" w:type="pct"/>
            <w:tcBorders>
              <w:top w:val="nil"/>
              <w:left w:val="nil"/>
              <w:bottom w:val="single" w:sz="4" w:space="0" w:color="auto"/>
              <w:right w:val="single" w:sz="4" w:space="0" w:color="auto"/>
            </w:tcBorders>
            <w:shd w:val="clear" w:color="auto" w:fill="auto"/>
            <w:vAlign w:val="center"/>
            <w:hideMark/>
          </w:tcPr>
          <w:p w14:paraId="499DEE9C" w14:textId="2B975E98" w:rsidR="005B4060" w:rsidRPr="00030CBA" w:rsidRDefault="005B4060" w:rsidP="005B4060">
            <w:pPr>
              <w:spacing w:after="0" w:line="240" w:lineRule="auto"/>
              <w:rPr>
                <w:rFonts w:ascii="Book Antiqua" w:eastAsia="Times New Roman" w:hAnsi="Book Antiqua" w:cs="Calibri"/>
                <w:color w:val="000000"/>
                <w:sz w:val="20"/>
                <w:szCs w:val="20"/>
                <w:lang w:eastAsia="es-CR"/>
              </w:rPr>
            </w:pPr>
            <w:r>
              <w:rPr>
                <w:rFonts w:ascii="Book Antiqua" w:hAnsi="Book Antiqua" w:cs="Arial"/>
                <w:color w:val="000000"/>
                <w:sz w:val="20"/>
                <w:szCs w:val="20"/>
              </w:rPr>
              <w:t> </w:t>
            </w:r>
          </w:p>
        </w:tc>
        <w:tc>
          <w:tcPr>
            <w:tcW w:w="870" w:type="pct"/>
            <w:tcBorders>
              <w:top w:val="nil"/>
              <w:left w:val="nil"/>
              <w:bottom w:val="single" w:sz="4" w:space="0" w:color="auto"/>
              <w:right w:val="single" w:sz="4" w:space="0" w:color="auto"/>
            </w:tcBorders>
            <w:shd w:val="clear" w:color="auto" w:fill="auto"/>
            <w:vAlign w:val="center"/>
            <w:hideMark/>
          </w:tcPr>
          <w:p w14:paraId="4AD7B18F" w14:textId="5C81837E" w:rsidR="005B4060" w:rsidRPr="00030CBA" w:rsidRDefault="005B4060" w:rsidP="005B4060">
            <w:pPr>
              <w:spacing w:after="0" w:line="240" w:lineRule="auto"/>
              <w:rPr>
                <w:rFonts w:ascii="Book Antiqua" w:eastAsia="Times New Roman" w:hAnsi="Book Antiqua" w:cs="Calibri"/>
                <w:color w:val="000000"/>
                <w:sz w:val="20"/>
                <w:szCs w:val="20"/>
                <w:lang w:eastAsia="es-CR"/>
              </w:rPr>
            </w:pPr>
            <w:r>
              <w:rPr>
                <w:rFonts w:ascii="Times New Roman" w:hAnsi="Times New Roman" w:cs="Times New Roman"/>
                <w:color w:val="000000"/>
                <w:sz w:val="20"/>
                <w:szCs w:val="20"/>
              </w:rPr>
              <w:t>₡</w:t>
            </w:r>
            <w:r>
              <w:rPr>
                <w:rFonts w:ascii="Book Antiqua" w:hAnsi="Book Antiqua" w:cs="Arial"/>
                <w:color w:val="000000"/>
                <w:sz w:val="20"/>
                <w:szCs w:val="20"/>
              </w:rPr>
              <w:t>114 337,92</w:t>
            </w:r>
          </w:p>
        </w:tc>
        <w:tc>
          <w:tcPr>
            <w:tcW w:w="811" w:type="pct"/>
            <w:tcBorders>
              <w:top w:val="nil"/>
              <w:left w:val="nil"/>
              <w:bottom w:val="single" w:sz="4" w:space="0" w:color="auto"/>
              <w:right w:val="single" w:sz="4" w:space="0" w:color="auto"/>
            </w:tcBorders>
            <w:shd w:val="clear" w:color="auto" w:fill="auto"/>
            <w:vAlign w:val="center"/>
            <w:hideMark/>
          </w:tcPr>
          <w:p w14:paraId="4FC3A173" w14:textId="2877FB56" w:rsidR="005B4060" w:rsidRPr="00030CBA" w:rsidRDefault="005B4060" w:rsidP="005B4060">
            <w:pPr>
              <w:spacing w:after="0" w:line="240" w:lineRule="auto"/>
              <w:rPr>
                <w:rFonts w:ascii="Book Antiqua" w:eastAsia="Times New Roman" w:hAnsi="Book Antiqua" w:cs="Calibri"/>
                <w:color w:val="000000"/>
                <w:sz w:val="20"/>
                <w:szCs w:val="20"/>
                <w:lang w:eastAsia="es-CR"/>
              </w:rPr>
            </w:pPr>
            <w:r>
              <w:rPr>
                <w:rFonts w:ascii="Times New Roman" w:hAnsi="Times New Roman" w:cs="Times New Roman"/>
                <w:color w:val="000000"/>
                <w:sz w:val="20"/>
                <w:szCs w:val="20"/>
              </w:rPr>
              <w:t>₡</w:t>
            </w:r>
            <w:r>
              <w:rPr>
                <w:rFonts w:ascii="Book Antiqua" w:hAnsi="Book Antiqua" w:cs="Arial"/>
                <w:color w:val="000000"/>
                <w:sz w:val="20"/>
                <w:szCs w:val="20"/>
              </w:rPr>
              <w:t>1 552 682,00</w:t>
            </w:r>
          </w:p>
        </w:tc>
        <w:tc>
          <w:tcPr>
            <w:tcW w:w="980" w:type="pct"/>
            <w:tcBorders>
              <w:top w:val="nil"/>
              <w:left w:val="nil"/>
              <w:bottom w:val="single" w:sz="4" w:space="0" w:color="auto"/>
              <w:right w:val="single" w:sz="4" w:space="0" w:color="auto"/>
            </w:tcBorders>
            <w:shd w:val="clear" w:color="auto" w:fill="auto"/>
            <w:vAlign w:val="center"/>
          </w:tcPr>
          <w:p w14:paraId="1F15A533" w14:textId="6161CD08" w:rsidR="005B4060" w:rsidRPr="00030CBA" w:rsidRDefault="005B4060" w:rsidP="005B4060">
            <w:pPr>
              <w:spacing w:after="0" w:line="240" w:lineRule="auto"/>
              <w:rPr>
                <w:rFonts w:ascii="Book Antiqua" w:eastAsia="Times New Roman" w:hAnsi="Book Antiqua" w:cs="Calibri"/>
                <w:color w:val="000000"/>
                <w:sz w:val="20"/>
                <w:szCs w:val="20"/>
                <w:lang w:eastAsia="es-CR"/>
              </w:rPr>
            </w:pP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w:t>
            </w:r>
            <w:r w:rsidR="00400189">
              <w:rPr>
                <w:rFonts w:ascii="Book Antiqua" w:eastAsia="Times New Roman" w:hAnsi="Book Antiqua" w:cs="Calibri"/>
                <w:color w:val="000000"/>
                <w:sz w:val="20"/>
                <w:szCs w:val="20"/>
                <w:lang w:eastAsia="es-CR"/>
              </w:rPr>
              <w:t>66</w:t>
            </w:r>
            <w:r w:rsidRPr="00030CBA">
              <w:rPr>
                <w:rFonts w:ascii="Book Antiqua" w:eastAsia="Times New Roman" w:hAnsi="Book Antiqua" w:cs="Calibri"/>
                <w:color w:val="000000"/>
                <w:sz w:val="20"/>
                <w:szCs w:val="20"/>
                <w:lang w:eastAsia="es-CR"/>
              </w:rPr>
              <w:t xml:space="preserve"> </w:t>
            </w:r>
            <w:r w:rsidR="00400189">
              <w:rPr>
                <w:rFonts w:ascii="Book Antiqua" w:eastAsia="Times New Roman" w:hAnsi="Book Antiqua" w:cs="Calibri"/>
                <w:color w:val="000000"/>
                <w:sz w:val="20"/>
                <w:szCs w:val="20"/>
                <w:lang w:eastAsia="es-CR"/>
              </w:rPr>
              <w:t>6</w:t>
            </w:r>
            <w:r>
              <w:rPr>
                <w:rFonts w:ascii="Book Antiqua" w:eastAsia="Times New Roman" w:hAnsi="Book Antiqua" w:cs="Calibri"/>
                <w:color w:val="000000"/>
                <w:sz w:val="20"/>
                <w:szCs w:val="20"/>
                <w:lang w:eastAsia="es-CR"/>
              </w:rPr>
              <w:t>8</w:t>
            </w:r>
            <w:r w:rsidR="00400189">
              <w:rPr>
                <w:rFonts w:ascii="Book Antiqua" w:eastAsia="Times New Roman" w:hAnsi="Book Antiqua" w:cs="Calibri"/>
                <w:color w:val="000000"/>
                <w:sz w:val="20"/>
                <w:szCs w:val="20"/>
                <w:lang w:eastAsia="es-CR"/>
              </w:rPr>
              <w:t>0</w:t>
            </w:r>
            <w:r>
              <w:rPr>
                <w:rFonts w:ascii="Book Antiqua" w:eastAsia="Times New Roman" w:hAnsi="Book Antiqua" w:cs="Calibri"/>
                <w:color w:val="000000"/>
                <w:sz w:val="20"/>
                <w:szCs w:val="20"/>
                <w:lang w:eastAsia="es-CR"/>
              </w:rPr>
              <w:t> 7</w:t>
            </w:r>
            <w:r w:rsidR="00400189">
              <w:rPr>
                <w:rFonts w:ascii="Book Antiqua" w:eastAsia="Times New Roman" w:hAnsi="Book Antiqua" w:cs="Calibri"/>
                <w:color w:val="000000"/>
                <w:sz w:val="20"/>
                <w:szCs w:val="20"/>
                <w:lang w:eastAsia="es-CR"/>
              </w:rPr>
              <w:t>96</w:t>
            </w:r>
            <w:r>
              <w:rPr>
                <w:rFonts w:ascii="Book Antiqua" w:eastAsia="Times New Roman" w:hAnsi="Book Antiqua" w:cs="Calibri"/>
                <w:color w:val="000000"/>
                <w:sz w:val="20"/>
                <w:szCs w:val="20"/>
                <w:lang w:eastAsia="es-CR"/>
              </w:rPr>
              <w:t>,8</w:t>
            </w:r>
            <w:r w:rsidR="00071171">
              <w:rPr>
                <w:rFonts w:ascii="Book Antiqua" w:eastAsia="Times New Roman" w:hAnsi="Book Antiqua" w:cs="Calibri"/>
                <w:color w:val="000000"/>
                <w:sz w:val="20"/>
                <w:szCs w:val="20"/>
                <w:lang w:eastAsia="es-CR"/>
              </w:rPr>
              <w:t>0</w:t>
            </w:r>
          </w:p>
        </w:tc>
      </w:tr>
      <w:tr w:rsidR="005B4060" w:rsidRPr="00030CBA" w14:paraId="0D7F3734" w14:textId="77777777" w:rsidTr="00CF0E4E">
        <w:trPr>
          <w:trHeight w:val="260"/>
        </w:trPr>
        <w:tc>
          <w:tcPr>
            <w:tcW w:w="4026"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91BE5CF" w14:textId="77777777" w:rsidR="005B4060" w:rsidRPr="00030CBA" w:rsidRDefault="005B4060" w:rsidP="005B4060">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Costo de construcción sitio web </w:t>
            </w:r>
          </w:p>
        </w:tc>
        <w:tc>
          <w:tcPr>
            <w:tcW w:w="974" w:type="pct"/>
            <w:tcBorders>
              <w:top w:val="nil"/>
              <w:left w:val="nil"/>
              <w:bottom w:val="single" w:sz="4" w:space="0" w:color="auto"/>
              <w:right w:val="single" w:sz="4" w:space="0" w:color="auto"/>
            </w:tcBorders>
            <w:shd w:val="clear" w:color="auto" w:fill="auto"/>
            <w:vAlign w:val="center"/>
            <w:hideMark/>
          </w:tcPr>
          <w:p w14:paraId="3E4C3AF9" w14:textId="564988FF" w:rsidR="005B4060" w:rsidRPr="00030CBA" w:rsidRDefault="005B4060" w:rsidP="005B4060">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15 000</w:t>
            </w:r>
            <w:r>
              <w:rPr>
                <w:rFonts w:ascii="Book Antiqua" w:eastAsia="Times New Roman" w:hAnsi="Book Antiqua" w:cs="Calibri"/>
                <w:color w:val="000000"/>
                <w:sz w:val="20"/>
                <w:szCs w:val="20"/>
                <w:lang w:eastAsia="es-CR"/>
              </w:rPr>
              <w:t> </w:t>
            </w:r>
            <w:r w:rsidRPr="00030CBA">
              <w:rPr>
                <w:rFonts w:ascii="Book Antiqua" w:eastAsia="Times New Roman" w:hAnsi="Book Antiqua" w:cs="Calibri"/>
                <w:color w:val="000000"/>
                <w:sz w:val="20"/>
                <w:szCs w:val="20"/>
                <w:lang w:eastAsia="es-CR"/>
              </w:rPr>
              <w:t>000</w:t>
            </w:r>
            <w:r>
              <w:rPr>
                <w:rFonts w:ascii="Book Antiqua" w:eastAsia="Times New Roman" w:hAnsi="Book Antiqua" w:cs="Calibri"/>
                <w:color w:val="000000"/>
                <w:sz w:val="20"/>
                <w:szCs w:val="20"/>
                <w:lang w:eastAsia="es-CR"/>
              </w:rPr>
              <w:t>,00</w:t>
            </w:r>
          </w:p>
        </w:tc>
      </w:tr>
      <w:tr w:rsidR="005B4060" w:rsidRPr="00030CBA" w14:paraId="63237B4B" w14:textId="77777777" w:rsidTr="00CF0E4E">
        <w:trPr>
          <w:trHeight w:val="260"/>
        </w:trPr>
        <w:tc>
          <w:tcPr>
            <w:tcW w:w="4026" w:type="pct"/>
            <w:gridSpan w:val="5"/>
            <w:tcBorders>
              <w:top w:val="single" w:sz="4" w:space="0" w:color="auto"/>
              <w:left w:val="single" w:sz="4" w:space="0" w:color="auto"/>
              <w:bottom w:val="single" w:sz="4" w:space="0" w:color="auto"/>
              <w:right w:val="single" w:sz="4" w:space="0" w:color="auto"/>
            </w:tcBorders>
            <w:shd w:val="clear" w:color="000000" w:fill="DDEBF7"/>
            <w:vAlign w:val="center"/>
            <w:hideMark/>
          </w:tcPr>
          <w:p w14:paraId="64758A13" w14:textId="77777777" w:rsidR="005B4060" w:rsidRPr="00030CBA" w:rsidRDefault="005B4060" w:rsidP="005B4060">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Total</w:t>
            </w:r>
          </w:p>
        </w:tc>
        <w:tc>
          <w:tcPr>
            <w:tcW w:w="974" w:type="pct"/>
            <w:tcBorders>
              <w:top w:val="nil"/>
              <w:left w:val="nil"/>
              <w:bottom w:val="single" w:sz="4" w:space="0" w:color="auto"/>
              <w:right w:val="single" w:sz="4" w:space="0" w:color="auto"/>
            </w:tcBorders>
            <w:shd w:val="clear" w:color="000000" w:fill="DDEBF7"/>
            <w:vAlign w:val="center"/>
            <w:hideMark/>
          </w:tcPr>
          <w:p w14:paraId="0C3EDFFC" w14:textId="04A5E5F4" w:rsidR="005B4060" w:rsidRPr="00030CBA" w:rsidRDefault="005B4060" w:rsidP="005B4060">
            <w:pPr>
              <w:spacing w:after="0" w:line="240" w:lineRule="auto"/>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 xml:space="preserve"> </w:t>
            </w:r>
            <w:r w:rsidRPr="00030CBA">
              <w:rPr>
                <w:rFonts w:ascii="Times New Roman" w:eastAsia="Times New Roman" w:hAnsi="Times New Roman" w:cs="Times New Roman"/>
                <w:b/>
                <w:bCs/>
                <w:color w:val="000000"/>
                <w:sz w:val="20"/>
                <w:szCs w:val="20"/>
                <w:lang w:eastAsia="es-CR"/>
              </w:rPr>
              <w:t>₡</w:t>
            </w:r>
            <w:r w:rsidRPr="00030CBA">
              <w:rPr>
                <w:rFonts w:ascii="Book Antiqua" w:eastAsia="Times New Roman" w:hAnsi="Book Antiqua" w:cs="Calibri"/>
                <w:b/>
                <w:bCs/>
                <w:color w:val="000000"/>
                <w:sz w:val="20"/>
                <w:szCs w:val="20"/>
                <w:lang w:eastAsia="es-CR"/>
              </w:rPr>
              <w:t xml:space="preserve">    </w:t>
            </w:r>
            <w:r w:rsidR="00071171">
              <w:rPr>
                <w:rFonts w:ascii="Book Antiqua" w:eastAsia="Times New Roman" w:hAnsi="Book Antiqua" w:cs="Calibri"/>
                <w:b/>
                <w:bCs/>
                <w:color w:val="000000"/>
                <w:sz w:val="20"/>
                <w:szCs w:val="20"/>
                <w:lang w:eastAsia="es-CR"/>
              </w:rPr>
              <w:t>116</w:t>
            </w:r>
            <w:r w:rsidR="004C00D7">
              <w:rPr>
                <w:rFonts w:ascii="Book Antiqua" w:eastAsia="Times New Roman" w:hAnsi="Book Antiqua" w:cs="Calibri"/>
                <w:b/>
                <w:bCs/>
                <w:color w:val="000000"/>
                <w:sz w:val="20"/>
                <w:szCs w:val="20"/>
                <w:lang w:eastAsia="es-CR"/>
              </w:rPr>
              <w:t> </w:t>
            </w:r>
            <w:r w:rsidR="00071171">
              <w:rPr>
                <w:rFonts w:ascii="Book Antiqua" w:eastAsia="Times New Roman" w:hAnsi="Book Antiqua" w:cs="Calibri"/>
                <w:b/>
                <w:bCs/>
                <w:color w:val="000000"/>
                <w:sz w:val="20"/>
                <w:szCs w:val="20"/>
                <w:lang w:eastAsia="es-CR"/>
              </w:rPr>
              <w:t>9</w:t>
            </w:r>
            <w:r w:rsidR="004C00D7">
              <w:rPr>
                <w:rFonts w:ascii="Book Antiqua" w:eastAsia="Times New Roman" w:hAnsi="Book Antiqua" w:cs="Calibri"/>
                <w:b/>
                <w:bCs/>
                <w:color w:val="000000"/>
                <w:sz w:val="20"/>
                <w:szCs w:val="20"/>
                <w:lang w:eastAsia="es-CR"/>
              </w:rPr>
              <w:t>3</w:t>
            </w:r>
            <w:r w:rsidR="00071171">
              <w:rPr>
                <w:rFonts w:ascii="Book Antiqua" w:eastAsia="Times New Roman" w:hAnsi="Book Antiqua" w:cs="Calibri"/>
                <w:b/>
                <w:bCs/>
                <w:color w:val="000000"/>
                <w:sz w:val="20"/>
                <w:szCs w:val="20"/>
                <w:lang w:eastAsia="es-CR"/>
              </w:rPr>
              <w:t>1</w:t>
            </w:r>
            <w:r w:rsidR="004C00D7">
              <w:rPr>
                <w:rFonts w:ascii="Book Antiqua" w:eastAsia="Times New Roman" w:hAnsi="Book Antiqua" w:cs="Calibri"/>
                <w:b/>
                <w:bCs/>
                <w:color w:val="000000"/>
                <w:sz w:val="20"/>
                <w:szCs w:val="20"/>
                <w:lang w:eastAsia="es-CR"/>
              </w:rPr>
              <w:t> </w:t>
            </w:r>
            <w:r w:rsidR="003E7C6B">
              <w:rPr>
                <w:rFonts w:ascii="Book Antiqua" w:eastAsia="Times New Roman" w:hAnsi="Book Antiqua" w:cs="Calibri"/>
                <w:b/>
                <w:bCs/>
                <w:color w:val="000000"/>
                <w:sz w:val="20"/>
                <w:szCs w:val="20"/>
                <w:lang w:eastAsia="es-CR"/>
              </w:rPr>
              <w:t>112</w:t>
            </w:r>
            <w:r w:rsidR="004C00D7">
              <w:rPr>
                <w:rFonts w:ascii="Book Antiqua" w:eastAsia="Times New Roman" w:hAnsi="Book Antiqua" w:cs="Calibri"/>
                <w:b/>
                <w:bCs/>
                <w:color w:val="000000"/>
                <w:sz w:val="20"/>
                <w:szCs w:val="20"/>
                <w:lang w:eastAsia="es-CR"/>
              </w:rPr>
              <w:t>,</w:t>
            </w:r>
            <w:r w:rsidR="003E7C6B">
              <w:rPr>
                <w:rFonts w:ascii="Book Antiqua" w:eastAsia="Times New Roman" w:hAnsi="Book Antiqua" w:cs="Calibri"/>
                <w:b/>
                <w:bCs/>
                <w:color w:val="000000"/>
                <w:sz w:val="20"/>
                <w:szCs w:val="20"/>
                <w:lang w:eastAsia="es-CR"/>
              </w:rPr>
              <w:t>56</w:t>
            </w:r>
          </w:p>
        </w:tc>
      </w:tr>
    </w:tbl>
    <w:p w14:paraId="775AFACF" w14:textId="7854D633" w:rsidR="000B0740" w:rsidRDefault="000B0740" w:rsidP="005405C6">
      <w:pPr>
        <w:spacing w:after="0" w:line="240" w:lineRule="auto"/>
        <w:ind w:right="616"/>
        <w:jc w:val="both"/>
        <w:rPr>
          <w:rFonts w:ascii="Book Antiqua" w:eastAsia="Calibri" w:hAnsi="Book Antiqua" w:cs="Arial"/>
          <w:i/>
          <w:iCs/>
        </w:rPr>
      </w:pPr>
    </w:p>
    <w:p w14:paraId="52155072" w14:textId="77777777" w:rsidR="005405C6" w:rsidRPr="007442EC" w:rsidRDefault="005405C6" w:rsidP="005405C6">
      <w:pPr>
        <w:spacing w:after="0" w:line="240" w:lineRule="auto"/>
        <w:ind w:right="616"/>
        <w:jc w:val="both"/>
        <w:rPr>
          <w:rFonts w:ascii="Book Antiqua" w:eastAsia="Calibri" w:hAnsi="Book Antiqua" w:cs="Arial"/>
          <w:i/>
          <w:iCs/>
        </w:rPr>
      </w:pPr>
    </w:p>
    <w:p w14:paraId="5C95A250" w14:textId="0AFE703A" w:rsidR="008051A1" w:rsidRPr="00AA01E7" w:rsidRDefault="007442EC"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de Gestión Humana</w:t>
      </w:r>
    </w:p>
    <w:p w14:paraId="4390A923" w14:textId="77777777" w:rsidR="00AA01E7" w:rsidRDefault="00AA01E7" w:rsidP="007442EC">
      <w:pPr>
        <w:spacing w:after="0" w:line="276" w:lineRule="auto"/>
        <w:jc w:val="both"/>
        <w:rPr>
          <w:rFonts w:ascii="Book Antiqua" w:eastAsia="Calibri" w:hAnsi="Book Antiqua" w:cs="Arial"/>
          <w:sz w:val="24"/>
          <w:szCs w:val="24"/>
        </w:rPr>
      </w:pPr>
    </w:p>
    <w:p w14:paraId="43ADD82F" w14:textId="07B8C1BB" w:rsidR="007442EC" w:rsidRDefault="007442EC" w:rsidP="007442EC">
      <w:pPr>
        <w:spacing w:after="0" w:line="276" w:lineRule="auto"/>
        <w:jc w:val="both"/>
        <w:rPr>
          <w:rFonts w:ascii="Book Antiqua" w:eastAsia="Calibri" w:hAnsi="Book Antiqua" w:cs="Arial"/>
          <w:sz w:val="24"/>
          <w:szCs w:val="24"/>
        </w:rPr>
      </w:pPr>
      <w:r w:rsidRPr="007442EC">
        <w:rPr>
          <w:rFonts w:ascii="Book Antiqua" w:eastAsia="Calibri" w:hAnsi="Book Antiqua" w:cs="Arial"/>
          <w:sz w:val="24"/>
          <w:szCs w:val="24"/>
        </w:rPr>
        <w:t>Para 202</w:t>
      </w:r>
      <w:r w:rsidR="00C53D53">
        <w:rPr>
          <w:rFonts w:ascii="Book Antiqua" w:eastAsia="Calibri" w:hAnsi="Book Antiqua" w:cs="Arial"/>
          <w:sz w:val="24"/>
          <w:szCs w:val="24"/>
        </w:rPr>
        <w:t>4</w:t>
      </w:r>
      <w:r w:rsidRPr="007442EC">
        <w:rPr>
          <w:rFonts w:ascii="Book Antiqua" w:eastAsia="Calibri" w:hAnsi="Book Antiqua" w:cs="Arial"/>
          <w:sz w:val="24"/>
          <w:szCs w:val="24"/>
        </w:rPr>
        <w:t xml:space="preserve"> esta dependencia no formuló presupuesto para la reforma al Código de Familia, </w:t>
      </w:r>
      <w:r w:rsidR="00EB1C02">
        <w:rPr>
          <w:rFonts w:ascii="Book Antiqua" w:eastAsia="Calibri" w:hAnsi="Book Antiqua" w:cs="Arial"/>
          <w:sz w:val="24"/>
          <w:szCs w:val="24"/>
        </w:rPr>
        <w:t xml:space="preserve">según lo indicado mediante correo electrónico del </w:t>
      </w:r>
      <w:r w:rsidR="00C53D53">
        <w:rPr>
          <w:rFonts w:ascii="Book Antiqua" w:eastAsia="Calibri" w:hAnsi="Book Antiqua" w:cs="Arial"/>
          <w:sz w:val="24"/>
          <w:szCs w:val="24"/>
        </w:rPr>
        <w:t>1</w:t>
      </w:r>
      <w:r w:rsidR="00EB1C02">
        <w:rPr>
          <w:rFonts w:ascii="Book Antiqua" w:eastAsia="Calibri" w:hAnsi="Book Antiqua" w:cs="Arial"/>
          <w:sz w:val="24"/>
          <w:szCs w:val="24"/>
        </w:rPr>
        <w:t xml:space="preserve">7 de </w:t>
      </w:r>
      <w:r w:rsidR="00C53D53">
        <w:rPr>
          <w:rFonts w:ascii="Book Antiqua" w:eastAsia="Calibri" w:hAnsi="Book Antiqua" w:cs="Arial"/>
          <w:sz w:val="24"/>
          <w:szCs w:val="24"/>
        </w:rPr>
        <w:t xml:space="preserve">febrero </w:t>
      </w:r>
      <w:r w:rsidR="00EB1C02">
        <w:rPr>
          <w:rFonts w:ascii="Book Antiqua" w:eastAsia="Calibri" w:hAnsi="Book Antiqua" w:cs="Arial"/>
          <w:sz w:val="24"/>
          <w:szCs w:val="24"/>
        </w:rPr>
        <w:t>de 202</w:t>
      </w:r>
      <w:r w:rsidR="00C53D53">
        <w:rPr>
          <w:rFonts w:ascii="Book Antiqua" w:eastAsia="Calibri" w:hAnsi="Book Antiqua" w:cs="Arial"/>
          <w:sz w:val="24"/>
          <w:szCs w:val="24"/>
        </w:rPr>
        <w:t>3</w:t>
      </w:r>
      <w:r w:rsidR="00EB1C02">
        <w:rPr>
          <w:rFonts w:ascii="Book Antiqua" w:eastAsia="Calibri" w:hAnsi="Book Antiqua" w:cs="Arial"/>
          <w:sz w:val="24"/>
          <w:szCs w:val="24"/>
        </w:rPr>
        <w:t>, por el señor David Madrigal Robles, Coordinador de Unidad 4 de la Unidad de Presupuesto y Estudios Especiales de la Dirección de Gestión Humana</w:t>
      </w:r>
      <w:r w:rsidR="00F22E43">
        <w:rPr>
          <w:rFonts w:ascii="Book Antiqua" w:eastAsia="Calibri" w:hAnsi="Book Antiqua" w:cs="Arial"/>
          <w:sz w:val="24"/>
          <w:szCs w:val="24"/>
        </w:rPr>
        <w:t xml:space="preserve"> (</w:t>
      </w:r>
      <w:r w:rsidR="00F22E43" w:rsidRPr="00A02BB3">
        <w:rPr>
          <w:rFonts w:ascii="Book Antiqua" w:eastAsia="Calibri" w:hAnsi="Book Antiqua" w:cs="Arial"/>
          <w:b/>
          <w:bCs/>
          <w:sz w:val="24"/>
          <w:szCs w:val="24"/>
        </w:rPr>
        <w:t xml:space="preserve">anexo </w:t>
      </w:r>
      <w:r w:rsidR="00A02BB3" w:rsidRPr="00A02BB3">
        <w:rPr>
          <w:rFonts w:ascii="Book Antiqua" w:eastAsia="Calibri" w:hAnsi="Book Antiqua" w:cs="Arial"/>
          <w:b/>
          <w:bCs/>
          <w:sz w:val="24"/>
          <w:szCs w:val="24"/>
        </w:rPr>
        <w:t>2</w:t>
      </w:r>
      <w:r w:rsidR="00A02BB3">
        <w:rPr>
          <w:rFonts w:ascii="Book Antiqua" w:eastAsia="Calibri" w:hAnsi="Book Antiqua" w:cs="Arial"/>
          <w:b/>
          <w:bCs/>
          <w:sz w:val="24"/>
          <w:szCs w:val="24"/>
        </w:rPr>
        <w:t>3</w:t>
      </w:r>
      <w:r w:rsidR="00F22E43">
        <w:rPr>
          <w:rFonts w:ascii="Book Antiqua" w:eastAsia="Calibri" w:hAnsi="Book Antiqua" w:cs="Arial"/>
          <w:sz w:val="24"/>
          <w:szCs w:val="24"/>
        </w:rPr>
        <w:t>)</w:t>
      </w:r>
      <w:r w:rsidR="00EB1C02">
        <w:rPr>
          <w:rFonts w:ascii="Book Antiqua" w:eastAsia="Calibri" w:hAnsi="Book Antiqua" w:cs="Arial"/>
          <w:sz w:val="24"/>
          <w:szCs w:val="24"/>
        </w:rPr>
        <w:t xml:space="preserve">, </w:t>
      </w:r>
      <w:r w:rsidRPr="007442EC">
        <w:rPr>
          <w:rFonts w:ascii="Book Antiqua" w:eastAsia="Calibri" w:hAnsi="Book Antiqua" w:cs="Arial"/>
          <w:sz w:val="24"/>
          <w:szCs w:val="24"/>
        </w:rPr>
        <w:t>por lo que se mantiene así para 202</w:t>
      </w:r>
      <w:r w:rsidR="00C53D53">
        <w:rPr>
          <w:rFonts w:ascii="Book Antiqua" w:eastAsia="Calibri" w:hAnsi="Book Antiqua" w:cs="Arial"/>
          <w:sz w:val="24"/>
          <w:szCs w:val="24"/>
        </w:rPr>
        <w:t>4</w:t>
      </w:r>
      <w:r w:rsidRPr="007442EC">
        <w:rPr>
          <w:rFonts w:ascii="Book Antiqua" w:eastAsia="Calibri" w:hAnsi="Book Antiqua" w:cs="Arial"/>
          <w:sz w:val="24"/>
          <w:szCs w:val="24"/>
        </w:rPr>
        <w:t xml:space="preserve">, y las acciones necesarias para la realización del entregable </w:t>
      </w:r>
      <w:r w:rsidRPr="007442EC">
        <w:rPr>
          <w:rFonts w:ascii="Book Antiqua" w:eastAsia="Calibri" w:hAnsi="Book Antiqua" w:cs="Arial"/>
          <w:i/>
          <w:iCs/>
          <w:sz w:val="24"/>
          <w:szCs w:val="24"/>
        </w:rPr>
        <w:t>“3.10. Informe de readecuación perfiles y gestión del cambio y evaluación DGH”</w:t>
      </w:r>
      <w:r w:rsidRPr="007442EC">
        <w:rPr>
          <w:rFonts w:ascii="Book Antiqua" w:eastAsia="Calibri" w:hAnsi="Book Antiqua" w:cs="Arial"/>
          <w:sz w:val="24"/>
          <w:szCs w:val="24"/>
        </w:rPr>
        <w:t xml:space="preserve"> </w:t>
      </w:r>
      <w:r w:rsidR="00447B31">
        <w:rPr>
          <w:rFonts w:ascii="Book Antiqua" w:eastAsia="Calibri" w:hAnsi="Book Antiqua" w:cs="Arial"/>
          <w:sz w:val="24"/>
          <w:szCs w:val="24"/>
        </w:rPr>
        <w:t>serán asumidos</w:t>
      </w:r>
      <w:r w:rsidRPr="007442EC">
        <w:rPr>
          <w:rFonts w:ascii="Book Antiqua" w:eastAsia="Calibri" w:hAnsi="Book Antiqua" w:cs="Arial"/>
          <w:sz w:val="24"/>
          <w:szCs w:val="24"/>
        </w:rPr>
        <w:t xml:space="preserve"> con recursos propios-ordinarios en coordinación con la Gestoría como hasta la fecha. </w:t>
      </w:r>
    </w:p>
    <w:p w14:paraId="3069C13E" w14:textId="6DA6D502" w:rsidR="00302EC3" w:rsidRDefault="00302EC3" w:rsidP="007442EC">
      <w:pPr>
        <w:spacing w:after="0" w:line="276" w:lineRule="auto"/>
        <w:jc w:val="both"/>
        <w:rPr>
          <w:rFonts w:ascii="Book Antiqua" w:eastAsia="Calibri" w:hAnsi="Book Antiqua" w:cs="Arial"/>
          <w:sz w:val="24"/>
          <w:szCs w:val="24"/>
        </w:rPr>
      </w:pPr>
    </w:p>
    <w:p w14:paraId="55C81126" w14:textId="77777777" w:rsidR="00C53D53" w:rsidRPr="00C53D53" w:rsidRDefault="00C53D53" w:rsidP="007442EC">
      <w:pPr>
        <w:spacing w:after="0" w:line="276" w:lineRule="auto"/>
        <w:jc w:val="both"/>
        <w:rPr>
          <w:rFonts w:ascii="Book Antiqua" w:eastAsia="Calibri" w:hAnsi="Book Antiqua" w:cs="Arial"/>
          <w:b/>
          <w:bCs/>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3557"/>
        <w:gridCol w:w="1067"/>
        <w:gridCol w:w="1337"/>
        <w:gridCol w:w="1246"/>
        <w:gridCol w:w="1621"/>
      </w:tblGrid>
      <w:tr w:rsidR="00302EC3" w:rsidRPr="00302EC3" w14:paraId="71936082"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48FE326"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F0A02DE"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E1CE53A"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92AF18"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54216E"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 completado</w:t>
            </w:r>
          </w:p>
        </w:tc>
      </w:tr>
      <w:tr w:rsidR="00302EC3" w:rsidRPr="00302EC3" w14:paraId="6A4067B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EA5CA1"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F05AA3"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D20A5D"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E461E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8BFB9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47%</w:t>
            </w:r>
          </w:p>
        </w:tc>
      </w:tr>
      <w:tr w:rsidR="00302EC3" w:rsidRPr="00302EC3" w14:paraId="0CF4C25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79B5E"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702E5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AF1E4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29F6CA"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ED9187"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60%</w:t>
            </w:r>
          </w:p>
        </w:tc>
      </w:tr>
      <w:tr w:rsidR="00302EC3" w:rsidRPr="00302EC3" w14:paraId="0228183F"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D00C00"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691CA9"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7D763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2D926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56FCA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100%</w:t>
            </w:r>
          </w:p>
        </w:tc>
      </w:tr>
      <w:tr w:rsidR="00302EC3" w:rsidRPr="00302EC3" w14:paraId="1413141E"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36E08F"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51A637"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627BC6"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33351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87BAB9"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0%</w:t>
            </w:r>
          </w:p>
        </w:tc>
      </w:tr>
      <w:tr w:rsidR="00302EC3" w:rsidRPr="00302EC3" w14:paraId="56B5C382"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76C4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Elaboración de nuevos contenidos e ítems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01040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03870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5F401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2B004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0%</w:t>
            </w:r>
          </w:p>
        </w:tc>
      </w:tr>
      <w:tr w:rsidR="00302EC3" w:rsidRPr="00302EC3" w14:paraId="018A6D6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1A42C6"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8052AA"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00818"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734D5F"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C086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28%</w:t>
            </w:r>
          </w:p>
        </w:tc>
      </w:tr>
    </w:tbl>
    <w:p w14:paraId="1E5269B0" w14:textId="1E38AD00" w:rsidR="007442EC" w:rsidRDefault="007442EC" w:rsidP="009E73B0">
      <w:pPr>
        <w:pStyle w:val="Ttulo"/>
        <w:spacing w:line="276" w:lineRule="auto"/>
        <w:jc w:val="left"/>
        <w:rPr>
          <w:szCs w:val="24"/>
          <w:lang w:val="es-CR"/>
        </w:rPr>
      </w:pPr>
    </w:p>
    <w:p w14:paraId="2E7EF804" w14:textId="20FE1181" w:rsidR="008051A1" w:rsidRPr="00AA01E7" w:rsidRDefault="0018633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de Planificación</w:t>
      </w:r>
    </w:p>
    <w:p w14:paraId="624DE13F" w14:textId="77777777" w:rsidR="00AA01E7" w:rsidRDefault="00AA01E7" w:rsidP="0018633E">
      <w:pPr>
        <w:spacing w:after="0" w:line="276" w:lineRule="auto"/>
        <w:jc w:val="both"/>
        <w:rPr>
          <w:rFonts w:ascii="Book Antiqua" w:eastAsia="Calibri" w:hAnsi="Book Antiqua" w:cs="Arial"/>
          <w:sz w:val="24"/>
          <w:szCs w:val="24"/>
        </w:rPr>
      </w:pPr>
    </w:p>
    <w:p w14:paraId="54ED2713" w14:textId="4DF24500"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La Auditoría Judicial mediante informe 60-08-SAO-2017, destaca en la recomendación 4.1. la siguiente solicitud a la Dirección de Planificación:</w:t>
      </w:r>
    </w:p>
    <w:p w14:paraId="2900F605" w14:textId="77777777" w:rsidR="0018633E" w:rsidRPr="0018633E" w:rsidRDefault="0018633E" w:rsidP="0018633E">
      <w:pPr>
        <w:spacing w:after="0" w:line="276" w:lineRule="auto"/>
        <w:jc w:val="both"/>
        <w:rPr>
          <w:rFonts w:ascii="Book Antiqua" w:eastAsia="Calibri" w:hAnsi="Book Antiqua" w:cs="Arial"/>
          <w:sz w:val="24"/>
          <w:szCs w:val="24"/>
        </w:rPr>
      </w:pPr>
    </w:p>
    <w:p w14:paraId="24EAE9CC" w14:textId="77777777" w:rsidR="0018633E" w:rsidRPr="001D0C10" w:rsidRDefault="0018633E" w:rsidP="001D0C10">
      <w:pPr>
        <w:spacing w:after="0" w:line="276" w:lineRule="auto"/>
        <w:ind w:left="567" w:right="474"/>
        <w:jc w:val="both"/>
        <w:rPr>
          <w:rFonts w:ascii="Book Antiqua" w:eastAsia="Calibri" w:hAnsi="Book Antiqua" w:cs="Arial"/>
          <w:i/>
          <w:iCs/>
        </w:rPr>
      </w:pPr>
      <w:r w:rsidRPr="001D0C10">
        <w:rPr>
          <w:rFonts w:ascii="Book Antiqua" w:eastAsia="Calibri" w:hAnsi="Book Antiqua" w:cs="Arial"/>
          <w:i/>
          <w:iCs/>
        </w:rPr>
        <w:t>“…</w:t>
      </w:r>
    </w:p>
    <w:p w14:paraId="6317F1A0" w14:textId="77777777" w:rsidR="0018633E" w:rsidRPr="001D0C10" w:rsidRDefault="0018633E" w:rsidP="001D0C10">
      <w:pPr>
        <w:spacing w:after="0" w:line="276" w:lineRule="auto"/>
        <w:ind w:left="567" w:right="474"/>
        <w:jc w:val="both"/>
        <w:rPr>
          <w:rFonts w:ascii="Book Antiqua" w:eastAsia="Calibri" w:hAnsi="Book Antiqua" w:cs="Arial"/>
          <w:i/>
          <w:iCs/>
        </w:rPr>
      </w:pPr>
      <w:r w:rsidRPr="001D0C10">
        <w:rPr>
          <w:rFonts w:ascii="Book Antiqua" w:eastAsia="Calibri" w:hAnsi="Book Antiqua" w:cs="Arial"/>
          <w:i/>
          <w:iCs/>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p>
    <w:p w14:paraId="289D8202" w14:textId="370DE38A" w:rsidR="0018633E" w:rsidRDefault="0018633E" w:rsidP="0018633E">
      <w:pPr>
        <w:spacing w:after="0" w:line="276" w:lineRule="auto"/>
        <w:jc w:val="both"/>
        <w:rPr>
          <w:rFonts w:ascii="Book Antiqua" w:eastAsia="Calibri" w:hAnsi="Book Antiqua" w:cs="Arial"/>
          <w:sz w:val="24"/>
          <w:szCs w:val="24"/>
        </w:rPr>
      </w:pPr>
    </w:p>
    <w:p w14:paraId="5F7BC31A" w14:textId="57FD8FC9" w:rsidR="00D662BA" w:rsidRDefault="00D662BA" w:rsidP="0018633E">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Año</w:t>
      </w:r>
      <w:r>
        <w:rPr>
          <w:rFonts w:ascii="Book Antiqua" w:eastAsia="Calibri" w:hAnsi="Book Antiqua" w:cs="Arial"/>
          <w:b/>
          <w:bCs/>
          <w:sz w:val="24"/>
          <w:szCs w:val="24"/>
        </w:rPr>
        <w:t>s</w:t>
      </w:r>
      <w:r w:rsidRPr="001D0C10">
        <w:rPr>
          <w:rFonts w:ascii="Book Antiqua" w:eastAsia="Calibri" w:hAnsi="Book Antiqua" w:cs="Arial"/>
          <w:b/>
          <w:bCs/>
          <w:sz w:val="24"/>
          <w:szCs w:val="24"/>
        </w:rPr>
        <w:t xml:space="preserve"> 2020</w:t>
      </w:r>
      <w:r>
        <w:rPr>
          <w:rFonts w:ascii="Book Antiqua" w:eastAsia="Calibri" w:hAnsi="Book Antiqua" w:cs="Arial"/>
          <w:b/>
          <w:bCs/>
          <w:sz w:val="24"/>
          <w:szCs w:val="24"/>
        </w:rPr>
        <w:t>-2021</w:t>
      </w:r>
      <w:r w:rsidRPr="001D0C10">
        <w:rPr>
          <w:rFonts w:ascii="Book Antiqua" w:eastAsia="Calibri" w:hAnsi="Book Antiqua" w:cs="Arial"/>
          <w:b/>
          <w:bCs/>
          <w:sz w:val="24"/>
          <w:szCs w:val="24"/>
        </w:rPr>
        <w:t>:</w:t>
      </w:r>
    </w:p>
    <w:p w14:paraId="35820629" w14:textId="77777777" w:rsidR="008051A1" w:rsidRPr="001D0C10" w:rsidRDefault="008051A1" w:rsidP="0018633E">
      <w:pPr>
        <w:spacing w:after="0" w:line="276" w:lineRule="auto"/>
        <w:jc w:val="both"/>
        <w:rPr>
          <w:rFonts w:ascii="Book Antiqua" w:eastAsia="Calibri" w:hAnsi="Book Antiqua" w:cs="Arial"/>
          <w:b/>
          <w:bCs/>
          <w:sz w:val="24"/>
          <w:szCs w:val="24"/>
        </w:rPr>
      </w:pPr>
    </w:p>
    <w:p w14:paraId="3D915C5F" w14:textId="51E6B3B2"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En línea con lo anterior, es importante agregar que para el exitoso proceso de implementación de la Reforma Procesal de Familia, una de las acciones prioritarias </w:t>
      </w:r>
      <w:r w:rsidR="00447B31">
        <w:rPr>
          <w:rFonts w:ascii="Book Antiqua" w:eastAsia="Calibri" w:hAnsi="Book Antiqua" w:cs="Arial"/>
          <w:sz w:val="24"/>
          <w:szCs w:val="24"/>
        </w:rPr>
        <w:t>que se ejecutó en 202</w:t>
      </w:r>
      <w:r w:rsidR="00D662BA">
        <w:rPr>
          <w:rFonts w:ascii="Book Antiqua" w:eastAsia="Calibri" w:hAnsi="Book Antiqua" w:cs="Arial"/>
          <w:sz w:val="24"/>
          <w:szCs w:val="24"/>
        </w:rPr>
        <w:t>0-2021</w:t>
      </w:r>
      <w:r w:rsidR="00447B31">
        <w:rPr>
          <w:rFonts w:ascii="Book Antiqua" w:eastAsia="Calibri" w:hAnsi="Book Antiqua" w:cs="Arial"/>
          <w:sz w:val="24"/>
          <w:szCs w:val="24"/>
        </w:rPr>
        <w:t xml:space="preserve"> fue</w:t>
      </w:r>
      <w:r w:rsidRPr="0018633E">
        <w:rPr>
          <w:rFonts w:ascii="Book Antiqua" w:eastAsia="Calibri" w:hAnsi="Book Antiqua" w:cs="Arial"/>
          <w:sz w:val="24"/>
          <w:szCs w:val="24"/>
        </w:rPr>
        <w:t xml:space="preserve"> el proceso previo de diagnóstico de las oficinas judiciales que conocen de esas materias a nivel nacional, lo que concuerda con la solicitud de estudio recomendado por la Auditoría Judicial, donde </w:t>
      </w:r>
      <w:r w:rsidR="00447B31">
        <w:rPr>
          <w:rFonts w:ascii="Book Antiqua" w:eastAsia="Calibri" w:hAnsi="Book Antiqua" w:cs="Arial"/>
          <w:sz w:val="24"/>
          <w:szCs w:val="24"/>
        </w:rPr>
        <w:t>s</w:t>
      </w:r>
      <w:r w:rsidRPr="0018633E">
        <w:rPr>
          <w:rFonts w:ascii="Book Antiqua" w:eastAsia="Calibri" w:hAnsi="Book Antiqua" w:cs="Arial"/>
          <w:sz w:val="24"/>
          <w:szCs w:val="24"/>
        </w:rPr>
        <w:t>e abordará toda la Jurisdicción a nivel nacional</w:t>
      </w:r>
      <w:r w:rsidR="00447B31">
        <w:rPr>
          <w:rFonts w:ascii="Book Antiqua" w:eastAsia="Calibri" w:hAnsi="Book Antiqua" w:cs="Arial"/>
          <w:sz w:val="24"/>
          <w:szCs w:val="24"/>
        </w:rPr>
        <w:t xml:space="preserve">, con la misma </w:t>
      </w:r>
      <w:r w:rsidRPr="0018633E">
        <w:rPr>
          <w:rFonts w:ascii="Book Antiqua" w:eastAsia="Calibri" w:hAnsi="Book Antiqua" w:cs="Arial"/>
          <w:sz w:val="24"/>
          <w:szCs w:val="24"/>
        </w:rPr>
        <w:t>línea de acción es la que se ha venido ejecutando desde la implementación de la Reforma al Código de Trabajo, Reforma Procesal Civil y Código Procesal Agrario.</w:t>
      </w:r>
    </w:p>
    <w:p w14:paraId="0C917398" w14:textId="77777777" w:rsidR="0018633E" w:rsidRPr="0018633E" w:rsidRDefault="0018633E" w:rsidP="0018633E">
      <w:pPr>
        <w:spacing w:after="0" w:line="276" w:lineRule="auto"/>
        <w:jc w:val="both"/>
        <w:rPr>
          <w:rFonts w:ascii="Book Antiqua" w:eastAsia="Calibri" w:hAnsi="Book Antiqua" w:cs="Arial"/>
          <w:sz w:val="24"/>
          <w:szCs w:val="24"/>
        </w:rPr>
      </w:pPr>
    </w:p>
    <w:p w14:paraId="430C41D8" w14:textId="1022F67E" w:rsid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La particularidad en Familia fue que la implementación de este proyecto </w:t>
      </w:r>
      <w:r w:rsidR="00F94535">
        <w:rPr>
          <w:rFonts w:ascii="Book Antiqua" w:eastAsia="Calibri" w:hAnsi="Book Antiqua" w:cs="Arial"/>
          <w:sz w:val="24"/>
          <w:szCs w:val="24"/>
        </w:rPr>
        <w:t xml:space="preserve">se desarrolló </w:t>
      </w:r>
      <w:r w:rsidRPr="0018633E">
        <w:rPr>
          <w:rFonts w:ascii="Book Antiqua" w:eastAsia="Calibri" w:hAnsi="Book Antiqua" w:cs="Arial"/>
          <w:sz w:val="24"/>
          <w:szCs w:val="24"/>
        </w:rPr>
        <w:t xml:space="preserve">en forma simultánea con la atención de las recomendaciones emitidas por la Contraloría General de la República y los plazos establecidos por el órgano contralor para el cumplimiento de cada una de ellas; lo que </w:t>
      </w:r>
      <w:r w:rsidR="007F7D79">
        <w:rPr>
          <w:rFonts w:ascii="Book Antiqua" w:eastAsia="Calibri" w:hAnsi="Book Antiqua" w:cs="Arial"/>
          <w:sz w:val="24"/>
          <w:szCs w:val="24"/>
        </w:rPr>
        <w:t>implicó</w:t>
      </w:r>
      <w:r w:rsidRPr="0018633E">
        <w:rPr>
          <w:rFonts w:ascii="Book Antiqua" w:eastAsia="Calibri" w:hAnsi="Book Antiqua" w:cs="Arial"/>
          <w:sz w:val="24"/>
          <w:szCs w:val="24"/>
        </w:rPr>
        <w:t xml:space="preserve"> ajustes en el cronograma tal y como está debidamente documentado en el sitio del proyecto</w:t>
      </w:r>
      <w:r w:rsidR="00447B31">
        <w:rPr>
          <w:rFonts w:ascii="Book Antiqua" w:eastAsia="Calibri" w:hAnsi="Book Antiqua" w:cs="Arial"/>
          <w:sz w:val="24"/>
          <w:szCs w:val="24"/>
        </w:rPr>
        <w:t xml:space="preserve"> y la realización de estudios complementarios que implican una inversión de tiempo mayor y que se podrán desarrollar hasta en 2022 todo con recurso ordinario de la Dirección, que ha tenido que priorizar en sus planes de trabajo estudios relacionados con las 3 materias que impacta la Ley 9747</w:t>
      </w:r>
      <w:r w:rsidRPr="0018633E">
        <w:rPr>
          <w:rFonts w:ascii="Book Antiqua" w:eastAsia="Calibri" w:hAnsi="Book Antiqua" w:cs="Arial"/>
          <w:sz w:val="24"/>
          <w:szCs w:val="24"/>
        </w:rPr>
        <w:t xml:space="preserve">.  </w:t>
      </w:r>
    </w:p>
    <w:p w14:paraId="2856EB03" w14:textId="77777777" w:rsidR="007F7D79" w:rsidRPr="0018633E" w:rsidRDefault="007F7D79" w:rsidP="0018633E">
      <w:pPr>
        <w:spacing w:after="0" w:line="276" w:lineRule="auto"/>
        <w:jc w:val="both"/>
        <w:rPr>
          <w:rFonts w:ascii="Book Antiqua" w:eastAsia="Calibri" w:hAnsi="Book Antiqua" w:cs="Arial"/>
          <w:sz w:val="24"/>
          <w:szCs w:val="24"/>
        </w:rPr>
      </w:pPr>
    </w:p>
    <w:p w14:paraId="614F5F69" w14:textId="2D7D6F84"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Durante el diagnóstico se </w:t>
      </w:r>
      <w:r w:rsidR="00F94535">
        <w:rPr>
          <w:rFonts w:ascii="Book Antiqua" w:eastAsia="Calibri" w:hAnsi="Book Antiqua" w:cs="Arial"/>
          <w:sz w:val="24"/>
          <w:szCs w:val="24"/>
        </w:rPr>
        <w:t>detectaron</w:t>
      </w:r>
      <w:r w:rsidRPr="0018633E">
        <w:rPr>
          <w:rFonts w:ascii="Book Antiqua" w:eastAsia="Calibri" w:hAnsi="Book Antiqua" w:cs="Arial"/>
          <w:sz w:val="24"/>
          <w:szCs w:val="24"/>
        </w:rPr>
        <w:t xml:space="preserve"> diferentes oportunidades </w:t>
      </w:r>
      <w:r w:rsidR="007F7D79">
        <w:rPr>
          <w:rFonts w:ascii="Book Antiqua" w:eastAsia="Calibri" w:hAnsi="Book Antiqua" w:cs="Arial"/>
          <w:sz w:val="24"/>
          <w:szCs w:val="24"/>
        </w:rPr>
        <w:t xml:space="preserve">de mejora </w:t>
      </w:r>
      <w:r w:rsidRPr="0018633E">
        <w:rPr>
          <w:rFonts w:ascii="Book Antiqua" w:eastAsia="Calibri" w:hAnsi="Book Antiqua" w:cs="Arial"/>
          <w:sz w:val="24"/>
          <w:szCs w:val="24"/>
        </w:rPr>
        <w:t xml:space="preserve">a nivel estructural o de metodología de trabajo, bajo el modelo de sostenibilidad, el establecimiento de cuotas de trabajo, indicadores de Gestión </w:t>
      </w:r>
      <w:r w:rsidR="00D80539">
        <w:rPr>
          <w:rFonts w:ascii="Book Antiqua" w:eastAsia="Calibri" w:hAnsi="Book Antiqua" w:cs="Arial"/>
          <w:sz w:val="24"/>
          <w:szCs w:val="24"/>
        </w:rPr>
        <w:t>en la totalidad de oficinas que conocen la materia de Familia y Pensiones a nivel nacional desde diciembre 2020</w:t>
      </w:r>
      <w:r w:rsidR="007F7D79">
        <w:rPr>
          <w:rFonts w:ascii="Book Antiqua" w:eastAsia="Calibri" w:hAnsi="Book Antiqua" w:cs="Arial"/>
          <w:sz w:val="24"/>
          <w:szCs w:val="24"/>
        </w:rPr>
        <w:t xml:space="preserve"> se tiene un mayor control del rendimiento de las oficinas</w:t>
      </w:r>
      <w:r w:rsidR="00D80539">
        <w:rPr>
          <w:rFonts w:ascii="Book Antiqua" w:eastAsia="Calibri" w:hAnsi="Book Antiqua" w:cs="Arial"/>
          <w:sz w:val="24"/>
          <w:szCs w:val="24"/>
        </w:rPr>
        <w:t xml:space="preserve">. </w:t>
      </w:r>
    </w:p>
    <w:p w14:paraId="3D0C347C" w14:textId="77777777" w:rsidR="0018633E" w:rsidRPr="0018633E" w:rsidRDefault="0018633E" w:rsidP="0018633E">
      <w:pPr>
        <w:spacing w:after="0" w:line="276" w:lineRule="auto"/>
        <w:jc w:val="both"/>
        <w:rPr>
          <w:rFonts w:ascii="Book Antiqua" w:eastAsia="Calibri" w:hAnsi="Book Antiqua" w:cs="Arial"/>
          <w:sz w:val="24"/>
          <w:szCs w:val="24"/>
        </w:rPr>
      </w:pPr>
    </w:p>
    <w:p w14:paraId="18463DC2" w14:textId="10747D03" w:rsidR="0018633E" w:rsidRDefault="00D80539" w:rsidP="0018633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En</w:t>
      </w:r>
      <w:r w:rsidR="0018633E" w:rsidRPr="0018633E">
        <w:rPr>
          <w:rFonts w:ascii="Book Antiqua" w:eastAsia="Calibri" w:hAnsi="Book Antiqua" w:cs="Arial"/>
          <w:sz w:val="24"/>
          <w:szCs w:val="24"/>
          <w:lang w:eastAsia="es-CR"/>
        </w:rPr>
        <w:t xml:space="preserve"> cumplimiento de</w:t>
      </w:r>
      <w:r w:rsidR="004C6CE7">
        <w:rPr>
          <w:rFonts w:ascii="Book Antiqua" w:eastAsia="Calibri" w:hAnsi="Book Antiqua" w:cs="Arial"/>
          <w:sz w:val="24"/>
          <w:szCs w:val="24"/>
          <w:lang w:eastAsia="es-CR"/>
        </w:rPr>
        <w:t xml:space="preserve"> las</w:t>
      </w:r>
      <w:r w:rsidR="0018633E" w:rsidRPr="0018633E">
        <w:rPr>
          <w:rFonts w:ascii="Book Antiqua" w:eastAsia="Calibri" w:hAnsi="Book Antiqua" w:cs="Arial"/>
          <w:sz w:val="24"/>
          <w:szCs w:val="24"/>
          <w:lang w:eastAsia="es-CR"/>
        </w:rPr>
        <w:t xml:space="preserve"> recomendaciones emitidas por la Contraloría General de la República </w:t>
      </w:r>
      <w:r w:rsidR="0018633E" w:rsidRPr="0018633E">
        <w:rPr>
          <w:rFonts w:ascii="Book Antiqua" w:eastAsia="Calibri" w:hAnsi="Book Antiqua" w:cs="Arial"/>
          <w:color w:val="000000"/>
          <w:sz w:val="24"/>
          <w:szCs w:val="24"/>
          <w:lang w:eastAsia="es-CR"/>
        </w:rPr>
        <w:t xml:space="preserve">en el informe </w:t>
      </w:r>
      <w:r w:rsidR="0018633E" w:rsidRPr="0018633E">
        <w:rPr>
          <w:rFonts w:ascii="Book Antiqua" w:eastAsia="Calibri" w:hAnsi="Book Antiqua" w:cs="Arial"/>
          <w:sz w:val="24"/>
          <w:szCs w:val="24"/>
          <w:lang w:eastAsia="es-CR"/>
        </w:rPr>
        <w:t xml:space="preserve">DFOE-PG-0098 (2683)-2020, relacionado con el informe DFOE-PG-IF-00002-2020 </w:t>
      </w:r>
      <w:r w:rsidR="0018633E" w:rsidRPr="0018633E">
        <w:rPr>
          <w:rFonts w:ascii="Book Antiqua" w:eastAsia="Calibri" w:hAnsi="Book Antiqua" w:cs="Arial"/>
          <w:i/>
          <w:iCs/>
          <w:sz w:val="24"/>
          <w:szCs w:val="24"/>
          <w:lang w:eastAsia="es-CR"/>
        </w:rPr>
        <w:t>“Informe de Auditoría Operativa sobre la gestión del Poder Judicial en cuanto a la oportunidad de la prestación del servicio público de administración de la justicia de los juzgados de Familia y de Pensiones alimentarias</w:t>
      </w:r>
      <w:r w:rsidR="0018633E" w:rsidRPr="0018633E">
        <w:rPr>
          <w:rFonts w:ascii="Book Antiqua" w:eastAsia="Calibri" w:hAnsi="Book Antiqua" w:cs="Arial"/>
          <w:sz w:val="24"/>
          <w:szCs w:val="24"/>
          <w:lang w:eastAsia="es-CR"/>
        </w:rPr>
        <w:t>”</w:t>
      </w:r>
      <w:r w:rsidR="0018633E" w:rsidRPr="0018633E">
        <w:rPr>
          <w:rFonts w:ascii="Book Antiqua" w:eastAsia="Calibri" w:hAnsi="Book Antiqua" w:cs="Arial"/>
          <w:color w:val="000000"/>
          <w:sz w:val="24"/>
          <w:szCs w:val="24"/>
          <w:lang w:eastAsia="es-CR"/>
        </w:rPr>
        <w:t xml:space="preserve"> y únicamente en las oficinas competentes en materia de Familia y Pensiones Alimentarias.  Esta situación </w:t>
      </w:r>
      <w:r w:rsidR="0018633E" w:rsidRPr="0018633E">
        <w:rPr>
          <w:rFonts w:ascii="Book Antiqua" w:eastAsia="Calibri" w:hAnsi="Book Antiqua" w:cs="Arial"/>
          <w:sz w:val="24"/>
          <w:szCs w:val="24"/>
          <w:lang w:eastAsia="es-CR"/>
        </w:rPr>
        <w:t xml:space="preserve">implicó una variación en la metodología, y estas oficinas no fueron rediseñadas propiamente, sino que fueron abordadas revisando las siguientes </w:t>
      </w:r>
      <w:r w:rsidR="009B71C9" w:rsidRPr="0018633E">
        <w:rPr>
          <w:rFonts w:ascii="Book Antiqua" w:eastAsia="Calibri" w:hAnsi="Book Antiqua" w:cs="Arial"/>
          <w:sz w:val="24"/>
          <w:szCs w:val="24"/>
          <w:lang w:eastAsia="es-CR"/>
        </w:rPr>
        <w:t>tar</w:t>
      </w:r>
      <w:r w:rsidR="009B71C9">
        <w:rPr>
          <w:rFonts w:ascii="Book Antiqua" w:eastAsia="Calibri" w:hAnsi="Book Antiqua" w:cs="Arial"/>
          <w:sz w:val="24"/>
          <w:szCs w:val="24"/>
          <w:lang w:eastAsia="es-CR"/>
        </w:rPr>
        <w:t>e</w:t>
      </w:r>
      <w:r w:rsidR="009B71C9" w:rsidRPr="0018633E">
        <w:rPr>
          <w:rFonts w:ascii="Book Antiqua" w:eastAsia="Calibri" w:hAnsi="Book Antiqua" w:cs="Arial"/>
          <w:sz w:val="24"/>
          <w:szCs w:val="24"/>
          <w:lang w:eastAsia="es-CR"/>
        </w:rPr>
        <w:t>as</w:t>
      </w:r>
      <w:r w:rsidR="0018633E" w:rsidRPr="0018633E">
        <w:rPr>
          <w:rFonts w:ascii="Book Antiqua" w:eastAsia="Calibri" w:hAnsi="Book Antiqua" w:cs="Arial"/>
          <w:sz w:val="24"/>
          <w:szCs w:val="24"/>
          <w:lang w:eastAsia="es-CR"/>
        </w:rPr>
        <w:t xml:space="preserve"> conforme a lo aprobado por el Consejo Superior en sesión 70-2020 celebrada el 09 de julio del 2020, artículo LVIII:</w:t>
      </w:r>
    </w:p>
    <w:p w14:paraId="5FEC98EE" w14:textId="77777777" w:rsidR="0012522B" w:rsidRPr="0018633E" w:rsidRDefault="0012522B" w:rsidP="0018633E">
      <w:pPr>
        <w:spacing w:after="0" w:line="276" w:lineRule="auto"/>
        <w:contextualSpacing/>
        <w:jc w:val="both"/>
        <w:rPr>
          <w:rFonts w:ascii="Book Antiqua" w:eastAsia="Calibri" w:hAnsi="Book Antiqua" w:cs="Arial"/>
          <w:color w:val="000000"/>
          <w:sz w:val="24"/>
          <w:szCs w:val="24"/>
          <w:lang w:eastAsia="es-CR"/>
        </w:rPr>
      </w:pPr>
    </w:p>
    <w:p w14:paraId="1D0992F1" w14:textId="77777777" w:rsidR="0018633E" w:rsidRPr="0018633E" w:rsidRDefault="0018633E">
      <w:pPr>
        <w:numPr>
          <w:ilvl w:val="0"/>
          <w:numId w:val="27"/>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Reunión inicial con el equipo de trabajo para mostrar la metodología de trabajo.</w:t>
      </w:r>
    </w:p>
    <w:p w14:paraId="1356D8DB" w14:textId="77777777" w:rsidR="0018633E" w:rsidRPr="0018633E" w:rsidRDefault="0018633E">
      <w:pPr>
        <w:numPr>
          <w:ilvl w:val="0"/>
          <w:numId w:val="27"/>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Análisis de la estructura organizacional y funcional.</w:t>
      </w:r>
    </w:p>
    <w:p w14:paraId="05CA10F8" w14:textId="1E5565E1" w:rsidR="0018633E" w:rsidRPr="0018633E" w:rsidRDefault="0018633E">
      <w:pPr>
        <w:numPr>
          <w:ilvl w:val="0"/>
          <w:numId w:val="27"/>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Análisis de la distribución </w:t>
      </w:r>
      <w:r w:rsidR="007F7D79">
        <w:rPr>
          <w:rFonts w:ascii="Book Antiqua" w:eastAsia="Calibri" w:hAnsi="Book Antiqua" w:cs="Arial"/>
          <w:sz w:val="24"/>
          <w:szCs w:val="24"/>
        </w:rPr>
        <w:t>de la entrada y el circulante</w:t>
      </w:r>
      <w:r w:rsidRPr="0018633E">
        <w:rPr>
          <w:rFonts w:ascii="Book Antiqua" w:eastAsia="Calibri" w:hAnsi="Book Antiqua" w:cs="Arial"/>
          <w:sz w:val="24"/>
          <w:szCs w:val="24"/>
        </w:rPr>
        <w:t xml:space="preserve">, desde el reparto inicial de casos </w:t>
      </w:r>
      <w:r w:rsidR="007F7D79">
        <w:rPr>
          <w:rFonts w:ascii="Book Antiqua" w:eastAsia="Calibri" w:hAnsi="Book Antiqua" w:cs="Arial"/>
          <w:sz w:val="24"/>
          <w:szCs w:val="24"/>
        </w:rPr>
        <w:t xml:space="preserve">de forma </w:t>
      </w:r>
      <w:r w:rsidRPr="0018633E">
        <w:rPr>
          <w:rFonts w:ascii="Book Antiqua" w:eastAsia="Calibri" w:hAnsi="Book Antiqua" w:cs="Arial"/>
          <w:sz w:val="24"/>
          <w:szCs w:val="24"/>
        </w:rPr>
        <w:t>como de la carga asignada actualmente por cada persona involucrada en el equipo</w:t>
      </w:r>
      <w:r w:rsidR="007F7D79">
        <w:rPr>
          <w:rFonts w:ascii="Book Antiqua" w:eastAsia="Calibri" w:hAnsi="Book Antiqua" w:cs="Arial"/>
          <w:sz w:val="24"/>
          <w:szCs w:val="24"/>
        </w:rPr>
        <w:t>.</w:t>
      </w:r>
    </w:p>
    <w:p w14:paraId="33F9B18B" w14:textId="77777777" w:rsidR="0018633E" w:rsidRPr="0018633E" w:rsidRDefault="0018633E">
      <w:pPr>
        <w:numPr>
          <w:ilvl w:val="0"/>
          <w:numId w:val="27"/>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0D1CE4DC" w14:textId="77777777" w:rsidR="0018633E" w:rsidRPr="0018633E" w:rsidRDefault="0018633E">
      <w:pPr>
        <w:numPr>
          <w:ilvl w:val="0"/>
          <w:numId w:val="27"/>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Implementación de la herramienta de pase a fallo en el Escritorio Virtual e implementación de libro de pase a fallo según los lineamientos establecidos. </w:t>
      </w:r>
    </w:p>
    <w:p w14:paraId="28848AB7" w14:textId="77777777" w:rsidR="0018633E" w:rsidRPr="0018633E" w:rsidRDefault="0018633E">
      <w:pPr>
        <w:numPr>
          <w:ilvl w:val="0"/>
          <w:numId w:val="27"/>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Conformación del Equipo de Mejora en el Despacho. </w:t>
      </w:r>
    </w:p>
    <w:p w14:paraId="7FCA4A32" w14:textId="77777777" w:rsidR="0018633E" w:rsidRPr="0018633E" w:rsidRDefault="0018633E">
      <w:pPr>
        <w:numPr>
          <w:ilvl w:val="0"/>
          <w:numId w:val="27"/>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Implementación del Modelo de Sostenibilidad en cada uno de los despachos involucrados. </w:t>
      </w:r>
    </w:p>
    <w:p w14:paraId="0E8D5774" w14:textId="77777777" w:rsidR="0018633E" w:rsidRPr="0018633E" w:rsidRDefault="0018633E">
      <w:pPr>
        <w:numPr>
          <w:ilvl w:val="0"/>
          <w:numId w:val="27"/>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Capacitación e implementación de los Indicadores de Gestión.</w:t>
      </w:r>
    </w:p>
    <w:p w14:paraId="5F60B735" w14:textId="77777777" w:rsidR="0018633E" w:rsidRPr="0018633E" w:rsidRDefault="0018633E" w:rsidP="0018633E">
      <w:pPr>
        <w:tabs>
          <w:tab w:val="left" w:pos="284"/>
        </w:tabs>
        <w:spacing w:after="0" w:line="276" w:lineRule="auto"/>
        <w:ind w:left="284"/>
        <w:jc w:val="both"/>
        <w:rPr>
          <w:rFonts w:ascii="Book Antiqua" w:eastAsia="Calibri" w:hAnsi="Book Antiqua" w:cs="Arial"/>
          <w:sz w:val="24"/>
          <w:szCs w:val="24"/>
        </w:rPr>
      </w:pPr>
    </w:p>
    <w:p w14:paraId="1C6163B1" w14:textId="249A7242" w:rsidR="0018633E" w:rsidRPr="0018633E" w:rsidRDefault="0018633E" w:rsidP="0018633E">
      <w:pPr>
        <w:spacing w:after="0" w:line="276" w:lineRule="auto"/>
        <w:contextualSpacing/>
        <w:jc w:val="both"/>
        <w:rPr>
          <w:rFonts w:ascii="Book Antiqua" w:eastAsia="Calibri" w:hAnsi="Book Antiqua" w:cs="Arial"/>
          <w:color w:val="000000"/>
          <w:sz w:val="24"/>
          <w:szCs w:val="24"/>
          <w:lang w:eastAsia="es-CR"/>
        </w:rPr>
      </w:pPr>
      <w:r w:rsidRPr="0018633E">
        <w:rPr>
          <w:rFonts w:ascii="Book Antiqua" w:eastAsia="Calibri" w:hAnsi="Book Antiqua" w:cs="Arial"/>
          <w:color w:val="000000"/>
          <w:sz w:val="24"/>
          <w:szCs w:val="24"/>
          <w:lang w:eastAsia="es-CR"/>
        </w:rPr>
        <w:t xml:space="preserve">Adicional a las tareas descritas anteriormente, de forma inmediata a la conclusión del abordaje, los profesionales encargados del estudio y durante el </w:t>
      </w:r>
      <w:r w:rsidR="00447B31">
        <w:rPr>
          <w:rFonts w:ascii="Book Antiqua" w:eastAsia="Calibri" w:hAnsi="Book Antiqua" w:cs="Arial"/>
          <w:color w:val="000000"/>
          <w:sz w:val="24"/>
          <w:szCs w:val="24"/>
          <w:lang w:eastAsia="es-CR"/>
        </w:rPr>
        <w:t>periodo de diciembre 2020 a octubre 2021 aproximadamente, realizaron</w:t>
      </w:r>
      <w:r w:rsidRPr="0018633E">
        <w:rPr>
          <w:rFonts w:ascii="Book Antiqua" w:eastAsia="Calibri" w:hAnsi="Book Antiqua" w:cs="Arial"/>
          <w:color w:val="000000"/>
          <w:sz w:val="24"/>
          <w:szCs w:val="24"/>
          <w:lang w:eastAsia="es-CR"/>
        </w:rPr>
        <w:t xml:space="preserve"> el seguimiento a la implementación de Equipo de Mejora y de las tareas relacionadas al Modelo de Sostenibilidad que contemplan la elaboración de los Indicadores de Gestión, realización de reunión mensual del equipo, la generación de la minuta de la reunión y el diseño de los planes remediales; con lo cual se garantice que se realice el análisis adecuado de la información, se identifi</w:t>
      </w:r>
      <w:r w:rsidR="00D662BA">
        <w:rPr>
          <w:rFonts w:ascii="Book Antiqua" w:eastAsia="Calibri" w:hAnsi="Book Antiqua" w:cs="Arial"/>
          <w:color w:val="000000"/>
          <w:sz w:val="24"/>
          <w:szCs w:val="24"/>
          <w:lang w:eastAsia="es-CR"/>
        </w:rPr>
        <w:t>caron</w:t>
      </w:r>
      <w:r w:rsidRPr="0018633E">
        <w:rPr>
          <w:rFonts w:ascii="Book Antiqua" w:eastAsia="Calibri" w:hAnsi="Book Antiqua" w:cs="Arial"/>
          <w:color w:val="000000"/>
          <w:sz w:val="24"/>
          <w:szCs w:val="24"/>
          <w:lang w:eastAsia="es-CR"/>
        </w:rPr>
        <w:t xml:space="preserve"> oportunidades de mejora y se diseñ</w:t>
      </w:r>
      <w:r w:rsidR="00D662BA">
        <w:rPr>
          <w:rFonts w:ascii="Book Antiqua" w:eastAsia="Calibri" w:hAnsi="Book Antiqua" w:cs="Arial"/>
          <w:color w:val="000000"/>
          <w:sz w:val="24"/>
          <w:szCs w:val="24"/>
          <w:lang w:eastAsia="es-CR"/>
        </w:rPr>
        <w:t>aron en conjunto con las oficinas</w:t>
      </w:r>
      <w:r w:rsidRPr="0018633E">
        <w:rPr>
          <w:rFonts w:ascii="Book Antiqua" w:eastAsia="Calibri" w:hAnsi="Book Antiqua" w:cs="Arial"/>
          <w:color w:val="000000"/>
          <w:sz w:val="24"/>
          <w:szCs w:val="24"/>
          <w:lang w:eastAsia="es-CR"/>
        </w:rPr>
        <w:t xml:space="preserve"> planes remediales </w:t>
      </w:r>
      <w:r w:rsidR="00D662BA">
        <w:rPr>
          <w:rFonts w:ascii="Book Antiqua" w:eastAsia="Calibri" w:hAnsi="Book Antiqua" w:cs="Arial"/>
          <w:color w:val="000000"/>
          <w:sz w:val="24"/>
          <w:szCs w:val="24"/>
          <w:lang w:eastAsia="es-CR"/>
        </w:rPr>
        <w:t>para dar</w:t>
      </w:r>
      <w:r w:rsidRPr="0018633E">
        <w:rPr>
          <w:rFonts w:ascii="Book Antiqua" w:eastAsia="Calibri" w:hAnsi="Book Antiqua" w:cs="Arial"/>
          <w:color w:val="000000"/>
          <w:sz w:val="24"/>
          <w:szCs w:val="24"/>
          <w:lang w:eastAsia="es-CR"/>
        </w:rPr>
        <w:t xml:space="preserve"> solución a la situación crítica detectada.</w:t>
      </w:r>
    </w:p>
    <w:p w14:paraId="5981B087" w14:textId="0A9FD907" w:rsidR="0018633E" w:rsidRDefault="0018633E" w:rsidP="0018633E">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color w:val="000000"/>
          <w:sz w:val="24"/>
          <w:szCs w:val="24"/>
          <w:lang w:eastAsia="es-CR"/>
        </w:rPr>
        <w:t xml:space="preserve">Lo descrito en el párrafo anterior, va en línea </w:t>
      </w:r>
      <w:r w:rsidRPr="0018633E">
        <w:rPr>
          <w:rFonts w:ascii="Book Antiqua" w:eastAsia="Calibri" w:hAnsi="Book Antiqua" w:cs="Arial"/>
          <w:sz w:val="24"/>
          <w:szCs w:val="24"/>
          <w:lang w:eastAsia="es-CR"/>
        </w:rPr>
        <w:t>con la disposición 4.7 indicada en el informe DFOE-PG-IF-00002-2020 relacionado con</w:t>
      </w:r>
      <w:r w:rsidRPr="0018633E">
        <w:rPr>
          <w:rFonts w:ascii="Book Antiqua" w:eastAsia="Calibri" w:hAnsi="Book Antiqua" w:cs="Arial"/>
          <w:i/>
          <w:iCs/>
          <w:sz w:val="24"/>
          <w:szCs w:val="24"/>
          <w:lang w:eastAsia="es-CR"/>
        </w:rPr>
        <w:t xml:space="preserve"> “Informe de la Auditoría Operativa sobre la Gestión del Poder Judicial en cuanto a la Oportunidad de la Prestación del Servicio Público de Administración de la Justicia de los Juzgados de Familia y de Pensiones Alimentarias</w:t>
      </w:r>
      <w:r w:rsidRPr="0018633E">
        <w:rPr>
          <w:rFonts w:ascii="Book Antiqua" w:eastAsia="Calibri" w:hAnsi="Book Antiqua" w:cs="Arial"/>
          <w:sz w:val="24"/>
          <w:szCs w:val="24"/>
          <w:lang w:eastAsia="es-CR"/>
        </w:rPr>
        <w:t>” de la Contraloría General de la República.</w:t>
      </w:r>
    </w:p>
    <w:p w14:paraId="31558BBB" w14:textId="77777777" w:rsidR="003323D3" w:rsidRPr="0018633E" w:rsidRDefault="003323D3" w:rsidP="0018633E">
      <w:pPr>
        <w:spacing w:after="0" w:line="276" w:lineRule="auto"/>
        <w:contextualSpacing/>
        <w:jc w:val="both"/>
        <w:rPr>
          <w:rFonts w:ascii="Book Antiqua" w:eastAsia="Calibri" w:hAnsi="Book Antiqua" w:cs="Arial"/>
          <w:color w:val="000000"/>
          <w:sz w:val="24"/>
          <w:szCs w:val="24"/>
          <w:lang w:eastAsia="es-CR"/>
        </w:rPr>
      </w:pPr>
    </w:p>
    <w:p w14:paraId="503F7C0C" w14:textId="515C591D" w:rsidR="00D662BA" w:rsidRPr="0018633E" w:rsidRDefault="00D662BA" w:rsidP="00D662BA">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E</w:t>
      </w:r>
      <w:r w:rsidRPr="0018633E">
        <w:rPr>
          <w:rFonts w:ascii="Book Antiqua" w:eastAsia="Calibri" w:hAnsi="Book Antiqua" w:cs="Arial"/>
          <w:color w:val="000000"/>
          <w:sz w:val="24"/>
          <w:szCs w:val="24"/>
          <w:lang w:eastAsia="es-CR"/>
        </w:rPr>
        <w:t>n 2020, la Dirección de Planificación con colaboración del Juez Gestor en la materia</w:t>
      </w:r>
      <w:r>
        <w:rPr>
          <w:rFonts w:ascii="Book Antiqua" w:eastAsia="Calibri" w:hAnsi="Book Antiqua" w:cs="Arial"/>
          <w:color w:val="000000"/>
          <w:sz w:val="24"/>
          <w:szCs w:val="24"/>
          <w:lang w:eastAsia="es-CR"/>
        </w:rPr>
        <w:t xml:space="preserve"> </w:t>
      </w:r>
      <w:r w:rsidRPr="0018633E">
        <w:rPr>
          <w:rFonts w:ascii="Book Antiqua" w:eastAsia="Calibri" w:hAnsi="Book Antiqua" w:cs="Arial"/>
          <w:color w:val="000000"/>
          <w:sz w:val="24"/>
          <w:szCs w:val="24"/>
          <w:lang w:eastAsia="es-CR"/>
        </w:rPr>
        <w:t xml:space="preserve">se avocó a: </w:t>
      </w:r>
    </w:p>
    <w:p w14:paraId="02382BA4" w14:textId="77777777" w:rsidR="00D662BA" w:rsidRPr="0018633E" w:rsidRDefault="00D662BA">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Revisión y ajustes de las estructuras de trabajo de los Despachos que atienden las materias involucradas con las modificaciones en entrada que surjan a partir de la nueva legislación.</w:t>
      </w:r>
    </w:p>
    <w:p w14:paraId="3FEEE288" w14:textId="77777777" w:rsidR="00D662BA" w:rsidRPr="0018633E" w:rsidRDefault="00D662BA">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Realización inventarios, y distribución equitativa de circulantes, así como la configuración reparto automático para distribuir equitativamente los asuntos nuevos.  Todo lo anterior también en atención a las recomendaciones de la Contraloría General de la República.  </w:t>
      </w:r>
    </w:p>
    <w:p w14:paraId="4A755ED7" w14:textId="77777777" w:rsidR="00D662BA" w:rsidRPr="0018633E" w:rsidRDefault="00D662BA">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Estandarización de la lista de tareas y ubicaciones entre los juzgados especializados de Pensiones Alimentarias.</w:t>
      </w:r>
    </w:p>
    <w:p w14:paraId="5AC92C9B" w14:textId="77777777" w:rsidR="00D662BA" w:rsidRDefault="00D662BA" w:rsidP="0018633E">
      <w:pPr>
        <w:spacing w:after="0" w:line="276" w:lineRule="auto"/>
        <w:contextualSpacing/>
        <w:jc w:val="both"/>
        <w:rPr>
          <w:rFonts w:ascii="Book Antiqua" w:eastAsia="Calibri" w:hAnsi="Book Antiqua" w:cs="Arial"/>
          <w:color w:val="000000"/>
          <w:sz w:val="24"/>
          <w:szCs w:val="24"/>
          <w:lang w:eastAsia="es-CR"/>
        </w:rPr>
      </w:pPr>
    </w:p>
    <w:p w14:paraId="73D6A912" w14:textId="6C78DD5D" w:rsidR="00D80539" w:rsidRDefault="00D662BA"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En 2021 se emitieron los informes de cierre, </w:t>
      </w:r>
      <w:r w:rsidR="00D80539">
        <w:rPr>
          <w:rFonts w:ascii="Book Antiqua" w:eastAsia="Calibri" w:hAnsi="Book Antiqua" w:cs="Arial"/>
          <w:color w:val="000000"/>
          <w:sz w:val="24"/>
          <w:szCs w:val="24"/>
          <w:lang w:eastAsia="es-CR"/>
        </w:rPr>
        <w:t>resumen lo realizado, calificaciones, planes y recomendaciones emitidas</w:t>
      </w:r>
      <w:r>
        <w:rPr>
          <w:rFonts w:ascii="Book Antiqua" w:eastAsia="Calibri" w:hAnsi="Book Antiqua" w:cs="Arial"/>
          <w:color w:val="000000"/>
          <w:sz w:val="24"/>
          <w:szCs w:val="24"/>
          <w:lang w:eastAsia="es-CR"/>
        </w:rPr>
        <w:t xml:space="preserve">. Por el trámite interno en la Dirección, salen en 2022. </w:t>
      </w:r>
      <w:r w:rsidR="00D80539">
        <w:rPr>
          <w:rFonts w:ascii="Book Antiqua" w:eastAsia="Calibri" w:hAnsi="Book Antiqua" w:cs="Arial"/>
          <w:color w:val="000000"/>
          <w:sz w:val="24"/>
          <w:szCs w:val="24"/>
          <w:lang w:eastAsia="es-CR"/>
        </w:rPr>
        <w:t xml:space="preserve"> </w:t>
      </w:r>
    </w:p>
    <w:p w14:paraId="4D51353D" w14:textId="77777777" w:rsidR="00D80539" w:rsidRDefault="00D80539" w:rsidP="0018633E">
      <w:pPr>
        <w:spacing w:after="0" w:line="276" w:lineRule="auto"/>
        <w:contextualSpacing/>
        <w:jc w:val="both"/>
        <w:rPr>
          <w:rFonts w:ascii="Book Antiqua" w:eastAsia="Calibri" w:hAnsi="Book Antiqua" w:cs="Arial"/>
          <w:color w:val="000000"/>
          <w:sz w:val="24"/>
          <w:szCs w:val="24"/>
          <w:lang w:eastAsia="es-CR"/>
        </w:rPr>
      </w:pPr>
    </w:p>
    <w:p w14:paraId="205731A2" w14:textId="77777777" w:rsidR="009D2CCC" w:rsidRPr="001D0C10" w:rsidRDefault="009D2CCC">
      <w:pPr>
        <w:pStyle w:val="Prrafodelista"/>
        <w:numPr>
          <w:ilvl w:val="0"/>
          <w:numId w:val="36"/>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6-PLA-MI-2022, relacionado con el cierre del seguimiento efectuado a los Juzgados Especializados de Familia, incorporados en el Proyecto 1374-CF-P01 “Implementación del Código Procesal de Familia”, aprobado por el Consejo Superior en la sesión 7-2022 del 25 de enero de 2022, artículo XXXV.</w:t>
      </w:r>
    </w:p>
    <w:p w14:paraId="4C17CE5F" w14:textId="77777777" w:rsidR="009D2CCC" w:rsidRPr="001D0C10" w:rsidRDefault="009D2CCC">
      <w:pPr>
        <w:pStyle w:val="Prrafodelista"/>
        <w:numPr>
          <w:ilvl w:val="0"/>
          <w:numId w:val="36"/>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46-PLA-MI-2022, relacionado con el informe de cierre del seguimiento efectuado a los Juzgados especializados en materia de Pensiones Alimentarias, incorporados en el proyecto 1374-CF-P01 “Implementación del Código Procesal de Familia”, aprobado por el Consejo Superior en la sesión 11-2022 del 8 de febrero de 2022, artículo XXXII.</w:t>
      </w:r>
    </w:p>
    <w:p w14:paraId="4854E708" w14:textId="48A9D437" w:rsidR="009D2CCC" w:rsidRPr="00181700" w:rsidRDefault="009D2CCC">
      <w:pPr>
        <w:pStyle w:val="Prrafodelista"/>
        <w:numPr>
          <w:ilvl w:val="0"/>
          <w:numId w:val="36"/>
        </w:numPr>
        <w:spacing w:after="0" w:line="276" w:lineRule="auto"/>
        <w:jc w:val="both"/>
        <w:rPr>
          <w:rFonts w:ascii="Book Antiqua" w:eastAsia="Calibri" w:hAnsi="Book Antiqua" w:cs="Arial"/>
          <w:color w:val="000000"/>
          <w:sz w:val="24"/>
          <w:szCs w:val="24"/>
          <w:lang w:eastAsia="es-CR"/>
        </w:rPr>
      </w:pPr>
      <w:r w:rsidRPr="00181700">
        <w:rPr>
          <w:rFonts w:ascii="Book Antiqua" w:eastAsia="Calibri" w:hAnsi="Book Antiqua" w:cs="Arial"/>
          <w:color w:val="000000"/>
          <w:sz w:val="24"/>
          <w:szCs w:val="24"/>
          <w:lang w:eastAsia="es-CR"/>
        </w:rPr>
        <w:t>Informe 48-PLA-MI-2022, relacionado con el cierre del seguimiento efectuado a los Juzgados de naturaleza mixta con competencia en materia de Familia, incorporados en el Proyecto 1374-CF-P01 “Implementación del Código Procesal de Familia”</w:t>
      </w:r>
      <w:r w:rsidR="00BD6156" w:rsidRPr="00181700">
        <w:rPr>
          <w:rFonts w:ascii="Book Antiqua" w:eastAsia="Calibri" w:hAnsi="Book Antiqua" w:cs="Arial"/>
          <w:color w:val="000000"/>
          <w:sz w:val="24"/>
          <w:szCs w:val="24"/>
          <w:lang w:eastAsia="es-CR"/>
        </w:rPr>
        <w:t xml:space="preserve">, aprobado por el Consejo Superior en la sesión </w:t>
      </w:r>
      <w:r w:rsidR="00181700" w:rsidRPr="00181700">
        <w:rPr>
          <w:rFonts w:ascii="Book Antiqua" w:eastAsia="Calibri" w:hAnsi="Book Antiqua" w:cs="Arial"/>
          <w:color w:val="000000"/>
          <w:sz w:val="24"/>
          <w:szCs w:val="24"/>
          <w:lang w:eastAsia="es-CR"/>
        </w:rPr>
        <w:t>30</w:t>
      </w:r>
      <w:r w:rsidR="00BD6156" w:rsidRPr="00181700">
        <w:rPr>
          <w:rFonts w:ascii="Book Antiqua" w:eastAsia="Calibri" w:hAnsi="Book Antiqua" w:cs="Arial"/>
          <w:color w:val="000000"/>
          <w:sz w:val="24"/>
          <w:szCs w:val="24"/>
          <w:lang w:eastAsia="es-CR"/>
        </w:rPr>
        <w:t xml:space="preserve">-2022 del </w:t>
      </w:r>
      <w:r w:rsidR="00181700" w:rsidRPr="00181700">
        <w:rPr>
          <w:rFonts w:ascii="Book Antiqua" w:eastAsia="Calibri" w:hAnsi="Book Antiqua" w:cs="Arial"/>
          <w:color w:val="000000"/>
          <w:sz w:val="24"/>
          <w:szCs w:val="24"/>
          <w:lang w:eastAsia="es-CR"/>
        </w:rPr>
        <w:t>25 de abril</w:t>
      </w:r>
      <w:r w:rsidR="00BD6156" w:rsidRPr="00181700">
        <w:rPr>
          <w:rFonts w:ascii="Book Antiqua" w:eastAsia="Calibri" w:hAnsi="Book Antiqua" w:cs="Arial"/>
          <w:color w:val="000000"/>
          <w:sz w:val="24"/>
          <w:szCs w:val="24"/>
          <w:lang w:eastAsia="es-CR"/>
        </w:rPr>
        <w:t xml:space="preserve"> de 2022, artículo XXX</w:t>
      </w:r>
      <w:r w:rsidR="00181700" w:rsidRPr="00181700">
        <w:rPr>
          <w:rFonts w:ascii="Book Antiqua" w:eastAsia="Calibri" w:hAnsi="Book Antiqua" w:cs="Arial"/>
          <w:color w:val="000000"/>
          <w:sz w:val="24"/>
          <w:szCs w:val="24"/>
          <w:lang w:eastAsia="es-CR"/>
        </w:rPr>
        <w:t>V</w:t>
      </w:r>
      <w:r w:rsidRPr="00181700">
        <w:rPr>
          <w:rFonts w:ascii="Book Antiqua" w:eastAsia="Calibri" w:hAnsi="Book Antiqua" w:cs="Arial"/>
          <w:color w:val="000000"/>
          <w:sz w:val="24"/>
          <w:szCs w:val="24"/>
          <w:lang w:eastAsia="es-CR"/>
        </w:rPr>
        <w:t>.</w:t>
      </w:r>
    </w:p>
    <w:p w14:paraId="7C2FF38C" w14:textId="7C4664B4" w:rsidR="009D2CCC" w:rsidRPr="002444F1" w:rsidRDefault="009D2CCC">
      <w:pPr>
        <w:pStyle w:val="Prrafodelista"/>
        <w:numPr>
          <w:ilvl w:val="0"/>
          <w:numId w:val="36"/>
        </w:numPr>
        <w:spacing w:after="0" w:line="276" w:lineRule="auto"/>
        <w:jc w:val="both"/>
        <w:rPr>
          <w:rFonts w:ascii="Book Antiqua" w:eastAsia="Calibri" w:hAnsi="Book Antiqua" w:cs="Arial"/>
          <w:color w:val="000000"/>
          <w:sz w:val="24"/>
          <w:szCs w:val="24"/>
          <w:lang w:eastAsia="es-CR"/>
        </w:rPr>
      </w:pPr>
      <w:r w:rsidRPr="002444F1">
        <w:rPr>
          <w:rFonts w:ascii="Book Antiqua" w:eastAsia="Calibri" w:hAnsi="Book Antiqua" w:cs="Arial"/>
          <w:color w:val="000000"/>
          <w:sz w:val="24"/>
          <w:szCs w:val="24"/>
          <w:lang w:eastAsia="es-CR"/>
        </w:rPr>
        <w:t xml:space="preserve">Informe </w:t>
      </w:r>
      <w:r w:rsidR="005846E4" w:rsidRPr="002444F1">
        <w:rPr>
          <w:rFonts w:ascii="Book Antiqua" w:eastAsia="Calibri" w:hAnsi="Book Antiqua" w:cs="Arial"/>
          <w:color w:val="000000"/>
          <w:sz w:val="24"/>
          <w:szCs w:val="24"/>
          <w:lang w:eastAsia="es-CR"/>
        </w:rPr>
        <w:t xml:space="preserve">452-PLA-MI-2022, </w:t>
      </w:r>
      <w:r w:rsidRPr="002444F1">
        <w:rPr>
          <w:rFonts w:ascii="Book Antiqua" w:eastAsia="Calibri" w:hAnsi="Book Antiqua" w:cs="Arial"/>
          <w:color w:val="000000"/>
          <w:sz w:val="24"/>
          <w:szCs w:val="24"/>
          <w:lang w:eastAsia="es-CR"/>
        </w:rPr>
        <w:t>relacionado con el cierre del seguimiento efectuado a los Juzgados Contravencionales de naturaleza mixta con competencia en materia de Pensiones Alimentarias, los cuales fueron incorporados como parte del Proyecto 1374-CF-P01 “Implementación del Código Procesal de Familia”</w:t>
      </w:r>
      <w:r w:rsidR="00181700" w:rsidRPr="002444F1">
        <w:rPr>
          <w:rFonts w:ascii="Book Antiqua" w:eastAsia="Calibri" w:hAnsi="Book Antiqua" w:cs="Arial"/>
          <w:color w:val="000000"/>
          <w:sz w:val="24"/>
          <w:szCs w:val="24"/>
          <w:lang w:eastAsia="es-CR"/>
        </w:rPr>
        <w:t xml:space="preserve">, aprobado por el Consejo Superior en la sesión </w:t>
      </w:r>
      <w:r w:rsidR="0048776E" w:rsidRPr="002444F1">
        <w:rPr>
          <w:rFonts w:ascii="Book Antiqua" w:eastAsia="Calibri" w:hAnsi="Book Antiqua" w:cs="Arial"/>
          <w:color w:val="000000"/>
          <w:sz w:val="24"/>
          <w:szCs w:val="24"/>
          <w:lang w:eastAsia="es-CR"/>
        </w:rPr>
        <w:t>63</w:t>
      </w:r>
      <w:r w:rsidR="00181700" w:rsidRPr="002444F1">
        <w:rPr>
          <w:rFonts w:ascii="Book Antiqua" w:eastAsia="Calibri" w:hAnsi="Book Antiqua" w:cs="Arial"/>
          <w:color w:val="000000"/>
          <w:sz w:val="24"/>
          <w:szCs w:val="24"/>
          <w:lang w:eastAsia="es-CR"/>
        </w:rPr>
        <w:t xml:space="preserve">-2022 del </w:t>
      </w:r>
      <w:r w:rsidR="002444F1" w:rsidRPr="002444F1">
        <w:rPr>
          <w:rFonts w:ascii="Book Antiqua" w:eastAsia="Calibri" w:hAnsi="Book Antiqua" w:cs="Arial"/>
          <w:color w:val="000000"/>
          <w:sz w:val="24"/>
          <w:szCs w:val="24"/>
          <w:lang w:eastAsia="es-CR"/>
        </w:rPr>
        <w:t>26 de julio</w:t>
      </w:r>
      <w:r w:rsidR="00181700" w:rsidRPr="002444F1">
        <w:rPr>
          <w:rFonts w:ascii="Book Antiqua" w:eastAsia="Calibri" w:hAnsi="Book Antiqua" w:cs="Arial"/>
          <w:color w:val="000000"/>
          <w:sz w:val="24"/>
          <w:szCs w:val="24"/>
          <w:lang w:eastAsia="es-CR"/>
        </w:rPr>
        <w:t xml:space="preserve"> de 2022, artículo XXXI</w:t>
      </w:r>
      <w:r w:rsidR="002444F1" w:rsidRPr="002444F1">
        <w:rPr>
          <w:rFonts w:ascii="Book Antiqua" w:eastAsia="Calibri" w:hAnsi="Book Antiqua" w:cs="Arial"/>
          <w:color w:val="000000"/>
          <w:sz w:val="24"/>
          <w:szCs w:val="24"/>
          <w:lang w:eastAsia="es-CR"/>
        </w:rPr>
        <w:t>V</w:t>
      </w:r>
      <w:r w:rsidRPr="002444F1">
        <w:rPr>
          <w:rFonts w:ascii="Book Antiqua" w:eastAsia="Calibri" w:hAnsi="Book Antiqua" w:cs="Arial"/>
          <w:color w:val="000000"/>
          <w:sz w:val="24"/>
          <w:szCs w:val="24"/>
          <w:lang w:eastAsia="es-CR"/>
        </w:rPr>
        <w:t>.</w:t>
      </w:r>
    </w:p>
    <w:p w14:paraId="30B0AB16" w14:textId="2FDB2AC5" w:rsidR="00D662BA" w:rsidRPr="002444F1" w:rsidRDefault="005846E4">
      <w:pPr>
        <w:pStyle w:val="Prrafodelista"/>
        <w:numPr>
          <w:ilvl w:val="0"/>
          <w:numId w:val="36"/>
        </w:numPr>
        <w:spacing w:after="0" w:line="276" w:lineRule="auto"/>
        <w:jc w:val="both"/>
        <w:rPr>
          <w:rFonts w:ascii="Book Antiqua" w:eastAsia="Calibri" w:hAnsi="Book Antiqua" w:cs="Arial"/>
          <w:color w:val="000000"/>
          <w:sz w:val="24"/>
          <w:szCs w:val="24"/>
          <w:lang w:eastAsia="es-CR"/>
        </w:rPr>
      </w:pPr>
      <w:r w:rsidRPr="002444F1">
        <w:rPr>
          <w:rFonts w:ascii="Book Antiqua" w:eastAsia="Calibri" w:hAnsi="Book Antiqua" w:cs="Arial"/>
          <w:color w:val="000000"/>
          <w:sz w:val="24"/>
          <w:szCs w:val="24"/>
          <w:lang w:eastAsia="es-CR"/>
        </w:rPr>
        <w:t xml:space="preserve">Informe 1126-PLA-MI(NPL)-2022, relacionado con el cierre de seguimiento efectuado a </w:t>
      </w:r>
      <w:r w:rsidR="00D662BA" w:rsidRPr="002444F1">
        <w:rPr>
          <w:rFonts w:ascii="Book Antiqua" w:eastAsia="Calibri" w:hAnsi="Book Antiqua" w:cs="Arial"/>
          <w:color w:val="000000"/>
          <w:sz w:val="24"/>
          <w:szCs w:val="24"/>
          <w:lang w:eastAsia="es-CR"/>
        </w:rPr>
        <w:t>los PISAV</w:t>
      </w:r>
      <w:r w:rsidRPr="002444F1">
        <w:rPr>
          <w:rFonts w:ascii="Book Antiqua" w:eastAsia="Calibri" w:hAnsi="Book Antiqua" w:cs="Arial"/>
          <w:color w:val="000000"/>
          <w:sz w:val="24"/>
          <w:szCs w:val="24"/>
          <w:lang w:eastAsia="es-CR"/>
        </w:rPr>
        <w:t>, los cuales fueron incorporados como parte del Proyecto 1374-CF-P01 “Implementación del Código Procesal de Familia”</w:t>
      </w:r>
      <w:r w:rsidR="002444F1" w:rsidRPr="002444F1">
        <w:rPr>
          <w:rFonts w:ascii="Book Antiqua" w:eastAsia="Calibri" w:hAnsi="Book Antiqua" w:cs="Arial"/>
          <w:color w:val="000000"/>
          <w:sz w:val="24"/>
          <w:szCs w:val="24"/>
          <w:lang w:eastAsia="es-CR"/>
        </w:rPr>
        <w:t xml:space="preserve"> aprobado por el Consejo Superior en la sesión </w:t>
      </w:r>
      <w:r w:rsidR="00603D0A">
        <w:rPr>
          <w:rFonts w:ascii="Book Antiqua" w:eastAsia="Calibri" w:hAnsi="Book Antiqua" w:cs="Arial"/>
          <w:color w:val="000000"/>
          <w:sz w:val="24"/>
          <w:szCs w:val="24"/>
          <w:lang w:eastAsia="es-CR"/>
        </w:rPr>
        <w:t>09</w:t>
      </w:r>
      <w:r w:rsidR="002444F1" w:rsidRPr="002444F1">
        <w:rPr>
          <w:rFonts w:ascii="Book Antiqua" w:eastAsia="Calibri" w:hAnsi="Book Antiqua" w:cs="Arial"/>
          <w:color w:val="000000"/>
          <w:sz w:val="24"/>
          <w:szCs w:val="24"/>
          <w:lang w:eastAsia="es-CR"/>
        </w:rPr>
        <w:t>-202</w:t>
      </w:r>
      <w:r w:rsidR="00603D0A">
        <w:rPr>
          <w:rFonts w:ascii="Book Antiqua" w:eastAsia="Calibri" w:hAnsi="Book Antiqua" w:cs="Arial"/>
          <w:color w:val="000000"/>
          <w:sz w:val="24"/>
          <w:szCs w:val="24"/>
          <w:lang w:eastAsia="es-CR"/>
        </w:rPr>
        <w:t>3</w:t>
      </w:r>
      <w:r w:rsidR="002444F1" w:rsidRPr="002444F1">
        <w:rPr>
          <w:rFonts w:ascii="Book Antiqua" w:eastAsia="Calibri" w:hAnsi="Book Antiqua" w:cs="Arial"/>
          <w:color w:val="000000"/>
          <w:sz w:val="24"/>
          <w:szCs w:val="24"/>
          <w:lang w:eastAsia="es-CR"/>
        </w:rPr>
        <w:t xml:space="preserve"> del </w:t>
      </w:r>
      <w:r w:rsidR="00603D0A">
        <w:rPr>
          <w:rFonts w:ascii="Book Antiqua" w:eastAsia="Calibri" w:hAnsi="Book Antiqua" w:cs="Arial"/>
          <w:color w:val="000000"/>
          <w:sz w:val="24"/>
          <w:szCs w:val="24"/>
          <w:lang w:eastAsia="es-CR"/>
        </w:rPr>
        <w:t>2</w:t>
      </w:r>
      <w:r w:rsidR="002444F1" w:rsidRPr="002444F1">
        <w:rPr>
          <w:rFonts w:ascii="Book Antiqua" w:eastAsia="Calibri" w:hAnsi="Book Antiqua" w:cs="Arial"/>
          <w:color w:val="000000"/>
          <w:sz w:val="24"/>
          <w:szCs w:val="24"/>
          <w:lang w:eastAsia="es-CR"/>
        </w:rPr>
        <w:t xml:space="preserve"> de febrero de 202</w:t>
      </w:r>
      <w:r w:rsidR="00603D0A">
        <w:rPr>
          <w:rFonts w:ascii="Book Antiqua" w:eastAsia="Calibri" w:hAnsi="Book Antiqua" w:cs="Arial"/>
          <w:color w:val="000000"/>
          <w:sz w:val="24"/>
          <w:szCs w:val="24"/>
          <w:lang w:eastAsia="es-CR"/>
        </w:rPr>
        <w:t>3</w:t>
      </w:r>
      <w:r w:rsidR="002444F1" w:rsidRPr="002444F1">
        <w:rPr>
          <w:rFonts w:ascii="Book Antiqua" w:eastAsia="Calibri" w:hAnsi="Book Antiqua" w:cs="Arial"/>
          <w:color w:val="000000"/>
          <w:sz w:val="24"/>
          <w:szCs w:val="24"/>
          <w:lang w:eastAsia="es-CR"/>
        </w:rPr>
        <w:t>, artículo XXXII</w:t>
      </w:r>
      <w:r w:rsidR="00603D0A">
        <w:rPr>
          <w:rFonts w:ascii="Book Antiqua" w:eastAsia="Calibri" w:hAnsi="Book Antiqua" w:cs="Arial"/>
          <w:color w:val="000000"/>
          <w:sz w:val="24"/>
          <w:szCs w:val="24"/>
          <w:lang w:eastAsia="es-CR"/>
        </w:rPr>
        <w:t>I</w:t>
      </w:r>
      <w:r w:rsidR="00D662BA" w:rsidRPr="002444F1">
        <w:rPr>
          <w:rFonts w:ascii="Book Antiqua" w:eastAsia="Calibri" w:hAnsi="Book Antiqua" w:cs="Arial"/>
          <w:color w:val="000000"/>
          <w:sz w:val="24"/>
          <w:szCs w:val="24"/>
          <w:lang w:eastAsia="es-CR"/>
        </w:rPr>
        <w:t xml:space="preserve">. </w:t>
      </w:r>
    </w:p>
    <w:p w14:paraId="17C74C44" w14:textId="77777777" w:rsidR="007F7D79" w:rsidRDefault="007F7D79" w:rsidP="009D2CCC">
      <w:pPr>
        <w:spacing w:after="0" w:line="276" w:lineRule="auto"/>
        <w:contextualSpacing/>
        <w:jc w:val="both"/>
        <w:rPr>
          <w:rFonts w:ascii="Book Antiqua" w:eastAsia="Calibri" w:hAnsi="Book Antiqua" w:cs="Arial"/>
          <w:color w:val="000000"/>
          <w:sz w:val="24"/>
          <w:szCs w:val="24"/>
          <w:lang w:eastAsia="es-CR"/>
        </w:rPr>
      </w:pPr>
    </w:p>
    <w:p w14:paraId="5C99A727" w14:textId="4D322521" w:rsidR="009D2CCC" w:rsidRDefault="009D2CCC" w:rsidP="009D2CCC">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En </w:t>
      </w:r>
      <w:r w:rsidR="00D662BA">
        <w:rPr>
          <w:rFonts w:ascii="Book Antiqua" w:eastAsia="Calibri" w:hAnsi="Book Antiqua" w:cs="Arial"/>
          <w:color w:val="000000"/>
          <w:sz w:val="24"/>
          <w:szCs w:val="24"/>
          <w:lang w:eastAsia="es-CR"/>
        </w:rPr>
        <w:t>los</w:t>
      </w:r>
      <w:r>
        <w:rPr>
          <w:rFonts w:ascii="Book Antiqua" w:eastAsia="Calibri" w:hAnsi="Book Antiqua" w:cs="Arial"/>
          <w:color w:val="000000"/>
          <w:sz w:val="24"/>
          <w:szCs w:val="24"/>
          <w:lang w:eastAsia="es-CR"/>
        </w:rPr>
        <w:t xml:space="preserve"> informes </w:t>
      </w:r>
      <w:r w:rsidR="00D662BA">
        <w:rPr>
          <w:rFonts w:ascii="Book Antiqua" w:eastAsia="Calibri" w:hAnsi="Book Antiqua" w:cs="Arial"/>
          <w:color w:val="000000"/>
          <w:sz w:val="24"/>
          <w:szCs w:val="24"/>
          <w:lang w:eastAsia="es-CR"/>
        </w:rPr>
        <w:t>de cierre se</w:t>
      </w:r>
      <w:r>
        <w:rPr>
          <w:rFonts w:ascii="Book Antiqua" w:eastAsia="Calibri" w:hAnsi="Book Antiqua" w:cs="Arial"/>
          <w:color w:val="000000"/>
          <w:sz w:val="24"/>
          <w:szCs w:val="24"/>
          <w:lang w:eastAsia="es-CR"/>
        </w:rPr>
        <w:t xml:space="preserve"> realizaron las siguientes actividades:</w:t>
      </w:r>
    </w:p>
    <w:p w14:paraId="71EFC9C1" w14:textId="77777777" w:rsidR="009D2CCC" w:rsidRDefault="009D2CCC" w:rsidP="009D2CCC">
      <w:pPr>
        <w:spacing w:after="0" w:line="276" w:lineRule="auto"/>
        <w:contextualSpacing/>
        <w:jc w:val="both"/>
        <w:rPr>
          <w:rFonts w:ascii="Book Antiqua" w:eastAsia="Calibri" w:hAnsi="Book Antiqua" w:cs="Arial"/>
          <w:color w:val="000000"/>
          <w:sz w:val="24"/>
          <w:szCs w:val="24"/>
          <w:lang w:eastAsia="es-CR"/>
        </w:rPr>
      </w:pPr>
    </w:p>
    <w:p w14:paraId="012972B1" w14:textId="2856F81A" w:rsidR="009D2CCC" w:rsidRPr="001D0C10" w:rsidRDefault="009D2CCC">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Análisis estadísticos de los juzgados especializados en la</w:t>
      </w:r>
      <w:r w:rsidR="0051552D">
        <w:rPr>
          <w:rFonts w:ascii="Book Antiqua" w:eastAsia="Calibri" w:hAnsi="Book Antiqua" w:cs="Arial"/>
          <w:color w:val="000000"/>
          <w:sz w:val="24"/>
          <w:szCs w:val="24"/>
          <w:lang w:eastAsia="es-CR"/>
        </w:rPr>
        <w:t>s</w:t>
      </w:r>
      <w:r w:rsidRPr="001D0C10">
        <w:rPr>
          <w:rFonts w:ascii="Book Antiqua" w:eastAsia="Calibri" w:hAnsi="Book Antiqua" w:cs="Arial"/>
          <w:color w:val="000000"/>
          <w:sz w:val="24"/>
          <w:szCs w:val="24"/>
          <w:lang w:eastAsia="es-CR"/>
        </w:rPr>
        <w:t xml:space="preserve"> materia</w:t>
      </w:r>
      <w:r w:rsidR="0051552D">
        <w:rPr>
          <w:rFonts w:ascii="Book Antiqua" w:eastAsia="Calibri" w:hAnsi="Book Antiqua" w:cs="Arial"/>
          <w:color w:val="000000"/>
          <w:sz w:val="24"/>
          <w:szCs w:val="24"/>
          <w:lang w:eastAsia="es-CR"/>
        </w:rPr>
        <w:t>s</w:t>
      </w:r>
      <w:r w:rsidRPr="001D0C10">
        <w:rPr>
          <w:rFonts w:ascii="Book Antiqua" w:eastAsia="Calibri" w:hAnsi="Book Antiqua" w:cs="Arial"/>
          <w:color w:val="000000"/>
          <w:sz w:val="24"/>
          <w:szCs w:val="24"/>
          <w:lang w:eastAsia="es-CR"/>
        </w:rPr>
        <w:t xml:space="preserve"> de Famil</w:t>
      </w:r>
      <w:r w:rsidR="0051552D">
        <w:rPr>
          <w:rFonts w:ascii="Book Antiqua" w:eastAsia="Calibri" w:hAnsi="Book Antiqua" w:cs="Arial"/>
          <w:color w:val="000000"/>
          <w:sz w:val="24"/>
          <w:szCs w:val="24"/>
          <w:lang w:eastAsia="es-CR"/>
        </w:rPr>
        <w:t>i</w:t>
      </w:r>
      <w:r w:rsidRPr="001D0C10">
        <w:rPr>
          <w:rFonts w:ascii="Book Antiqua" w:eastAsia="Calibri" w:hAnsi="Book Antiqua" w:cs="Arial"/>
          <w:color w:val="000000"/>
          <w:sz w:val="24"/>
          <w:szCs w:val="24"/>
          <w:lang w:eastAsia="es-CR"/>
        </w:rPr>
        <w:t>a</w:t>
      </w:r>
      <w:r w:rsidR="0051552D">
        <w:rPr>
          <w:rFonts w:ascii="Book Antiqua" w:eastAsia="Calibri" w:hAnsi="Book Antiqua" w:cs="Arial"/>
          <w:color w:val="000000"/>
          <w:sz w:val="24"/>
          <w:szCs w:val="24"/>
          <w:lang w:eastAsia="es-CR"/>
        </w:rPr>
        <w:t>, Pensiones Alimentarias, Mixtos y Contravencionales.</w:t>
      </w:r>
    </w:p>
    <w:p w14:paraId="2E219637" w14:textId="2FF6C673" w:rsidR="009D2CCC" w:rsidRPr="001D0C10" w:rsidRDefault="00D662BA">
      <w:pPr>
        <w:pStyle w:val="Prrafodelista"/>
        <w:numPr>
          <w:ilvl w:val="0"/>
          <w:numId w:val="35"/>
        </w:numPr>
        <w:spacing w:after="0"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Resumen de la documentación: </w:t>
      </w:r>
      <w:r w:rsidR="009D2CCC" w:rsidRPr="001D0C10">
        <w:rPr>
          <w:rFonts w:ascii="Book Antiqua" w:eastAsia="Calibri" w:hAnsi="Book Antiqua" w:cs="Arial"/>
          <w:color w:val="000000"/>
          <w:sz w:val="24"/>
          <w:szCs w:val="24"/>
          <w:lang w:eastAsia="es-CR"/>
        </w:rPr>
        <w:t xml:space="preserve">Confección de documentos bajo la modalidad </w:t>
      </w:r>
      <w:r w:rsidR="00CA647A">
        <w:rPr>
          <w:rFonts w:ascii="Book Antiqua" w:eastAsia="Calibri" w:hAnsi="Book Antiqua" w:cs="Arial"/>
          <w:color w:val="000000"/>
          <w:sz w:val="24"/>
          <w:szCs w:val="24"/>
          <w:lang w:eastAsia="es-CR"/>
        </w:rPr>
        <w:t>de “</w:t>
      </w:r>
      <w:r w:rsidR="009D2CCC" w:rsidRPr="001D0C10">
        <w:rPr>
          <w:rFonts w:ascii="Book Antiqua" w:eastAsia="Calibri" w:hAnsi="Book Antiqua" w:cs="Arial"/>
          <w:color w:val="000000"/>
          <w:sz w:val="24"/>
          <w:szCs w:val="24"/>
          <w:lang w:eastAsia="es-CR"/>
        </w:rPr>
        <w:t xml:space="preserve">Trámites </w:t>
      </w:r>
      <w:r w:rsidR="00CA647A" w:rsidRPr="00CA647A">
        <w:rPr>
          <w:rFonts w:ascii="Book Antiqua" w:eastAsia="Calibri" w:hAnsi="Book Antiqua" w:cs="Arial"/>
          <w:color w:val="000000"/>
          <w:sz w:val="24"/>
          <w:szCs w:val="24"/>
          <w:lang w:eastAsia="es-CR"/>
        </w:rPr>
        <w:t>Rápi</w:t>
      </w:r>
      <w:r w:rsidR="00CA647A">
        <w:rPr>
          <w:rFonts w:ascii="Book Antiqua" w:eastAsia="Calibri" w:hAnsi="Book Antiqua" w:cs="Arial"/>
          <w:color w:val="000000"/>
          <w:sz w:val="24"/>
          <w:szCs w:val="24"/>
          <w:lang w:eastAsia="es-CR"/>
        </w:rPr>
        <w:t>d</w:t>
      </w:r>
      <w:r w:rsidR="00CA647A" w:rsidRPr="00CA647A">
        <w:rPr>
          <w:rFonts w:ascii="Book Antiqua" w:eastAsia="Calibri" w:hAnsi="Book Antiqua" w:cs="Arial"/>
          <w:color w:val="000000"/>
          <w:sz w:val="24"/>
          <w:szCs w:val="24"/>
          <w:lang w:eastAsia="es-CR"/>
        </w:rPr>
        <w:t>os</w:t>
      </w:r>
      <w:r w:rsidR="00110E4A">
        <w:rPr>
          <w:rFonts w:ascii="Book Antiqua" w:eastAsia="Calibri" w:hAnsi="Book Antiqua" w:cs="Arial"/>
          <w:color w:val="000000"/>
          <w:sz w:val="24"/>
          <w:szCs w:val="24"/>
          <w:lang w:eastAsia="es-CR"/>
        </w:rPr>
        <w:t>”</w:t>
      </w:r>
      <w:r w:rsidR="009D2CCC" w:rsidRPr="001D0C10">
        <w:rPr>
          <w:rFonts w:ascii="Book Antiqua" w:eastAsia="Calibri" w:hAnsi="Book Antiqua" w:cs="Arial"/>
          <w:color w:val="000000"/>
          <w:sz w:val="24"/>
          <w:szCs w:val="24"/>
          <w:lang w:eastAsia="es-CR"/>
        </w:rPr>
        <w:t>, en los que se realimentó a los despachos con oportunidades de mejora y confección de planes de trabajo específicos para atender la criticidad de los despachos con el fin de estabilizarlos</w:t>
      </w:r>
      <w:r w:rsidR="0051552D">
        <w:rPr>
          <w:rFonts w:ascii="Book Antiqua" w:eastAsia="Calibri" w:hAnsi="Book Antiqua" w:cs="Arial"/>
          <w:color w:val="000000"/>
          <w:sz w:val="24"/>
          <w:szCs w:val="24"/>
          <w:lang w:eastAsia="es-CR"/>
        </w:rPr>
        <w:t>.</w:t>
      </w:r>
    </w:p>
    <w:p w14:paraId="598C925F" w14:textId="77777777" w:rsidR="009D2CCC" w:rsidRPr="001D0C10" w:rsidRDefault="009D2CCC">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Análisis integral de los resultados de la matriz de indicadores de gestión basado en el “Modelo de Análisis Integral de Circuitos Judiciales”, que tiene como finalidad generar una visión global del despacho, de la cual se permite identificar la Oficina o Despacho que requiere colaboración prioritaria en un momento determinado o la necesaria ejecución de un plan remedial que corrija situaciones determinadas.</w:t>
      </w:r>
    </w:p>
    <w:p w14:paraId="00D83C6A" w14:textId="77777777" w:rsidR="009D2CCC" w:rsidRPr="001D0C10" w:rsidRDefault="009D2CCC">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Identificación de los principales logros de las oficinas en cuanto a disminución de plazos, circulante, porcentajes de rendimiento, entre otros.</w:t>
      </w:r>
    </w:p>
    <w:p w14:paraId="468EDDA8" w14:textId="56A0D86B" w:rsidR="009D2CCC" w:rsidRPr="001D0C10" w:rsidRDefault="009D2CCC">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Realización de taller</w:t>
      </w:r>
      <w:r w:rsidR="008F6F25">
        <w:rPr>
          <w:rFonts w:ascii="Book Antiqua" w:eastAsia="Calibri" w:hAnsi="Book Antiqua" w:cs="Arial"/>
          <w:color w:val="000000"/>
          <w:sz w:val="24"/>
          <w:szCs w:val="24"/>
          <w:lang w:eastAsia="es-CR"/>
        </w:rPr>
        <w:t>es</w:t>
      </w:r>
      <w:r w:rsidRPr="001D0C10">
        <w:rPr>
          <w:rFonts w:ascii="Book Antiqua" w:eastAsia="Calibri" w:hAnsi="Book Antiqua" w:cs="Arial"/>
          <w:color w:val="000000"/>
          <w:sz w:val="24"/>
          <w:szCs w:val="24"/>
          <w:lang w:eastAsia="es-CR"/>
        </w:rPr>
        <w:t xml:space="preserve"> a lo interno de la Dirección de Planificación, en el que se involucró a los diferentes profesionales del Modelo de Sostenibilidad, ubicados en las diferentes regiones del país, en los que se identificaron aspectos a mejorar o abordar.</w:t>
      </w:r>
    </w:p>
    <w:p w14:paraId="71DA57D8" w14:textId="27300997" w:rsidR="009D2CCC" w:rsidRPr="001D0C10" w:rsidRDefault="009D2CCC">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 xml:space="preserve">Como parte del seguimiento a las matrices de indicadores de gestión, se detectaron oportunidades de mejora por lo que se realizaron ajustes a estas, lo anterior, </w:t>
      </w:r>
      <w:r w:rsidR="008F6F25">
        <w:rPr>
          <w:rFonts w:ascii="Book Antiqua" w:eastAsia="Calibri" w:hAnsi="Book Antiqua" w:cs="Arial"/>
          <w:color w:val="000000"/>
          <w:sz w:val="24"/>
          <w:szCs w:val="24"/>
          <w:lang w:eastAsia="es-CR"/>
        </w:rPr>
        <w:t>con el</w:t>
      </w:r>
      <w:r w:rsidRPr="001D0C10">
        <w:rPr>
          <w:rFonts w:ascii="Book Antiqua" w:eastAsia="Calibri" w:hAnsi="Book Antiqua" w:cs="Arial"/>
          <w:color w:val="000000"/>
          <w:sz w:val="24"/>
          <w:szCs w:val="24"/>
          <w:lang w:eastAsia="es-CR"/>
        </w:rPr>
        <w:t xml:space="preserve"> compromiso </w:t>
      </w:r>
      <w:r w:rsidR="008F6F25">
        <w:rPr>
          <w:rFonts w:ascii="Book Antiqua" w:eastAsia="Calibri" w:hAnsi="Book Antiqua" w:cs="Arial"/>
          <w:color w:val="000000"/>
          <w:sz w:val="24"/>
          <w:szCs w:val="24"/>
          <w:lang w:eastAsia="es-CR"/>
        </w:rPr>
        <w:t>de</w:t>
      </w:r>
      <w:r w:rsidRPr="001D0C10">
        <w:rPr>
          <w:rFonts w:ascii="Book Antiqua" w:eastAsia="Calibri" w:hAnsi="Book Antiqua" w:cs="Arial"/>
          <w:color w:val="000000"/>
          <w:sz w:val="24"/>
          <w:szCs w:val="24"/>
          <w:lang w:eastAsia="es-CR"/>
        </w:rPr>
        <w:t xml:space="preserve"> la mejora continua de los servicios que se brindan a nivel institucional, con la finalidad de mejorar la calidad y cantidad de la información.</w:t>
      </w:r>
    </w:p>
    <w:p w14:paraId="6068FAF1" w14:textId="3ACAFB03" w:rsidR="009D2CCC" w:rsidRPr="001D0C10" w:rsidRDefault="009D2CCC">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Se realizó una sesión con los despachos especializados de Familia</w:t>
      </w:r>
      <w:r w:rsidR="008F6F25">
        <w:rPr>
          <w:rFonts w:ascii="Book Antiqua" w:eastAsia="Calibri" w:hAnsi="Book Antiqua" w:cs="Arial"/>
          <w:color w:val="000000"/>
          <w:sz w:val="24"/>
          <w:szCs w:val="24"/>
          <w:lang w:eastAsia="es-CR"/>
        </w:rPr>
        <w:t>, Pensiones Alimentarias, Mixtos y Contravencionales</w:t>
      </w:r>
      <w:r w:rsidRPr="001D0C10">
        <w:rPr>
          <w:rFonts w:ascii="Book Antiqua" w:eastAsia="Calibri" w:hAnsi="Book Antiqua" w:cs="Arial"/>
          <w:color w:val="000000"/>
          <w:sz w:val="24"/>
          <w:szCs w:val="24"/>
          <w:lang w:eastAsia="es-CR"/>
        </w:rPr>
        <w:t xml:space="preserve"> en la que se capacitó en los cambios realizados a la matriz de indicadores de gestión, lo cual también fue comunicado mediante correo electrónico.</w:t>
      </w:r>
    </w:p>
    <w:p w14:paraId="366FEAF5" w14:textId="6B9F63C5" w:rsidR="009D2CCC" w:rsidRPr="001D0C10" w:rsidRDefault="009D2CCC">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En línea con lo establecido en el Modelo de Seguimiento y Sostenibilidad de los Proyectos de Rediseño, una vez concluida esta fase de implementación y seguimiento por parte del Subproceso de Modernización Institucional, el seguimiento continuará por los profesionales del Modelo de Sostenibilidad del Subproceso de Evaluación de la Dirección de Planificación.</w:t>
      </w:r>
    </w:p>
    <w:p w14:paraId="4659102B" w14:textId="2D076B21" w:rsidR="00D662BA" w:rsidRDefault="009D2CCC">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Se analizaron aspectos relevantes en algunos despachos.</w:t>
      </w:r>
    </w:p>
    <w:p w14:paraId="396645B9" w14:textId="62B04FD0" w:rsidR="0051552D" w:rsidRPr="004069D9" w:rsidRDefault="0051552D" w:rsidP="004069D9">
      <w:pPr>
        <w:pStyle w:val="Prrafodelista"/>
        <w:numPr>
          <w:ilvl w:val="0"/>
          <w:numId w:val="35"/>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 xml:space="preserve">Se emitieron recomendaciones al Consejo Superior, a los Juzgados, al </w:t>
      </w:r>
      <w:r w:rsidR="008F6F25" w:rsidRPr="001D0C10">
        <w:rPr>
          <w:rFonts w:ascii="Book Antiqua" w:eastAsia="Calibri" w:hAnsi="Book Antiqua" w:cs="Arial"/>
          <w:color w:val="000000"/>
          <w:sz w:val="24"/>
          <w:szCs w:val="24"/>
          <w:lang w:eastAsia="es-CR"/>
        </w:rPr>
        <w:t xml:space="preserve">a la Comisión de Familia, al </w:t>
      </w:r>
      <w:r w:rsidRPr="001D0C10">
        <w:rPr>
          <w:rFonts w:ascii="Book Antiqua" w:eastAsia="Calibri" w:hAnsi="Book Antiqua" w:cs="Arial"/>
          <w:color w:val="000000"/>
          <w:sz w:val="24"/>
          <w:szCs w:val="24"/>
          <w:lang w:eastAsia="es-CR"/>
        </w:rPr>
        <w:t>CACMFJ,</w:t>
      </w:r>
      <w:r w:rsidR="008F6F25" w:rsidRPr="001D0C10">
        <w:rPr>
          <w:rFonts w:ascii="Book Antiqua" w:eastAsia="Calibri" w:hAnsi="Book Antiqua" w:cs="Arial"/>
          <w:color w:val="000000"/>
          <w:sz w:val="24"/>
          <w:szCs w:val="24"/>
          <w:lang w:eastAsia="es-CR"/>
        </w:rPr>
        <w:t xml:space="preserve"> a las Administraciones Regionales de los distintos circuitos judiciales a nivel nacional, entre otro.</w:t>
      </w:r>
    </w:p>
    <w:p w14:paraId="677D4735" w14:textId="1F33A0F6" w:rsidR="00AC61FA" w:rsidRDefault="00D662BA" w:rsidP="0018633E">
      <w:pPr>
        <w:spacing w:after="0" w:line="276" w:lineRule="auto"/>
        <w:contextualSpacing/>
        <w:jc w:val="both"/>
        <w:rPr>
          <w:rFonts w:ascii="Book Antiqua" w:eastAsia="Calibri" w:hAnsi="Book Antiqua" w:cs="Arial"/>
          <w:color w:val="000000"/>
          <w:sz w:val="24"/>
          <w:szCs w:val="24"/>
          <w:lang w:eastAsia="es-CR"/>
        </w:rPr>
      </w:pPr>
      <w:r w:rsidRPr="001D0C10">
        <w:rPr>
          <w:rFonts w:ascii="Book Antiqua" w:eastAsia="Calibri" w:hAnsi="Book Antiqua" w:cs="Arial"/>
          <w:b/>
          <w:bCs/>
          <w:color w:val="000000"/>
          <w:sz w:val="24"/>
          <w:szCs w:val="24"/>
          <w:lang w:eastAsia="es-CR"/>
        </w:rPr>
        <w:t>También, d</w:t>
      </w:r>
      <w:r w:rsidR="00D80539" w:rsidRPr="001D0C10">
        <w:rPr>
          <w:rFonts w:ascii="Book Antiqua" w:eastAsia="Calibri" w:hAnsi="Book Antiqua" w:cs="Arial"/>
          <w:b/>
          <w:bCs/>
          <w:color w:val="000000"/>
          <w:sz w:val="24"/>
          <w:szCs w:val="24"/>
          <w:lang w:eastAsia="es-CR"/>
        </w:rPr>
        <w:t xml:space="preserve">urante </w:t>
      </w:r>
      <w:r w:rsidR="00485C6B">
        <w:rPr>
          <w:rFonts w:ascii="Book Antiqua" w:eastAsia="Calibri" w:hAnsi="Book Antiqua" w:cs="Arial"/>
          <w:b/>
          <w:bCs/>
          <w:color w:val="000000"/>
          <w:sz w:val="24"/>
          <w:szCs w:val="24"/>
          <w:lang w:eastAsia="es-CR"/>
        </w:rPr>
        <w:t xml:space="preserve">el </w:t>
      </w:r>
      <w:r w:rsidR="0018633E" w:rsidRPr="001D0C10">
        <w:rPr>
          <w:rFonts w:ascii="Book Antiqua" w:eastAsia="Calibri" w:hAnsi="Book Antiqua" w:cs="Arial"/>
          <w:b/>
          <w:bCs/>
          <w:color w:val="000000"/>
          <w:sz w:val="24"/>
          <w:szCs w:val="24"/>
          <w:lang w:eastAsia="es-CR"/>
        </w:rPr>
        <w:t>2021</w:t>
      </w:r>
      <w:r w:rsidR="00485C6B">
        <w:rPr>
          <w:rFonts w:ascii="Book Antiqua" w:eastAsia="Calibri" w:hAnsi="Book Antiqua" w:cs="Arial"/>
          <w:b/>
          <w:bCs/>
          <w:color w:val="000000"/>
          <w:sz w:val="24"/>
          <w:szCs w:val="24"/>
          <w:lang w:eastAsia="es-CR"/>
        </w:rPr>
        <w:t xml:space="preserve"> y 2022</w:t>
      </w:r>
      <w:r w:rsidR="0018633E" w:rsidRPr="0018633E">
        <w:rPr>
          <w:rFonts w:ascii="Book Antiqua" w:eastAsia="Calibri" w:hAnsi="Book Antiqua" w:cs="Arial"/>
          <w:color w:val="000000"/>
          <w:sz w:val="24"/>
          <w:szCs w:val="24"/>
          <w:lang w:eastAsia="es-CR"/>
        </w:rPr>
        <w:t xml:space="preserve"> se le</w:t>
      </w:r>
      <w:r w:rsidR="00B75652">
        <w:rPr>
          <w:rFonts w:ascii="Book Antiqua" w:eastAsia="Calibri" w:hAnsi="Book Antiqua" w:cs="Arial"/>
          <w:color w:val="000000"/>
          <w:sz w:val="24"/>
          <w:szCs w:val="24"/>
          <w:lang w:eastAsia="es-CR"/>
        </w:rPr>
        <w:t xml:space="preserve"> dio</w:t>
      </w:r>
      <w:r w:rsidR="0018633E" w:rsidRPr="0018633E">
        <w:rPr>
          <w:rFonts w:ascii="Book Antiqua" w:eastAsia="Calibri" w:hAnsi="Book Antiqua" w:cs="Arial"/>
          <w:color w:val="000000"/>
          <w:sz w:val="24"/>
          <w:szCs w:val="24"/>
          <w:lang w:eastAsia="es-CR"/>
        </w:rPr>
        <w:t xml:space="preserve"> seguimiento a cada una de las 106 oficinas competentes en materia de Familia y Pensiones Alimentarias</w:t>
      </w:r>
      <w:r w:rsidR="00D80539">
        <w:rPr>
          <w:rFonts w:ascii="Book Antiqua" w:eastAsia="Calibri" w:hAnsi="Book Antiqua" w:cs="Arial"/>
          <w:color w:val="000000"/>
          <w:sz w:val="24"/>
          <w:szCs w:val="24"/>
          <w:lang w:eastAsia="es-CR"/>
        </w:rPr>
        <w:t xml:space="preserve">, </w:t>
      </w:r>
      <w:r w:rsidR="00A53FD9">
        <w:rPr>
          <w:rFonts w:ascii="Book Antiqua" w:eastAsia="Calibri" w:hAnsi="Book Antiqua" w:cs="Arial"/>
          <w:color w:val="000000"/>
          <w:sz w:val="24"/>
          <w:szCs w:val="24"/>
          <w:lang w:eastAsia="es-CR"/>
        </w:rPr>
        <w:t>así como el seguimiento que se mantiene a la fecha para asegurar e</w:t>
      </w:r>
      <w:r w:rsidR="00D80539">
        <w:rPr>
          <w:rFonts w:ascii="Book Antiqua" w:eastAsia="Calibri" w:hAnsi="Book Antiqua" w:cs="Arial"/>
          <w:color w:val="000000"/>
          <w:sz w:val="24"/>
          <w:szCs w:val="24"/>
          <w:lang w:eastAsia="es-CR"/>
        </w:rPr>
        <w:t>l cumplimiento de los entregables del proyecto</w:t>
      </w:r>
      <w:r w:rsidR="00AC61FA">
        <w:rPr>
          <w:rFonts w:ascii="Book Antiqua" w:eastAsia="Calibri" w:hAnsi="Book Antiqua" w:cs="Arial"/>
          <w:color w:val="000000"/>
          <w:sz w:val="24"/>
          <w:szCs w:val="24"/>
          <w:lang w:eastAsia="es-CR"/>
        </w:rPr>
        <w:t xml:space="preserve">, que presenta un </w:t>
      </w:r>
      <w:r w:rsidR="00391C8F">
        <w:rPr>
          <w:rFonts w:ascii="Book Antiqua" w:eastAsia="Calibri" w:hAnsi="Book Antiqua" w:cs="Arial"/>
          <w:color w:val="000000"/>
          <w:sz w:val="24"/>
          <w:szCs w:val="24"/>
          <w:lang w:eastAsia="es-CR"/>
        </w:rPr>
        <w:t>8</w:t>
      </w:r>
      <w:r w:rsidR="00485C6B">
        <w:rPr>
          <w:rFonts w:ascii="Book Antiqua" w:eastAsia="Calibri" w:hAnsi="Book Antiqua" w:cs="Arial"/>
          <w:color w:val="000000"/>
          <w:sz w:val="24"/>
          <w:szCs w:val="24"/>
          <w:lang w:eastAsia="es-CR"/>
        </w:rPr>
        <w:t>8</w:t>
      </w:r>
      <w:r w:rsidR="00AC61FA">
        <w:rPr>
          <w:rFonts w:ascii="Book Antiqua" w:eastAsia="Calibri" w:hAnsi="Book Antiqua" w:cs="Arial"/>
          <w:color w:val="000000"/>
          <w:sz w:val="24"/>
          <w:szCs w:val="24"/>
          <w:lang w:eastAsia="es-CR"/>
        </w:rPr>
        <w:t>% de avance</w:t>
      </w:r>
      <w:r w:rsidR="009E1C03">
        <w:rPr>
          <w:rFonts w:ascii="Book Antiqua" w:eastAsia="Calibri" w:hAnsi="Book Antiqua" w:cs="Arial"/>
          <w:color w:val="000000"/>
          <w:sz w:val="24"/>
          <w:szCs w:val="24"/>
          <w:lang w:eastAsia="es-CR"/>
        </w:rPr>
        <w:t xml:space="preserve"> a </w:t>
      </w:r>
      <w:r w:rsidR="00485C6B">
        <w:rPr>
          <w:rFonts w:ascii="Book Antiqua" w:eastAsia="Calibri" w:hAnsi="Book Antiqua" w:cs="Arial"/>
          <w:color w:val="000000"/>
          <w:sz w:val="24"/>
          <w:szCs w:val="24"/>
          <w:lang w:eastAsia="es-CR"/>
        </w:rPr>
        <w:t>enero</w:t>
      </w:r>
      <w:r w:rsidR="009E1C03">
        <w:rPr>
          <w:rFonts w:ascii="Book Antiqua" w:eastAsia="Calibri" w:hAnsi="Book Antiqua" w:cs="Arial"/>
          <w:color w:val="000000"/>
          <w:sz w:val="24"/>
          <w:szCs w:val="24"/>
          <w:lang w:eastAsia="es-CR"/>
        </w:rPr>
        <w:t xml:space="preserve"> 202</w:t>
      </w:r>
      <w:r w:rsidR="00485C6B">
        <w:rPr>
          <w:rFonts w:ascii="Book Antiqua" w:eastAsia="Calibri" w:hAnsi="Book Antiqua" w:cs="Arial"/>
          <w:color w:val="000000"/>
          <w:sz w:val="24"/>
          <w:szCs w:val="24"/>
          <w:lang w:eastAsia="es-CR"/>
        </w:rPr>
        <w:t>3</w:t>
      </w:r>
      <w:r w:rsidR="00AC61FA">
        <w:rPr>
          <w:rFonts w:ascii="Book Antiqua" w:eastAsia="Calibri" w:hAnsi="Book Antiqua" w:cs="Arial"/>
          <w:color w:val="000000"/>
          <w:sz w:val="24"/>
          <w:szCs w:val="24"/>
          <w:lang w:eastAsia="es-CR"/>
        </w:rPr>
        <w:t>, según consta en el sitio del proyecto</w:t>
      </w:r>
      <w:r w:rsidR="00D80539">
        <w:rPr>
          <w:rFonts w:ascii="Book Antiqua" w:eastAsia="Calibri" w:hAnsi="Book Antiqua" w:cs="Arial"/>
          <w:color w:val="000000"/>
          <w:sz w:val="24"/>
          <w:szCs w:val="24"/>
          <w:lang w:eastAsia="es-CR"/>
        </w:rPr>
        <w:t>.</w:t>
      </w:r>
    </w:p>
    <w:p w14:paraId="0C3C9547" w14:textId="36415842" w:rsidR="00AC61FA" w:rsidRDefault="00AC61FA" w:rsidP="0018633E">
      <w:pPr>
        <w:spacing w:after="0" w:line="276" w:lineRule="auto"/>
        <w:contextualSpacing/>
        <w:jc w:val="both"/>
        <w:rPr>
          <w:rFonts w:ascii="Book Antiqua" w:eastAsia="Calibri" w:hAnsi="Book Antiqua" w:cs="Arial"/>
          <w:color w:val="000000"/>
          <w:sz w:val="24"/>
          <w:szCs w:val="24"/>
          <w:lang w:eastAsia="es-CR"/>
        </w:rPr>
      </w:pPr>
    </w:p>
    <w:tbl>
      <w:tblPr>
        <w:tblW w:w="5000" w:type="pct"/>
        <w:tblCellMar>
          <w:left w:w="0" w:type="dxa"/>
          <w:right w:w="0" w:type="dxa"/>
        </w:tblCellMar>
        <w:tblLook w:val="04A0" w:firstRow="1" w:lastRow="0" w:firstColumn="1" w:lastColumn="0" w:noHBand="0" w:noVBand="1"/>
      </w:tblPr>
      <w:tblGrid>
        <w:gridCol w:w="627"/>
        <w:gridCol w:w="4461"/>
        <w:gridCol w:w="999"/>
        <w:gridCol w:w="2741"/>
      </w:tblGrid>
      <w:tr w:rsidR="00F41178" w:rsidRPr="00F41178" w14:paraId="6A6364B8" w14:textId="77777777" w:rsidTr="00F41178">
        <w:trPr>
          <w:trHeight w:val="241"/>
        </w:trPr>
        <w:tc>
          <w:tcPr>
            <w:tcW w:w="365" w:type="pct"/>
            <w:vMerge w:val="restart"/>
            <w:tcBorders>
              <w:top w:val="dotted" w:sz="4" w:space="0" w:color="000000"/>
              <w:left w:val="dotted" w:sz="4" w:space="0" w:color="000000"/>
              <w:bottom w:val="dotted" w:sz="4" w:space="0" w:color="000000"/>
              <w:right w:val="dotted" w:sz="4" w:space="0" w:color="000000"/>
            </w:tcBorders>
            <w:shd w:val="clear" w:color="auto" w:fill="F2F2F2"/>
            <w:tcMar>
              <w:top w:w="5" w:type="dxa"/>
              <w:left w:w="5" w:type="dxa"/>
              <w:bottom w:w="0" w:type="dxa"/>
              <w:right w:w="5" w:type="dxa"/>
            </w:tcMar>
            <w:vAlign w:val="center"/>
            <w:hideMark/>
          </w:tcPr>
          <w:p w14:paraId="4824E484"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COD88</w:t>
            </w:r>
          </w:p>
        </w:tc>
        <w:tc>
          <w:tcPr>
            <w:tcW w:w="2536" w:type="pct"/>
            <w:vMerge w:val="restart"/>
            <w:tcBorders>
              <w:top w:val="dotted" w:sz="4" w:space="0" w:color="000000"/>
              <w:left w:val="dotted" w:sz="4" w:space="0" w:color="000000"/>
              <w:bottom w:val="dotted" w:sz="4" w:space="0" w:color="000000"/>
              <w:right w:val="dotted" w:sz="4" w:space="0" w:color="000000"/>
            </w:tcBorders>
            <w:shd w:val="clear" w:color="auto" w:fill="F2F2F2"/>
            <w:tcMar>
              <w:top w:w="5" w:type="dxa"/>
              <w:left w:w="5" w:type="dxa"/>
              <w:bottom w:w="0" w:type="dxa"/>
              <w:right w:w="5" w:type="dxa"/>
            </w:tcMar>
            <w:vAlign w:val="center"/>
            <w:hideMark/>
          </w:tcPr>
          <w:p w14:paraId="4A5F848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Productos Entregables</w:t>
            </w:r>
          </w:p>
        </w:tc>
        <w:tc>
          <w:tcPr>
            <w:tcW w:w="2099" w:type="pct"/>
            <w:gridSpan w:val="2"/>
            <w:tcBorders>
              <w:top w:val="dotted" w:sz="4" w:space="0" w:color="000000"/>
              <w:left w:val="dotted" w:sz="4" w:space="0" w:color="000000"/>
              <w:bottom w:val="dotted" w:sz="4" w:space="0" w:color="000000"/>
              <w:right w:val="dotted" w:sz="4" w:space="0" w:color="000000"/>
            </w:tcBorders>
            <w:shd w:val="clear" w:color="auto" w:fill="F2F2F2"/>
            <w:tcMar>
              <w:top w:w="5" w:type="dxa"/>
              <w:left w:w="5" w:type="dxa"/>
              <w:bottom w:w="0" w:type="dxa"/>
              <w:right w:w="5" w:type="dxa"/>
            </w:tcMar>
            <w:vAlign w:val="center"/>
            <w:hideMark/>
          </w:tcPr>
          <w:p w14:paraId="4D6D04F1" w14:textId="77777777" w:rsidR="00F41178" w:rsidRPr="00F41178" w:rsidRDefault="00F41178" w:rsidP="00F41178">
            <w:pPr>
              <w:spacing w:after="0" w:line="240" w:lineRule="auto"/>
              <w:rPr>
                <w:rFonts w:ascii="Arial" w:eastAsia="Times New Roman" w:hAnsi="Arial" w:cs="Arial"/>
                <w:sz w:val="36"/>
                <w:szCs w:val="36"/>
                <w:lang w:eastAsia="es-CR"/>
              </w:rPr>
            </w:pPr>
          </w:p>
        </w:tc>
      </w:tr>
      <w:tr w:rsidR="00F41178" w:rsidRPr="00F41178" w14:paraId="1820CCB4" w14:textId="77777777" w:rsidTr="00F41178">
        <w:trPr>
          <w:trHeight w:val="207"/>
        </w:trPr>
        <w:tc>
          <w:tcPr>
            <w:tcW w:w="365" w:type="pct"/>
            <w:vMerge/>
            <w:tcBorders>
              <w:top w:val="dotted" w:sz="4" w:space="0" w:color="000000"/>
              <w:left w:val="dotted" w:sz="4" w:space="0" w:color="000000"/>
              <w:bottom w:val="dotted" w:sz="4" w:space="0" w:color="000000"/>
              <w:right w:val="dotted" w:sz="4" w:space="0" w:color="000000"/>
            </w:tcBorders>
            <w:vAlign w:val="center"/>
            <w:hideMark/>
          </w:tcPr>
          <w:p w14:paraId="021BD884" w14:textId="77777777" w:rsidR="00F41178" w:rsidRPr="00F41178" w:rsidRDefault="00F41178" w:rsidP="00F41178">
            <w:pPr>
              <w:spacing w:after="0" w:line="240" w:lineRule="auto"/>
              <w:rPr>
                <w:rFonts w:ascii="Arial" w:eastAsia="Times New Roman" w:hAnsi="Arial" w:cs="Arial"/>
                <w:sz w:val="36"/>
                <w:szCs w:val="36"/>
                <w:lang w:eastAsia="es-CR"/>
              </w:rPr>
            </w:pPr>
          </w:p>
        </w:tc>
        <w:tc>
          <w:tcPr>
            <w:tcW w:w="2536" w:type="pct"/>
            <w:vMerge/>
            <w:tcBorders>
              <w:top w:val="dotted" w:sz="4" w:space="0" w:color="000000"/>
              <w:left w:val="dotted" w:sz="4" w:space="0" w:color="000000"/>
              <w:bottom w:val="dotted" w:sz="4" w:space="0" w:color="000000"/>
              <w:right w:val="dotted" w:sz="4" w:space="0" w:color="000000"/>
            </w:tcBorders>
            <w:vAlign w:val="center"/>
            <w:hideMark/>
          </w:tcPr>
          <w:p w14:paraId="014DE220" w14:textId="77777777" w:rsidR="00F41178" w:rsidRPr="00F41178" w:rsidRDefault="00F41178" w:rsidP="00F41178">
            <w:pPr>
              <w:spacing w:after="0" w:line="240" w:lineRule="auto"/>
              <w:rPr>
                <w:rFonts w:ascii="Arial" w:eastAsia="Times New Roman" w:hAnsi="Arial" w:cs="Arial"/>
                <w:sz w:val="36"/>
                <w:szCs w:val="36"/>
                <w:lang w:eastAsia="es-CR"/>
              </w:rPr>
            </w:pPr>
          </w:p>
        </w:tc>
        <w:tc>
          <w:tcPr>
            <w:tcW w:w="537" w:type="pct"/>
            <w:tcBorders>
              <w:top w:val="dotted" w:sz="4" w:space="0" w:color="000000"/>
              <w:left w:val="dotted" w:sz="4" w:space="0" w:color="000000"/>
              <w:bottom w:val="dotted" w:sz="4" w:space="0" w:color="000000"/>
              <w:right w:val="dotted" w:sz="4" w:space="0" w:color="000000"/>
            </w:tcBorders>
            <w:shd w:val="clear" w:color="auto" w:fill="D9E2F3"/>
            <w:tcMar>
              <w:top w:w="5" w:type="dxa"/>
              <w:left w:w="5" w:type="dxa"/>
              <w:bottom w:w="0" w:type="dxa"/>
              <w:right w:w="5" w:type="dxa"/>
            </w:tcMar>
            <w:vAlign w:val="center"/>
            <w:hideMark/>
          </w:tcPr>
          <w:p w14:paraId="23E89283"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Estado</w:t>
            </w:r>
          </w:p>
        </w:tc>
        <w:tc>
          <w:tcPr>
            <w:tcW w:w="1562" w:type="pct"/>
            <w:tcBorders>
              <w:top w:val="dotted" w:sz="4" w:space="0" w:color="000000"/>
              <w:left w:val="dotted" w:sz="4" w:space="0" w:color="000000"/>
              <w:bottom w:val="dotted" w:sz="4" w:space="0" w:color="000000"/>
              <w:right w:val="dotted" w:sz="4" w:space="0" w:color="000000"/>
            </w:tcBorders>
            <w:shd w:val="clear" w:color="auto" w:fill="D9E2F3"/>
            <w:tcMar>
              <w:top w:w="5" w:type="dxa"/>
              <w:left w:w="5" w:type="dxa"/>
              <w:bottom w:w="0" w:type="dxa"/>
              <w:right w:w="5" w:type="dxa"/>
            </w:tcMar>
            <w:vAlign w:val="center"/>
            <w:hideMark/>
          </w:tcPr>
          <w:p w14:paraId="2C496E7F"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 de avance</w:t>
            </w:r>
          </w:p>
        </w:tc>
      </w:tr>
      <w:tr w:rsidR="00F41178" w:rsidRPr="00F41178" w14:paraId="3F505EFB" w14:textId="77777777" w:rsidTr="00F41178">
        <w:trPr>
          <w:trHeight w:val="409"/>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D59C6F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832719E"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Certificación de implementación de las recomendaciones de la Contraloría General de la República en materia de Familia y Pensiones</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023D9D02"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10BD0AB4"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2E4877B2" w14:textId="77777777" w:rsidTr="00F41178">
        <w:trPr>
          <w:trHeight w:val="205"/>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0958878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2453C5F8"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Formatos jurídicos, asociados a cada fase y estado a utilizar con el nuevo CPC</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CDE8DF7"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0F9128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01F9340A" w14:textId="77777777" w:rsidTr="00F41178">
        <w:trPr>
          <w:trHeight w:val="409"/>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2D24B96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3.3.</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74E9D180"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Fórmulas estadísticas FA, PA, VD tareas y ubicaciones a utilizar con el CPF</w:t>
            </w:r>
          </w:p>
        </w:tc>
        <w:tc>
          <w:tcPr>
            <w:tcW w:w="537" w:type="pct"/>
            <w:tcBorders>
              <w:top w:val="dotted" w:sz="4" w:space="0" w:color="000000"/>
              <w:left w:val="dotted" w:sz="4" w:space="0" w:color="000000"/>
              <w:bottom w:val="dotted" w:sz="4" w:space="0" w:color="000000"/>
              <w:right w:val="dotted" w:sz="4" w:space="0" w:color="000000"/>
            </w:tcBorders>
            <w:shd w:val="clear" w:color="auto" w:fill="92D050"/>
            <w:tcMar>
              <w:top w:w="5" w:type="dxa"/>
              <w:left w:w="5" w:type="dxa"/>
              <w:bottom w:w="0" w:type="dxa"/>
              <w:right w:w="5" w:type="dxa"/>
            </w:tcMar>
            <w:vAlign w:val="center"/>
            <w:hideMark/>
          </w:tcPr>
          <w:p w14:paraId="49170BF8"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En proceso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432F54C"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Lista la formula oficio aprobado por CS</w:t>
            </w:r>
          </w:p>
        </w:tc>
      </w:tr>
      <w:tr w:rsidR="00F41178" w:rsidRPr="00F41178" w14:paraId="4F0BE1E8"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504E056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3.4</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5C32FD5E"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Informe con propuesta de Juzgados de asuntos sumarios por Ministerio de Ley</w:t>
            </w:r>
          </w:p>
        </w:tc>
        <w:tc>
          <w:tcPr>
            <w:tcW w:w="537" w:type="pct"/>
            <w:tcBorders>
              <w:top w:val="dotted" w:sz="4" w:space="0" w:color="000000"/>
              <w:left w:val="dotted" w:sz="4" w:space="0" w:color="000000"/>
              <w:bottom w:val="dotted" w:sz="4" w:space="0" w:color="000000"/>
              <w:right w:val="dotted" w:sz="4" w:space="0" w:color="000000"/>
            </w:tcBorders>
            <w:shd w:val="clear" w:color="auto" w:fill="92D050"/>
            <w:tcMar>
              <w:top w:w="5" w:type="dxa"/>
              <w:left w:w="5" w:type="dxa"/>
              <w:bottom w:w="0" w:type="dxa"/>
              <w:right w:w="5" w:type="dxa"/>
            </w:tcMar>
            <w:vAlign w:val="center"/>
            <w:hideMark/>
          </w:tcPr>
          <w:p w14:paraId="2B2ED6AB"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En proceso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EEE1797"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35% en revisión jefatura</w:t>
            </w:r>
          </w:p>
        </w:tc>
      </w:tr>
      <w:tr w:rsidR="00F41178" w:rsidRPr="00F41178" w14:paraId="46581C8B"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15E66A42"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3.5</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3872BCF"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Cambio nombre oficinas de VD a nivel nacional/SIGA PJ y RP</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3A88921"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63A1842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19B792EC"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D4BDFCE"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3.6</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22D5BD7A"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Emisión directrices oficinas sobre el uso obligatorio de sistemas</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7CD2AA6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8E08E1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70109247" w14:textId="77777777" w:rsidTr="00F41178">
        <w:trPr>
          <w:trHeight w:val="409"/>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28C32A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3.7</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7806FCF"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Emisión directrices de readecuación procesos, reglas prácticas y nueva forma de tramitación CPF</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254E400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5FC031F"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018AFF0E" w14:textId="77777777" w:rsidTr="00F41178">
        <w:trPr>
          <w:trHeight w:val="207"/>
        </w:trPr>
        <w:tc>
          <w:tcPr>
            <w:tcW w:w="365" w:type="pct"/>
            <w:vMerge w:val="restar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6C89BB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3.8</w:t>
            </w:r>
          </w:p>
        </w:tc>
        <w:tc>
          <w:tcPr>
            <w:tcW w:w="2536" w:type="pct"/>
            <w:tcBorders>
              <w:top w:val="dotted" w:sz="4" w:space="0" w:color="000000"/>
              <w:left w:val="dotted" w:sz="4" w:space="0" w:color="000000"/>
              <w:bottom w:val="nil"/>
              <w:right w:val="dotted" w:sz="4" w:space="0" w:color="000000"/>
            </w:tcBorders>
            <w:shd w:val="clear" w:color="auto" w:fill="FFFFFF"/>
            <w:tcMar>
              <w:top w:w="5" w:type="dxa"/>
              <w:left w:w="5" w:type="dxa"/>
              <w:bottom w:w="0" w:type="dxa"/>
              <w:right w:w="5" w:type="dxa"/>
            </w:tcMar>
            <w:vAlign w:val="center"/>
            <w:hideMark/>
          </w:tcPr>
          <w:p w14:paraId="190A80F1"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Minuta de acuerdo-enlaces con instituciones</w:t>
            </w:r>
          </w:p>
        </w:tc>
        <w:tc>
          <w:tcPr>
            <w:tcW w:w="537" w:type="pct"/>
            <w:vMerge w:val="restar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3015FA3"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vMerge w:val="restar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26BED200"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7892FD41" w14:textId="77777777" w:rsidTr="00F41178">
        <w:trPr>
          <w:trHeight w:val="207"/>
        </w:trPr>
        <w:tc>
          <w:tcPr>
            <w:tcW w:w="365" w:type="pct"/>
            <w:vMerge/>
            <w:tcBorders>
              <w:top w:val="dotted" w:sz="4" w:space="0" w:color="000000"/>
              <w:left w:val="dotted" w:sz="4" w:space="0" w:color="000000"/>
              <w:bottom w:val="dotted" w:sz="4" w:space="0" w:color="000000"/>
              <w:right w:val="dotted" w:sz="4" w:space="0" w:color="000000"/>
            </w:tcBorders>
            <w:vAlign w:val="center"/>
            <w:hideMark/>
          </w:tcPr>
          <w:p w14:paraId="4C676047" w14:textId="77777777" w:rsidR="00F41178" w:rsidRPr="00F41178" w:rsidRDefault="00F41178" w:rsidP="00F41178">
            <w:pPr>
              <w:spacing w:after="0" w:line="240" w:lineRule="auto"/>
              <w:rPr>
                <w:rFonts w:ascii="Arial" w:eastAsia="Times New Roman" w:hAnsi="Arial" w:cs="Arial"/>
                <w:sz w:val="36"/>
                <w:szCs w:val="36"/>
                <w:lang w:eastAsia="es-CR"/>
              </w:rPr>
            </w:pPr>
          </w:p>
        </w:tc>
        <w:tc>
          <w:tcPr>
            <w:tcW w:w="2536" w:type="pct"/>
            <w:tcBorders>
              <w:top w:val="nil"/>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4E5535E"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participes procesos CPF</w:t>
            </w:r>
          </w:p>
        </w:tc>
        <w:tc>
          <w:tcPr>
            <w:tcW w:w="537" w:type="pct"/>
            <w:vMerge/>
            <w:tcBorders>
              <w:top w:val="dotted" w:sz="4" w:space="0" w:color="000000"/>
              <w:left w:val="dotted" w:sz="4" w:space="0" w:color="000000"/>
              <w:bottom w:val="dotted" w:sz="4" w:space="0" w:color="000000"/>
              <w:right w:val="dotted" w:sz="4" w:space="0" w:color="000000"/>
            </w:tcBorders>
            <w:vAlign w:val="center"/>
            <w:hideMark/>
          </w:tcPr>
          <w:p w14:paraId="5CBC1EB4" w14:textId="77777777" w:rsidR="00F41178" w:rsidRPr="00F41178" w:rsidRDefault="00F41178" w:rsidP="00F41178">
            <w:pPr>
              <w:spacing w:after="0" w:line="240" w:lineRule="auto"/>
              <w:rPr>
                <w:rFonts w:ascii="Arial" w:eastAsia="Times New Roman" w:hAnsi="Arial" w:cs="Arial"/>
                <w:sz w:val="36"/>
                <w:szCs w:val="36"/>
                <w:lang w:eastAsia="es-CR"/>
              </w:rPr>
            </w:pPr>
          </w:p>
        </w:tc>
        <w:tc>
          <w:tcPr>
            <w:tcW w:w="1562" w:type="pct"/>
            <w:vMerge/>
            <w:tcBorders>
              <w:top w:val="dotted" w:sz="4" w:space="0" w:color="000000"/>
              <w:left w:val="dotted" w:sz="4" w:space="0" w:color="000000"/>
              <w:bottom w:val="dotted" w:sz="4" w:space="0" w:color="000000"/>
              <w:right w:val="dotted" w:sz="4" w:space="0" w:color="000000"/>
            </w:tcBorders>
            <w:vAlign w:val="center"/>
            <w:hideMark/>
          </w:tcPr>
          <w:p w14:paraId="37F2CC43" w14:textId="77777777" w:rsidR="00F41178" w:rsidRPr="00F41178" w:rsidRDefault="00F41178" w:rsidP="00F41178">
            <w:pPr>
              <w:spacing w:after="0" w:line="240" w:lineRule="auto"/>
              <w:rPr>
                <w:rFonts w:ascii="Arial" w:eastAsia="Times New Roman" w:hAnsi="Arial" w:cs="Arial"/>
                <w:sz w:val="36"/>
                <w:szCs w:val="36"/>
                <w:lang w:eastAsia="es-CR"/>
              </w:rPr>
            </w:pPr>
          </w:p>
        </w:tc>
      </w:tr>
      <w:tr w:rsidR="00F41178" w:rsidRPr="00F41178" w14:paraId="3A910671"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A0A9B6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3.9</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3F98555"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Informe de la Implantación de EV y mejoras a nivel de sistemas para CPF</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67CD47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DEF90C1"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76F45E42"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68B0FE1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3.10</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69104E15"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Informe de readecuación perfiles y gestión del cambio y evaluación DGH</w:t>
            </w:r>
          </w:p>
        </w:tc>
        <w:tc>
          <w:tcPr>
            <w:tcW w:w="537" w:type="pct"/>
            <w:tcBorders>
              <w:top w:val="dotted" w:sz="4" w:space="0" w:color="000000"/>
              <w:left w:val="dotted" w:sz="4" w:space="0" w:color="000000"/>
              <w:bottom w:val="dotted" w:sz="4" w:space="0" w:color="000000"/>
              <w:right w:val="dotted" w:sz="4" w:space="0" w:color="000000"/>
            </w:tcBorders>
            <w:shd w:val="clear" w:color="auto" w:fill="92D050"/>
            <w:tcMar>
              <w:top w:w="5" w:type="dxa"/>
              <w:left w:w="5" w:type="dxa"/>
              <w:bottom w:w="0" w:type="dxa"/>
              <w:right w:w="5" w:type="dxa"/>
            </w:tcMar>
            <w:vAlign w:val="center"/>
            <w:hideMark/>
          </w:tcPr>
          <w:p w14:paraId="31906F6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En proceso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D0E418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94%</w:t>
            </w:r>
          </w:p>
        </w:tc>
      </w:tr>
      <w:tr w:rsidR="00F41178" w:rsidRPr="00F41178" w14:paraId="62EF900C"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17D10D1B"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3.11</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9F0737D"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Informe de resultados del plan de descongestionamiento</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88B6278"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64D6A31"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64EB8F45"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1B7609AF"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3.12</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1A5E3294"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Informe Dirección Ejecutiva, diagnóstico de áreas infantiles </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AC70D7E"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15D5751"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21927F30"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BE449E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3.13</w:t>
            </w:r>
          </w:p>
        </w:tc>
        <w:tc>
          <w:tcPr>
            <w:tcW w:w="2536"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FF3AB63"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Informe de la EJ capacitación en CPF</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202BC9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E0A05EF"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79FDD845"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C262B5C"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3.14</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F5A1083"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Campaña de divulgación de los principales cambios (Prensa).</w:t>
            </w:r>
          </w:p>
        </w:tc>
        <w:tc>
          <w:tcPr>
            <w:tcW w:w="537" w:type="pct"/>
            <w:tcBorders>
              <w:top w:val="dotted" w:sz="4" w:space="0" w:color="000000"/>
              <w:left w:val="dotted" w:sz="4" w:space="0" w:color="000000"/>
              <w:bottom w:val="dotted" w:sz="4" w:space="0" w:color="000000"/>
              <w:right w:val="dotted" w:sz="4" w:space="0" w:color="000000"/>
            </w:tcBorders>
            <w:shd w:val="clear" w:color="auto" w:fill="92D050"/>
            <w:tcMar>
              <w:top w:w="5" w:type="dxa"/>
              <w:left w:w="5" w:type="dxa"/>
              <w:bottom w:w="0" w:type="dxa"/>
              <w:right w:w="5" w:type="dxa"/>
            </w:tcMar>
            <w:vAlign w:val="center"/>
            <w:hideMark/>
          </w:tcPr>
          <w:p w14:paraId="2D382BE3"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En proceso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EF86314"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34%</w:t>
            </w:r>
          </w:p>
        </w:tc>
      </w:tr>
      <w:tr w:rsidR="00F41178" w:rsidRPr="00F41178" w14:paraId="565A3F01"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A5EBF63"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3.15</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FE0F73B"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Informe Contraloría, afiches y acercamiento CPU</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34796A1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0E82ED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78891260"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F2FF31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3.16</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D8D7825"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Resultado plan descongestionamiento 2021</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747058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AABB69B"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0E411A43"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D92E450"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3.17</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74D9938"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Resultado plan capacitación Escuela Judicial 2021</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6FBD01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56BA90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18510312"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2993B34"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3.18</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B8122F0"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Resultado plan descongestionamiento Familia 2022</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4264481"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B1ED151"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508DCAA8"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6EF79B7"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3.19</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C1D59D0"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Resultado plan descongestionamiento Pensiones Alimentarias 2022</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D0B75F9"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BB9C37F"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7D3A51BC" w14:textId="77777777" w:rsidTr="00F41178">
        <w:trPr>
          <w:trHeight w:val="370"/>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AA4820B"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3.20</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41DD93B"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Resultado plan capacitación Escuela Judicial 2022</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823823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547C417"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 100%</w:t>
            </w:r>
          </w:p>
        </w:tc>
      </w:tr>
      <w:tr w:rsidR="00F41178" w:rsidRPr="00F41178" w14:paraId="4593F1B5"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15EA00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3.21</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62DAA11"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VD-Construcción de Oficina Modelo</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00E24E9B"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4EE5087"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Informe 1170-PLA-MI(NPL)-2022 pendiente aprobación CS</w:t>
            </w:r>
          </w:p>
        </w:tc>
      </w:tr>
      <w:tr w:rsidR="00F41178" w:rsidRPr="00F41178" w14:paraId="2F6E7FE1" w14:textId="77777777" w:rsidTr="00F41178">
        <w:trPr>
          <w:trHeight w:val="238"/>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7AC8799"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3.22</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0DAE72E"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VD-Inventarios en Especializados</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8E3871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BC21363"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414AA016" w14:textId="77777777" w:rsidTr="00F41178">
        <w:trPr>
          <w:trHeight w:val="81"/>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D2C961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3.23</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2867812"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VD-Oportunidades de Mejora-infraestructura-DE</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BB93F94"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CC8E01C"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 </w:t>
            </w:r>
          </w:p>
        </w:tc>
      </w:tr>
      <w:tr w:rsidR="00F41178" w:rsidRPr="00F41178" w14:paraId="3E7F7A7F"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6EC4707"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3.24</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16DCBFC"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VD-Oportunidades de Mejora-desarrollo mejoras-DTI</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C37405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EAD0402"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4396AD5C"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B8B35B3"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3.25</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697EC84"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VD-Oportunidades de Mejora-DTSP</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D5971A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B69C42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4A56C7A9"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6858E2C"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3.26</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CABE91A"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VD-Oportunidades de Mejora-Instituciones externas</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7A1A7058"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354E15E"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44155BD0"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E36898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3.27</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D476999"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VD-Oportunidades de Mejora-Coordinaciones Fuerza Pública</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07AACCCE"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E7FB37B"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 </w:t>
            </w:r>
          </w:p>
        </w:tc>
      </w:tr>
      <w:tr w:rsidR="00F41178" w:rsidRPr="00F41178" w14:paraId="03865104"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0270042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3.28</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E5BC128"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VD-Oportunidades de Mejora-Banco de recursos interinstitucionales</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410DDA79"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B83349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 </w:t>
            </w:r>
          </w:p>
        </w:tc>
      </w:tr>
      <w:tr w:rsidR="00F41178" w:rsidRPr="00F41178" w14:paraId="3C348F39"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2DEC218"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3.29</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6C90309"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VD-Oportunidades de Mejora-oficinas internas-MP-Juzgado Penal</w:t>
            </w:r>
          </w:p>
        </w:tc>
        <w:tc>
          <w:tcPr>
            <w:tcW w:w="537" w:type="pct"/>
            <w:tcBorders>
              <w:top w:val="dotted" w:sz="4" w:space="0" w:color="000000"/>
              <w:left w:val="dotted" w:sz="4" w:space="0" w:color="000000"/>
              <w:bottom w:val="dotted" w:sz="4" w:space="0" w:color="000000"/>
              <w:right w:val="dotted" w:sz="4" w:space="0" w:color="000000"/>
            </w:tcBorders>
            <w:shd w:val="clear" w:color="auto" w:fill="FFFFFF"/>
            <w:tcMar>
              <w:top w:w="5" w:type="dxa"/>
              <w:left w:w="5" w:type="dxa"/>
              <w:bottom w:w="0" w:type="dxa"/>
              <w:right w:w="5" w:type="dxa"/>
            </w:tcMar>
            <w:vAlign w:val="center"/>
            <w:hideMark/>
          </w:tcPr>
          <w:p w14:paraId="288654D3"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470F35A"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 </w:t>
            </w:r>
          </w:p>
        </w:tc>
      </w:tr>
      <w:tr w:rsidR="00F41178" w:rsidRPr="00F41178" w14:paraId="15947DB6"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7675B24"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3.30</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3206152"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VD-Oportunidades de Mejora-Normas prácticas</w:t>
            </w:r>
          </w:p>
        </w:tc>
        <w:tc>
          <w:tcPr>
            <w:tcW w:w="537" w:type="pct"/>
            <w:tcBorders>
              <w:top w:val="dotted" w:sz="4" w:space="0" w:color="000000"/>
              <w:left w:val="dotted" w:sz="4" w:space="0" w:color="000000"/>
              <w:bottom w:val="dotted" w:sz="4" w:space="0" w:color="000000"/>
              <w:right w:val="dotted" w:sz="4" w:space="0" w:color="000000"/>
            </w:tcBorders>
            <w:shd w:val="clear" w:color="auto" w:fill="92D050"/>
            <w:tcMar>
              <w:top w:w="5" w:type="dxa"/>
              <w:left w:w="5" w:type="dxa"/>
              <w:bottom w:w="0" w:type="dxa"/>
              <w:right w:w="5" w:type="dxa"/>
            </w:tcMar>
            <w:vAlign w:val="center"/>
            <w:hideMark/>
          </w:tcPr>
          <w:p w14:paraId="6C42808C"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En proceso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E4A5B11" w14:textId="2F495DC2"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99% Solo está pendiente comunicación a la SGC por parte de la Comisión VD</w:t>
            </w:r>
          </w:p>
        </w:tc>
      </w:tr>
      <w:tr w:rsidR="00F41178" w:rsidRPr="00F41178" w14:paraId="270FF4BF"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CA75D1F"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3.31</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BAC5C55"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VD-Oportunidades de Mejora-Estadística</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E5EFC4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D00E9A2"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0CEEEE7C" w14:textId="77777777" w:rsidTr="00F41178">
        <w:trPr>
          <w:trHeight w:val="207"/>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A2D17D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3.32</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EF8150E"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VD-Oportunidades de Mejora-Reforma Legal</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E4C8949"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93B8F22"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100%</w:t>
            </w:r>
          </w:p>
        </w:tc>
      </w:tr>
      <w:tr w:rsidR="00F41178" w:rsidRPr="00F41178" w14:paraId="10AC87C5" w14:textId="77777777" w:rsidTr="00F41178">
        <w:trPr>
          <w:trHeight w:val="238"/>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53FCA70"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eastAsia="es-CR"/>
              </w:rPr>
              <w:t>3.33</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3B45F7CA"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VD-Abordaje e implementación de Modelo en Especializados</w:t>
            </w:r>
          </w:p>
        </w:tc>
        <w:tc>
          <w:tcPr>
            <w:tcW w:w="537" w:type="pct"/>
            <w:tcBorders>
              <w:top w:val="dotted" w:sz="4" w:space="0" w:color="000000"/>
              <w:left w:val="dotted" w:sz="4" w:space="0" w:color="000000"/>
              <w:bottom w:val="dotted" w:sz="4" w:space="0" w:color="000000"/>
              <w:right w:val="dotted" w:sz="4" w:space="0" w:color="000000"/>
            </w:tcBorders>
            <w:shd w:val="clear" w:color="auto" w:fill="0070C0"/>
            <w:tcMar>
              <w:top w:w="5" w:type="dxa"/>
              <w:left w:w="5" w:type="dxa"/>
              <w:bottom w:w="0" w:type="dxa"/>
              <w:right w:w="5" w:type="dxa"/>
            </w:tcMar>
            <w:vAlign w:val="center"/>
            <w:hideMark/>
          </w:tcPr>
          <w:p w14:paraId="063FD6B4"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Calibri" w:eastAsia="Times New Roman" w:hAnsi="Calibri" w:cs="Calibri"/>
                <w:color w:val="000000"/>
                <w:kern w:val="24"/>
                <w:sz w:val="18"/>
                <w:szCs w:val="18"/>
                <w:lang w:eastAsia="es-CR"/>
              </w:rPr>
              <w:t>Pendiente de iniciar</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A1C747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0%</w:t>
            </w:r>
          </w:p>
        </w:tc>
      </w:tr>
      <w:tr w:rsidR="00F41178" w:rsidRPr="00F41178" w14:paraId="0726CB92" w14:textId="77777777" w:rsidTr="00F41178">
        <w:trPr>
          <w:trHeight w:val="238"/>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5E14D2F"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val="es-ES" w:eastAsia="es-CR"/>
              </w:rPr>
              <w:t>3.34.</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6F5ADBE3"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VD-Oportunidades de mejora-Reducción de horas extra y apoyo en disponibilidad</w:t>
            </w:r>
          </w:p>
        </w:tc>
        <w:tc>
          <w:tcPr>
            <w:tcW w:w="537" w:type="pct"/>
            <w:tcBorders>
              <w:top w:val="dotted" w:sz="4" w:space="0" w:color="000000"/>
              <w:left w:val="dotted" w:sz="4" w:space="0" w:color="000000"/>
              <w:bottom w:val="dotted" w:sz="4" w:space="0" w:color="000000"/>
              <w:right w:val="dotted" w:sz="4" w:space="0" w:color="000000"/>
            </w:tcBorders>
            <w:shd w:val="clear" w:color="auto" w:fill="92D050"/>
            <w:tcMar>
              <w:top w:w="5" w:type="dxa"/>
              <w:left w:w="5" w:type="dxa"/>
              <w:bottom w:w="0" w:type="dxa"/>
              <w:right w:w="5" w:type="dxa"/>
            </w:tcMar>
            <w:vAlign w:val="center"/>
            <w:hideMark/>
          </w:tcPr>
          <w:p w14:paraId="0BB28F2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Calibri" w:eastAsia="Times New Roman" w:hAnsi="Calibri" w:cs="Calibri"/>
                <w:color w:val="000000"/>
                <w:kern w:val="24"/>
                <w:sz w:val="18"/>
                <w:szCs w:val="18"/>
                <w:lang w:val="es-ES" w:eastAsia="es-CR"/>
              </w:rPr>
              <w:t>En progreso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C2B60A0" w14:textId="2C9EAC53"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99% por salir el oficio definitivo</w:t>
            </w:r>
          </w:p>
        </w:tc>
      </w:tr>
      <w:tr w:rsidR="00F41178" w:rsidRPr="00F41178" w14:paraId="07104835" w14:textId="77777777" w:rsidTr="00F41178">
        <w:trPr>
          <w:trHeight w:val="238"/>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65C53A9"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val="es-ES" w:eastAsia="es-CR"/>
              </w:rPr>
              <w:t>3.35</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F02805E"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VD-Oportunidades de mejora capacitación</w:t>
            </w:r>
          </w:p>
        </w:tc>
        <w:tc>
          <w:tcPr>
            <w:tcW w:w="537"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E03674C"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eastAsia="es-CR"/>
              </w:rPr>
              <w:t>Completado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539E9D9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1</w:t>
            </w:r>
            <w:r w:rsidRPr="00F41178">
              <w:rPr>
                <w:rFonts w:ascii="Book Antiqua" w:eastAsia="Times New Roman" w:hAnsi="Book Antiqua" w:cs="Arial"/>
                <w:color w:val="000000"/>
                <w:kern w:val="24"/>
                <w:sz w:val="18"/>
                <w:szCs w:val="18"/>
                <w:lang w:eastAsia="es-CR"/>
              </w:rPr>
              <w:t>00%</w:t>
            </w:r>
          </w:p>
        </w:tc>
      </w:tr>
      <w:tr w:rsidR="00F41178" w:rsidRPr="00F41178" w14:paraId="302D1515" w14:textId="77777777" w:rsidTr="00F41178">
        <w:trPr>
          <w:trHeight w:val="238"/>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6AEBC0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val="es-ES" w:eastAsia="es-CR"/>
              </w:rPr>
              <w:t>3.36</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86FF072"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Informe Contraloría de Servicios y acercamiento CPU 2023-3024</w:t>
            </w:r>
          </w:p>
        </w:tc>
        <w:tc>
          <w:tcPr>
            <w:tcW w:w="537" w:type="pct"/>
            <w:tcBorders>
              <w:top w:val="dotted" w:sz="4" w:space="0" w:color="000000"/>
              <w:left w:val="dotted" w:sz="4" w:space="0" w:color="000000"/>
              <w:bottom w:val="dotted" w:sz="4" w:space="0" w:color="000000"/>
              <w:right w:val="dotted" w:sz="4" w:space="0" w:color="000000"/>
            </w:tcBorders>
            <w:shd w:val="clear" w:color="auto" w:fill="0070C0"/>
            <w:tcMar>
              <w:top w:w="5" w:type="dxa"/>
              <w:left w:w="5" w:type="dxa"/>
              <w:bottom w:w="0" w:type="dxa"/>
              <w:right w:w="5" w:type="dxa"/>
            </w:tcMar>
            <w:vAlign w:val="center"/>
            <w:hideMark/>
          </w:tcPr>
          <w:p w14:paraId="09681D15"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Pendiente</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7A307608"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0%</w:t>
            </w:r>
          </w:p>
        </w:tc>
      </w:tr>
      <w:tr w:rsidR="00F41178" w:rsidRPr="00F41178" w14:paraId="49D935F8" w14:textId="77777777" w:rsidTr="00F41178">
        <w:trPr>
          <w:trHeight w:val="238"/>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C8E89F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val="es-ES" w:eastAsia="es-CR"/>
              </w:rPr>
              <w:t>3.37</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13509411"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Actualización, ajustes segunda instancia de Familia y Pensiones</w:t>
            </w:r>
          </w:p>
        </w:tc>
        <w:tc>
          <w:tcPr>
            <w:tcW w:w="537" w:type="pct"/>
            <w:tcBorders>
              <w:top w:val="dotted" w:sz="4" w:space="0" w:color="000000"/>
              <w:left w:val="dotted" w:sz="4" w:space="0" w:color="000000"/>
              <w:bottom w:val="dotted" w:sz="4" w:space="0" w:color="000000"/>
              <w:right w:val="dotted" w:sz="4" w:space="0" w:color="000000"/>
            </w:tcBorders>
            <w:shd w:val="clear" w:color="auto" w:fill="92D050"/>
            <w:tcMar>
              <w:top w:w="5" w:type="dxa"/>
              <w:left w:w="5" w:type="dxa"/>
              <w:bottom w:w="0" w:type="dxa"/>
              <w:right w:w="5" w:type="dxa"/>
            </w:tcMar>
            <w:vAlign w:val="center"/>
            <w:hideMark/>
          </w:tcPr>
          <w:p w14:paraId="154D0BE6"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En progreso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7CE211D"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83%</w:t>
            </w:r>
          </w:p>
        </w:tc>
      </w:tr>
      <w:tr w:rsidR="00F41178" w:rsidRPr="00F41178" w14:paraId="309E50A6" w14:textId="77777777" w:rsidTr="00F41178">
        <w:trPr>
          <w:trHeight w:val="238"/>
        </w:trPr>
        <w:tc>
          <w:tcPr>
            <w:tcW w:w="365"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CF83C2B"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b/>
                <w:bCs/>
                <w:color w:val="000000"/>
                <w:kern w:val="24"/>
                <w:sz w:val="18"/>
                <w:szCs w:val="18"/>
                <w:lang w:val="es-ES" w:eastAsia="es-CR"/>
              </w:rPr>
              <w:t>3.38</w:t>
            </w:r>
          </w:p>
        </w:tc>
        <w:tc>
          <w:tcPr>
            <w:tcW w:w="2536"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4A2905A0" w14:textId="77777777" w:rsidR="00F41178" w:rsidRPr="00F41178" w:rsidRDefault="00F41178" w:rsidP="00F41178">
            <w:pPr>
              <w:spacing w:after="0" w:line="240" w:lineRule="auto"/>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Propuesta de creación de un Juzgados de Familia especializado en apelaciones de PA</w:t>
            </w:r>
          </w:p>
        </w:tc>
        <w:tc>
          <w:tcPr>
            <w:tcW w:w="537" w:type="pct"/>
            <w:tcBorders>
              <w:top w:val="dotted" w:sz="4" w:space="0" w:color="000000"/>
              <w:left w:val="dotted" w:sz="4" w:space="0" w:color="000000"/>
              <w:bottom w:val="dotted" w:sz="4" w:space="0" w:color="000000"/>
              <w:right w:val="dotted" w:sz="4" w:space="0" w:color="000000"/>
            </w:tcBorders>
            <w:shd w:val="clear" w:color="auto" w:fill="92D050"/>
            <w:tcMar>
              <w:top w:w="5" w:type="dxa"/>
              <w:left w:w="5" w:type="dxa"/>
              <w:bottom w:w="0" w:type="dxa"/>
              <w:right w:w="5" w:type="dxa"/>
            </w:tcMar>
            <w:vAlign w:val="center"/>
            <w:hideMark/>
          </w:tcPr>
          <w:p w14:paraId="22C9BA52"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En progreso</w:t>
            </w:r>
          </w:p>
        </w:tc>
        <w:tc>
          <w:tcPr>
            <w:tcW w:w="1562" w:type="pct"/>
            <w:tcBorders>
              <w:top w:val="dotted" w:sz="4" w:space="0" w:color="000000"/>
              <w:left w:val="dotted" w:sz="4" w:space="0" w:color="000000"/>
              <w:bottom w:val="dotted" w:sz="4" w:space="0" w:color="000000"/>
              <w:right w:val="dotted" w:sz="4" w:space="0" w:color="000000"/>
            </w:tcBorders>
            <w:shd w:val="clear" w:color="auto" w:fill="auto"/>
            <w:tcMar>
              <w:top w:w="5" w:type="dxa"/>
              <w:left w:w="5" w:type="dxa"/>
              <w:bottom w:w="0" w:type="dxa"/>
              <w:right w:w="5" w:type="dxa"/>
            </w:tcMar>
            <w:vAlign w:val="center"/>
            <w:hideMark/>
          </w:tcPr>
          <w:p w14:paraId="2FFDA48C" w14:textId="77777777" w:rsidR="00F41178" w:rsidRPr="00F41178" w:rsidRDefault="00F41178" w:rsidP="00F41178">
            <w:pPr>
              <w:spacing w:after="0" w:line="240" w:lineRule="auto"/>
              <w:jc w:val="center"/>
              <w:textAlignment w:val="center"/>
              <w:rPr>
                <w:rFonts w:ascii="Arial" w:eastAsia="Times New Roman" w:hAnsi="Arial" w:cs="Arial"/>
                <w:sz w:val="36"/>
                <w:szCs w:val="36"/>
                <w:lang w:eastAsia="es-CR"/>
              </w:rPr>
            </w:pPr>
            <w:r w:rsidRPr="00F41178">
              <w:rPr>
                <w:rFonts w:ascii="Book Antiqua" w:eastAsia="Times New Roman" w:hAnsi="Book Antiqua" w:cs="Arial"/>
                <w:color w:val="000000"/>
                <w:kern w:val="24"/>
                <w:sz w:val="18"/>
                <w:szCs w:val="18"/>
                <w:lang w:val="es-ES" w:eastAsia="es-CR"/>
              </w:rPr>
              <w:t>86%</w:t>
            </w:r>
          </w:p>
        </w:tc>
      </w:tr>
    </w:tbl>
    <w:p w14:paraId="44B32A86" w14:textId="77777777" w:rsidR="00F41178" w:rsidRDefault="00F41178" w:rsidP="0018633E">
      <w:pPr>
        <w:spacing w:after="0" w:line="276" w:lineRule="auto"/>
        <w:contextualSpacing/>
        <w:jc w:val="both"/>
        <w:rPr>
          <w:rFonts w:ascii="Book Antiqua" w:eastAsia="Calibri" w:hAnsi="Book Antiqua" w:cs="Arial"/>
          <w:color w:val="000000"/>
          <w:sz w:val="24"/>
          <w:szCs w:val="24"/>
          <w:lang w:eastAsia="es-CR"/>
        </w:rPr>
      </w:pPr>
    </w:p>
    <w:p w14:paraId="4133D8E1" w14:textId="58E15C1B" w:rsidR="0018633E" w:rsidRDefault="00AC61FA" w:rsidP="0018633E">
      <w:pPr>
        <w:spacing w:after="0" w:line="276" w:lineRule="auto"/>
        <w:contextualSpacing/>
        <w:jc w:val="both"/>
        <w:rPr>
          <w:rFonts w:ascii="Book Antiqua" w:eastAsia="Calibri" w:hAnsi="Book Antiqua" w:cs="Arial"/>
          <w:b/>
          <w:bCs/>
          <w:i/>
          <w:iCs/>
          <w:color w:val="000000"/>
          <w:sz w:val="24"/>
          <w:szCs w:val="24"/>
          <w:lang w:eastAsia="es-CR"/>
        </w:rPr>
      </w:pPr>
      <w:r w:rsidRPr="001D0C10">
        <w:rPr>
          <w:rFonts w:ascii="Book Antiqua" w:eastAsia="Calibri" w:hAnsi="Book Antiqua" w:cs="Arial"/>
          <w:b/>
          <w:bCs/>
          <w:i/>
          <w:iCs/>
          <w:color w:val="000000"/>
          <w:sz w:val="24"/>
          <w:szCs w:val="24"/>
          <w:lang w:eastAsia="es-CR"/>
        </w:rPr>
        <w:t>2022</w:t>
      </w:r>
    </w:p>
    <w:p w14:paraId="5CFF43E6" w14:textId="6C9D5D19" w:rsidR="00AC61FA" w:rsidRDefault="00AC61FA" w:rsidP="0018633E">
      <w:pPr>
        <w:spacing w:after="0" w:line="276" w:lineRule="auto"/>
        <w:contextualSpacing/>
        <w:jc w:val="both"/>
        <w:rPr>
          <w:rFonts w:ascii="Book Antiqua" w:eastAsia="Calibri" w:hAnsi="Book Antiqua" w:cs="Arial"/>
          <w:b/>
          <w:bCs/>
          <w:i/>
          <w:iCs/>
          <w:color w:val="000000"/>
          <w:sz w:val="24"/>
          <w:szCs w:val="24"/>
          <w:lang w:eastAsia="es-CR"/>
        </w:rPr>
      </w:pPr>
    </w:p>
    <w:p w14:paraId="09B57348" w14:textId="77777777" w:rsidR="00AC61FA" w:rsidRPr="0018633E" w:rsidRDefault="00AC61FA" w:rsidP="00AC61FA">
      <w:pPr>
        <w:spacing w:after="0" w:line="276" w:lineRule="auto"/>
        <w:contextualSpacing/>
        <w:jc w:val="both"/>
        <w:rPr>
          <w:rFonts w:ascii="Book Antiqua" w:eastAsia="Calibri" w:hAnsi="Book Antiqua" w:cs="Arial"/>
          <w:color w:val="000000"/>
          <w:sz w:val="24"/>
          <w:szCs w:val="24"/>
          <w:lang w:eastAsia="es-CR"/>
        </w:rPr>
      </w:pPr>
      <w:r w:rsidRPr="0018633E">
        <w:rPr>
          <w:rFonts w:ascii="Book Antiqua" w:eastAsia="Calibri" w:hAnsi="Book Antiqua" w:cs="Arial"/>
          <w:color w:val="000000"/>
          <w:sz w:val="24"/>
          <w:szCs w:val="24"/>
          <w:lang w:eastAsia="es-CR"/>
        </w:rPr>
        <w:t xml:space="preserve">Debido a que el Código Procesal de Familia presenta implicaciones en Violencia Doméstica, la Dirección de Planificación </w:t>
      </w:r>
      <w:r>
        <w:rPr>
          <w:rFonts w:ascii="Book Antiqua" w:eastAsia="Calibri" w:hAnsi="Book Antiqua" w:cs="Arial"/>
          <w:color w:val="000000"/>
          <w:sz w:val="24"/>
          <w:szCs w:val="24"/>
          <w:lang w:eastAsia="es-CR"/>
        </w:rPr>
        <w:t xml:space="preserve">inicio en febrero 2022 con la metodología para </w:t>
      </w:r>
      <w:r w:rsidRPr="0018633E">
        <w:rPr>
          <w:rFonts w:ascii="Book Antiqua" w:eastAsia="Calibri" w:hAnsi="Book Antiqua" w:cs="Arial"/>
          <w:color w:val="000000"/>
          <w:sz w:val="24"/>
          <w:szCs w:val="24"/>
          <w:lang w:eastAsia="es-CR"/>
        </w:rPr>
        <w:t xml:space="preserve">el abordaje de los Despachos que </w:t>
      </w:r>
      <w:r>
        <w:rPr>
          <w:rFonts w:ascii="Book Antiqua" w:eastAsia="Calibri" w:hAnsi="Book Antiqua" w:cs="Arial"/>
          <w:color w:val="000000"/>
          <w:sz w:val="24"/>
          <w:szCs w:val="24"/>
          <w:lang w:eastAsia="es-CR"/>
        </w:rPr>
        <w:t xml:space="preserve">atienden esta materia. Iniciando con los talleres con peonas juzgadoras, de despachos especializados y mixtos y PISAV, los días 21 y 22 de febrero y 1 de marzo 2022. </w:t>
      </w:r>
      <w:r w:rsidRPr="0018633E">
        <w:rPr>
          <w:rFonts w:ascii="Book Antiqua" w:eastAsia="Calibri" w:hAnsi="Book Antiqua" w:cs="Arial"/>
          <w:color w:val="000000"/>
          <w:sz w:val="24"/>
          <w:szCs w:val="24"/>
          <w:lang w:eastAsia="es-CR"/>
        </w:rPr>
        <w:t xml:space="preserve"> </w:t>
      </w:r>
    </w:p>
    <w:p w14:paraId="1114411D" w14:textId="77777777" w:rsidR="00AC61FA" w:rsidRPr="0018633E" w:rsidRDefault="00AC61FA" w:rsidP="00AC61FA">
      <w:pPr>
        <w:spacing w:after="0" w:line="276" w:lineRule="auto"/>
        <w:contextualSpacing/>
        <w:jc w:val="both"/>
        <w:rPr>
          <w:rFonts w:ascii="Book Antiqua" w:eastAsia="Calibri" w:hAnsi="Book Antiqua" w:cs="Arial"/>
          <w:color w:val="000000"/>
          <w:sz w:val="24"/>
          <w:szCs w:val="24"/>
          <w:lang w:eastAsia="es-CR"/>
        </w:rPr>
      </w:pPr>
    </w:p>
    <w:p w14:paraId="6B09289C" w14:textId="3362F16C" w:rsidR="00AC61FA" w:rsidRDefault="00AC61FA" w:rsidP="00AC61FA">
      <w:pPr>
        <w:spacing w:after="0" w:line="276" w:lineRule="auto"/>
        <w:contextualSpacing/>
        <w:jc w:val="both"/>
        <w:rPr>
          <w:rFonts w:ascii="Book Antiqua" w:eastAsia="Calibri" w:hAnsi="Book Antiqua" w:cs="Arial"/>
          <w:color w:val="000000"/>
          <w:sz w:val="24"/>
          <w:szCs w:val="24"/>
          <w:lang w:eastAsia="es-CR"/>
        </w:rPr>
      </w:pPr>
      <w:bookmarkStart w:id="86" w:name="_Hlk97808196"/>
      <w:r>
        <w:rPr>
          <w:rFonts w:ascii="Book Antiqua" w:eastAsia="Calibri" w:hAnsi="Book Antiqua" w:cs="Arial"/>
          <w:color w:val="000000"/>
          <w:sz w:val="24"/>
          <w:szCs w:val="24"/>
          <w:lang w:eastAsia="es-CR"/>
        </w:rPr>
        <w:t xml:space="preserve">El abordaje a los </w:t>
      </w:r>
      <w:r w:rsidRPr="0018633E">
        <w:rPr>
          <w:rFonts w:ascii="Book Antiqua" w:eastAsia="Calibri" w:hAnsi="Book Antiqua" w:cs="Arial"/>
          <w:color w:val="000000"/>
          <w:sz w:val="24"/>
          <w:szCs w:val="24"/>
          <w:lang w:eastAsia="es-CR"/>
        </w:rPr>
        <w:t xml:space="preserve">Juzgados Especializados de Violencia Doméstica por parte de los </w:t>
      </w:r>
      <w:r>
        <w:rPr>
          <w:rFonts w:ascii="Book Antiqua" w:eastAsia="Calibri" w:hAnsi="Book Antiqua" w:cs="Arial"/>
          <w:color w:val="000000"/>
          <w:sz w:val="24"/>
          <w:szCs w:val="24"/>
          <w:lang w:eastAsia="es-CR"/>
        </w:rPr>
        <w:t>P</w:t>
      </w:r>
      <w:r w:rsidRPr="0018633E">
        <w:rPr>
          <w:rFonts w:ascii="Book Antiqua" w:eastAsia="Calibri" w:hAnsi="Book Antiqua" w:cs="Arial"/>
          <w:color w:val="000000"/>
          <w:sz w:val="24"/>
          <w:szCs w:val="24"/>
          <w:lang w:eastAsia="es-CR"/>
        </w:rPr>
        <w:t xml:space="preserve">rofesionales 2 de la Dirección de Planificación asignados al Subproceso de Modernización Institucional </w:t>
      </w:r>
      <w:r>
        <w:rPr>
          <w:rFonts w:ascii="Book Antiqua" w:eastAsia="Calibri" w:hAnsi="Book Antiqua" w:cs="Arial"/>
          <w:color w:val="000000"/>
          <w:sz w:val="24"/>
          <w:szCs w:val="24"/>
          <w:lang w:eastAsia="es-CR"/>
        </w:rPr>
        <w:t>se efectuará de abril a setiembre 202</w:t>
      </w:r>
      <w:r w:rsidR="00F41178">
        <w:rPr>
          <w:rFonts w:ascii="Book Antiqua" w:eastAsia="Calibri" w:hAnsi="Book Antiqua" w:cs="Arial"/>
          <w:color w:val="000000"/>
          <w:sz w:val="24"/>
          <w:szCs w:val="24"/>
          <w:lang w:eastAsia="es-CR"/>
        </w:rPr>
        <w:t>3</w:t>
      </w:r>
      <w:r>
        <w:rPr>
          <w:rFonts w:ascii="Book Antiqua" w:eastAsia="Calibri" w:hAnsi="Book Antiqua" w:cs="Arial"/>
          <w:color w:val="000000"/>
          <w:sz w:val="24"/>
          <w:szCs w:val="24"/>
          <w:lang w:eastAsia="es-CR"/>
        </w:rPr>
        <w:t>, previo abordaje y realización de inventario por parte del Subproceso de Estadística</w:t>
      </w:r>
      <w:bookmarkEnd w:id="86"/>
      <w:r>
        <w:rPr>
          <w:rFonts w:ascii="Book Antiqua" w:eastAsia="Calibri" w:hAnsi="Book Antiqua" w:cs="Arial"/>
          <w:color w:val="000000"/>
          <w:sz w:val="24"/>
          <w:szCs w:val="24"/>
          <w:lang w:eastAsia="es-CR"/>
        </w:rPr>
        <w:t>.</w:t>
      </w:r>
    </w:p>
    <w:p w14:paraId="1142FE10" w14:textId="77777777" w:rsidR="0009019B" w:rsidRDefault="0009019B" w:rsidP="00AC61FA">
      <w:pPr>
        <w:spacing w:after="0" w:line="276" w:lineRule="auto"/>
        <w:contextualSpacing/>
        <w:jc w:val="both"/>
        <w:rPr>
          <w:rFonts w:ascii="Book Antiqua" w:eastAsia="Calibri" w:hAnsi="Book Antiqua" w:cs="Arial"/>
          <w:color w:val="000000"/>
          <w:sz w:val="24"/>
          <w:szCs w:val="24"/>
          <w:lang w:eastAsia="es-CR"/>
        </w:rPr>
      </w:pPr>
    </w:p>
    <w:p w14:paraId="3CD762A9" w14:textId="6679AA04" w:rsidR="00A53FD9" w:rsidRPr="0018633E" w:rsidRDefault="004069D9" w:rsidP="004069D9">
      <w:pPr>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br w:type="page"/>
      </w:r>
    </w:p>
    <w:tbl>
      <w:tblPr>
        <w:tblW w:w="5000" w:type="pct"/>
        <w:tblCellMar>
          <w:left w:w="0" w:type="dxa"/>
          <w:right w:w="0" w:type="dxa"/>
        </w:tblCellMar>
        <w:tblLook w:val="04A0" w:firstRow="1" w:lastRow="0" w:firstColumn="1" w:lastColumn="0" w:noHBand="0" w:noVBand="1"/>
      </w:tblPr>
      <w:tblGrid>
        <w:gridCol w:w="374"/>
        <w:gridCol w:w="571"/>
        <w:gridCol w:w="5991"/>
        <w:gridCol w:w="1882"/>
      </w:tblGrid>
      <w:tr w:rsidR="00F41178" w:rsidRPr="00F41178" w14:paraId="64D1F1F3" w14:textId="77777777" w:rsidTr="00612E7C">
        <w:trPr>
          <w:trHeight w:val="281"/>
        </w:trPr>
        <w:tc>
          <w:tcPr>
            <w:tcW w:w="212" w:type="pct"/>
            <w:tcBorders>
              <w:top w:val="single" w:sz="8" w:space="0" w:color="FFFFFF"/>
              <w:left w:val="single" w:sz="8" w:space="0" w:color="FFFFFF"/>
              <w:bottom w:val="single" w:sz="24" w:space="0" w:color="FFFFFF"/>
              <w:right w:val="single" w:sz="8" w:space="0" w:color="FFFFFF"/>
            </w:tcBorders>
            <w:shd w:val="clear" w:color="auto" w:fill="4472C4"/>
            <w:tcMar>
              <w:top w:w="15" w:type="dxa"/>
              <w:left w:w="20" w:type="dxa"/>
              <w:bottom w:w="0" w:type="dxa"/>
              <w:right w:w="20" w:type="dxa"/>
            </w:tcMar>
            <w:vAlign w:val="center"/>
            <w:hideMark/>
          </w:tcPr>
          <w:p w14:paraId="4CC4CFDC"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w:t>
            </w:r>
          </w:p>
        </w:tc>
        <w:tc>
          <w:tcPr>
            <w:tcW w:w="324" w:type="pct"/>
            <w:tcBorders>
              <w:top w:val="single" w:sz="8" w:space="0" w:color="FFFFFF"/>
              <w:left w:val="single" w:sz="8" w:space="0" w:color="FFFFFF"/>
              <w:bottom w:val="single" w:sz="24" w:space="0" w:color="FFFFFF"/>
              <w:right w:val="single" w:sz="8" w:space="0" w:color="FFFFFF"/>
            </w:tcBorders>
            <w:shd w:val="clear" w:color="auto" w:fill="4472C4"/>
            <w:tcMar>
              <w:top w:w="15" w:type="dxa"/>
              <w:left w:w="20" w:type="dxa"/>
              <w:bottom w:w="0" w:type="dxa"/>
              <w:right w:w="20" w:type="dxa"/>
            </w:tcMar>
            <w:vAlign w:val="center"/>
            <w:hideMark/>
          </w:tcPr>
          <w:p w14:paraId="356718EB"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Ref</w:t>
            </w:r>
          </w:p>
        </w:tc>
        <w:tc>
          <w:tcPr>
            <w:tcW w:w="3397" w:type="pct"/>
            <w:tcBorders>
              <w:top w:val="single" w:sz="8" w:space="0" w:color="FFFFFF"/>
              <w:left w:val="single" w:sz="8" w:space="0" w:color="FFFFFF"/>
              <w:bottom w:val="single" w:sz="24" w:space="0" w:color="FFFFFF"/>
              <w:right w:val="single" w:sz="8" w:space="0" w:color="FFFFFF"/>
            </w:tcBorders>
            <w:shd w:val="clear" w:color="auto" w:fill="4472C4"/>
            <w:tcMar>
              <w:top w:w="15" w:type="dxa"/>
              <w:left w:w="20" w:type="dxa"/>
              <w:bottom w:w="0" w:type="dxa"/>
              <w:right w:w="20" w:type="dxa"/>
            </w:tcMar>
            <w:vAlign w:val="center"/>
            <w:hideMark/>
          </w:tcPr>
          <w:p w14:paraId="4F33BBB9"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0"/>
                <w:szCs w:val="20"/>
                <w:lang w:eastAsia="es-CR"/>
              </w:rPr>
              <w:t>Nombre del informe</w:t>
            </w:r>
          </w:p>
        </w:tc>
        <w:tc>
          <w:tcPr>
            <w:tcW w:w="1067" w:type="pct"/>
            <w:tcBorders>
              <w:top w:val="single" w:sz="8" w:space="0" w:color="FFFFFF"/>
              <w:left w:val="single" w:sz="8" w:space="0" w:color="FFFFFF"/>
              <w:bottom w:val="single" w:sz="24" w:space="0" w:color="FFFFFF"/>
              <w:right w:val="single" w:sz="8" w:space="0" w:color="FFFFFF"/>
            </w:tcBorders>
            <w:shd w:val="clear" w:color="auto" w:fill="4472C4"/>
            <w:tcMar>
              <w:top w:w="15" w:type="dxa"/>
              <w:left w:w="20" w:type="dxa"/>
              <w:bottom w:w="0" w:type="dxa"/>
              <w:right w:w="20" w:type="dxa"/>
            </w:tcMar>
            <w:vAlign w:val="center"/>
            <w:hideMark/>
          </w:tcPr>
          <w:p w14:paraId="0EB58592"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Calibri" w:hAnsi="Calibri" w:cs="Calibri"/>
                <w:b/>
                <w:bCs/>
                <w:color w:val="FFFFFF"/>
                <w:kern w:val="24"/>
                <w:sz w:val="21"/>
                <w:szCs w:val="21"/>
                <w:lang w:val="es-ES" w:eastAsia="es-CR"/>
              </w:rPr>
              <w:t>Estado actual</w:t>
            </w:r>
          </w:p>
        </w:tc>
      </w:tr>
      <w:tr w:rsidR="00F41178" w:rsidRPr="00F41178" w14:paraId="4E41C2AD" w14:textId="77777777" w:rsidTr="00612E7C">
        <w:trPr>
          <w:trHeight w:val="281"/>
        </w:trPr>
        <w:tc>
          <w:tcPr>
            <w:tcW w:w="212" w:type="pct"/>
            <w:tcBorders>
              <w:top w:val="single" w:sz="24"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653BF528"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1</w:t>
            </w:r>
          </w:p>
        </w:tc>
        <w:tc>
          <w:tcPr>
            <w:tcW w:w="324" w:type="pct"/>
            <w:tcBorders>
              <w:top w:val="single" w:sz="24"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4838DF5D"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 xml:space="preserve"> 1679-2021</w:t>
            </w:r>
          </w:p>
        </w:tc>
        <w:tc>
          <w:tcPr>
            <w:tcW w:w="3397" w:type="pct"/>
            <w:tcBorders>
              <w:top w:val="single" w:sz="24"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48DDD8D6"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 xml:space="preserve">Análisis de carga de trabajo de los Juzgados de Familia del Primer Circuito Judicial de San José.  </w:t>
            </w:r>
          </w:p>
        </w:tc>
        <w:tc>
          <w:tcPr>
            <w:tcW w:w="1067" w:type="pct"/>
            <w:tcBorders>
              <w:top w:val="single" w:sz="24"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hideMark/>
          </w:tcPr>
          <w:p w14:paraId="01D472B9" w14:textId="5E1A9F6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 xml:space="preserve">Listo-oficio 1122-PLA-MI(NPL)-2022. </w:t>
            </w:r>
            <w:r w:rsidR="00110E4A" w:rsidRPr="00F41178">
              <w:rPr>
                <w:rFonts w:ascii="Calibri" w:eastAsia="Calibri" w:hAnsi="Calibri" w:cs="Calibri"/>
                <w:color w:val="000000"/>
                <w:kern w:val="24"/>
                <w:sz w:val="18"/>
                <w:szCs w:val="18"/>
                <w:lang w:val="es-ES" w:eastAsia="es-CR"/>
              </w:rPr>
              <w:t>P</w:t>
            </w:r>
            <w:r w:rsidRPr="00F41178">
              <w:rPr>
                <w:rFonts w:ascii="Calibri" w:eastAsia="Calibri" w:hAnsi="Calibri" w:cs="Calibri"/>
                <w:color w:val="000000"/>
                <w:kern w:val="24"/>
                <w:sz w:val="18"/>
                <w:szCs w:val="18"/>
                <w:lang w:val="es-ES" w:eastAsia="es-CR"/>
              </w:rPr>
              <w:t xml:space="preserve">ropuesta Juzg Apelaciones de PA. </w:t>
            </w:r>
          </w:p>
        </w:tc>
      </w:tr>
      <w:tr w:rsidR="00F41178" w:rsidRPr="00F41178" w14:paraId="75C69F3E" w14:textId="77777777" w:rsidTr="00612E7C">
        <w:trPr>
          <w:trHeight w:val="578"/>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4BD64BC7"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2</w:t>
            </w:r>
          </w:p>
        </w:tc>
        <w:tc>
          <w:tcPr>
            <w:tcW w:w="324"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7725F578"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1687-2021</w:t>
            </w:r>
          </w:p>
        </w:tc>
        <w:tc>
          <w:tcPr>
            <w:tcW w:w="339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0646F72E" w14:textId="47F03198"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Análisis de carga de trabajo y factibilidad de asignación definitiva de la plaza de Auxiliar de Servicios Generales compartida entre el Juzgado de Violencia del I Circuito Judicial San José y el Juzgado de Niñez y Adolescencia.</w:t>
            </w:r>
          </w:p>
        </w:tc>
        <w:tc>
          <w:tcPr>
            <w:tcW w:w="106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6B85597A" w14:textId="03619A75"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Progreso 90% en revisión</w:t>
            </w:r>
            <w:r>
              <w:rPr>
                <w:rFonts w:ascii="Calibri" w:eastAsia="Calibri" w:hAnsi="Calibri" w:cs="Calibri"/>
                <w:color w:val="000000"/>
                <w:kern w:val="24"/>
                <w:sz w:val="18"/>
                <w:szCs w:val="18"/>
                <w:lang w:val="es-ES" w:eastAsia="es-CR"/>
              </w:rPr>
              <w:t>.</w:t>
            </w:r>
          </w:p>
        </w:tc>
      </w:tr>
      <w:tr w:rsidR="00F41178" w:rsidRPr="00F41178" w14:paraId="6AC1F396" w14:textId="77777777" w:rsidTr="00612E7C">
        <w:trPr>
          <w:trHeight w:val="379"/>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5FD80C86"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Calibri" w:hAnsi="Calibri" w:cs="Calibri"/>
                <w:b/>
                <w:bCs/>
                <w:color w:val="FFFFFF"/>
                <w:kern w:val="24"/>
                <w:sz w:val="21"/>
                <w:szCs w:val="21"/>
                <w:lang w:val="es-ES" w:eastAsia="es-CR"/>
              </w:rPr>
              <w:t>3</w:t>
            </w:r>
          </w:p>
        </w:tc>
        <w:tc>
          <w:tcPr>
            <w:tcW w:w="324"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7E656C62"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1680-2021</w:t>
            </w:r>
          </w:p>
        </w:tc>
        <w:tc>
          <w:tcPr>
            <w:tcW w:w="339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13FBE789"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 xml:space="preserve">Estudio de factibilidad de creación Juzgado Especializado para atender las apelaciones de asuntos en segunda instancia (Pensiones Alimentarias). </w:t>
            </w:r>
          </w:p>
        </w:tc>
        <w:tc>
          <w:tcPr>
            <w:tcW w:w="1067" w:type="pct"/>
            <w:tcBorders>
              <w:top w:val="single" w:sz="8"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hideMark/>
          </w:tcPr>
          <w:p w14:paraId="41EE3708" w14:textId="56822359"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 xml:space="preserve">Listo-oficio 1122-PLA-MI(NPL)-2022. </w:t>
            </w:r>
            <w:r w:rsidR="00110E4A" w:rsidRPr="00F41178">
              <w:rPr>
                <w:rFonts w:ascii="Calibri" w:eastAsia="Calibri" w:hAnsi="Calibri" w:cs="Calibri"/>
                <w:color w:val="000000"/>
                <w:kern w:val="24"/>
                <w:sz w:val="18"/>
                <w:szCs w:val="18"/>
                <w:lang w:val="es-ES" w:eastAsia="es-CR"/>
              </w:rPr>
              <w:t>P</w:t>
            </w:r>
            <w:r w:rsidRPr="00F41178">
              <w:rPr>
                <w:rFonts w:ascii="Calibri" w:eastAsia="Calibri" w:hAnsi="Calibri" w:cs="Calibri"/>
                <w:color w:val="000000"/>
                <w:kern w:val="24"/>
                <w:sz w:val="18"/>
                <w:szCs w:val="18"/>
                <w:lang w:val="es-ES" w:eastAsia="es-CR"/>
              </w:rPr>
              <w:t xml:space="preserve">ropuesta Juzg Apelaciones de PA. </w:t>
            </w:r>
          </w:p>
        </w:tc>
      </w:tr>
      <w:tr w:rsidR="00F41178" w:rsidRPr="00F41178" w14:paraId="247E105A" w14:textId="77777777" w:rsidTr="00612E7C">
        <w:trPr>
          <w:trHeight w:val="1056"/>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2DAABED9"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4</w:t>
            </w:r>
          </w:p>
        </w:tc>
        <w:tc>
          <w:tcPr>
            <w:tcW w:w="324"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0A686041"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1681-2021</w:t>
            </w:r>
          </w:p>
        </w:tc>
        <w:tc>
          <w:tcPr>
            <w:tcW w:w="339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614153C9"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 xml:space="preserve">Revisión general de competencias actuales en materia de Familia  a partir de los cambios de la ley 9747 y las propuestas de cambio planteadas por el Juez Gestor en la materia (crear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asuntos de Trabajo de Paraíso se vean en Cartago y se libere a la plaza del Contravencional).  Competencia Monteverde. </w:t>
            </w:r>
          </w:p>
        </w:tc>
        <w:tc>
          <w:tcPr>
            <w:tcW w:w="106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22382C60" w14:textId="65BC49A1"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 xml:space="preserve">Progreso Paraíso está en revisión de la </w:t>
            </w:r>
            <w:r>
              <w:rPr>
                <w:rFonts w:ascii="Calibri" w:eastAsia="Calibri" w:hAnsi="Calibri" w:cs="Calibri"/>
                <w:color w:val="000000"/>
                <w:kern w:val="24"/>
                <w:sz w:val="18"/>
                <w:szCs w:val="18"/>
                <w:lang w:val="es-ES" w:eastAsia="es-CR"/>
              </w:rPr>
              <w:t>D</w:t>
            </w:r>
            <w:r w:rsidRPr="00F41178">
              <w:rPr>
                <w:rFonts w:ascii="Calibri" w:eastAsia="Calibri" w:hAnsi="Calibri" w:cs="Calibri"/>
                <w:color w:val="000000"/>
                <w:kern w:val="24"/>
                <w:sz w:val="18"/>
                <w:szCs w:val="18"/>
                <w:lang w:val="es-ES" w:eastAsia="es-CR"/>
              </w:rPr>
              <w:t>irección.</w:t>
            </w:r>
          </w:p>
          <w:p w14:paraId="600B16FF" w14:textId="526F1C5F"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Progreso 90% en revisión</w:t>
            </w:r>
            <w:r>
              <w:rPr>
                <w:rFonts w:ascii="Calibri" w:eastAsia="Calibri" w:hAnsi="Calibri" w:cs="Calibri"/>
                <w:color w:val="000000"/>
                <w:kern w:val="24"/>
                <w:sz w:val="18"/>
                <w:szCs w:val="18"/>
                <w:lang w:val="es-ES" w:eastAsia="es-CR"/>
              </w:rPr>
              <w:t>.</w:t>
            </w:r>
          </w:p>
        </w:tc>
      </w:tr>
      <w:tr w:rsidR="00F41178" w:rsidRPr="00F41178" w14:paraId="1B99881D" w14:textId="77777777" w:rsidTr="00612E7C">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13460CC3"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5</w:t>
            </w:r>
          </w:p>
        </w:tc>
        <w:tc>
          <w:tcPr>
            <w:tcW w:w="324"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016453EF"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1689-2021</w:t>
            </w:r>
          </w:p>
        </w:tc>
        <w:tc>
          <w:tcPr>
            <w:tcW w:w="339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00F4A90E"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Análisis competencia actual del Juzgado de Niñez y Adolescencia, respecto casos de Pérez Zeledón</w:t>
            </w:r>
          </w:p>
        </w:tc>
        <w:tc>
          <w:tcPr>
            <w:tcW w:w="1067" w:type="pct"/>
            <w:tcBorders>
              <w:top w:val="single" w:sz="8"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hideMark/>
          </w:tcPr>
          <w:p w14:paraId="45063E87" w14:textId="0BA04640"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Listo. Oficio 314-PLA-RH-MI-2022. Se va a retomar oficio adicional del Juzg. Niñez</w:t>
            </w:r>
            <w:r>
              <w:rPr>
                <w:rFonts w:ascii="Calibri" w:eastAsia="Calibri" w:hAnsi="Calibri" w:cs="Calibri"/>
                <w:color w:val="000000"/>
                <w:kern w:val="24"/>
                <w:sz w:val="18"/>
                <w:szCs w:val="18"/>
                <w:lang w:val="es-ES" w:eastAsia="es-CR"/>
              </w:rPr>
              <w:t>.</w:t>
            </w:r>
          </w:p>
        </w:tc>
      </w:tr>
      <w:tr w:rsidR="00F41178" w:rsidRPr="00F41178" w14:paraId="74D7B138" w14:textId="77777777" w:rsidTr="00612E7C">
        <w:trPr>
          <w:trHeight w:val="28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6C077B34"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6</w:t>
            </w:r>
          </w:p>
        </w:tc>
        <w:tc>
          <w:tcPr>
            <w:tcW w:w="324"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760E5C58"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1682-2021</w:t>
            </w:r>
          </w:p>
        </w:tc>
        <w:tc>
          <w:tcPr>
            <w:tcW w:w="339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1FF98FE3"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Análisis de cuota de audiencias para personas juzgadoras de Familia</w:t>
            </w:r>
          </w:p>
        </w:tc>
        <w:tc>
          <w:tcPr>
            <w:tcW w:w="106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4411AAF1" w14:textId="1EB3C1A5"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Progreso 90%</w:t>
            </w:r>
            <w:r>
              <w:rPr>
                <w:rFonts w:ascii="Calibri" w:eastAsia="Calibri" w:hAnsi="Calibri" w:cs="Calibri"/>
                <w:color w:val="000000"/>
                <w:kern w:val="24"/>
                <w:sz w:val="18"/>
                <w:szCs w:val="18"/>
                <w:lang w:val="es-ES" w:eastAsia="es-CR"/>
              </w:rPr>
              <w:t>.</w:t>
            </w:r>
          </w:p>
        </w:tc>
      </w:tr>
      <w:tr w:rsidR="00F41178" w:rsidRPr="00F41178" w14:paraId="0AF1D9FD" w14:textId="77777777" w:rsidTr="00612E7C">
        <w:trPr>
          <w:trHeight w:val="56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11B6B11A"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7</w:t>
            </w:r>
          </w:p>
        </w:tc>
        <w:tc>
          <w:tcPr>
            <w:tcW w:w="324"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28B4DA62"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1683-2021</w:t>
            </w:r>
          </w:p>
        </w:tc>
        <w:tc>
          <w:tcPr>
            <w:tcW w:w="339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3D2AB453"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 xml:space="preserve">Análisis de carga de trabajo y necesidad de incluir en estructura ordinaria plazas supernumerarias en el Juzgado de Pensiones del Segundo Circuito Judicial de San José (revisión necesidad de 3 plazas de audiencias tempranas). </w:t>
            </w:r>
          </w:p>
        </w:tc>
        <w:tc>
          <w:tcPr>
            <w:tcW w:w="1067" w:type="pct"/>
            <w:tcBorders>
              <w:top w:val="single" w:sz="8"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hideMark/>
          </w:tcPr>
          <w:p w14:paraId="2A549C03" w14:textId="711899DA"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Listo, oficio 1236-PLA-MI(NPL)-2022</w:t>
            </w:r>
            <w:r>
              <w:rPr>
                <w:rFonts w:ascii="Calibri" w:eastAsia="Calibri" w:hAnsi="Calibri" w:cs="Calibri"/>
                <w:color w:val="000000"/>
                <w:kern w:val="24"/>
                <w:sz w:val="18"/>
                <w:szCs w:val="18"/>
                <w:lang w:val="es-ES" w:eastAsia="es-CR"/>
              </w:rPr>
              <w:t>.</w:t>
            </w:r>
          </w:p>
        </w:tc>
      </w:tr>
      <w:tr w:rsidR="00F41178" w:rsidRPr="00F41178" w14:paraId="04F840FC" w14:textId="77777777" w:rsidTr="00612E7C">
        <w:trPr>
          <w:trHeight w:val="56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7B44698B"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8</w:t>
            </w:r>
          </w:p>
        </w:tc>
        <w:tc>
          <w:tcPr>
            <w:tcW w:w="324"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0A91E0E7"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1684-2021</w:t>
            </w:r>
          </w:p>
        </w:tc>
        <w:tc>
          <w:tcPr>
            <w:tcW w:w="339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196DA482"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Factibilidad de asignar definitivamente plaza de Auxiliar de Servicios Generales actualmente compartida entre el Juzgado Civil y Trabajo y el Juzgado de Familia y Violencia de Cañas</w:t>
            </w:r>
          </w:p>
        </w:tc>
        <w:tc>
          <w:tcPr>
            <w:tcW w:w="1067" w:type="pct"/>
            <w:tcBorders>
              <w:top w:val="single" w:sz="8"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hideMark/>
          </w:tcPr>
          <w:p w14:paraId="1E4CD79C" w14:textId="57D321E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Listo, oficio 28-PLA-MI(NPL)-2023</w:t>
            </w:r>
            <w:r>
              <w:rPr>
                <w:rFonts w:ascii="Calibri" w:eastAsia="Calibri" w:hAnsi="Calibri" w:cs="Calibri"/>
                <w:color w:val="000000"/>
                <w:kern w:val="24"/>
                <w:sz w:val="18"/>
                <w:szCs w:val="18"/>
                <w:lang w:val="es-ES" w:eastAsia="es-CR"/>
              </w:rPr>
              <w:t>.</w:t>
            </w:r>
          </w:p>
        </w:tc>
      </w:tr>
      <w:tr w:rsidR="00F41178" w:rsidRPr="00F41178" w14:paraId="3AA5B6EB" w14:textId="77777777" w:rsidTr="00612E7C">
        <w:trPr>
          <w:trHeight w:val="56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42E1B7B2"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9</w:t>
            </w:r>
          </w:p>
        </w:tc>
        <w:tc>
          <w:tcPr>
            <w:tcW w:w="324"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685111AF"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1685-2021</w:t>
            </w:r>
          </w:p>
        </w:tc>
        <w:tc>
          <w:tcPr>
            <w:tcW w:w="339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0920679B"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 xml:space="preserve">Factibilidad de asignar definitivamente plaza de Auxiliar de Servicios Generales actualmente compartida entre el Juzgado Contravencional y Juzgado de Pensiones Alimentarias de Sarapiquí. </w:t>
            </w:r>
          </w:p>
        </w:tc>
        <w:tc>
          <w:tcPr>
            <w:tcW w:w="1067" w:type="pct"/>
            <w:tcBorders>
              <w:top w:val="single" w:sz="8"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hideMark/>
          </w:tcPr>
          <w:p w14:paraId="3B33508B" w14:textId="59C86F5C"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Listo. Ya implementado</w:t>
            </w:r>
            <w:r>
              <w:rPr>
                <w:rFonts w:ascii="Calibri" w:eastAsia="Calibri" w:hAnsi="Calibri" w:cs="Calibri"/>
                <w:color w:val="000000"/>
                <w:kern w:val="24"/>
                <w:sz w:val="18"/>
                <w:szCs w:val="18"/>
                <w:lang w:val="es-ES" w:eastAsia="es-CR"/>
              </w:rPr>
              <w:t>.</w:t>
            </w:r>
          </w:p>
        </w:tc>
      </w:tr>
      <w:tr w:rsidR="00F41178" w:rsidRPr="00F41178" w14:paraId="18EEEB2F" w14:textId="77777777" w:rsidTr="00612E7C">
        <w:trPr>
          <w:trHeight w:val="56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026727B9"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10</w:t>
            </w:r>
          </w:p>
        </w:tc>
        <w:tc>
          <w:tcPr>
            <w:tcW w:w="324"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4A6B8939"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1686-2021</w:t>
            </w:r>
          </w:p>
        </w:tc>
        <w:tc>
          <w:tcPr>
            <w:tcW w:w="339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1A7C1F36"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 xml:space="preserve">Análisis de carga de trabajo y factibilidad de asignación definitiva de la plaza de persona juzgadora actualmente compartida entre los Juzgados Contravencionales de Golfito y Corredores. </w:t>
            </w:r>
          </w:p>
        </w:tc>
        <w:tc>
          <w:tcPr>
            <w:tcW w:w="1067" w:type="pct"/>
            <w:tcBorders>
              <w:top w:val="single" w:sz="8" w:space="0" w:color="FFFFFF"/>
              <w:left w:val="single" w:sz="8" w:space="0" w:color="FFFFFF"/>
              <w:bottom w:val="single" w:sz="8" w:space="0" w:color="FFFFFF"/>
              <w:right w:val="single" w:sz="8" w:space="0" w:color="FFFFFF"/>
            </w:tcBorders>
            <w:shd w:val="clear" w:color="auto" w:fill="DAE3F3"/>
            <w:tcMar>
              <w:top w:w="15" w:type="dxa"/>
              <w:left w:w="20" w:type="dxa"/>
              <w:bottom w:w="0" w:type="dxa"/>
              <w:right w:w="20" w:type="dxa"/>
            </w:tcMar>
            <w:vAlign w:val="center"/>
            <w:hideMark/>
          </w:tcPr>
          <w:p w14:paraId="26C61A62" w14:textId="79651175"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Listo. Informe en consulta 360-PLA-MI-2022 y actualmente en revisión 90% en revisión el definitivo</w:t>
            </w:r>
            <w:r>
              <w:rPr>
                <w:rFonts w:ascii="Calibri" w:eastAsia="Calibri" w:hAnsi="Calibri" w:cs="Calibri"/>
                <w:color w:val="000000"/>
                <w:kern w:val="24"/>
                <w:sz w:val="18"/>
                <w:szCs w:val="18"/>
                <w:lang w:val="es-ES" w:eastAsia="es-CR"/>
              </w:rPr>
              <w:t>.</w:t>
            </w:r>
          </w:p>
        </w:tc>
      </w:tr>
      <w:tr w:rsidR="00F41178" w:rsidRPr="00F41178" w14:paraId="2C6101EC" w14:textId="77777777" w:rsidTr="00612E7C">
        <w:trPr>
          <w:trHeight w:val="1122"/>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20C12BCA"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11</w:t>
            </w:r>
          </w:p>
        </w:tc>
        <w:tc>
          <w:tcPr>
            <w:tcW w:w="324"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2DB9A353"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1688-2021</w:t>
            </w:r>
          </w:p>
        </w:tc>
        <w:tc>
          <w:tcPr>
            <w:tcW w:w="339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45BB70CF"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Análisis de carga de trabajo a partir hallazgos en los oficios de estructuras en las siguientes oficinas:   Juzgado Contravencional de Turrialba, Juzgado de Pensiones de Nicoya, Juzgado Contravencional de Alajuelita, Juzgado Contravencional de Corredores, Juzgado Contravencional de Santa Ana, Juzgado Contravencional de Palmares y Juzgado Contravencional de San Ramón.</w:t>
            </w:r>
          </w:p>
        </w:tc>
        <w:tc>
          <w:tcPr>
            <w:tcW w:w="106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42E37DE1" w14:textId="355BAB11"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Progreso 90% en revisión. Informe de competencias</w:t>
            </w:r>
            <w:r>
              <w:rPr>
                <w:rFonts w:ascii="Calibri" w:eastAsia="Calibri" w:hAnsi="Calibri" w:cs="Calibri"/>
                <w:color w:val="000000"/>
                <w:kern w:val="24"/>
                <w:sz w:val="18"/>
                <w:szCs w:val="18"/>
                <w:lang w:val="es-ES" w:eastAsia="es-CR"/>
              </w:rPr>
              <w:t>.</w:t>
            </w:r>
          </w:p>
        </w:tc>
      </w:tr>
      <w:tr w:rsidR="00F41178" w:rsidRPr="00F41178" w14:paraId="46E63CDA" w14:textId="77777777" w:rsidTr="00612E7C">
        <w:trPr>
          <w:trHeight w:val="387"/>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209384C4"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12</w:t>
            </w:r>
          </w:p>
        </w:tc>
        <w:tc>
          <w:tcPr>
            <w:tcW w:w="324"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5659185C"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1690-2021</w:t>
            </w:r>
          </w:p>
        </w:tc>
        <w:tc>
          <w:tcPr>
            <w:tcW w:w="339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3308745D"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Despacho Modelo de Violencia Doméstica</w:t>
            </w:r>
          </w:p>
        </w:tc>
        <w:tc>
          <w:tcPr>
            <w:tcW w:w="1067" w:type="pct"/>
            <w:tcBorders>
              <w:top w:val="single" w:sz="8"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hideMark/>
          </w:tcPr>
          <w:p w14:paraId="6664DFAF" w14:textId="5AC4D832"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 xml:space="preserve">Listo, oficio </w:t>
            </w:r>
            <w:r w:rsidRPr="00F41178">
              <w:rPr>
                <w:rFonts w:ascii="Calibri" w:eastAsia="Times New Roman" w:hAnsi="Calibri" w:cs="Calibri"/>
                <w:color w:val="000000"/>
                <w:kern w:val="24"/>
                <w:sz w:val="18"/>
                <w:szCs w:val="18"/>
                <w:lang w:eastAsia="es-CR"/>
              </w:rPr>
              <w:t>1170-PLA-MI(NPL)-2022 aproba</w:t>
            </w:r>
            <w:r w:rsidR="0009019B">
              <w:rPr>
                <w:rFonts w:ascii="Calibri" w:eastAsia="Times New Roman" w:hAnsi="Calibri" w:cs="Calibri"/>
                <w:color w:val="000000"/>
                <w:kern w:val="24"/>
                <w:sz w:val="18"/>
                <w:szCs w:val="18"/>
                <w:lang w:eastAsia="es-CR"/>
              </w:rPr>
              <w:t xml:space="preserve">do </w:t>
            </w:r>
            <w:r w:rsidR="00B93F2E">
              <w:rPr>
                <w:rFonts w:ascii="Calibri" w:eastAsia="Times New Roman" w:hAnsi="Calibri" w:cs="Calibri"/>
                <w:color w:val="000000"/>
                <w:kern w:val="24"/>
                <w:sz w:val="18"/>
                <w:szCs w:val="18"/>
                <w:lang w:eastAsia="es-CR"/>
              </w:rPr>
              <w:t xml:space="preserve">por el Consejo Superior, sesión </w:t>
            </w:r>
            <w:r w:rsidR="00961314">
              <w:rPr>
                <w:rFonts w:ascii="Calibri" w:eastAsia="Times New Roman" w:hAnsi="Calibri" w:cs="Calibri"/>
                <w:color w:val="000000"/>
                <w:kern w:val="24"/>
                <w:sz w:val="18"/>
                <w:szCs w:val="18"/>
                <w:lang w:eastAsia="es-CR"/>
              </w:rPr>
              <w:t>15</w:t>
            </w:r>
            <w:r w:rsidR="009F719D">
              <w:rPr>
                <w:rFonts w:ascii="Calibri" w:eastAsia="Times New Roman" w:hAnsi="Calibri" w:cs="Calibri"/>
                <w:color w:val="000000"/>
                <w:kern w:val="24"/>
                <w:sz w:val="18"/>
                <w:szCs w:val="18"/>
                <w:lang w:eastAsia="es-CR"/>
              </w:rPr>
              <w:t xml:space="preserve">-2023 </w:t>
            </w:r>
            <w:r w:rsidR="00B93F2E">
              <w:rPr>
                <w:rFonts w:ascii="Calibri" w:eastAsia="Times New Roman" w:hAnsi="Calibri" w:cs="Calibri"/>
                <w:color w:val="000000"/>
                <w:kern w:val="24"/>
                <w:sz w:val="18"/>
                <w:szCs w:val="18"/>
                <w:lang w:eastAsia="es-CR"/>
              </w:rPr>
              <w:t>del 23 de febrero de 2023, artículo XXX</w:t>
            </w:r>
            <w:r>
              <w:rPr>
                <w:rFonts w:ascii="Calibri" w:eastAsia="Times New Roman" w:hAnsi="Calibri" w:cs="Calibri"/>
                <w:color w:val="000000"/>
                <w:kern w:val="24"/>
                <w:sz w:val="18"/>
                <w:szCs w:val="18"/>
                <w:lang w:eastAsia="es-CR"/>
              </w:rPr>
              <w:t>.</w:t>
            </w:r>
            <w:r w:rsidR="00CD234D">
              <w:rPr>
                <w:rFonts w:ascii="Calibri" w:eastAsia="Times New Roman" w:hAnsi="Calibri" w:cs="Calibri"/>
                <w:color w:val="000000"/>
                <w:kern w:val="24"/>
                <w:sz w:val="18"/>
                <w:szCs w:val="18"/>
                <w:lang w:eastAsia="es-CR"/>
              </w:rPr>
              <w:t>I</w:t>
            </w:r>
          </w:p>
        </w:tc>
      </w:tr>
      <w:tr w:rsidR="00F41178" w:rsidRPr="00F41178" w14:paraId="33CCA025" w14:textId="77777777" w:rsidTr="00612E7C">
        <w:trPr>
          <w:trHeight w:val="28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09B94FD7"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Times New Roman" w:hAnsi="Calibri" w:cs="Calibri"/>
                <w:b/>
                <w:bCs/>
                <w:color w:val="FFFFFF"/>
                <w:kern w:val="24"/>
                <w:sz w:val="21"/>
                <w:szCs w:val="21"/>
                <w:lang w:eastAsia="es-CR"/>
              </w:rPr>
              <w:t>13</w:t>
            </w:r>
          </w:p>
        </w:tc>
        <w:tc>
          <w:tcPr>
            <w:tcW w:w="324"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25389A03"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Times New Roman" w:hAnsi="Calibri" w:cs="Calibri"/>
                <w:color w:val="000000"/>
                <w:kern w:val="24"/>
                <w:sz w:val="21"/>
                <w:szCs w:val="21"/>
                <w:lang w:eastAsia="es-CR"/>
              </w:rPr>
              <w:t>1916-2021</w:t>
            </w:r>
          </w:p>
        </w:tc>
        <w:tc>
          <w:tcPr>
            <w:tcW w:w="339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077933B2"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Análisis del Juzgado de Niñez y Adolescencia, el tema de valorar la especialización a lo interno de alguien en adopciones</w:t>
            </w:r>
          </w:p>
        </w:tc>
        <w:tc>
          <w:tcPr>
            <w:tcW w:w="106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4FC0D588" w14:textId="0B5783F9"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Progreso 90%. Diagnóstico</w:t>
            </w:r>
            <w:r>
              <w:rPr>
                <w:rFonts w:ascii="Calibri" w:eastAsia="Calibri" w:hAnsi="Calibri" w:cs="Calibri"/>
                <w:color w:val="000000"/>
                <w:kern w:val="24"/>
                <w:sz w:val="18"/>
                <w:szCs w:val="18"/>
                <w:lang w:val="es-ES" w:eastAsia="es-CR"/>
              </w:rPr>
              <w:t xml:space="preserve">, </w:t>
            </w:r>
            <w:r w:rsidRPr="00F41178">
              <w:rPr>
                <w:rFonts w:ascii="Calibri" w:eastAsia="Calibri" w:hAnsi="Calibri" w:cs="Calibri"/>
                <w:color w:val="000000"/>
                <w:kern w:val="24"/>
                <w:sz w:val="18"/>
                <w:szCs w:val="18"/>
                <w:lang w:val="es-ES" w:eastAsia="es-CR"/>
              </w:rPr>
              <w:t>muestreo y entrega de resultados listo</w:t>
            </w:r>
            <w:r>
              <w:rPr>
                <w:rFonts w:ascii="Calibri" w:eastAsia="Calibri" w:hAnsi="Calibri" w:cs="Calibri"/>
                <w:color w:val="000000"/>
                <w:kern w:val="24"/>
                <w:sz w:val="18"/>
                <w:szCs w:val="18"/>
                <w:lang w:val="es-ES" w:eastAsia="es-CR"/>
              </w:rPr>
              <w:t>.</w:t>
            </w:r>
          </w:p>
        </w:tc>
      </w:tr>
      <w:tr w:rsidR="00F41178" w:rsidRPr="00F41178" w14:paraId="7B1E7676" w14:textId="77777777" w:rsidTr="00612E7C">
        <w:trPr>
          <w:trHeight w:val="28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4C2867D5"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Calibri" w:hAnsi="Calibri" w:cs="Calibri"/>
                <w:b/>
                <w:bCs/>
                <w:color w:val="FFFFFF"/>
                <w:kern w:val="24"/>
                <w:sz w:val="21"/>
                <w:szCs w:val="21"/>
                <w:lang w:val="es-ES" w:eastAsia="es-CR"/>
              </w:rPr>
              <w:t>14</w:t>
            </w:r>
          </w:p>
        </w:tc>
        <w:tc>
          <w:tcPr>
            <w:tcW w:w="324"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45243FA7"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Calibri" w:hAnsi="Calibri" w:cs="Calibri"/>
                <w:color w:val="000000"/>
                <w:kern w:val="24"/>
                <w:sz w:val="21"/>
                <w:szCs w:val="21"/>
                <w:lang w:val="es-ES" w:eastAsia="es-CR"/>
              </w:rPr>
              <w:t>2146-2021</w:t>
            </w:r>
          </w:p>
        </w:tc>
        <w:tc>
          <w:tcPr>
            <w:tcW w:w="339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1AAACB61"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20"/>
                <w:szCs w:val="20"/>
                <w:lang w:val="es-ES" w:eastAsia="es-CR"/>
              </w:rPr>
              <w:t>Oficina Modelo PA con el CPF</w:t>
            </w:r>
          </w:p>
        </w:tc>
        <w:tc>
          <w:tcPr>
            <w:tcW w:w="1067" w:type="pct"/>
            <w:tcBorders>
              <w:top w:val="single" w:sz="8" w:space="0" w:color="FFFFFF"/>
              <w:left w:val="single" w:sz="8" w:space="0" w:color="FFFFFF"/>
              <w:bottom w:val="single" w:sz="8" w:space="0" w:color="FFFFFF"/>
              <w:right w:val="single" w:sz="8" w:space="0" w:color="FFFFFF"/>
            </w:tcBorders>
            <w:shd w:val="clear" w:color="auto" w:fill="E9EBF5"/>
            <w:tcMar>
              <w:top w:w="15" w:type="dxa"/>
              <w:left w:w="20" w:type="dxa"/>
              <w:bottom w:w="0" w:type="dxa"/>
              <w:right w:w="20" w:type="dxa"/>
            </w:tcMar>
            <w:vAlign w:val="center"/>
            <w:hideMark/>
          </w:tcPr>
          <w:p w14:paraId="2548F652" w14:textId="376EA546"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Progreso 90% en revisión</w:t>
            </w:r>
            <w:r>
              <w:rPr>
                <w:rFonts w:ascii="Calibri" w:eastAsia="Calibri" w:hAnsi="Calibri" w:cs="Calibri"/>
                <w:color w:val="000000"/>
                <w:kern w:val="24"/>
                <w:sz w:val="18"/>
                <w:szCs w:val="18"/>
                <w:lang w:val="es-ES" w:eastAsia="es-CR"/>
              </w:rPr>
              <w:t>.</w:t>
            </w:r>
          </w:p>
        </w:tc>
      </w:tr>
      <w:tr w:rsidR="00F41178" w:rsidRPr="00F41178" w14:paraId="1C019233" w14:textId="77777777" w:rsidTr="00612E7C">
        <w:trPr>
          <w:trHeight w:val="28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hideMark/>
          </w:tcPr>
          <w:p w14:paraId="5AB3826E" w14:textId="77777777" w:rsidR="00F41178" w:rsidRPr="00F41178" w:rsidRDefault="00F41178" w:rsidP="00F41178">
            <w:pPr>
              <w:spacing w:after="0" w:line="240" w:lineRule="auto"/>
              <w:jc w:val="center"/>
              <w:rPr>
                <w:rFonts w:ascii="Arial" w:eastAsia="Times New Roman" w:hAnsi="Arial" w:cs="Arial"/>
                <w:sz w:val="36"/>
                <w:szCs w:val="36"/>
                <w:lang w:eastAsia="es-CR"/>
              </w:rPr>
            </w:pPr>
            <w:r w:rsidRPr="00F41178">
              <w:rPr>
                <w:rFonts w:ascii="Calibri" w:eastAsia="Calibri" w:hAnsi="Calibri" w:cs="Calibri"/>
                <w:b/>
                <w:bCs/>
                <w:color w:val="FFFFFF"/>
                <w:kern w:val="24"/>
                <w:sz w:val="21"/>
                <w:szCs w:val="21"/>
                <w:lang w:val="es-ES" w:eastAsia="es-CR"/>
              </w:rPr>
              <w:t>15</w:t>
            </w:r>
          </w:p>
        </w:tc>
        <w:tc>
          <w:tcPr>
            <w:tcW w:w="324"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339F8FA7" w14:textId="77777777" w:rsidR="00F41178" w:rsidRPr="00F41178" w:rsidRDefault="00F41178" w:rsidP="00F41178">
            <w:pPr>
              <w:spacing w:after="0" w:line="240" w:lineRule="auto"/>
              <w:rPr>
                <w:rFonts w:ascii="Arial" w:eastAsia="Times New Roman" w:hAnsi="Arial" w:cs="Arial"/>
                <w:sz w:val="36"/>
                <w:szCs w:val="36"/>
                <w:lang w:eastAsia="es-CR"/>
              </w:rPr>
            </w:pPr>
            <w:r w:rsidRPr="00F41178">
              <w:rPr>
                <w:rFonts w:ascii="Calibri" w:eastAsia="Calibri" w:hAnsi="Calibri" w:cs="Calibri"/>
                <w:color w:val="000000"/>
                <w:kern w:val="24"/>
                <w:sz w:val="21"/>
                <w:szCs w:val="21"/>
                <w:lang w:val="es-ES" w:eastAsia="es-CR"/>
              </w:rPr>
              <w:t>933-22</w:t>
            </w:r>
          </w:p>
        </w:tc>
        <w:tc>
          <w:tcPr>
            <w:tcW w:w="339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hideMark/>
          </w:tcPr>
          <w:p w14:paraId="0B56BD68" w14:textId="7777777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Times New Roman" w:hAnsi="Calibri" w:cs="Calibri"/>
                <w:color w:val="000000"/>
                <w:kern w:val="24"/>
                <w:sz w:val="20"/>
                <w:szCs w:val="20"/>
                <w:lang w:eastAsia="es-CR"/>
              </w:rPr>
              <w:t>Factibilidad de asignar definitivamente plaza de Auxiliar de Servicios Generales actualmente compartida entre el Juzgado Civil y Trabajo y el Juzgado de Familia y Violencia de Corredores</w:t>
            </w:r>
          </w:p>
        </w:tc>
        <w:tc>
          <w:tcPr>
            <w:tcW w:w="1067" w:type="pct"/>
            <w:tcBorders>
              <w:top w:val="single" w:sz="8"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hideMark/>
          </w:tcPr>
          <w:p w14:paraId="19ACFA0D" w14:textId="2AC742A7" w:rsidR="00F41178" w:rsidRPr="00F41178" w:rsidRDefault="00F41178" w:rsidP="00F41178">
            <w:pPr>
              <w:spacing w:after="0" w:line="240" w:lineRule="auto"/>
              <w:jc w:val="both"/>
              <w:rPr>
                <w:rFonts w:ascii="Arial" w:eastAsia="Times New Roman" w:hAnsi="Arial" w:cs="Arial"/>
                <w:sz w:val="36"/>
                <w:szCs w:val="36"/>
                <w:lang w:eastAsia="es-CR"/>
              </w:rPr>
            </w:pPr>
            <w:r w:rsidRPr="00F41178">
              <w:rPr>
                <w:rFonts w:ascii="Calibri" w:eastAsia="Calibri" w:hAnsi="Calibri" w:cs="Calibri"/>
                <w:color w:val="000000"/>
                <w:kern w:val="24"/>
                <w:sz w:val="18"/>
                <w:szCs w:val="18"/>
                <w:lang w:val="es-ES" w:eastAsia="es-CR"/>
              </w:rPr>
              <w:t xml:space="preserve">Listo. Oficio 725-PLA-MI-2022 en consulta y el </w:t>
            </w:r>
            <w:r w:rsidRPr="00F41178">
              <w:rPr>
                <w:rFonts w:ascii="Calibri" w:eastAsia="Calibri" w:hAnsi="Calibri" w:cs="Calibri"/>
                <w:b/>
                <w:bCs/>
                <w:color w:val="000000"/>
                <w:kern w:val="24"/>
                <w:sz w:val="18"/>
                <w:szCs w:val="18"/>
                <w:lang w:val="es-ES" w:eastAsia="es-CR"/>
              </w:rPr>
              <w:t xml:space="preserve">857-PLA-MI(NPL)-2022 </w:t>
            </w:r>
            <w:r w:rsidRPr="00F41178">
              <w:rPr>
                <w:rFonts w:ascii="Calibri" w:eastAsia="Calibri" w:hAnsi="Calibri" w:cs="Calibri"/>
                <w:color w:val="000000"/>
                <w:kern w:val="24"/>
                <w:sz w:val="18"/>
                <w:szCs w:val="18"/>
                <w:lang w:val="es-ES" w:eastAsia="es-CR"/>
              </w:rPr>
              <w:t>definitivo</w:t>
            </w:r>
            <w:r>
              <w:rPr>
                <w:rFonts w:ascii="Calibri" w:eastAsia="Calibri" w:hAnsi="Calibri" w:cs="Calibri"/>
                <w:color w:val="000000"/>
                <w:kern w:val="24"/>
                <w:sz w:val="18"/>
                <w:szCs w:val="18"/>
                <w:lang w:val="es-ES" w:eastAsia="es-CR"/>
              </w:rPr>
              <w:t>.</w:t>
            </w:r>
          </w:p>
        </w:tc>
      </w:tr>
      <w:tr w:rsidR="007856BA" w:rsidRPr="00F41178" w14:paraId="3951EA3E" w14:textId="77777777" w:rsidTr="00612E7C">
        <w:trPr>
          <w:trHeight w:val="281"/>
        </w:trPr>
        <w:tc>
          <w:tcPr>
            <w:tcW w:w="212" w:type="pct"/>
            <w:tcBorders>
              <w:top w:val="single" w:sz="8" w:space="0" w:color="FFFFFF"/>
              <w:left w:val="single" w:sz="8" w:space="0" w:color="FFFFFF"/>
              <w:bottom w:val="single" w:sz="8" w:space="0" w:color="FFFFFF"/>
              <w:right w:val="single" w:sz="8" w:space="0" w:color="FFFFFF"/>
            </w:tcBorders>
            <w:shd w:val="clear" w:color="auto" w:fill="4472C4"/>
            <w:tcMar>
              <w:top w:w="15" w:type="dxa"/>
              <w:left w:w="20" w:type="dxa"/>
              <w:bottom w:w="0" w:type="dxa"/>
              <w:right w:w="20" w:type="dxa"/>
            </w:tcMar>
            <w:vAlign w:val="center"/>
          </w:tcPr>
          <w:p w14:paraId="12C1F86C" w14:textId="4C992F12" w:rsidR="007856BA" w:rsidRPr="00F41178" w:rsidRDefault="007856BA" w:rsidP="00F41178">
            <w:pPr>
              <w:spacing w:after="0" w:line="240" w:lineRule="auto"/>
              <w:jc w:val="center"/>
              <w:rPr>
                <w:rFonts w:ascii="Calibri" w:eastAsia="Calibri" w:hAnsi="Calibri" w:cs="Calibri"/>
                <w:b/>
                <w:bCs/>
                <w:color w:val="FFFFFF"/>
                <w:kern w:val="24"/>
                <w:sz w:val="21"/>
                <w:szCs w:val="21"/>
                <w:lang w:val="es-ES" w:eastAsia="es-CR"/>
              </w:rPr>
            </w:pPr>
            <w:r>
              <w:rPr>
                <w:rFonts w:ascii="Calibri" w:eastAsia="Calibri" w:hAnsi="Calibri" w:cs="Calibri"/>
                <w:b/>
                <w:bCs/>
                <w:color w:val="FFFFFF"/>
                <w:kern w:val="24"/>
                <w:sz w:val="21"/>
                <w:szCs w:val="21"/>
                <w:lang w:val="es-ES" w:eastAsia="es-CR"/>
              </w:rPr>
              <w:t>16</w:t>
            </w:r>
          </w:p>
        </w:tc>
        <w:tc>
          <w:tcPr>
            <w:tcW w:w="324"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tcPr>
          <w:p w14:paraId="3663F23E" w14:textId="2EE33854" w:rsidR="007856BA" w:rsidRPr="00F41178" w:rsidRDefault="007856BA" w:rsidP="00F41178">
            <w:pPr>
              <w:spacing w:after="0" w:line="240" w:lineRule="auto"/>
              <w:rPr>
                <w:rFonts w:ascii="Calibri" w:eastAsia="Calibri" w:hAnsi="Calibri" w:cs="Calibri"/>
                <w:color w:val="000000"/>
                <w:kern w:val="24"/>
                <w:sz w:val="21"/>
                <w:szCs w:val="21"/>
                <w:lang w:val="es-ES" w:eastAsia="es-CR"/>
              </w:rPr>
            </w:pPr>
            <w:r>
              <w:rPr>
                <w:rFonts w:ascii="Calibri" w:eastAsia="Calibri" w:hAnsi="Calibri" w:cs="Calibri"/>
                <w:color w:val="000000"/>
                <w:kern w:val="24"/>
                <w:sz w:val="21"/>
                <w:szCs w:val="21"/>
                <w:lang w:val="es-ES" w:eastAsia="es-CR"/>
              </w:rPr>
              <w:t>1746-2020</w:t>
            </w:r>
          </w:p>
        </w:tc>
        <w:tc>
          <w:tcPr>
            <w:tcW w:w="3397" w:type="pct"/>
            <w:tcBorders>
              <w:top w:val="single" w:sz="8" w:space="0" w:color="FFFFFF"/>
              <w:left w:val="single" w:sz="8" w:space="0" w:color="FFFFFF"/>
              <w:bottom w:val="single" w:sz="8" w:space="0" w:color="FFFFFF"/>
              <w:right w:val="single" w:sz="8" w:space="0" w:color="FFFFFF"/>
            </w:tcBorders>
            <w:shd w:val="clear" w:color="auto" w:fill="CFD5EA"/>
            <w:tcMar>
              <w:top w:w="15" w:type="dxa"/>
              <w:left w:w="20" w:type="dxa"/>
              <w:bottom w:w="0" w:type="dxa"/>
              <w:right w:w="20" w:type="dxa"/>
            </w:tcMar>
            <w:vAlign w:val="center"/>
          </w:tcPr>
          <w:p w14:paraId="33511867" w14:textId="753F885E" w:rsidR="007856BA" w:rsidRPr="00F41178" w:rsidRDefault="007856BA" w:rsidP="00F41178">
            <w:pPr>
              <w:spacing w:after="0" w:line="240" w:lineRule="auto"/>
              <w:jc w:val="both"/>
              <w:rPr>
                <w:rFonts w:ascii="Calibri" w:eastAsia="Times New Roman" w:hAnsi="Calibri" w:cs="Calibri"/>
                <w:color w:val="000000"/>
                <w:kern w:val="24"/>
                <w:sz w:val="20"/>
                <w:szCs w:val="20"/>
                <w:lang w:eastAsia="es-CR"/>
              </w:rPr>
            </w:pPr>
            <w:r>
              <w:rPr>
                <w:rFonts w:ascii="Calibri" w:eastAsia="Times New Roman" w:hAnsi="Calibri" w:cs="Calibri"/>
                <w:color w:val="000000"/>
                <w:kern w:val="24"/>
                <w:sz w:val="20"/>
                <w:szCs w:val="20"/>
                <w:lang w:eastAsia="es-CR"/>
              </w:rPr>
              <w:t>Informe de seguimiento del Tribunal de Familia</w:t>
            </w:r>
          </w:p>
        </w:tc>
        <w:tc>
          <w:tcPr>
            <w:tcW w:w="1067" w:type="pct"/>
            <w:tcBorders>
              <w:top w:val="single" w:sz="8" w:space="0" w:color="FFFFFF"/>
              <w:left w:val="single" w:sz="8" w:space="0" w:color="FFFFFF"/>
              <w:bottom w:val="single" w:sz="8" w:space="0" w:color="FFFFFF"/>
              <w:right w:val="single" w:sz="8" w:space="0" w:color="FFFFFF"/>
            </w:tcBorders>
            <w:shd w:val="clear" w:color="auto" w:fill="C5E0B4"/>
            <w:tcMar>
              <w:top w:w="15" w:type="dxa"/>
              <w:left w:w="20" w:type="dxa"/>
              <w:bottom w:w="0" w:type="dxa"/>
              <w:right w:w="20" w:type="dxa"/>
            </w:tcMar>
            <w:vAlign w:val="center"/>
          </w:tcPr>
          <w:p w14:paraId="49220621" w14:textId="7A568D0B" w:rsidR="007856BA" w:rsidRPr="00F41178" w:rsidRDefault="007856BA" w:rsidP="00F41178">
            <w:pPr>
              <w:spacing w:after="0" w:line="240" w:lineRule="auto"/>
              <w:jc w:val="both"/>
              <w:rPr>
                <w:rFonts w:ascii="Calibri" w:eastAsia="Calibri" w:hAnsi="Calibri" w:cs="Calibri"/>
                <w:color w:val="000000"/>
                <w:kern w:val="24"/>
                <w:sz w:val="18"/>
                <w:szCs w:val="18"/>
                <w:lang w:val="es-ES" w:eastAsia="es-CR"/>
              </w:rPr>
            </w:pPr>
            <w:r>
              <w:rPr>
                <w:rFonts w:ascii="Calibri" w:eastAsia="Calibri" w:hAnsi="Calibri" w:cs="Calibri"/>
                <w:color w:val="000000"/>
                <w:kern w:val="24"/>
                <w:sz w:val="18"/>
                <w:szCs w:val="18"/>
                <w:lang w:val="es-ES" w:eastAsia="es-CR"/>
              </w:rPr>
              <w:t>Listo, s</w:t>
            </w:r>
            <w:r w:rsidR="00187732">
              <w:rPr>
                <w:rFonts w:ascii="Calibri" w:eastAsia="Calibri" w:hAnsi="Calibri" w:cs="Calibri"/>
                <w:color w:val="000000"/>
                <w:kern w:val="24"/>
                <w:sz w:val="18"/>
                <w:szCs w:val="18"/>
                <w:lang w:val="es-ES" w:eastAsia="es-CR"/>
              </w:rPr>
              <w:t>e comunicaro</w:t>
            </w:r>
            <w:r>
              <w:rPr>
                <w:rFonts w:ascii="Calibri" w:eastAsia="Calibri" w:hAnsi="Calibri" w:cs="Calibri"/>
                <w:color w:val="000000"/>
                <w:kern w:val="24"/>
                <w:sz w:val="18"/>
                <w:szCs w:val="18"/>
                <w:lang w:val="es-ES" w:eastAsia="es-CR"/>
              </w:rPr>
              <w:t xml:space="preserve">n </w:t>
            </w:r>
            <w:r w:rsidR="00187732">
              <w:rPr>
                <w:rFonts w:ascii="Calibri" w:eastAsia="Calibri" w:hAnsi="Calibri" w:cs="Calibri"/>
                <w:color w:val="000000"/>
                <w:kern w:val="24"/>
                <w:sz w:val="18"/>
                <w:szCs w:val="18"/>
                <w:lang w:val="es-ES" w:eastAsia="es-CR"/>
              </w:rPr>
              <w:t>4 oficios de Trámite Rápido.</w:t>
            </w:r>
          </w:p>
        </w:tc>
      </w:tr>
    </w:tbl>
    <w:p w14:paraId="74E4E739" w14:textId="0C8760C8" w:rsidR="00F41178" w:rsidRDefault="00F41178" w:rsidP="0018633E">
      <w:pPr>
        <w:spacing w:after="0" w:line="276" w:lineRule="auto"/>
        <w:contextualSpacing/>
        <w:jc w:val="both"/>
        <w:rPr>
          <w:rFonts w:ascii="Book Antiqua" w:eastAsia="Calibri" w:hAnsi="Book Antiqua" w:cs="Arial"/>
          <w:color w:val="000000"/>
          <w:sz w:val="24"/>
          <w:szCs w:val="24"/>
          <w:lang w:eastAsia="es-CR"/>
        </w:rPr>
      </w:pPr>
    </w:p>
    <w:p w14:paraId="6649F9EA" w14:textId="4033550F" w:rsidR="0018633E" w:rsidRPr="0018633E" w:rsidRDefault="002A271D" w:rsidP="0018633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color w:val="000000"/>
          <w:sz w:val="24"/>
          <w:szCs w:val="24"/>
          <w:lang w:eastAsia="es-CR"/>
        </w:rPr>
        <w:t>También</w:t>
      </w:r>
      <w:r w:rsidR="0018633E" w:rsidRPr="0018633E">
        <w:rPr>
          <w:rFonts w:ascii="Book Antiqua" w:eastAsia="Calibri" w:hAnsi="Book Antiqua" w:cs="Arial"/>
          <w:color w:val="000000"/>
          <w:sz w:val="24"/>
          <w:szCs w:val="24"/>
          <w:lang w:eastAsia="es-CR"/>
        </w:rPr>
        <w:t xml:space="preserve"> se deberán analizar los Juzgados de Familia y proponer a Corte Plena la creación de </w:t>
      </w:r>
      <w:r w:rsidR="0018633E" w:rsidRPr="00065203">
        <w:rPr>
          <w:rFonts w:ascii="Book Antiqua" w:eastAsia="Calibri" w:hAnsi="Book Antiqua" w:cs="Arial"/>
          <w:color w:val="000000"/>
          <w:sz w:val="24"/>
          <w:szCs w:val="24"/>
          <w:lang w:eastAsia="es-CR"/>
        </w:rPr>
        <w:t>Juzgados de Familia por Ministerio de Ley</w:t>
      </w:r>
      <w:r w:rsidR="0018633E" w:rsidRPr="0018633E">
        <w:rPr>
          <w:rFonts w:ascii="Book Antiqua" w:eastAsia="Calibri" w:hAnsi="Book Antiqua" w:cs="Arial"/>
          <w:color w:val="000000"/>
          <w:sz w:val="24"/>
          <w:szCs w:val="24"/>
          <w:lang w:eastAsia="es-CR"/>
        </w:rPr>
        <w:t xml:space="preserve"> de conformidad con el artículo </w:t>
      </w:r>
      <w:r w:rsidR="0018633E" w:rsidRPr="0018633E">
        <w:rPr>
          <w:rFonts w:ascii="Book Antiqua" w:eastAsia="Calibri" w:hAnsi="Book Antiqua" w:cs="Arial"/>
          <w:sz w:val="24"/>
          <w:szCs w:val="24"/>
          <w:lang w:eastAsia="es-CR"/>
        </w:rPr>
        <w:t xml:space="preserve">119 bis de la Ley 9747. </w:t>
      </w:r>
      <w:r w:rsidR="0065534E" w:rsidRPr="001D0C10">
        <w:rPr>
          <w:rFonts w:ascii="Book Antiqua" w:eastAsia="Calibri" w:hAnsi="Book Antiqua" w:cs="Arial"/>
          <w:b/>
          <w:bCs/>
          <w:sz w:val="24"/>
          <w:szCs w:val="24"/>
          <w:lang w:eastAsia="es-CR"/>
        </w:rPr>
        <w:t>Referencia interna: 1681-21</w:t>
      </w:r>
    </w:p>
    <w:p w14:paraId="3F0563F8" w14:textId="77777777" w:rsidR="0018633E" w:rsidRPr="0018633E" w:rsidRDefault="0018633E" w:rsidP="0018633E">
      <w:pPr>
        <w:spacing w:after="0" w:line="276" w:lineRule="auto"/>
        <w:contextualSpacing/>
        <w:jc w:val="both"/>
        <w:rPr>
          <w:rFonts w:ascii="Book Antiqua" w:eastAsia="Calibri" w:hAnsi="Book Antiqua" w:cs="Arial"/>
          <w:sz w:val="24"/>
          <w:szCs w:val="24"/>
          <w:lang w:eastAsia="es-CR"/>
        </w:rPr>
      </w:pPr>
    </w:p>
    <w:p w14:paraId="6DB844C3" w14:textId="647C3CA2" w:rsidR="00D9192E" w:rsidRDefault="0018633E" w:rsidP="0018633E">
      <w:pPr>
        <w:spacing w:after="0" w:line="276" w:lineRule="auto"/>
        <w:contextualSpacing/>
        <w:jc w:val="both"/>
        <w:rPr>
          <w:rFonts w:ascii="Book Antiqua" w:eastAsia="Calibri" w:hAnsi="Book Antiqua" w:cs="Arial"/>
          <w:i/>
          <w:iCs/>
          <w:sz w:val="24"/>
          <w:szCs w:val="24"/>
          <w:lang w:eastAsia="es-CR"/>
        </w:rPr>
      </w:pPr>
      <w:r w:rsidRPr="0018633E">
        <w:rPr>
          <w:rFonts w:ascii="Book Antiqua" w:eastAsia="Calibri" w:hAnsi="Book Antiqua" w:cs="Arial"/>
          <w:sz w:val="24"/>
          <w:szCs w:val="24"/>
          <w:lang w:eastAsia="es-CR"/>
        </w:rPr>
        <w:t>Esta tarea consta en el cronograma del Proyecto 1374-CF-P01</w:t>
      </w:r>
      <w:r w:rsidRPr="0018633E">
        <w:rPr>
          <w:rFonts w:ascii="Book Antiqua" w:eastAsia="Calibri" w:hAnsi="Book Antiqua" w:cs="Arial"/>
          <w:i/>
          <w:iCs/>
          <w:sz w:val="24"/>
          <w:szCs w:val="24"/>
          <w:lang w:eastAsia="es-CR"/>
        </w:rPr>
        <w:t xml:space="preserve"> “Implementación del Código Procesal de Familia”</w:t>
      </w:r>
    </w:p>
    <w:p w14:paraId="106590AD" w14:textId="77777777" w:rsidR="007C091F" w:rsidRPr="0018633E" w:rsidRDefault="007C091F" w:rsidP="0018633E">
      <w:pPr>
        <w:spacing w:after="0" w:line="276" w:lineRule="auto"/>
        <w:contextualSpacing/>
        <w:jc w:val="both"/>
        <w:rPr>
          <w:rFonts w:ascii="Book Antiqua" w:eastAsia="Calibri" w:hAnsi="Book Antiqua" w:cs="Arial"/>
          <w:sz w:val="24"/>
          <w:szCs w:val="24"/>
          <w:lang w:eastAsia="es-CR"/>
        </w:rPr>
      </w:pPr>
    </w:p>
    <w:p w14:paraId="4A4EDDCC" w14:textId="77777777" w:rsidR="00220829" w:rsidRPr="0018633E" w:rsidRDefault="00220829" w:rsidP="0018633E">
      <w:pPr>
        <w:spacing w:after="0" w:line="276" w:lineRule="auto"/>
        <w:jc w:val="both"/>
        <w:rPr>
          <w:rFonts w:ascii="Book Antiqua" w:eastAsia="Calibri" w:hAnsi="Book Antiqua" w:cs="Arial"/>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3525"/>
        <w:gridCol w:w="1077"/>
        <w:gridCol w:w="1339"/>
        <w:gridCol w:w="1245"/>
        <w:gridCol w:w="1642"/>
      </w:tblGrid>
      <w:tr w:rsidR="0018633E" w:rsidRPr="0018633E" w14:paraId="6EB182C6" w14:textId="77777777" w:rsidTr="00306313">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569DDFE"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9762327"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2F6CC0"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A6BFCEE"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BD327F9"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 completado</w:t>
            </w:r>
          </w:p>
        </w:tc>
      </w:tr>
      <w:tr w:rsidR="0018633E" w:rsidRPr="0018633E" w14:paraId="5E8F179A" w14:textId="77777777" w:rsidTr="00306313">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F2E7EF"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B874FF"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6D24D2"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2A3905"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DA5F84"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0%</w:t>
            </w:r>
          </w:p>
        </w:tc>
      </w:tr>
    </w:tbl>
    <w:p w14:paraId="013CB751" w14:textId="77777777" w:rsidR="007C091F" w:rsidRDefault="007C091F" w:rsidP="0018633E">
      <w:pPr>
        <w:spacing w:after="0" w:line="276" w:lineRule="auto"/>
        <w:jc w:val="both"/>
        <w:rPr>
          <w:rFonts w:ascii="Book Antiqua" w:eastAsia="Calibri" w:hAnsi="Book Antiqua" w:cs="Arial"/>
          <w:sz w:val="24"/>
        </w:rPr>
      </w:pPr>
    </w:p>
    <w:p w14:paraId="5C6E8281" w14:textId="5CC288EE" w:rsidR="004069D9" w:rsidRDefault="0018633E" w:rsidP="0018633E">
      <w:pPr>
        <w:spacing w:after="0" w:line="276" w:lineRule="auto"/>
        <w:jc w:val="both"/>
        <w:rPr>
          <w:rFonts w:ascii="Book Antiqua" w:eastAsia="Calibri" w:hAnsi="Book Antiqua" w:cs="Arial"/>
          <w:sz w:val="24"/>
        </w:rPr>
      </w:pPr>
      <w:r w:rsidRPr="0018633E">
        <w:rPr>
          <w:rFonts w:ascii="Book Antiqua" w:eastAsia="Calibri" w:hAnsi="Book Antiqua" w:cs="Arial"/>
          <w:sz w:val="24"/>
        </w:rPr>
        <w:t>Para ello, en el inventario 202</w:t>
      </w:r>
      <w:r w:rsidR="00A01E07">
        <w:rPr>
          <w:rFonts w:ascii="Book Antiqua" w:eastAsia="Calibri" w:hAnsi="Book Antiqua" w:cs="Arial"/>
          <w:sz w:val="24"/>
        </w:rPr>
        <w:t>0</w:t>
      </w:r>
      <w:r w:rsidRPr="0018633E">
        <w:rPr>
          <w:rFonts w:ascii="Book Antiqua" w:eastAsia="Calibri" w:hAnsi="Book Antiqua" w:cs="Arial"/>
          <w:sz w:val="24"/>
        </w:rPr>
        <w:t xml:space="preserve"> de la Jurisdicción de Familia, los Juzgados Especializados </w:t>
      </w:r>
      <w:r w:rsidR="0065534E">
        <w:rPr>
          <w:rFonts w:ascii="Book Antiqua" w:eastAsia="Calibri" w:hAnsi="Book Antiqua" w:cs="Arial"/>
          <w:sz w:val="24"/>
        </w:rPr>
        <w:t>completaron una</w:t>
      </w:r>
      <w:r w:rsidRPr="0018633E">
        <w:rPr>
          <w:rFonts w:ascii="Book Antiqua" w:eastAsia="Calibri" w:hAnsi="Book Antiqua" w:cs="Arial"/>
          <w:sz w:val="24"/>
        </w:rPr>
        <w:t xml:space="preserve"> información adicional </w:t>
      </w:r>
      <w:r w:rsidR="0065534E">
        <w:rPr>
          <w:rFonts w:ascii="Book Antiqua" w:eastAsia="Calibri" w:hAnsi="Book Antiqua" w:cs="Arial"/>
          <w:sz w:val="24"/>
        </w:rPr>
        <w:t>que servirá</w:t>
      </w:r>
      <w:r w:rsidRPr="0018633E">
        <w:rPr>
          <w:rFonts w:ascii="Book Antiqua" w:eastAsia="Calibri" w:hAnsi="Book Antiqua" w:cs="Arial"/>
          <w:sz w:val="24"/>
        </w:rPr>
        <w:t xml:space="preserve"> </w:t>
      </w:r>
      <w:r w:rsidR="00065203">
        <w:rPr>
          <w:rFonts w:ascii="Book Antiqua" w:eastAsia="Calibri" w:hAnsi="Book Antiqua" w:cs="Arial"/>
          <w:sz w:val="24"/>
        </w:rPr>
        <w:t xml:space="preserve">de </w:t>
      </w:r>
      <w:r w:rsidRPr="0018633E">
        <w:rPr>
          <w:rFonts w:ascii="Book Antiqua" w:eastAsia="Calibri" w:hAnsi="Book Antiqua" w:cs="Arial"/>
          <w:sz w:val="24"/>
        </w:rPr>
        <w:t>insumo a la Dirección de Planificación para plantear la propuesta definitiva a Corte Plena y que contemple el análisis de las propuestas presentadas por el Juez Gestor en la materia (La Cruz, Cóbano, Monteverde, Puerto Jiménez, Coto Brus, Bribrí, los Chiles).</w:t>
      </w:r>
    </w:p>
    <w:p w14:paraId="169167E2" w14:textId="4AE0A72B" w:rsidR="0018633E" w:rsidRDefault="0018633E" w:rsidP="004069D9">
      <w:pPr>
        <w:rPr>
          <w:rFonts w:ascii="Book Antiqua" w:eastAsia="Calibri" w:hAnsi="Book Antiqua" w:cs="Arial"/>
          <w:sz w:val="24"/>
        </w:rPr>
      </w:pPr>
    </w:p>
    <w:p w14:paraId="2779FB8F" w14:textId="0DB455C0" w:rsidR="004069D9" w:rsidRDefault="004069D9" w:rsidP="004069D9">
      <w:pPr>
        <w:rPr>
          <w:rFonts w:ascii="Book Antiqua" w:eastAsia="Calibri" w:hAnsi="Book Antiqua" w:cs="Arial"/>
          <w:sz w:val="24"/>
        </w:rPr>
      </w:pPr>
    </w:p>
    <w:p w14:paraId="5A4A4E16" w14:textId="77777777" w:rsidR="004069D9" w:rsidRPr="0018633E" w:rsidRDefault="004069D9" w:rsidP="004069D9">
      <w:pPr>
        <w:rPr>
          <w:rFonts w:ascii="Book Antiqua" w:eastAsia="Calibri" w:hAnsi="Book Antiqua" w:cs="Arial"/>
          <w:sz w:val="24"/>
        </w:rPr>
      </w:pPr>
    </w:p>
    <w:p w14:paraId="0A4491F1" w14:textId="6FA289B1" w:rsidR="004069D9" w:rsidRDefault="0018633E" w:rsidP="0018633E">
      <w:pPr>
        <w:spacing w:after="0" w:line="276" w:lineRule="auto"/>
        <w:contextualSpacing/>
        <w:jc w:val="both"/>
        <w:rPr>
          <w:rFonts w:ascii="Book Antiqua" w:eastAsia="Calibri" w:hAnsi="Book Antiqua" w:cs="Arial"/>
          <w:b/>
          <w:bCs/>
          <w:i/>
          <w:iCs/>
          <w:sz w:val="24"/>
          <w:szCs w:val="24"/>
          <w:lang w:eastAsia="es-CR"/>
        </w:rPr>
      </w:pPr>
      <w:r w:rsidRPr="0018633E">
        <w:rPr>
          <w:rFonts w:ascii="Book Antiqua" w:eastAsia="Calibri" w:hAnsi="Book Antiqua" w:cs="Arial"/>
          <w:b/>
          <w:bCs/>
          <w:i/>
          <w:iCs/>
          <w:sz w:val="24"/>
          <w:szCs w:val="24"/>
          <w:lang w:eastAsia="es-CR"/>
        </w:rPr>
        <w:t xml:space="preserve">Variables </w:t>
      </w:r>
      <w:r w:rsidR="0065534E">
        <w:rPr>
          <w:rFonts w:ascii="Book Antiqua" w:eastAsia="Calibri" w:hAnsi="Book Antiqua" w:cs="Arial"/>
          <w:b/>
          <w:bCs/>
          <w:i/>
          <w:iCs/>
          <w:sz w:val="24"/>
          <w:szCs w:val="24"/>
          <w:lang w:eastAsia="es-CR"/>
        </w:rPr>
        <w:t>consultadas durante el</w:t>
      </w:r>
      <w:r w:rsidRPr="0018633E">
        <w:rPr>
          <w:rFonts w:ascii="Book Antiqua" w:eastAsia="Calibri" w:hAnsi="Book Antiqua" w:cs="Arial"/>
          <w:b/>
          <w:bCs/>
          <w:i/>
          <w:iCs/>
          <w:sz w:val="24"/>
          <w:szCs w:val="24"/>
          <w:lang w:eastAsia="es-CR"/>
        </w:rPr>
        <w:t xml:space="preserve"> inventario</w:t>
      </w:r>
      <w:r w:rsidR="0065534E">
        <w:rPr>
          <w:rFonts w:ascii="Book Antiqua" w:eastAsia="Calibri" w:hAnsi="Book Antiqua" w:cs="Arial"/>
          <w:b/>
          <w:bCs/>
          <w:i/>
          <w:iCs/>
          <w:sz w:val="24"/>
          <w:szCs w:val="24"/>
          <w:lang w:eastAsia="es-CR"/>
        </w:rPr>
        <w:t xml:space="preserve"> de Familia 202</w:t>
      </w:r>
      <w:r w:rsidR="00A01E07">
        <w:rPr>
          <w:rFonts w:ascii="Book Antiqua" w:eastAsia="Calibri" w:hAnsi="Book Antiqua" w:cs="Arial"/>
          <w:b/>
          <w:bCs/>
          <w:i/>
          <w:iCs/>
          <w:sz w:val="24"/>
          <w:szCs w:val="24"/>
          <w:lang w:eastAsia="es-CR"/>
        </w:rPr>
        <w:t>0</w:t>
      </w:r>
    </w:p>
    <w:p w14:paraId="169BFC46" w14:textId="77777777" w:rsidR="004069D9" w:rsidRPr="0018633E" w:rsidRDefault="004069D9" w:rsidP="0018633E">
      <w:pPr>
        <w:spacing w:after="0" w:line="276" w:lineRule="auto"/>
        <w:contextualSpacing/>
        <w:jc w:val="both"/>
        <w:rPr>
          <w:rFonts w:ascii="Book Antiqua" w:eastAsia="Calibri" w:hAnsi="Book Antiqua" w:cs="Arial"/>
          <w:b/>
          <w:bCs/>
          <w:i/>
          <w:iCs/>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18633E" w:rsidRPr="009B71C9" w14:paraId="4CD133AD" w14:textId="77777777" w:rsidTr="00306313">
        <w:trPr>
          <w:jc w:val="center"/>
        </w:trPr>
        <w:tc>
          <w:tcPr>
            <w:tcW w:w="4320" w:type="dxa"/>
          </w:tcPr>
          <w:p w14:paraId="78E574E2" w14:textId="77777777" w:rsidR="0018633E" w:rsidRPr="009B71C9" w:rsidRDefault="0018633E" w:rsidP="0018633E">
            <w:pPr>
              <w:spacing w:after="0" w:line="240" w:lineRule="auto"/>
              <w:jc w:val="center"/>
              <w:rPr>
                <w:rFonts w:ascii="Book Antiqua" w:eastAsia="Calibri" w:hAnsi="Book Antiqua" w:cs="Arial"/>
                <w:b/>
                <w:sz w:val="20"/>
                <w:szCs w:val="20"/>
              </w:rPr>
            </w:pPr>
            <w:r w:rsidRPr="009B71C9">
              <w:rPr>
                <w:rFonts w:ascii="Book Antiqua" w:eastAsia="Calibri" w:hAnsi="Book Antiqua" w:cs="Arial"/>
                <w:b/>
                <w:sz w:val="20"/>
                <w:szCs w:val="20"/>
                <w:lang w:val="es-ES_tradnl"/>
              </w:rPr>
              <w:t xml:space="preserve">Tipo de Proceso en Familia </w:t>
            </w:r>
            <w:r w:rsidRPr="009B71C9">
              <w:rPr>
                <w:rFonts w:ascii="Book Antiqua" w:eastAsia="Calibri" w:hAnsi="Book Antiqua" w:cs="Arial"/>
                <w:sz w:val="20"/>
                <w:szCs w:val="20"/>
              </w:rPr>
              <w:t>(sumarios)</w:t>
            </w:r>
          </w:p>
        </w:tc>
        <w:tc>
          <w:tcPr>
            <w:tcW w:w="4320" w:type="dxa"/>
          </w:tcPr>
          <w:p w14:paraId="15C1F498" w14:textId="77777777" w:rsidR="0018633E" w:rsidRPr="009B71C9" w:rsidRDefault="0018633E" w:rsidP="0018633E">
            <w:pPr>
              <w:spacing w:after="0" w:line="240" w:lineRule="auto"/>
              <w:jc w:val="center"/>
              <w:rPr>
                <w:rFonts w:ascii="Book Antiqua" w:eastAsia="Calibri" w:hAnsi="Book Antiqua" w:cs="Arial"/>
                <w:b/>
                <w:sz w:val="20"/>
                <w:szCs w:val="20"/>
              </w:rPr>
            </w:pPr>
            <w:r w:rsidRPr="009B71C9">
              <w:rPr>
                <w:rFonts w:ascii="Book Antiqua" w:eastAsia="Calibri" w:hAnsi="Book Antiqua" w:cs="Arial"/>
                <w:b/>
                <w:sz w:val="20"/>
                <w:szCs w:val="20"/>
              </w:rPr>
              <w:t>Variable para revisar en el inventario</w:t>
            </w:r>
          </w:p>
        </w:tc>
      </w:tr>
      <w:tr w:rsidR="0018633E" w:rsidRPr="009B71C9" w14:paraId="766B9DD9" w14:textId="77777777" w:rsidTr="00306313">
        <w:trPr>
          <w:jc w:val="center"/>
        </w:trPr>
        <w:tc>
          <w:tcPr>
            <w:tcW w:w="4320" w:type="dxa"/>
          </w:tcPr>
          <w:p w14:paraId="10B84021"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Guarda crianza y educación</w:t>
            </w:r>
          </w:p>
        </w:tc>
        <w:tc>
          <w:tcPr>
            <w:tcW w:w="4320" w:type="dxa"/>
          </w:tcPr>
          <w:p w14:paraId="0780E205"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7E5EB2BE" w14:textId="77777777" w:rsidTr="00306313">
        <w:trPr>
          <w:jc w:val="center"/>
        </w:trPr>
        <w:tc>
          <w:tcPr>
            <w:tcW w:w="4320" w:type="dxa"/>
          </w:tcPr>
          <w:p w14:paraId="19938B57"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Régimen de visitas</w:t>
            </w:r>
          </w:p>
        </w:tc>
        <w:tc>
          <w:tcPr>
            <w:tcW w:w="4320" w:type="dxa"/>
          </w:tcPr>
          <w:p w14:paraId="4C5545AC"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12A55DF3" w14:textId="77777777" w:rsidTr="00306313">
        <w:trPr>
          <w:jc w:val="center"/>
        </w:trPr>
        <w:tc>
          <w:tcPr>
            <w:tcW w:w="4320" w:type="dxa"/>
          </w:tcPr>
          <w:p w14:paraId="11FC2C5F"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Desafectación al régimen de habitación familiar</w:t>
            </w:r>
          </w:p>
        </w:tc>
        <w:tc>
          <w:tcPr>
            <w:tcW w:w="4320" w:type="dxa"/>
          </w:tcPr>
          <w:p w14:paraId="123EEA0B"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Ubicación del inmueble</w:t>
            </w:r>
          </w:p>
        </w:tc>
      </w:tr>
      <w:tr w:rsidR="0018633E" w:rsidRPr="009B71C9" w14:paraId="606FE3CE" w14:textId="77777777" w:rsidTr="00306313">
        <w:trPr>
          <w:jc w:val="center"/>
        </w:trPr>
        <w:tc>
          <w:tcPr>
            <w:tcW w:w="4320" w:type="dxa"/>
          </w:tcPr>
          <w:p w14:paraId="6D11DE5C"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 xml:space="preserve">Autorizaciones de salida del país </w:t>
            </w:r>
          </w:p>
        </w:tc>
        <w:tc>
          <w:tcPr>
            <w:tcW w:w="4320" w:type="dxa"/>
          </w:tcPr>
          <w:p w14:paraId="618C5A45"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2E6DAC91" w14:textId="77777777" w:rsidTr="00306313">
        <w:trPr>
          <w:jc w:val="center"/>
        </w:trPr>
        <w:tc>
          <w:tcPr>
            <w:tcW w:w="4320" w:type="dxa"/>
          </w:tcPr>
          <w:p w14:paraId="3F832E67"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Conflictos de autoridad parental</w:t>
            </w:r>
          </w:p>
        </w:tc>
        <w:tc>
          <w:tcPr>
            <w:tcW w:w="4320" w:type="dxa"/>
          </w:tcPr>
          <w:p w14:paraId="2697F3B8"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069DB2C2" w14:textId="77777777" w:rsidTr="00306313">
        <w:trPr>
          <w:jc w:val="center"/>
        </w:trPr>
        <w:tc>
          <w:tcPr>
            <w:tcW w:w="4320" w:type="dxa"/>
          </w:tcPr>
          <w:p w14:paraId="4081FE88"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Depósitos de menores de edad</w:t>
            </w:r>
          </w:p>
        </w:tc>
        <w:tc>
          <w:tcPr>
            <w:tcW w:w="4320" w:type="dxa"/>
          </w:tcPr>
          <w:p w14:paraId="560E88AA"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77BF75BC" w14:textId="77777777" w:rsidTr="00306313">
        <w:trPr>
          <w:jc w:val="center"/>
        </w:trPr>
        <w:tc>
          <w:tcPr>
            <w:tcW w:w="4320" w:type="dxa"/>
          </w:tcPr>
          <w:p w14:paraId="6ADF7D83"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Tutelas</w:t>
            </w:r>
          </w:p>
        </w:tc>
        <w:tc>
          <w:tcPr>
            <w:tcW w:w="4320" w:type="dxa"/>
          </w:tcPr>
          <w:p w14:paraId="1ADEFDE8"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Residencia de la persona menor</w:t>
            </w:r>
          </w:p>
        </w:tc>
      </w:tr>
      <w:tr w:rsidR="0018633E" w:rsidRPr="009B71C9" w14:paraId="23E527E8" w14:textId="77777777" w:rsidTr="00306313">
        <w:trPr>
          <w:jc w:val="center"/>
        </w:trPr>
        <w:tc>
          <w:tcPr>
            <w:tcW w:w="4320" w:type="dxa"/>
          </w:tcPr>
          <w:p w14:paraId="07149FF1"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Curatelas/salvaguardia</w:t>
            </w:r>
          </w:p>
        </w:tc>
        <w:tc>
          <w:tcPr>
            <w:tcW w:w="4320" w:type="dxa"/>
          </w:tcPr>
          <w:p w14:paraId="3D4890BB"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Residencia de la persona sujeta a la salvaguardia (menor, con discapacidad)</w:t>
            </w:r>
          </w:p>
        </w:tc>
      </w:tr>
      <w:tr w:rsidR="0018633E" w:rsidRPr="009B71C9" w14:paraId="64DEF52D" w14:textId="77777777" w:rsidTr="00306313">
        <w:trPr>
          <w:jc w:val="center"/>
        </w:trPr>
        <w:tc>
          <w:tcPr>
            <w:tcW w:w="4320" w:type="dxa"/>
          </w:tcPr>
          <w:p w14:paraId="2938BE2F"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Diligencias de utilidad y necesidad</w:t>
            </w:r>
          </w:p>
        </w:tc>
        <w:tc>
          <w:tcPr>
            <w:tcW w:w="4320" w:type="dxa"/>
          </w:tcPr>
          <w:p w14:paraId="00E4CED2"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 xml:space="preserve">Residencia de la persona menor </w:t>
            </w:r>
          </w:p>
        </w:tc>
      </w:tr>
    </w:tbl>
    <w:p w14:paraId="5961D9FE" w14:textId="77777777" w:rsidR="00AA01E7" w:rsidRDefault="00AA01E7" w:rsidP="00AA01E7">
      <w:pPr>
        <w:spacing w:after="0" w:line="276" w:lineRule="auto"/>
        <w:jc w:val="both"/>
        <w:rPr>
          <w:rFonts w:ascii="Book Antiqua" w:eastAsia="Calibri" w:hAnsi="Book Antiqua" w:cs="Arial"/>
          <w:b/>
          <w:bCs/>
          <w:sz w:val="24"/>
          <w:szCs w:val="24"/>
        </w:rPr>
      </w:pPr>
    </w:p>
    <w:p w14:paraId="5870A39A" w14:textId="0297BE2C" w:rsidR="0018633E" w:rsidRPr="00AA01E7" w:rsidRDefault="0018633E"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Actividades durante y post entrada en vigencia del CPF</w:t>
      </w:r>
      <w:r w:rsidR="00327FDF" w:rsidRPr="00AA01E7">
        <w:rPr>
          <w:rFonts w:ascii="Book Antiqua" w:eastAsia="Calibri" w:hAnsi="Book Antiqua" w:cs="Arial"/>
          <w:b/>
          <w:bCs/>
          <w:sz w:val="24"/>
          <w:szCs w:val="24"/>
        </w:rPr>
        <w:t xml:space="preserve"> 2022-202</w:t>
      </w:r>
      <w:r w:rsidR="007C091F">
        <w:rPr>
          <w:rFonts w:ascii="Book Antiqua" w:eastAsia="Calibri" w:hAnsi="Book Antiqua" w:cs="Arial"/>
          <w:b/>
          <w:bCs/>
          <w:sz w:val="24"/>
          <w:szCs w:val="24"/>
        </w:rPr>
        <w:t>4</w:t>
      </w:r>
    </w:p>
    <w:p w14:paraId="5F909378" w14:textId="77777777" w:rsidR="00AA01E7" w:rsidRDefault="00AA01E7" w:rsidP="0018633E">
      <w:pPr>
        <w:spacing w:after="0" w:line="276" w:lineRule="auto"/>
        <w:jc w:val="both"/>
        <w:rPr>
          <w:rFonts w:ascii="Book Antiqua" w:eastAsia="Calibri" w:hAnsi="Book Antiqua" w:cs="Arial"/>
          <w:sz w:val="24"/>
          <w:szCs w:val="24"/>
        </w:rPr>
      </w:pPr>
    </w:p>
    <w:p w14:paraId="04188E95" w14:textId="115150A2"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A raíz de las experiencias suscitadas con la entrada en vigencia de la Reforma al Código de Trabajo, en el 2017 y el Nuevo Código Procesal Civil en el 2018, se describen a continuación algunas de las actividades que se prevé que se realizarán al momento de la entrada en vigencia del Código Procesal de Familia: </w:t>
      </w:r>
    </w:p>
    <w:p w14:paraId="3D228F12" w14:textId="77777777" w:rsidR="0018633E" w:rsidRPr="0018633E" w:rsidRDefault="0018633E" w:rsidP="0018633E">
      <w:pPr>
        <w:spacing w:after="0" w:line="276" w:lineRule="auto"/>
        <w:jc w:val="both"/>
        <w:rPr>
          <w:rFonts w:ascii="Book Antiqua" w:eastAsia="Calibri" w:hAnsi="Book Antiqua" w:cs="Arial"/>
        </w:rPr>
      </w:pPr>
    </w:p>
    <w:p w14:paraId="3DC20B45" w14:textId="77777777" w:rsidR="00097996" w:rsidRDefault="0018633E">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Con la finalidad de utilizar las herramientas tecnológicas con </w:t>
      </w:r>
      <w:r w:rsidR="003E2E0A">
        <w:rPr>
          <w:rFonts w:ascii="Book Antiqua" w:eastAsia="Calibri" w:hAnsi="Book Antiqua" w:cs="Arial"/>
          <w:sz w:val="24"/>
          <w:szCs w:val="24"/>
          <w:lang w:eastAsia="es-CR"/>
        </w:rPr>
        <w:t xml:space="preserve">las que </w:t>
      </w:r>
      <w:r w:rsidRPr="0018633E">
        <w:rPr>
          <w:rFonts w:ascii="Book Antiqua" w:eastAsia="Calibri" w:hAnsi="Book Antiqua" w:cs="Arial"/>
          <w:sz w:val="24"/>
          <w:szCs w:val="24"/>
          <w:lang w:eastAsia="es-CR"/>
        </w:rPr>
        <w:t xml:space="preserve">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w:t>
      </w:r>
      <w:r w:rsidR="003E2E0A">
        <w:rPr>
          <w:rFonts w:ascii="Book Antiqua" w:eastAsia="Calibri" w:hAnsi="Book Antiqua" w:cs="Arial"/>
          <w:sz w:val="24"/>
          <w:szCs w:val="24"/>
          <w:lang w:eastAsia="es-CR"/>
        </w:rPr>
        <w:t xml:space="preserve">de </w:t>
      </w:r>
      <w:r w:rsidRPr="0018633E">
        <w:rPr>
          <w:rFonts w:ascii="Book Antiqua" w:eastAsia="Calibri" w:hAnsi="Book Antiqua" w:cs="Arial"/>
          <w:sz w:val="24"/>
          <w:szCs w:val="24"/>
          <w:lang w:eastAsia="es-CR"/>
        </w:rPr>
        <w:t xml:space="preserve">Tecnología de la Información y de la validación de la información que suministre cada uno de los indicadores diseñados. </w:t>
      </w:r>
    </w:p>
    <w:p w14:paraId="222F46B9" w14:textId="129BFCC2" w:rsidR="0065534E" w:rsidRDefault="0018633E">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097996">
        <w:rPr>
          <w:rFonts w:ascii="Book Antiqua" w:eastAsia="Calibri" w:hAnsi="Book Antiqua" w:cs="Arial"/>
          <w:sz w:val="24"/>
          <w:szCs w:val="24"/>
          <w:lang w:eastAsia="es-CR"/>
        </w:rPr>
        <w:t>Acompañamiento durante la entrada en vigencia del Código Procesal de Familia, e</w:t>
      </w:r>
      <w:r w:rsidR="00C861E0" w:rsidRPr="00097996">
        <w:rPr>
          <w:rFonts w:ascii="Book Antiqua" w:eastAsia="Calibri" w:hAnsi="Book Antiqua" w:cs="Arial"/>
          <w:sz w:val="24"/>
          <w:szCs w:val="24"/>
          <w:lang w:eastAsia="es-CR"/>
        </w:rPr>
        <w:t>l</w:t>
      </w:r>
      <w:r w:rsidRPr="00097996">
        <w:rPr>
          <w:rFonts w:ascii="Book Antiqua" w:eastAsia="Calibri" w:hAnsi="Book Antiqua" w:cs="Arial"/>
          <w:sz w:val="24"/>
          <w:szCs w:val="24"/>
          <w:lang w:eastAsia="es-CR"/>
        </w:rPr>
        <w:t xml:space="preserve"> cual se prevé brindar con la finalidad de estabilizar a los despachos en caso de ser necesario a raíz de las modificaciones en la conformación de personas que se podría realizar, cambios en las competencias, en los lineamientos del trabajo, entre otros</w:t>
      </w:r>
      <w:r w:rsidR="00097996">
        <w:rPr>
          <w:rFonts w:ascii="Book Antiqua" w:eastAsia="Calibri" w:hAnsi="Book Antiqua" w:cs="Arial"/>
          <w:sz w:val="24"/>
          <w:szCs w:val="24"/>
          <w:lang w:eastAsia="es-CR"/>
        </w:rPr>
        <w:t>.</w:t>
      </w:r>
    </w:p>
    <w:p w14:paraId="6D4A4769" w14:textId="69A03898" w:rsidR="0018633E" w:rsidRDefault="0018633E">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Seguimiento de Indicadores de Gestión</w:t>
      </w:r>
      <w:r w:rsidR="00097996">
        <w:rPr>
          <w:rFonts w:ascii="Book Antiqua" w:eastAsia="Calibri" w:hAnsi="Book Antiqua" w:cs="Arial"/>
          <w:sz w:val="24"/>
          <w:szCs w:val="24"/>
          <w:lang w:eastAsia="es-CR"/>
        </w:rPr>
        <w:t xml:space="preserve"> de los juzgados especializados de violencia doméstica</w:t>
      </w:r>
      <w:r w:rsidRPr="0018633E">
        <w:rPr>
          <w:rFonts w:ascii="Book Antiqua" w:eastAsia="Calibri" w:hAnsi="Book Antiqua" w:cs="Arial"/>
          <w:sz w:val="24"/>
          <w:szCs w:val="24"/>
          <w:lang w:eastAsia="es-CR"/>
        </w:rPr>
        <w:t xml:space="preserve">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p>
    <w:p w14:paraId="533DD7DC" w14:textId="778EFEC9" w:rsidR="00E85731" w:rsidRPr="001D0C10" w:rsidRDefault="0018633E">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1D0C10">
        <w:rPr>
          <w:rFonts w:ascii="Book Antiqua" w:eastAsia="Calibri" w:hAnsi="Book Antiqua" w:cs="Arial"/>
          <w:sz w:val="24"/>
          <w:szCs w:val="24"/>
          <w:lang w:eastAsia="es-CR"/>
        </w:rPr>
        <w:t>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w:t>
      </w:r>
      <w:r w:rsidR="007C091F">
        <w:rPr>
          <w:rFonts w:ascii="Book Antiqua" w:eastAsia="Calibri" w:hAnsi="Book Antiqua" w:cs="Arial"/>
          <w:sz w:val="24"/>
          <w:szCs w:val="24"/>
          <w:lang w:eastAsia="es-CR"/>
        </w:rPr>
        <w:t>.</w:t>
      </w:r>
    </w:p>
    <w:p w14:paraId="068EE892" w14:textId="43D1699B" w:rsidR="00E85731" w:rsidRDefault="0018633E">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Informe de Evaluación de resultados, conforme a la metodología de Proyectos institucional, de 6-12 meses posterior a la entrada en vigencia de la Ley</w:t>
      </w:r>
      <w:r w:rsidR="007C091F">
        <w:rPr>
          <w:rFonts w:ascii="Book Antiqua" w:eastAsia="Calibri" w:hAnsi="Book Antiqua" w:cs="Arial"/>
          <w:sz w:val="24"/>
          <w:szCs w:val="24"/>
          <w:lang w:eastAsia="es-CR"/>
        </w:rPr>
        <w:t>.</w:t>
      </w:r>
    </w:p>
    <w:p w14:paraId="4E41093D" w14:textId="77777777" w:rsidR="0018633E" w:rsidRPr="0018633E" w:rsidRDefault="0018633E" w:rsidP="0018633E">
      <w:pPr>
        <w:spacing w:after="0" w:line="276" w:lineRule="auto"/>
        <w:jc w:val="both"/>
        <w:rPr>
          <w:rFonts w:ascii="Book Antiqua" w:eastAsia="Calibri" w:hAnsi="Book Antiqua" w:cs="Arial"/>
          <w:sz w:val="24"/>
          <w:szCs w:val="24"/>
        </w:rPr>
      </w:pPr>
    </w:p>
    <w:p w14:paraId="0E5E551B" w14:textId="7035C030" w:rsidR="00C861E0" w:rsidRPr="00AA01E7" w:rsidRDefault="00C861E0"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Comisión de Familia, Niñez y Adolescencia</w:t>
      </w:r>
      <w:r w:rsidR="007676A5">
        <w:rPr>
          <w:rFonts w:ascii="Book Antiqua" w:eastAsiaTheme="majorEastAsia" w:hAnsi="Book Antiqua" w:cstheme="majorBidi"/>
          <w:b/>
          <w:color w:val="1F3864" w:themeColor="accent1" w:themeShade="80"/>
          <w:sz w:val="24"/>
          <w:lang w:val="es-ES"/>
        </w:rPr>
        <w:t xml:space="preserve"> y </w:t>
      </w:r>
      <w:r w:rsidR="007676A5" w:rsidRPr="007676A5">
        <w:rPr>
          <w:rFonts w:ascii="Book Antiqua" w:eastAsiaTheme="majorEastAsia" w:hAnsi="Book Antiqua" w:cstheme="majorBidi"/>
          <w:b/>
          <w:color w:val="1F3864" w:themeColor="accent1" w:themeShade="80"/>
          <w:sz w:val="24"/>
          <w:lang w:val="es-ES"/>
        </w:rPr>
        <w:t>Comisión Permanente para el Seguimiento de la Atención y Prevención de la Violencia Intrafamiliar.</w:t>
      </w:r>
    </w:p>
    <w:p w14:paraId="53F39365" w14:textId="77777777" w:rsidR="00C861E0" w:rsidRPr="00C861E0" w:rsidRDefault="00C861E0" w:rsidP="00C861E0">
      <w:pPr>
        <w:spacing w:after="0" w:line="240" w:lineRule="auto"/>
        <w:jc w:val="both"/>
        <w:rPr>
          <w:rFonts w:ascii="Book Antiqua" w:eastAsia="Calibri" w:hAnsi="Book Antiqua" w:cs="Arial"/>
          <w:sz w:val="24"/>
          <w:szCs w:val="24"/>
        </w:rPr>
      </w:pPr>
    </w:p>
    <w:p w14:paraId="4B6D57C1" w14:textId="5019254A" w:rsidR="007676A5" w:rsidRDefault="007676A5" w:rsidP="001D0C10">
      <w:pPr>
        <w:pStyle w:val="Ttulo"/>
        <w:spacing w:line="276" w:lineRule="auto"/>
        <w:jc w:val="both"/>
        <w:rPr>
          <w:rFonts w:eastAsia="Calibri" w:cs="Arial"/>
          <w:b w:val="0"/>
          <w:color w:val="auto"/>
          <w:spacing w:val="0"/>
          <w:szCs w:val="24"/>
          <w:lang w:val="es-CR" w:eastAsia="en-US"/>
        </w:rPr>
      </w:pPr>
      <w:bookmarkStart w:id="87" w:name="_Hlk128693451"/>
      <w:r w:rsidRPr="007676A5">
        <w:rPr>
          <w:rFonts w:eastAsia="Calibri" w:cs="Arial"/>
          <w:b w:val="0"/>
          <w:color w:val="auto"/>
          <w:spacing w:val="0"/>
          <w:szCs w:val="24"/>
          <w:lang w:val="es-CR" w:eastAsia="en-US"/>
        </w:rPr>
        <w:t>El proyecto 13</w:t>
      </w:r>
      <w:r>
        <w:rPr>
          <w:rFonts w:eastAsia="Calibri" w:cs="Arial"/>
          <w:b w:val="0"/>
          <w:color w:val="auto"/>
          <w:spacing w:val="0"/>
          <w:szCs w:val="24"/>
          <w:lang w:val="es-CR" w:eastAsia="en-US"/>
        </w:rPr>
        <w:t>7</w:t>
      </w:r>
      <w:r w:rsidRPr="007676A5">
        <w:rPr>
          <w:rFonts w:eastAsia="Calibri" w:cs="Arial"/>
          <w:b w:val="0"/>
          <w:color w:val="auto"/>
          <w:spacing w:val="0"/>
          <w:szCs w:val="24"/>
          <w:lang w:val="es-CR" w:eastAsia="en-US"/>
        </w:rPr>
        <w:t>4-CF-P01</w:t>
      </w:r>
      <w:r>
        <w:rPr>
          <w:rFonts w:eastAsia="Calibri" w:cs="Arial"/>
          <w:b w:val="0"/>
          <w:color w:val="auto"/>
          <w:spacing w:val="0"/>
          <w:szCs w:val="24"/>
          <w:lang w:val="es-CR" w:eastAsia="en-US"/>
        </w:rPr>
        <w:t xml:space="preserve"> “</w:t>
      </w:r>
      <w:r w:rsidRPr="007676A5">
        <w:rPr>
          <w:rFonts w:eastAsia="Calibri" w:cs="Arial"/>
          <w:b w:val="0"/>
          <w:i/>
          <w:iCs/>
          <w:color w:val="auto"/>
          <w:spacing w:val="0"/>
          <w:szCs w:val="24"/>
          <w:lang w:val="es-CR" w:eastAsia="en-US"/>
        </w:rPr>
        <w:t>Implementación de Código Procesal de Familia</w:t>
      </w:r>
      <w:r>
        <w:rPr>
          <w:rFonts w:eastAsia="Calibri" w:cs="Arial"/>
          <w:b w:val="0"/>
          <w:color w:val="auto"/>
          <w:spacing w:val="0"/>
          <w:szCs w:val="24"/>
          <w:lang w:val="es-CR" w:eastAsia="en-US"/>
        </w:rPr>
        <w:t xml:space="preserve">” reporta un avance del 88% según consta en el sitio del Proyecto. </w:t>
      </w:r>
    </w:p>
    <w:p w14:paraId="36F6B834" w14:textId="338D2DF6" w:rsidR="007676A5" w:rsidRDefault="007676A5" w:rsidP="001D0C10">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t xml:space="preserve">De parte de la Comisión de Familia Niñez y Adolescencia se remitió a Corte Plena el oficio 81-CJF-2022 con la propuesta de normas prácticas para la implementación de la Ley 9747, y aún está pendiente de aprobación. </w:t>
      </w:r>
    </w:p>
    <w:p w14:paraId="5F31EFFF" w14:textId="70D7BCEC" w:rsidR="007676A5" w:rsidRPr="007676A5" w:rsidRDefault="007676A5" w:rsidP="001D0C10">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t xml:space="preserve">De parte de la </w:t>
      </w:r>
      <w:r w:rsidRPr="007676A5">
        <w:rPr>
          <w:rFonts w:eastAsia="Calibri" w:cs="Arial"/>
          <w:b w:val="0"/>
          <w:color w:val="auto"/>
          <w:spacing w:val="0"/>
          <w:szCs w:val="24"/>
          <w:lang w:val="es-CR" w:eastAsia="en-US"/>
        </w:rPr>
        <w:t>Comisión Permanente para el Seguimiento de la Atención y Prevención de la Violencia Intrafamiliar</w:t>
      </w:r>
      <w:r>
        <w:rPr>
          <w:rFonts w:eastAsia="Calibri" w:cs="Arial"/>
          <w:b w:val="0"/>
          <w:color w:val="auto"/>
          <w:spacing w:val="0"/>
          <w:szCs w:val="24"/>
          <w:lang w:val="es-CR" w:eastAsia="en-US"/>
        </w:rPr>
        <w:t xml:space="preserve"> también se remitió el oficio 2-CVI-2023 a la Secretaría General de la Core las normas prácticas para esa Jurisdicción, igualmente se encuentran pendientes de aprobación por parte del órgano superior. </w:t>
      </w:r>
    </w:p>
    <w:p w14:paraId="0E931A31" w14:textId="28EFE784" w:rsidR="007676A5" w:rsidRDefault="007676A5" w:rsidP="001D0C10">
      <w:pPr>
        <w:pStyle w:val="Ttulo"/>
        <w:spacing w:line="276" w:lineRule="auto"/>
        <w:jc w:val="both"/>
        <w:rPr>
          <w:rFonts w:eastAsia="Calibri" w:cs="Arial"/>
          <w:bCs/>
          <w:color w:val="auto"/>
          <w:spacing w:val="0"/>
          <w:szCs w:val="24"/>
          <w:u w:val="single"/>
          <w:lang w:val="es-CR" w:eastAsia="en-US"/>
        </w:rPr>
      </w:pPr>
      <w:r w:rsidRPr="007676A5">
        <w:rPr>
          <w:rFonts w:eastAsia="Calibri" w:cs="Arial"/>
          <w:b w:val="0"/>
          <w:color w:val="auto"/>
          <w:spacing w:val="0"/>
          <w:szCs w:val="24"/>
          <w:lang w:val="es-CR" w:eastAsia="en-US"/>
        </w:rPr>
        <w:t xml:space="preserve">Se encuentra pendiente el análisis por parte de ambas Comisiones las propuestas de reforma legal propuestas para la Ley 9747, tanto las obtenidas a partir del </w:t>
      </w:r>
      <w:r>
        <w:rPr>
          <w:rFonts w:eastAsia="Calibri" w:cs="Arial"/>
          <w:b w:val="0"/>
          <w:color w:val="auto"/>
          <w:spacing w:val="0"/>
          <w:szCs w:val="24"/>
          <w:lang w:val="es-CR" w:eastAsia="en-US"/>
        </w:rPr>
        <w:t xml:space="preserve">estudio del impacto </w:t>
      </w:r>
      <w:r w:rsidRPr="007676A5">
        <w:rPr>
          <w:rFonts w:eastAsia="Calibri" w:cs="Arial"/>
          <w:b w:val="0"/>
          <w:color w:val="auto"/>
          <w:spacing w:val="0"/>
          <w:szCs w:val="24"/>
          <w:lang w:val="es-CR" w:eastAsia="en-US"/>
        </w:rPr>
        <w:t>de la norma en el informe 314-PLA-RH-MI-2022 (</w:t>
      </w:r>
      <w:r>
        <w:rPr>
          <w:rFonts w:eastAsia="Calibri" w:cs="Arial"/>
          <w:b w:val="0"/>
          <w:color w:val="auto"/>
          <w:spacing w:val="0"/>
          <w:szCs w:val="24"/>
          <w:lang w:val="es-CR" w:eastAsia="en-US"/>
        </w:rPr>
        <w:t xml:space="preserve">como la distribución de </w:t>
      </w:r>
      <w:r w:rsidRPr="007676A5">
        <w:rPr>
          <w:rFonts w:eastAsia="Calibri" w:cs="Arial"/>
          <w:b w:val="0"/>
          <w:color w:val="auto"/>
          <w:spacing w:val="0"/>
          <w:szCs w:val="24"/>
          <w:lang w:val="es-CR" w:eastAsia="en-US"/>
        </w:rPr>
        <w:t xml:space="preserve">competencias entre Sala Segunda </w:t>
      </w:r>
      <w:r>
        <w:rPr>
          <w:rFonts w:eastAsia="Calibri" w:cs="Arial"/>
          <w:b w:val="0"/>
          <w:color w:val="auto"/>
          <w:spacing w:val="0"/>
          <w:szCs w:val="24"/>
          <w:lang w:val="es-CR" w:eastAsia="en-US"/>
        </w:rPr>
        <w:t>y Tribunal de</w:t>
      </w:r>
      <w:r w:rsidRPr="007676A5">
        <w:rPr>
          <w:rFonts w:eastAsia="Calibri" w:cs="Arial"/>
          <w:b w:val="0"/>
          <w:color w:val="auto"/>
          <w:spacing w:val="0"/>
          <w:szCs w:val="24"/>
          <w:lang w:val="es-CR" w:eastAsia="en-US"/>
        </w:rPr>
        <w:t xml:space="preserve"> Familia, modificaci</w:t>
      </w:r>
      <w:r>
        <w:rPr>
          <w:rFonts w:eastAsia="Calibri" w:cs="Arial"/>
          <w:b w:val="0"/>
          <w:color w:val="auto"/>
          <w:spacing w:val="0"/>
          <w:szCs w:val="24"/>
          <w:lang w:val="es-CR" w:eastAsia="en-US"/>
        </w:rPr>
        <w:t>ón</w:t>
      </w:r>
      <w:r w:rsidRPr="007676A5">
        <w:rPr>
          <w:rFonts w:eastAsia="Calibri" w:cs="Arial"/>
          <w:b w:val="0"/>
          <w:color w:val="auto"/>
          <w:spacing w:val="0"/>
          <w:szCs w:val="24"/>
          <w:lang w:val="es-CR" w:eastAsia="en-US"/>
        </w:rPr>
        <w:t xml:space="preserve"> o reglamentación artículo 286 CPF)</w:t>
      </w:r>
      <w:r>
        <w:rPr>
          <w:rFonts w:eastAsia="Calibri" w:cs="Arial"/>
          <w:b w:val="0"/>
          <w:color w:val="auto"/>
          <w:spacing w:val="0"/>
          <w:szCs w:val="24"/>
          <w:lang w:val="es-CR" w:eastAsia="en-US"/>
        </w:rPr>
        <w:t>;</w:t>
      </w:r>
      <w:r w:rsidRPr="007676A5">
        <w:rPr>
          <w:rFonts w:eastAsia="Calibri" w:cs="Arial"/>
          <w:b w:val="0"/>
          <w:color w:val="auto"/>
          <w:spacing w:val="0"/>
          <w:szCs w:val="24"/>
          <w:lang w:val="es-CR" w:eastAsia="en-US"/>
        </w:rPr>
        <w:t xml:space="preserve"> así como las oportunidades de mejora identificadas por el personal juzgado</w:t>
      </w:r>
      <w:r w:rsidR="004A64E7">
        <w:rPr>
          <w:rFonts w:eastAsia="Calibri" w:cs="Arial"/>
          <w:b w:val="0"/>
          <w:color w:val="auto"/>
          <w:spacing w:val="0"/>
          <w:szCs w:val="24"/>
          <w:lang w:val="es-CR" w:eastAsia="en-US"/>
        </w:rPr>
        <w:t>r</w:t>
      </w:r>
      <w:r w:rsidRPr="007676A5">
        <w:rPr>
          <w:rFonts w:eastAsia="Calibri" w:cs="Arial"/>
          <w:b w:val="0"/>
          <w:color w:val="auto"/>
          <w:spacing w:val="0"/>
          <w:szCs w:val="24"/>
          <w:lang w:val="es-CR" w:eastAsia="en-US"/>
        </w:rPr>
        <w:t xml:space="preserve"> como de la Comisión Mixta para reducción Mora Judicial </w:t>
      </w:r>
      <w:r w:rsidR="004A64E7" w:rsidRPr="007676A5">
        <w:rPr>
          <w:rFonts w:eastAsia="Calibri" w:cs="Arial"/>
          <w:b w:val="0"/>
          <w:color w:val="auto"/>
          <w:spacing w:val="0"/>
          <w:szCs w:val="24"/>
          <w:lang w:val="es-CR" w:eastAsia="en-US"/>
        </w:rPr>
        <w:t>d</w:t>
      </w:r>
      <w:r w:rsidR="004A64E7">
        <w:rPr>
          <w:rFonts w:eastAsia="Calibri" w:cs="Arial"/>
          <w:b w:val="0"/>
          <w:color w:val="auto"/>
          <w:spacing w:val="0"/>
          <w:szCs w:val="24"/>
          <w:lang w:val="es-CR" w:eastAsia="en-US"/>
        </w:rPr>
        <w:t>el Colegio de Abogados e</w:t>
      </w:r>
      <w:r w:rsidRPr="007676A5">
        <w:rPr>
          <w:rFonts w:eastAsia="Calibri" w:cs="Arial"/>
          <w:b w:val="0"/>
          <w:color w:val="auto"/>
          <w:spacing w:val="0"/>
          <w:szCs w:val="24"/>
          <w:lang w:val="es-CR" w:eastAsia="en-US"/>
        </w:rPr>
        <w:t>n los talleres realizados en la materia de Familia, Violencia Doméstica</w:t>
      </w:r>
      <w:r w:rsidR="004A64E7">
        <w:rPr>
          <w:rFonts w:eastAsia="Calibri" w:cs="Arial"/>
          <w:b w:val="0"/>
          <w:color w:val="auto"/>
          <w:spacing w:val="0"/>
          <w:szCs w:val="24"/>
          <w:lang w:val="es-CR" w:eastAsia="en-US"/>
        </w:rPr>
        <w:t xml:space="preserve"> como parte del proyecto </w:t>
      </w:r>
      <w:r w:rsidR="004A64E7" w:rsidRPr="004A64E7">
        <w:rPr>
          <w:rFonts w:eastAsia="Calibri" w:cs="Arial"/>
          <w:bCs/>
          <w:i/>
          <w:iCs/>
          <w:color w:val="auto"/>
          <w:spacing w:val="0"/>
          <w:szCs w:val="24"/>
          <w:lang w:val="es-CR" w:eastAsia="en-US"/>
        </w:rPr>
        <w:t xml:space="preserve">110-PLA-P23 </w:t>
      </w:r>
      <w:r w:rsidR="00110E4A">
        <w:rPr>
          <w:rFonts w:eastAsia="Calibri" w:cs="Arial"/>
          <w:bCs/>
          <w:i/>
          <w:iCs/>
          <w:color w:val="auto"/>
          <w:spacing w:val="0"/>
          <w:szCs w:val="24"/>
          <w:lang w:val="es-CR" w:eastAsia="en-US"/>
        </w:rPr>
        <w:t>“</w:t>
      </w:r>
      <w:r w:rsidR="004A64E7" w:rsidRPr="004A64E7">
        <w:rPr>
          <w:rFonts w:eastAsia="Calibri" w:cs="Arial"/>
          <w:bCs/>
          <w:i/>
          <w:iCs/>
          <w:color w:val="auto"/>
          <w:spacing w:val="0"/>
          <w:szCs w:val="24"/>
          <w:lang w:val="es-CR" w:eastAsia="en-US"/>
        </w:rPr>
        <w:t>Automatización de los Procesos Jurisdiccionales y análisis del Rezago Judicial</w:t>
      </w:r>
      <w:r w:rsidR="00110E4A">
        <w:rPr>
          <w:rFonts w:eastAsia="Calibri" w:cs="Arial"/>
          <w:bCs/>
          <w:i/>
          <w:iCs/>
          <w:color w:val="auto"/>
          <w:spacing w:val="0"/>
          <w:szCs w:val="24"/>
          <w:lang w:val="es-CR" w:eastAsia="en-US"/>
        </w:rPr>
        <w:t>”</w:t>
      </w:r>
      <w:r w:rsidR="004A64E7" w:rsidRPr="004A64E7">
        <w:rPr>
          <w:rFonts w:eastAsia="Calibri" w:cs="Arial"/>
          <w:bCs/>
          <w:i/>
          <w:iCs/>
          <w:color w:val="auto"/>
          <w:spacing w:val="0"/>
          <w:szCs w:val="24"/>
          <w:lang w:val="es-CR" w:eastAsia="en-US"/>
        </w:rPr>
        <w:t>.</w:t>
      </w:r>
    </w:p>
    <w:bookmarkEnd w:id="87"/>
    <w:p w14:paraId="37F28A10" w14:textId="77777777" w:rsidR="00A01E07" w:rsidRDefault="00A01E07" w:rsidP="009E73B0">
      <w:pPr>
        <w:pStyle w:val="Ttulo"/>
        <w:spacing w:line="276" w:lineRule="auto"/>
        <w:jc w:val="left"/>
        <w:rPr>
          <w:szCs w:val="24"/>
          <w:lang w:val="es-CR"/>
        </w:rPr>
      </w:pPr>
    </w:p>
    <w:p w14:paraId="2DB8AF5D" w14:textId="41D15F22" w:rsidR="00AA01E7" w:rsidRPr="00FC1807" w:rsidRDefault="00FC1807" w:rsidP="00793CC6">
      <w:pPr>
        <w:pStyle w:val="Ttulo1"/>
        <w:rPr>
          <w:lang w:val="es-ES"/>
        </w:rPr>
      </w:pPr>
      <w:r w:rsidRPr="00FC1807">
        <w:rPr>
          <w:lang w:val="es-ES"/>
        </w:rPr>
        <w:t>Es</w:t>
      </w:r>
      <w:r w:rsidR="00793CC6">
        <w:rPr>
          <w:lang w:val="es-ES"/>
        </w:rPr>
        <w:t>timación de los costos presupuestarios asociados con el Código Procesal de Familia</w:t>
      </w:r>
    </w:p>
    <w:p w14:paraId="63F11943" w14:textId="7E4EBD14" w:rsidR="00030CBA" w:rsidRPr="00AA01E7" w:rsidRDefault="00030CBA"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Costos del Programa 926</w:t>
      </w:r>
    </w:p>
    <w:p w14:paraId="5AD4FA99" w14:textId="77777777" w:rsidR="0033628C" w:rsidRDefault="0033628C" w:rsidP="0033628C">
      <w:pPr>
        <w:spacing w:after="0" w:line="240" w:lineRule="auto"/>
        <w:jc w:val="both"/>
        <w:rPr>
          <w:rFonts w:ascii="Book Antiqua" w:eastAsia="Calibri" w:hAnsi="Book Antiqua" w:cs="Arial"/>
          <w:b/>
          <w:bCs/>
          <w:i/>
          <w:iCs/>
          <w:lang w:val="es-ES_tradnl"/>
        </w:rPr>
      </w:pPr>
    </w:p>
    <w:p w14:paraId="21A3E183" w14:textId="58FC1C42" w:rsidR="0033628C" w:rsidRPr="00C153A4" w:rsidRDefault="0033628C" w:rsidP="00C153A4">
      <w:pPr>
        <w:spacing w:after="0" w:line="276" w:lineRule="auto"/>
        <w:jc w:val="both"/>
        <w:rPr>
          <w:rFonts w:ascii="Book Antiqua" w:eastAsia="Calibri" w:hAnsi="Book Antiqua" w:cs="Arial"/>
          <w:b/>
          <w:bCs/>
          <w:sz w:val="24"/>
          <w:szCs w:val="24"/>
        </w:rPr>
      </w:pPr>
      <w:r w:rsidRPr="00C153A4">
        <w:rPr>
          <w:rFonts w:ascii="Book Antiqua" w:eastAsia="Calibri" w:hAnsi="Book Antiqua" w:cs="Arial"/>
          <w:b/>
          <w:bCs/>
          <w:sz w:val="24"/>
          <w:szCs w:val="24"/>
        </w:rPr>
        <w:t>Recurso Humano</w:t>
      </w:r>
    </w:p>
    <w:p w14:paraId="4054D067" w14:textId="77777777" w:rsidR="0033628C" w:rsidRDefault="0033628C" w:rsidP="0033628C">
      <w:pPr>
        <w:spacing w:after="0" w:line="276" w:lineRule="auto"/>
        <w:jc w:val="both"/>
        <w:rPr>
          <w:rFonts w:ascii="Book Antiqua" w:eastAsia="Calibri" w:hAnsi="Book Antiqua" w:cs="Arial"/>
          <w:sz w:val="24"/>
          <w:szCs w:val="24"/>
        </w:rPr>
      </w:pPr>
    </w:p>
    <w:p w14:paraId="270F16A3" w14:textId="4B8F22A0" w:rsidR="0033628C" w:rsidRPr="0033628C" w:rsidRDefault="0033628C" w:rsidP="0033628C">
      <w:pPr>
        <w:spacing w:after="0" w:line="276" w:lineRule="auto"/>
        <w:jc w:val="both"/>
        <w:rPr>
          <w:rFonts w:ascii="Book Antiqua" w:eastAsia="Calibri" w:hAnsi="Book Antiqua" w:cs="Arial"/>
          <w:sz w:val="24"/>
          <w:szCs w:val="24"/>
        </w:rPr>
      </w:pPr>
      <w:r w:rsidRPr="0033628C">
        <w:rPr>
          <w:rFonts w:ascii="Book Antiqua" w:eastAsia="Calibri" w:hAnsi="Book Antiqua" w:cs="Arial"/>
          <w:sz w:val="24"/>
          <w:szCs w:val="24"/>
        </w:rPr>
        <w:t xml:space="preserve">La implementación </w:t>
      </w:r>
      <w:r>
        <w:rPr>
          <w:rFonts w:ascii="Book Antiqua" w:eastAsia="Calibri" w:hAnsi="Book Antiqua" w:cs="Arial"/>
          <w:sz w:val="24"/>
          <w:szCs w:val="24"/>
        </w:rPr>
        <w:t>de</w:t>
      </w:r>
      <w:r w:rsidRPr="0033628C">
        <w:rPr>
          <w:rFonts w:ascii="Book Antiqua" w:eastAsia="Calibri" w:hAnsi="Book Antiqua" w:cs="Arial"/>
          <w:sz w:val="24"/>
          <w:szCs w:val="24"/>
        </w:rPr>
        <w:t xml:space="preserve"> esta reforma no implica la creación de plazas en el programa 926. </w:t>
      </w:r>
    </w:p>
    <w:p w14:paraId="08E43FF6" w14:textId="77777777" w:rsidR="0033628C" w:rsidRPr="0033628C" w:rsidRDefault="0033628C" w:rsidP="0033628C">
      <w:pPr>
        <w:spacing w:after="0" w:line="276" w:lineRule="auto"/>
        <w:jc w:val="both"/>
        <w:rPr>
          <w:rFonts w:ascii="Book Antiqua" w:eastAsia="Calibri" w:hAnsi="Book Antiqua" w:cs="Arial"/>
          <w:b/>
          <w:bCs/>
          <w:i/>
          <w:iCs/>
          <w:sz w:val="24"/>
          <w:szCs w:val="24"/>
        </w:rPr>
      </w:pPr>
    </w:p>
    <w:p w14:paraId="3776848E" w14:textId="77DDC764" w:rsidR="0033628C" w:rsidRPr="00C153A4" w:rsidRDefault="0033628C"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Gastos variables programa 926</w:t>
      </w:r>
      <w:r w:rsidR="005B3BE1" w:rsidRPr="00C153A4">
        <w:rPr>
          <w:rFonts w:ascii="Book Antiqua" w:eastAsiaTheme="majorEastAsia" w:hAnsi="Book Antiqua" w:cstheme="majorBidi"/>
          <w:b/>
          <w:color w:val="1F3864" w:themeColor="accent1" w:themeShade="80"/>
          <w:sz w:val="24"/>
          <w:lang w:val="es-ES"/>
        </w:rPr>
        <w:t>:</w:t>
      </w:r>
    </w:p>
    <w:p w14:paraId="6385F0C0" w14:textId="77777777" w:rsidR="001555A7" w:rsidRPr="005B3BE1" w:rsidRDefault="001555A7" w:rsidP="005B3BE1">
      <w:pPr>
        <w:spacing w:after="0" w:line="276" w:lineRule="auto"/>
        <w:jc w:val="both"/>
        <w:rPr>
          <w:rFonts w:ascii="Book Antiqua" w:eastAsia="Calibri" w:hAnsi="Book Antiqua" w:cs="Arial"/>
          <w:b/>
          <w:bCs/>
          <w:i/>
          <w:iCs/>
          <w:sz w:val="24"/>
          <w:szCs w:val="24"/>
        </w:rPr>
      </w:pPr>
    </w:p>
    <w:p w14:paraId="498CD301" w14:textId="77777777" w:rsidR="001C1FF2" w:rsidRPr="001C1FF2" w:rsidRDefault="001C1FF2" w:rsidP="001C1FF2">
      <w:pPr>
        <w:spacing w:after="0" w:line="276" w:lineRule="auto"/>
        <w:jc w:val="both"/>
        <w:rPr>
          <w:rFonts w:ascii="Book Antiqua" w:eastAsia="Calibri" w:hAnsi="Book Antiqua" w:cs="Arial"/>
          <w:b/>
          <w:bCs/>
          <w:sz w:val="24"/>
          <w:szCs w:val="24"/>
        </w:rPr>
      </w:pPr>
      <w:r w:rsidRPr="001C1FF2">
        <w:rPr>
          <w:rFonts w:ascii="Book Antiqua" w:eastAsia="Calibri" w:hAnsi="Book Antiqua" w:cs="Arial"/>
          <w:b/>
          <w:bCs/>
          <w:sz w:val="24"/>
          <w:szCs w:val="24"/>
        </w:rPr>
        <w:t>Capacitación-Programa 926</w:t>
      </w:r>
    </w:p>
    <w:p w14:paraId="3A87BBCF" w14:textId="77777777" w:rsidR="001C1FF2" w:rsidRPr="001C1FF2" w:rsidRDefault="001C1FF2" w:rsidP="001C1FF2">
      <w:pPr>
        <w:spacing w:after="0" w:line="276" w:lineRule="auto"/>
        <w:jc w:val="both"/>
        <w:rPr>
          <w:rFonts w:ascii="Book Antiqua" w:eastAsia="Calibri" w:hAnsi="Book Antiqua" w:cs="Arial"/>
          <w:sz w:val="24"/>
          <w:szCs w:val="24"/>
        </w:rPr>
      </w:pPr>
    </w:p>
    <w:p w14:paraId="03142460" w14:textId="00A2A51F" w:rsidR="001C1FF2" w:rsidRDefault="001C1FF2" w:rsidP="001C1FF2">
      <w:pPr>
        <w:spacing w:after="0" w:line="276" w:lineRule="auto"/>
        <w:jc w:val="both"/>
        <w:rPr>
          <w:rFonts w:ascii="Book Antiqua" w:eastAsia="Calibri" w:hAnsi="Book Antiqua" w:cs="Arial"/>
          <w:sz w:val="24"/>
          <w:szCs w:val="24"/>
        </w:rPr>
      </w:pPr>
      <w:r w:rsidRPr="001C1FF2">
        <w:rPr>
          <w:rFonts w:ascii="Book Antiqua" w:eastAsia="Calibri" w:hAnsi="Book Antiqua" w:cs="Arial"/>
          <w:sz w:val="24"/>
          <w:szCs w:val="24"/>
        </w:rPr>
        <w:t>En la partida de suplencias</w:t>
      </w:r>
      <w:r>
        <w:rPr>
          <w:rFonts w:ascii="Book Antiqua" w:eastAsia="Calibri" w:hAnsi="Book Antiqua" w:cs="Arial"/>
          <w:sz w:val="24"/>
          <w:szCs w:val="24"/>
        </w:rPr>
        <w:t>,</w:t>
      </w:r>
      <w:r w:rsidRPr="001C1FF2">
        <w:rPr>
          <w:rFonts w:ascii="Book Antiqua" w:eastAsia="Calibri" w:hAnsi="Book Antiqua" w:cs="Arial"/>
          <w:sz w:val="24"/>
          <w:szCs w:val="24"/>
        </w:rPr>
        <w:t xml:space="preserve"> la Escuela Judicial estimó el costo </w:t>
      </w:r>
      <w:r>
        <w:rPr>
          <w:rFonts w:ascii="Book Antiqua" w:eastAsia="Calibri" w:hAnsi="Book Antiqua" w:cs="Arial"/>
          <w:sz w:val="24"/>
          <w:szCs w:val="24"/>
        </w:rPr>
        <w:t>d</w:t>
      </w:r>
      <w:r w:rsidRPr="001C1FF2">
        <w:rPr>
          <w:rFonts w:ascii="Book Antiqua" w:eastAsia="Calibri" w:hAnsi="Book Antiqua" w:cs="Arial"/>
          <w:sz w:val="24"/>
          <w:szCs w:val="24"/>
        </w:rPr>
        <w:t xml:space="preserve">e </w:t>
      </w:r>
      <w:r w:rsidRPr="001C1FF2">
        <w:rPr>
          <w:rFonts w:ascii="Times New Roman" w:eastAsia="Calibri" w:hAnsi="Times New Roman" w:cs="Times New Roman"/>
          <w:sz w:val="24"/>
          <w:szCs w:val="24"/>
        </w:rPr>
        <w:t>₡</w:t>
      </w:r>
      <w:r w:rsidRPr="001C1FF2">
        <w:rPr>
          <w:rFonts w:ascii="Book Antiqua" w:eastAsia="Calibri" w:hAnsi="Book Antiqua" w:cs="Arial"/>
          <w:sz w:val="24"/>
          <w:szCs w:val="24"/>
        </w:rPr>
        <w:t>1,430,912.00, vi</w:t>
      </w:r>
      <w:r w:rsidRPr="001C1FF2">
        <w:rPr>
          <w:rFonts w:ascii="Book Antiqua" w:eastAsia="Calibri" w:hAnsi="Book Antiqua" w:cs="Book Antiqua"/>
          <w:sz w:val="24"/>
          <w:szCs w:val="24"/>
        </w:rPr>
        <w:t>á</w:t>
      </w:r>
      <w:r w:rsidRPr="001C1FF2">
        <w:rPr>
          <w:rFonts w:ascii="Book Antiqua" w:eastAsia="Calibri" w:hAnsi="Book Antiqua" w:cs="Arial"/>
          <w:sz w:val="24"/>
          <w:szCs w:val="24"/>
        </w:rPr>
        <w:t xml:space="preserve">ticos </w:t>
      </w:r>
      <w:r w:rsidRPr="001C1FF2">
        <w:rPr>
          <w:rFonts w:ascii="Times New Roman" w:eastAsia="Calibri" w:hAnsi="Times New Roman" w:cs="Times New Roman"/>
          <w:sz w:val="24"/>
          <w:szCs w:val="24"/>
        </w:rPr>
        <w:t>₡</w:t>
      </w:r>
      <w:r w:rsidRPr="001C1FF2">
        <w:rPr>
          <w:rFonts w:ascii="Book Antiqua" w:eastAsia="Calibri" w:hAnsi="Book Antiqua" w:cs="Arial"/>
          <w:sz w:val="24"/>
          <w:szCs w:val="24"/>
        </w:rPr>
        <w:t xml:space="preserve">13,529,000.00, transporte </w:t>
      </w:r>
      <w:r w:rsidRPr="001C1FF2">
        <w:rPr>
          <w:rFonts w:ascii="Times New Roman" w:eastAsia="Calibri" w:hAnsi="Times New Roman" w:cs="Times New Roman"/>
          <w:sz w:val="24"/>
          <w:szCs w:val="24"/>
        </w:rPr>
        <w:t>₡</w:t>
      </w:r>
      <w:r w:rsidRPr="001C1FF2">
        <w:rPr>
          <w:rFonts w:ascii="Book Antiqua" w:eastAsia="Calibri" w:hAnsi="Book Antiqua" w:cs="Arial"/>
          <w:sz w:val="24"/>
          <w:szCs w:val="24"/>
        </w:rPr>
        <w:t xml:space="preserve">1,000,000.00, por concepto de materiales impresos </w:t>
      </w:r>
      <w:r w:rsidRPr="001C1FF2">
        <w:rPr>
          <w:rFonts w:ascii="Times New Roman" w:eastAsia="Calibri" w:hAnsi="Times New Roman" w:cs="Times New Roman"/>
          <w:sz w:val="24"/>
          <w:szCs w:val="24"/>
        </w:rPr>
        <w:t>₡</w:t>
      </w:r>
      <w:r w:rsidRPr="001C1FF2">
        <w:rPr>
          <w:rFonts w:ascii="Book Antiqua" w:eastAsia="Calibri" w:hAnsi="Book Antiqua" w:cs="Arial"/>
          <w:sz w:val="24"/>
          <w:szCs w:val="24"/>
        </w:rPr>
        <w:t xml:space="preserve">1,500,000.00 y por dispositivos de almacenamiento </w:t>
      </w:r>
      <w:r w:rsidRPr="001C1FF2">
        <w:rPr>
          <w:rFonts w:ascii="Times New Roman" w:eastAsia="Calibri" w:hAnsi="Times New Roman" w:cs="Times New Roman"/>
          <w:sz w:val="24"/>
          <w:szCs w:val="24"/>
        </w:rPr>
        <w:t>₡</w:t>
      </w:r>
      <w:r w:rsidRPr="001C1FF2">
        <w:rPr>
          <w:rFonts w:ascii="Book Antiqua" w:eastAsia="Calibri" w:hAnsi="Book Antiqua" w:cs="Arial"/>
          <w:sz w:val="24"/>
          <w:szCs w:val="24"/>
        </w:rPr>
        <w:t>200,000.00.</w:t>
      </w:r>
    </w:p>
    <w:p w14:paraId="1EBEEEB1" w14:textId="77777777" w:rsidR="001C1FF2" w:rsidRDefault="001C1FF2" w:rsidP="001D0C10">
      <w:pPr>
        <w:spacing w:after="0" w:line="276" w:lineRule="auto"/>
        <w:jc w:val="both"/>
        <w:rPr>
          <w:rFonts w:ascii="Book Antiqua" w:eastAsia="Calibri" w:hAnsi="Book Antiqua" w:cs="Arial"/>
          <w:sz w:val="24"/>
          <w:szCs w:val="24"/>
        </w:rPr>
      </w:pPr>
    </w:p>
    <w:p w14:paraId="6EC7C3B3" w14:textId="36C42B53" w:rsidR="0033628C" w:rsidRDefault="0033628C" w:rsidP="001D0C1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Se incorporan </w:t>
      </w:r>
      <w:bookmarkStart w:id="88" w:name="_Hlk130195168"/>
      <w:r w:rsidRPr="001D0C10">
        <w:rPr>
          <w:rFonts w:ascii="Calibri" w:eastAsia="Times New Roman" w:hAnsi="Calibri" w:cs="Times New Roman"/>
          <w:color w:val="000000"/>
          <w:sz w:val="24"/>
          <w:szCs w:val="24"/>
          <w:lang w:eastAsia="es-CR"/>
        </w:rPr>
        <w:t>₡</w:t>
      </w:r>
      <w:r w:rsidR="000B036D" w:rsidRPr="001D0C10">
        <w:rPr>
          <w:rFonts w:ascii="Book Antiqua" w:eastAsia="Calibri" w:hAnsi="Book Antiqua" w:cs="Arial"/>
          <w:sz w:val="24"/>
          <w:szCs w:val="24"/>
        </w:rPr>
        <w:t>6</w:t>
      </w:r>
      <w:r w:rsidRPr="001D0C10">
        <w:rPr>
          <w:rFonts w:ascii="Book Antiqua" w:eastAsia="Calibri" w:hAnsi="Book Antiqua" w:cs="Arial"/>
          <w:sz w:val="24"/>
          <w:szCs w:val="24"/>
        </w:rPr>
        <w:t xml:space="preserve">0,000,000.00 </w:t>
      </w:r>
      <w:bookmarkEnd w:id="88"/>
      <w:r w:rsidRPr="001D0C10">
        <w:rPr>
          <w:rFonts w:ascii="Book Antiqua" w:eastAsia="Calibri" w:hAnsi="Book Antiqua" w:cs="Arial"/>
          <w:sz w:val="24"/>
          <w:szCs w:val="24"/>
        </w:rPr>
        <w:t xml:space="preserve">para el pago de peritajes </w:t>
      </w:r>
      <w:r w:rsidR="007F7D79">
        <w:rPr>
          <w:rFonts w:ascii="Book Antiqua" w:eastAsia="Calibri" w:hAnsi="Book Antiqua" w:cs="Arial"/>
          <w:sz w:val="24"/>
          <w:szCs w:val="24"/>
        </w:rPr>
        <w:t>para el</w:t>
      </w:r>
      <w:r w:rsidRPr="001D0C10">
        <w:rPr>
          <w:rFonts w:ascii="Book Antiqua" w:eastAsia="Calibri" w:hAnsi="Book Antiqua" w:cs="Arial"/>
          <w:sz w:val="24"/>
          <w:szCs w:val="24"/>
        </w:rPr>
        <w:t xml:space="preserve"> Departamento de Trabajo Social y Psicología para reducir su circulante y dar trámite a las solicitudes de valoración de Juzgados de Familia </w:t>
      </w:r>
      <w:r w:rsidR="000B036D" w:rsidRPr="001D0C10">
        <w:rPr>
          <w:rFonts w:ascii="Book Antiqua" w:eastAsia="Calibri" w:hAnsi="Book Antiqua" w:cs="Arial"/>
          <w:sz w:val="24"/>
          <w:szCs w:val="24"/>
        </w:rPr>
        <w:t xml:space="preserve">y Juzgados de Violencia </w:t>
      </w:r>
      <w:r w:rsidRPr="001D0C10">
        <w:rPr>
          <w:rFonts w:ascii="Book Antiqua" w:eastAsia="Calibri" w:hAnsi="Book Antiqua" w:cs="Arial"/>
          <w:sz w:val="24"/>
          <w:szCs w:val="24"/>
        </w:rPr>
        <w:t>a nivel nacional que se encuentren pendientes</w:t>
      </w:r>
      <w:r w:rsidR="002A6659">
        <w:rPr>
          <w:rFonts w:ascii="Book Antiqua" w:eastAsia="Calibri" w:hAnsi="Book Antiqua" w:cs="Arial"/>
          <w:sz w:val="24"/>
          <w:szCs w:val="24"/>
        </w:rPr>
        <w:t xml:space="preserve"> (30 millones para cada materia)</w:t>
      </w:r>
      <w:r w:rsidRPr="001D0C10">
        <w:rPr>
          <w:rFonts w:ascii="Book Antiqua" w:eastAsia="Calibri" w:hAnsi="Book Antiqua" w:cs="Arial"/>
          <w:sz w:val="24"/>
          <w:szCs w:val="24"/>
        </w:rPr>
        <w:t>.</w:t>
      </w:r>
      <w:r w:rsidRPr="0033628C">
        <w:rPr>
          <w:rFonts w:ascii="Book Antiqua" w:eastAsia="Calibri" w:hAnsi="Book Antiqua" w:cs="Arial"/>
          <w:sz w:val="24"/>
          <w:szCs w:val="24"/>
        </w:rPr>
        <w:t xml:space="preserve">  </w:t>
      </w:r>
    </w:p>
    <w:p w14:paraId="795142B6" w14:textId="77777777" w:rsidR="0089693E" w:rsidRDefault="0089693E" w:rsidP="001D0C10">
      <w:pPr>
        <w:spacing w:after="0" w:line="276" w:lineRule="auto"/>
        <w:jc w:val="both"/>
        <w:rPr>
          <w:rFonts w:ascii="Book Antiqua" w:eastAsia="Calibri" w:hAnsi="Book Antiqua" w:cs="Arial"/>
          <w:sz w:val="24"/>
          <w:szCs w:val="24"/>
        </w:rPr>
      </w:pPr>
    </w:p>
    <w:p w14:paraId="6D69EBB5" w14:textId="71E66302" w:rsidR="0089693E" w:rsidRDefault="008E7237" w:rsidP="001D0C1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Los costos por g</w:t>
      </w:r>
      <w:r w:rsidR="0089693E">
        <w:rPr>
          <w:rFonts w:ascii="Book Antiqua" w:eastAsia="Calibri" w:hAnsi="Book Antiqua" w:cs="Arial"/>
          <w:sz w:val="24"/>
          <w:szCs w:val="24"/>
        </w:rPr>
        <w:t xml:space="preserve">astos </w:t>
      </w:r>
      <w:r w:rsidR="004C062D">
        <w:rPr>
          <w:rFonts w:ascii="Book Antiqua" w:eastAsia="Calibri" w:hAnsi="Book Antiqua" w:cs="Arial"/>
          <w:sz w:val="24"/>
          <w:szCs w:val="24"/>
        </w:rPr>
        <w:t>de m</w:t>
      </w:r>
      <w:r w:rsidR="004929E2">
        <w:rPr>
          <w:rFonts w:ascii="Book Antiqua" w:eastAsia="Calibri" w:hAnsi="Book Antiqua" w:cs="Arial"/>
          <w:sz w:val="24"/>
          <w:szCs w:val="24"/>
        </w:rPr>
        <w:t xml:space="preserve">ateriales y </w:t>
      </w:r>
      <w:r w:rsidR="004C062D">
        <w:rPr>
          <w:rFonts w:ascii="Book Antiqua" w:eastAsia="Calibri" w:hAnsi="Book Antiqua" w:cs="Arial"/>
          <w:sz w:val="24"/>
          <w:szCs w:val="24"/>
        </w:rPr>
        <w:t>s</w:t>
      </w:r>
      <w:r w:rsidR="004929E2">
        <w:rPr>
          <w:rFonts w:ascii="Book Antiqua" w:eastAsia="Calibri" w:hAnsi="Book Antiqua" w:cs="Arial"/>
          <w:sz w:val="24"/>
          <w:szCs w:val="24"/>
        </w:rPr>
        <w:t xml:space="preserve">uministros </w:t>
      </w:r>
      <w:r w:rsidR="00CB6CC5">
        <w:rPr>
          <w:rFonts w:ascii="Book Antiqua" w:eastAsia="Calibri" w:hAnsi="Book Antiqua" w:cs="Arial"/>
          <w:sz w:val="24"/>
          <w:szCs w:val="24"/>
        </w:rPr>
        <w:t xml:space="preserve">estimados </w:t>
      </w:r>
      <w:r w:rsidR="004C062D">
        <w:rPr>
          <w:rFonts w:ascii="Book Antiqua" w:eastAsia="Calibri" w:hAnsi="Book Antiqua" w:cs="Arial"/>
          <w:sz w:val="24"/>
          <w:szCs w:val="24"/>
        </w:rPr>
        <w:t xml:space="preserve">por </w:t>
      </w:r>
      <w:r w:rsidR="004929E2">
        <w:rPr>
          <w:rFonts w:ascii="Book Antiqua" w:eastAsia="Calibri" w:hAnsi="Book Antiqua" w:cs="Arial"/>
          <w:sz w:val="24"/>
          <w:szCs w:val="24"/>
        </w:rPr>
        <w:t xml:space="preserve">la Dirección </w:t>
      </w:r>
      <w:r w:rsidR="004C062D">
        <w:rPr>
          <w:rFonts w:ascii="Book Antiqua" w:eastAsia="Calibri" w:hAnsi="Book Antiqua" w:cs="Arial"/>
          <w:sz w:val="24"/>
          <w:szCs w:val="24"/>
        </w:rPr>
        <w:t xml:space="preserve">Ejecutiva </w:t>
      </w:r>
      <w:r w:rsidR="00CB6CC5">
        <w:rPr>
          <w:rFonts w:ascii="Book Antiqua" w:eastAsia="Calibri" w:hAnsi="Book Antiqua" w:cs="Arial"/>
          <w:sz w:val="24"/>
          <w:szCs w:val="24"/>
        </w:rPr>
        <w:t>son</w:t>
      </w:r>
      <w:r w:rsidR="004C062D">
        <w:rPr>
          <w:rFonts w:ascii="Book Antiqua" w:eastAsia="Calibri" w:hAnsi="Book Antiqua" w:cs="Arial"/>
          <w:sz w:val="24"/>
          <w:szCs w:val="24"/>
        </w:rPr>
        <w:t xml:space="preserve"> de</w:t>
      </w:r>
      <w:r w:rsidR="00CB6CC5">
        <w:rPr>
          <w:rFonts w:ascii="Book Antiqua" w:eastAsia="Calibri" w:hAnsi="Book Antiqua" w:cs="Arial"/>
          <w:sz w:val="24"/>
          <w:szCs w:val="24"/>
        </w:rPr>
        <w:t xml:space="preserve"> </w:t>
      </w:r>
      <w:r w:rsidR="00CB6CC5" w:rsidRPr="00CB6CC5">
        <w:rPr>
          <w:rFonts w:ascii="Times New Roman" w:eastAsia="Calibri" w:hAnsi="Times New Roman" w:cs="Times New Roman"/>
          <w:sz w:val="24"/>
          <w:szCs w:val="24"/>
        </w:rPr>
        <w:t>₡</w:t>
      </w:r>
      <w:r w:rsidR="00A922DC">
        <w:rPr>
          <w:rFonts w:ascii="Times New Roman" w:eastAsia="Calibri" w:hAnsi="Times New Roman" w:cs="Times New Roman"/>
          <w:sz w:val="24"/>
          <w:szCs w:val="24"/>
        </w:rPr>
        <w:t>449</w:t>
      </w:r>
      <w:r w:rsidR="00CB6CC5" w:rsidRPr="00CB6CC5">
        <w:rPr>
          <w:rFonts w:ascii="Book Antiqua" w:eastAsia="Calibri" w:hAnsi="Book Antiqua" w:cs="Arial"/>
          <w:sz w:val="24"/>
          <w:szCs w:val="24"/>
        </w:rPr>
        <w:t>,</w:t>
      </w:r>
      <w:r w:rsidR="00A922DC">
        <w:rPr>
          <w:rFonts w:ascii="Book Antiqua" w:eastAsia="Calibri" w:hAnsi="Book Antiqua" w:cs="Arial"/>
          <w:sz w:val="24"/>
          <w:szCs w:val="24"/>
        </w:rPr>
        <w:t>772</w:t>
      </w:r>
      <w:r w:rsidR="00CB6CC5" w:rsidRPr="00CB6CC5">
        <w:rPr>
          <w:rFonts w:ascii="Book Antiqua" w:eastAsia="Calibri" w:hAnsi="Book Antiqua" w:cs="Arial"/>
          <w:sz w:val="24"/>
          <w:szCs w:val="24"/>
        </w:rPr>
        <w:t>.</w:t>
      </w:r>
      <w:r w:rsidR="00A922DC">
        <w:rPr>
          <w:rFonts w:ascii="Book Antiqua" w:eastAsia="Calibri" w:hAnsi="Book Antiqua" w:cs="Arial"/>
          <w:sz w:val="24"/>
          <w:szCs w:val="24"/>
        </w:rPr>
        <w:t>5</w:t>
      </w:r>
      <w:r w:rsidR="00CB6CC5" w:rsidRPr="00CB6CC5">
        <w:rPr>
          <w:rFonts w:ascii="Book Antiqua" w:eastAsia="Calibri" w:hAnsi="Book Antiqua" w:cs="Arial"/>
          <w:sz w:val="24"/>
          <w:szCs w:val="24"/>
        </w:rPr>
        <w:t>0</w:t>
      </w:r>
      <w:r w:rsidR="00724A05">
        <w:rPr>
          <w:rFonts w:ascii="Book Antiqua" w:eastAsia="Calibri" w:hAnsi="Book Antiqua" w:cs="Arial"/>
          <w:sz w:val="24"/>
          <w:szCs w:val="24"/>
        </w:rPr>
        <w:t>.</w:t>
      </w:r>
    </w:p>
    <w:p w14:paraId="02F8FF65" w14:textId="77777777" w:rsidR="007F7D79" w:rsidRPr="0033628C" w:rsidRDefault="007F7D79" w:rsidP="001D0C10">
      <w:pPr>
        <w:spacing w:after="0" w:line="276" w:lineRule="auto"/>
        <w:jc w:val="both"/>
        <w:rPr>
          <w:rFonts w:ascii="Book Antiqua" w:eastAsia="Calibri" w:hAnsi="Book Antiqua" w:cs="Arial"/>
          <w:sz w:val="24"/>
          <w:szCs w:val="24"/>
        </w:rPr>
      </w:pPr>
    </w:p>
    <w:p w14:paraId="26F91C94" w14:textId="400F6848" w:rsidR="0033628C" w:rsidRPr="00C153A4" w:rsidRDefault="0033628C"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89" w:name="_Hlk34403189"/>
      <w:r w:rsidRPr="00C153A4">
        <w:rPr>
          <w:rFonts w:ascii="Book Antiqua" w:eastAsiaTheme="majorEastAsia" w:hAnsi="Book Antiqua" w:cstheme="majorBidi"/>
          <w:b/>
          <w:color w:val="1F3864" w:themeColor="accent1" w:themeShade="80"/>
          <w:sz w:val="24"/>
          <w:lang w:val="es-ES"/>
        </w:rPr>
        <w:t>Costos del Programa 927</w:t>
      </w:r>
    </w:p>
    <w:p w14:paraId="1318A8E7" w14:textId="77777777" w:rsidR="00C153A4" w:rsidRDefault="00C153A4" w:rsidP="00C153A4">
      <w:pPr>
        <w:spacing w:after="0" w:line="276" w:lineRule="auto"/>
        <w:jc w:val="both"/>
        <w:rPr>
          <w:rFonts w:ascii="Book Antiqua" w:eastAsia="Calibri" w:hAnsi="Book Antiqua" w:cs="Arial"/>
          <w:b/>
          <w:bCs/>
          <w:sz w:val="24"/>
          <w:szCs w:val="24"/>
        </w:rPr>
      </w:pPr>
    </w:p>
    <w:p w14:paraId="3DCA18C8" w14:textId="58D6F3FD" w:rsidR="0033628C" w:rsidRDefault="0033628C" w:rsidP="00C153A4">
      <w:pPr>
        <w:spacing w:after="0" w:line="276" w:lineRule="auto"/>
        <w:jc w:val="both"/>
        <w:rPr>
          <w:rFonts w:ascii="Book Antiqua" w:eastAsia="Calibri" w:hAnsi="Book Antiqua" w:cs="Arial"/>
          <w:b/>
          <w:bCs/>
          <w:sz w:val="24"/>
          <w:szCs w:val="24"/>
        </w:rPr>
      </w:pPr>
      <w:r w:rsidRPr="00C153A4">
        <w:rPr>
          <w:rFonts w:ascii="Book Antiqua" w:eastAsia="Calibri" w:hAnsi="Book Antiqua" w:cs="Arial"/>
          <w:b/>
          <w:bCs/>
          <w:sz w:val="24"/>
          <w:szCs w:val="24"/>
        </w:rPr>
        <w:t>Recurso humano estimado para Juzgados de materia Familia, Violencia Doméstica y Pensiones Alimentarias</w:t>
      </w:r>
    </w:p>
    <w:p w14:paraId="2FABAF20" w14:textId="77777777" w:rsidR="007F0248" w:rsidRPr="00C153A4" w:rsidRDefault="007F0248" w:rsidP="00C153A4">
      <w:pPr>
        <w:spacing w:after="0" w:line="276" w:lineRule="auto"/>
        <w:jc w:val="both"/>
        <w:rPr>
          <w:rFonts w:ascii="Book Antiqua" w:eastAsia="Calibri" w:hAnsi="Book Antiqua" w:cs="Arial"/>
          <w:b/>
          <w:bCs/>
          <w:sz w:val="24"/>
          <w:szCs w:val="24"/>
        </w:rPr>
      </w:pPr>
    </w:p>
    <w:bookmarkEnd w:id="89"/>
    <w:p w14:paraId="7E71797B" w14:textId="29FA2E23" w:rsidR="000306FA" w:rsidRDefault="0033628C" w:rsidP="0033628C">
      <w:pPr>
        <w:spacing w:after="0" w:line="276" w:lineRule="auto"/>
        <w:jc w:val="both"/>
        <w:rPr>
          <w:rFonts w:ascii="Book Antiqua" w:eastAsia="Calibri" w:hAnsi="Book Antiqua" w:cs="Arial"/>
          <w:sz w:val="24"/>
          <w:szCs w:val="24"/>
        </w:rPr>
      </w:pPr>
      <w:r w:rsidRPr="0033628C">
        <w:rPr>
          <w:rFonts w:ascii="Book Antiqua" w:eastAsia="Calibri" w:hAnsi="Book Antiqua" w:cs="Arial"/>
          <w:sz w:val="24"/>
          <w:szCs w:val="24"/>
        </w:rPr>
        <w:t>En el cuadro siguiente se detalla la cantidad de recursos humanos requeridos en los despachos que atienden materias de Familia</w:t>
      </w:r>
      <w:r w:rsidR="00A80FB5">
        <w:rPr>
          <w:rFonts w:ascii="Book Antiqua" w:eastAsia="Calibri" w:hAnsi="Book Antiqua" w:cs="Arial"/>
          <w:sz w:val="24"/>
          <w:szCs w:val="24"/>
        </w:rPr>
        <w:t xml:space="preserve"> </w:t>
      </w:r>
      <w:r w:rsidRPr="0033628C">
        <w:rPr>
          <w:rFonts w:ascii="Book Antiqua" w:eastAsia="Calibri" w:hAnsi="Book Antiqua" w:cs="Arial"/>
          <w:sz w:val="24"/>
          <w:szCs w:val="24"/>
        </w:rPr>
        <w:t>y Pensiones Alimentarias.</w:t>
      </w:r>
      <w:r w:rsidR="00A80FB5">
        <w:rPr>
          <w:rFonts w:ascii="Book Antiqua" w:eastAsia="Calibri" w:hAnsi="Book Antiqua" w:cs="Arial"/>
          <w:sz w:val="24"/>
          <w:szCs w:val="24"/>
        </w:rPr>
        <w:t xml:space="preserve"> Para materia de Violencia Doméstica, específicamente despachos especializados, se analizará a partir del resultado de la construcción conjunta entre esta Dirección, personas Juzgados, Comisiones Jurisdiccionales de oficina modelo. </w:t>
      </w:r>
    </w:p>
    <w:p w14:paraId="70A0D341" w14:textId="5C01A9C2" w:rsidR="000D3457" w:rsidRPr="000D3457" w:rsidRDefault="000D3457" w:rsidP="000D345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D3457">
        <w:rPr>
          <w:rFonts w:ascii="Book Antiqua" w:eastAsia="Calibri" w:hAnsi="Book Antiqua" w:cs="Arial"/>
          <w:b/>
          <w:bCs/>
          <w:color w:val="1F497D"/>
          <w:szCs w:val="24"/>
          <w:lang w:val="es-ES" w:eastAsia="es-ES"/>
        </w:rPr>
        <w:t xml:space="preserve">Cuadro </w:t>
      </w:r>
      <w:r w:rsidRPr="000D3457">
        <w:rPr>
          <w:rFonts w:ascii="Book Antiqua" w:eastAsia="Calibri" w:hAnsi="Book Antiqua" w:cs="Arial"/>
          <w:b/>
          <w:bCs/>
          <w:color w:val="1F497D"/>
          <w:szCs w:val="24"/>
          <w:lang w:val="es-ES" w:eastAsia="es-ES"/>
        </w:rPr>
        <w:fldChar w:fldCharType="begin"/>
      </w:r>
      <w:r w:rsidRPr="000D3457">
        <w:rPr>
          <w:rFonts w:ascii="Book Antiqua" w:eastAsia="Calibri" w:hAnsi="Book Antiqua" w:cs="Arial"/>
          <w:b/>
          <w:bCs/>
          <w:color w:val="1F497D"/>
          <w:szCs w:val="24"/>
          <w:lang w:val="es-ES" w:eastAsia="es-ES"/>
        </w:rPr>
        <w:instrText xml:space="preserve"> SEQ Cuadro \* ARABIC </w:instrText>
      </w:r>
      <w:r w:rsidRPr="000D3457">
        <w:rPr>
          <w:rFonts w:ascii="Book Antiqua" w:eastAsia="Calibri" w:hAnsi="Book Antiqua" w:cs="Arial"/>
          <w:b/>
          <w:bCs/>
          <w:color w:val="1F497D"/>
          <w:szCs w:val="24"/>
          <w:lang w:val="es-ES" w:eastAsia="es-ES"/>
        </w:rPr>
        <w:fldChar w:fldCharType="separate"/>
      </w:r>
      <w:r w:rsidR="008A1D58">
        <w:rPr>
          <w:rFonts w:ascii="Book Antiqua" w:eastAsia="Calibri" w:hAnsi="Book Antiqua" w:cs="Arial"/>
          <w:b/>
          <w:bCs/>
          <w:noProof/>
          <w:color w:val="1F497D"/>
          <w:szCs w:val="24"/>
          <w:lang w:val="es-ES" w:eastAsia="es-ES"/>
        </w:rPr>
        <w:t>74</w:t>
      </w:r>
      <w:r w:rsidRPr="000D3457">
        <w:rPr>
          <w:rFonts w:ascii="Book Antiqua" w:eastAsia="Calibri" w:hAnsi="Book Antiqua" w:cs="Arial"/>
          <w:b/>
          <w:bCs/>
          <w:color w:val="1F497D"/>
          <w:szCs w:val="24"/>
          <w:lang w:val="es-ES" w:eastAsia="es-ES"/>
        </w:rPr>
        <w:fldChar w:fldCharType="end"/>
      </w:r>
      <w:r w:rsidRPr="000D3457">
        <w:rPr>
          <w:rFonts w:ascii="Book Antiqua" w:eastAsia="Calibri" w:hAnsi="Book Antiqua" w:cs="Arial"/>
          <w:b/>
          <w:bCs/>
          <w:color w:val="1F497D"/>
          <w:szCs w:val="24"/>
          <w:lang w:val="es-ES" w:eastAsia="es-ES"/>
        </w:rPr>
        <w:t xml:space="preserve"> </w:t>
      </w:r>
    </w:p>
    <w:p w14:paraId="64D54ABD" w14:textId="17C896CA" w:rsidR="000D3457" w:rsidRDefault="000D3457" w:rsidP="000D345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D3457">
        <w:rPr>
          <w:rFonts w:ascii="Book Antiqua" w:eastAsia="Calibri" w:hAnsi="Book Antiqua" w:cs="Arial"/>
          <w:b/>
          <w:bCs/>
          <w:color w:val="1F497D"/>
          <w:szCs w:val="24"/>
          <w:lang w:val="es-ES" w:eastAsia="es-ES"/>
        </w:rPr>
        <w:t>Cantidad de recurso humano necesario y costo estimado de recursos en los juzgados de materias Familia, Violencia Doméstica y Pensiones Alimentarias con el CPF</w:t>
      </w:r>
    </w:p>
    <w:tbl>
      <w:tblPr>
        <w:tblW w:w="11359" w:type="dxa"/>
        <w:jc w:val="center"/>
        <w:tblCellMar>
          <w:left w:w="70" w:type="dxa"/>
          <w:right w:w="70" w:type="dxa"/>
        </w:tblCellMar>
        <w:tblLook w:val="04A0" w:firstRow="1" w:lastRow="0" w:firstColumn="1" w:lastColumn="0" w:noHBand="0" w:noVBand="1"/>
      </w:tblPr>
      <w:tblGrid>
        <w:gridCol w:w="1461"/>
        <w:gridCol w:w="1024"/>
        <w:gridCol w:w="1039"/>
        <w:gridCol w:w="1212"/>
        <w:gridCol w:w="1450"/>
        <w:gridCol w:w="1546"/>
        <w:gridCol w:w="1554"/>
        <w:gridCol w:w="2073"/>
      </w:tblGrid>
      <w:tr w:rsidR="00353DFD" w:rsidRPr="00353DFD" w14:paraId="688A9326" w14:textId="77777777" w:rsidTr="00353DFD">
        <w:trPr>
          <w:trHeight w:val="457"/>
          <w:jc w:val="center"/>
        </w:trPr>
        <w:tc>
          <w:tcPr>
            <w:tcW w:w="1304"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216E845E"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Despacho</w:t>
            </w:r>
          </w:p>
        </w:tc>
        <w:tc>
          <w:tcPr>
            <w:tcW w:w="1086" w:type="dxa"/>
            <w:tcBorders>
              <w:top w:val="single" w:sz="8" w:space="0" w:color="auto"/>
              <w:left w:val="nil"/>
              <w:bottom w:val="single" w:sz="8" w:space="0" w:color="auto"/>
              <w:right w:val="single" w:sz="8" w:space="0" w:color="auto"/>
            </w:tcBorders>
            <w:shd w:val="clear" w:color="000000" w:fill="002060"/>
            <w:vAlign w:val="center"/>
            <w:hideMark/>
          </w:tcPr>
          <w:p w14:paraId="27D8BE00"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Cant.</w:t>
            </w:r>
          </w:p>
        </w:tc>
        <w:tc>
          <w:tcPr>
            <w:tcW w:w="928" w:type="dxa"/>
            <w:tcBorders>
              <w:top w:val="single" w:sz="8" w:space="0" w:color="auto"/>
              <w:left w:val="nil"/>
              <w:bottom w:val="single" w:sz="8" w:space="0" w:color="auto"/>
              <w:right w:val="single" w:sz="8" w:space="0" w:color="auto"/>
            </w:tcBorders>
            <w:shd w:val="clear" w:color="000000" w:fill="002060"/>
            <w:vAlign w:val="center"/>
            <w:hideMark/>
          </w:tcPr>
          <w:p w14:paraId="40FDD427"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Tipo de plaza</w:t>
            </w:r>
          </w:p>
        </w:tc>
        <w:tc>
          <w:tcPr>
            <w:tcW w:w="1284" w:type="dxa"/>
            <w:tcBorders>
              <w:top w:val="single" w:sz="8" w:space="0" w:color="auto"/>
              <w:left w:val="nil"/>
              <w:bottom w:val="single" w:sz="8" w:space="0" w:color="auto"/>
              <w:right w:val="single" w:sz="8" w:space="0" w:color="auto"/>
            </w:tcBorders>
            <w:shd w:val="clear" w:color="000000" w:fill="002060"/>
            <w:vAlign w:val="center"/>
            <w:hideMark/>
          </w:tcPr>
          <w:p w14:paraId="64C0A0F3" w14:textId="3A33D5C3"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 xml:space="preserve">Cond. </w:t>
            </w:r>
            <w:r w:rsidR="00110E4A" w:rsidRPr="00353DFD">
              <w:rPr>
                <w:rFonts w:ascii="Book Antiqua" w:eastAsia="Times New Roman" w:hAnsi="Book Antiqua" w:cs="Calibri"/>
                <w:b/>
                <w:bCs/>
                <w:color w:val="FFFFFF"/>
                <w:sz w:val="18"/>
                <w:szCs w:val="18"/>
                <w:lang w:eastAsia="es-CR"/>
              </w:rPr>
              <w:t>A</w:t>
            </w:r>
            <w:r w:rsidRPr="00353DFD">
              <w:rPr>
                <w:rFonts w:ascii="Book Antiqua" w:eastAsia="Times New Roman" w:hAnsi="Book Antiqua" w:cs="Calibri"/>
                <w:b/>
                <w:bCs/>
                <w:color w:val="FFFFFF"/>
                <w:sz w:val="18"/>
                <w:szCs w:val="18"/>
                <w:lang w:eastAsia="es-CR"/>
              </w:rPr>
              <w:t>ctual</w:t>
            </w:r>
          </w:p>
        </w:tc>
        <w:tc>
          <w:tcPr>
            <w:tcW w:w="1295" w:type="dxa"/>
            <w:tcBorders>
              <w:top w:val="single" w:sz="8" w:space="0" w:color="auto"/>
              <w:left w:val="nil"/>
              <w:bottom w:val="single" w:sz="8" w:space="0" w:color="auto"/>
              <w:right w:val="single" w:sz="8" w:space="0" w:color="auto"/>
            </w:tcBorders>
            <w:shd w:val="clear" w:color="000000" w:fill="002060"/>
            <w:vAlign w:val="center"/>
            <w:hideMark/>
          </w:tcPr>
          <w:p w14:paraId="4CEB80BD"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Recomendación</w:t>
            </w:r>
          </w:p>
        </w:tc>
        <w:tc>
          <w:tcPr>
            <w:tcW w:w="1649" w:type="dxa"/>
            <w:tcBorders>
              <w:top w:val="single" w:sz="8" w:space="0" w:color="auto"/>
              <w:left w:val="nil"/>
              <w:bottom w:val="single" w:sz="8" w:space="0" w:color="auto"/>
              <w:right w:val="single" w:sz="8" w:space="0" w:color="auto"/>
            </w:tcBorders>
            <w:shd w:val="clear" w:color="000000" w:fill="002060"/>
            <w:vAlign w:val="center"/>
            <w:hideMark/>
          </w:tcPr>
          <w:p w14:paraId="01B6B32C"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Periodo</w:t>
            </w:r>
          </w:p>
        </w:tc>
        <w:tc>
          <w:tcPr>
            <w:tcW w:w="1644" w:type="dxa"/>
            <w:tcBorders>
              <w:top w:val="single" w:sz="8" w:space="0" w:color="auto"/>
              <w:left w:val="nil"/>
              <w:bottom w:val="single" w:sz="8" w:space="0" w:color="auto"/>
              <w:right w:val="single" w:sz="8" w:space="0" w:color="auto"/>
            </w:tcBorders>
            <w:shd w:val="clear" w:color="000000" w:fill="002060"/>
            <w:vAlign w:val="center"/>
            <w:hideMark/>
          </w:tcPr>
          <w:p w14:paraId="590450A9"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Costo estimado</w:t>
            </w:r>
          </w:p>
        </w:tc>
        <w:tc>
          <w:tcPr>
            <w:tcW w:w="2167" w:type="dxa"/>
            <w:tcBorders>
              <w:top w:val="single" w:sz="8" w:space="0" w:color="auto"/>
              <w:left w:val="nil"/>
              <w:bottom w:val="single" w:sz="8" w:space="0" w:color="auto"/>
              <w:right w:val="single" w:sz="8" w:space="0" w:color="auto"/>
            </w:tcBorders>
            <w:shd w:val="clear" w:color="000000" w:fill="002060"/>
            <w:vAlign w:val="center"/>
            <w:hideMark/>
          </w:tcPr>
          <w:p w14:paraId="15974DA6"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Observaciones</w:t>
            </w:r>
          </w:p>
        </w:tc>
      </w:tr>
      <w:tr w:rsidR="00353DFD" w:rsidRPr="00353DFD" w14:paraId="0FEEB6BF" w14:textId="77777777" w:rsidTr="00353DFD">
        <w:trPr>
          <w:trHeight w:val="1129"/>
          <w:jc w:val="center"/>
        </w:trPr>
        <w:tc>
          <w:tcPr>
            <w:tcW w:w="1304" w:type="dxa"/>
            <w:tcBorders>
              <w:top w:val="nil"/>
              <w:left w:val="single" w:sz="8" w:space="0" w:color="auto"/>
              <w:bottom w:val="single" w:sz="8" w:space="0" w:color="auto"/>
              <w:right w:val="single" w:sz="8" w:space="0" w:color="auto"/>
            </w:tcBorders>
            <w:shd w:val="clear" w:color="auto" w:fill="auto"/>
            <w:vAlign w:val="center"/>
            <w:hideMark/>
          </w:tcPr>
          <w:p w14:paraId="273BFB56" w14:textId="77777777" w:rsidR="00353DFD" w:rsidRPr="00353DFD" w:rsidRDefault="00353DFD" w:rsidP="00353DFD">
            <w:pPr>
              <w:spacing w:after="0" w:line="240" w:lineRule="auto"/>
              <w:jc w:val="both"/>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Juzgado Familia II Circuito Judicial de Alajuela</w:t>
            </w:r>
          </w:p>
        </w:tc>
        <w:tc>
          <w:tcPr>
            <w:tcW w:w="1086" w:type="dxa"/>
            <w:tcBorders>
              <w:top w:val="nil"/>
              <w:left w:val="nil"/>
              <w:bottom w:val="single" w:sz="8" w:space="0" w:color="auto"/>
              <w:right w:val="single" w:sz="8" w:space="0" w:color="auto"/>
            </w:tcBorders>
            <w:shd w:val="clear" w:color="auto" w:fill="auto"/>
            <w:vAlign w:val="center"/>
            <w:hideMark/>
          </w:tcPr>
          <w:p w14:paraId="4325E69D"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1</w:t>
            </w:r>
          </w:p>
        </w:tc>
        <w:tc>
          <w:tcPr>
            <w:tcW w:w="928" w:type="dxa"/>
            <w:tcBorders>
              <w:top w:val="nil"/>
              <w:left w:val="nil"/>
              <w:bottom w:val="single" w:sz="8" w:space="0" w:color="auto"/>
              <w:right w:val="single" w:sz="8" w:space="0" w:color="auto"/>
            </w:tcBorders>
            <w:shd w:val="clear" w:color="auto" w:fill="auto"/>
            <w:vAlign w:val="center"/>
            <w:hideMark/>
          </w:tcPr>
          <w:p w14:paraId="200CDCBE"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Técnica o Técnico Judicial 2</w:t>
            </w:r>
          </w:p>
        </w:tc>
        <w:tc>
          <w:tcPr>
            <w:tcW w:w="1284" w:type="dxa"/>
            <w:tcBorders>
              <w:top w:val="nil"/>
              <w:left w:val="nil"/>
              <w:bottom w:val="single" w:sz="8" w:space="0" w:color="auto"/>
              <w:right w:val="single" w:sz="8" w:space="0" w:color="auto"/>
            </w:tcBorders>
            <w:shd w:val="clear" w:color="auto" w:fill="auto"/>
            <w:vAlign w:val="center"/>
            <w:hideMark/>
          </w:tcPr>
          <w:p w14:paraId="287D3858"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w:t>
            </w:r>
          </w:p>
        </w:tc>
        <w:tc>
          <w:tcPr>
            <w:tcW w:w="1295" w:type="dxa"/>
            <w:tcBorders>
              <w:top w:val="nil"/>
              <w:left w:val="nil"/>
              <w:bottom w:val="single" w:sz="8" w:space="0" w:color="auto"/>
              <w:right w:val="single" w:sz="8" w:space="0" w:color="auto"/>
            </w:tcBorders>
            <w:shd w:val="clear" w:color="auto" w:fill="auto"/>
            <w:vAlign w:val="center"/>
            <w:hideMark/>
          </w:tcPr>
          <w:p w14:paraId="66E76135"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Extraordinario</w:t>
            </w:r>
          </w:p>
        </w:tc>
        <w:tc>
          <w:tcPr>
            <w:tcW w:w="1649" w:type="dxa"/>
            <w:tcBorders>
              <w:top w:val="nil"/>
              <w:left w:val="nil"/>
              <w:bottom w:val="single" w:sz="8" w:space="0" w:color="auto"/>
              <w:right w:val="single" w:sz="8" w:space="0" w:color="auto"/>
            </w:tcBorders>
            <w:shd w:val="clear" w:color="auto" w:fill="auto"/>
            <w:vAlign w:val="center"/>
            <w:hideMark/>
          </w:tcPr>
          <w:p w14:paraId="558914E8"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nil"/>
              <w:bottom w:val="single" w:sz="8" w:space="0" w:color="auto"/>
              <w:right w:val="single" w:sz="8" w:space="0" w:color="auto"/>
            </w:tcBorders>
            <w:shd w:val="clear" w:color="auto" w:fill="auto"/>
            <w:vAlign w:val="center"/>
            <w:hideMark/>
          </w:tcPr>
          <w:p w14:paraId="06F3DC48"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₡15 945 000,00</w:t>
            </w:r>
          </w:p>
        </w:tc>
        <w:tc>
          <w:tcPr>
            <w:tcW w:w="2167" w:type="dxa"/>
            <w:tcBorders>
              <w:top w:val="nil"/>
              <w:left w:val="nil"/>
              <w:bottom w:val="single" w:sz="8" w:space="0" w:color="auto"/>
              <w:right w:val="single" w:sz="8" w:space="0" w:color="auto"/>
            </w:tcBorders>
            <w:shd w:val="clear" w:color="auto" w:fill="auto"/>
            <w:vAlign w:val="center"/>
            <w:hideMark/>
          </w:tcPr>
          <w:p w14:paraId="54565B05"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 </w:t>
            </w:r>
          </w:p>
        </w:tc>
      </w:tr>
      <w:tr w:rsidR="00353DFD" w:rsidRPr="00353DFD" w14:paraId="246C9816" w14:textId="77777777" w:rsidTr="00353DFD">
        <w:trPr>
          <w:trHeight w:val="905"/>
          <w:jc w:val="center"/>
        </w:trPr>
        <w:tc>
          <w:tcPr>
            <w:tcW w:w="1304" w:type="dxa"/>
            <w:tcBorders>
              <w:top w:val="nil"/>
              <w:left w:val="single" w:sz="8" w:space="0" w:color="auto"/>
              <w:bottom w:val="single" w:sz="8" w:space="0" w:color="auto"/>
              <w:right w:val="single" w:sz="8" w:space="0" w:color="auto"/>
            </w:tcBorders>
            <w:shd w:val="clear" w:color="000000" w:fill="FFFFFF"/>
            <w:vAlign w:val="center"/>
            <w:hideMark/>
          </w:tcPr>
          <w:p w14:paraId="53E56E64" w14:textId="77777777" w:rsidR="00353DFD" w:rsidRPr="00353DFD" w:rsidRDefault="00353DFD" w:rsidP="00353DFD">
            <w:pPr>
              <w:spacing w:after="0" w:line="240" w:lineRule="auto"/>
              <w:jc w:val="both"/>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Juzgado Civil, Trabajo y Familia de Buenos Aires</w:t>
            </w:r>
          </w:p>
        </w:tc>
        <w:tc>
          <w:tcPr>
            <w:tcW w:w="1086" w:type="dxa"/>
            <w:tcBorders>
              <w:top w:val="nil"/>
              <w:left w:val="nil"/>
              <w:bottom w:val="single" w:sz="8" w:space="0" w:color="auto"/>
              <w:right w:val="single" w:sz="8" w:space="0" w:color="auto"/>
            </w:tcBorders>
            <w:shd w:val="clear" w:color="000000" w:fill="FFFFFF"/>
            <w:vAlign w:val="center"/>
            <w:hideMark/>
          </w:tcPr>
          <w:p w14:paraId="23C8C43A"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1</w:t>
            </w:r>
          </w:p>
        </w:tc>
        <w:tc>
          <w:tcPr>
            <w:tcW w:w="928" w:type="dxa"/>
            <w:tcBorders>
              <w:top w:val="nil"/>
              <w:left w:val="nil"/>
              <w:bottom w:val="single" w:sz="8" w:space="0" w:color="auto"/>
              <w:right w:val="single" w:sz="8" w:space="0" w:color="auto"/>
            </w:tcBorders>
            <w:shd w:val="clear" w:color="000000" w:fill="FFFFFF"/>
            <w:vAlign w:val="center"/>
            <w:hideMark/>
          </w:tcPr>
          <w:p w14:paraId="681CAD00"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Técnica o Técnico Judicial 2</w:t>
            </w:r>
          </w:p>
        </w:tc>
        <w:tc>
          <w:tcPr>
            <w:tcW w:w="1284" w:type="dxa"/>
            <w:tcBorders>
              <w:top w:val="nil"/>
              <w:left w:val="nil"/>
              <w:bottom w:val="single" w:sz="8" w:space="0" w:color="auto"/>
              <w:right w:val="single" w:sz="8" w:space="0" w:color="auto"/>
            </w:tcBorders>
            <w:shd w:val="clear" w:color="auto" w:fill="auto"/>
            <w:vAlign w:val="center"/>
            <w:hideMark/>
          </w:tcPr>
          <w:p w14:paraId="2F25C13A"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 -</w:t>
            </w:r>
          </w:p>
        </w:tc>
        <w:tc>
          <w:tcPr>
            <w:tcW w:w="1295" w:type="dxa"/>
            <w:tcBorders>
              <w:top w:val="nil"/>
              <w:left w:val="nil"/>
              <w:bottom w:val="single" w:sz="8" w:space="0" w:color="auto"/>
              <w:right w:val="single" w:sz="8" w:space="0" w:color="auto"/>
            </w:tcBorders>
            <w:shd w:val="clear" w:color="auto" w:fill="auto"/>
            <w:vAlign w:val="center"/>
            <w:hideMark/>
          </w:tcPr>
          <w:p w14:paraId="56729AF2"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Ordinario </w:t>
            </w:r>
          </w:p>
        </w:tc>
        <w:tc>
          <w:tcPr>
            <w:tcW w:w="1649" w:type="dxa"/>
            <w:tcBorders>
              <w:top w:val="nil"/>
              <w:left w:val="nil"/>
              <w:bottom w:val="single" w:sz="8" w:space="0" w:color="auto"/>
              <w:right w:val="nil"/>
            </w:tcBorders>
            <w:shd w:val="clear" w:color="auto" w:fill="auto"/>
            <w:vAlign w:val="center"/>
            <w:hideMark/>
          </w:tcPr>
          <w:p w14:paraId="05AF1DB2"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single" w:sz="8" w:space="0" w:color="auto"/>
              <w:bottom w:val="single" w:sz="8" w:space="0" w:color="auto"/>
              <w:right w:val="single" w:sz="8" w:space="0" w:color="auto"/>
            </w:tcBorders>
            <w:shd w:val="clear" w:color="000000" w:fill="FFFFFF"/>
            <w:vAlign w:val="center"/>
            <w:hideMark/>
          </w:tcPr>
          <w:p w14:paraId="2A12D8BB"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₡15 945 000,00</w:t>
            </w:r>
          </w:p>
        </w:tc>
        <w:tc>
          <w:tcPr>
            <w:tcW w:w="2167" w:type="dxa"/>
            <w:tcBorders>
              <w:top w:val="nil"/>
              <w:left w:val="nil"/>
              <w:bottom w:val="single" w:sz="8" w:space="0" w:color="auto"/>
              <w:right w:val="single" w:sz="8" w:space="0" w:color="auto"/>
            </w:tcBorders>
            <w:shd w:val="clear" w:color="auto" w:fill="auto"/>
            <w:vAlign w:val="center"/>
            <w:hideMark/>
          </w:tcPr>
          <w:p w14:paraId="30115813" w14:textId="77777777" w:rsidR="00353DFD" w:rsidRPr="00353DFD" w:rsidRDefault="00353DFD" w:rsidP="00353DFD">
            <w:pPr>
              <w:spacing w:after="0" w:line="240" w:lineRule="auto"/>
              <w:jc w:val="both"/>
              <w:rPr>
                <w:rFonts w:ascii="Book Antiqua" w:eastAsia="Times New Roman" w:hAnsi="Book Antiqua" w:cs="Calibri"/>
                <w:color w:val="000000"/>
                <w:sz w:val="14"/>
                <w:szCs w:val="14"/>
                <w:lang w:eastAsia="es-CR"/>
              </w:rPr>
            </w:pPr>
            <w:r w:rsidRPr="00353DFD">
              <w:rPr>
                <w:rFonts w:ascii="Book Antiqua" w:eastAsia="Times New Roman" w:hAnsi="Book Antiqua" w:cs="Calibri"/>
                <w:color w:val="000000"/>
                <w:sz w:val="14"/>
                <w:szCs w:val="14"/>
                <w:lang w:eastAsia="es-CR"/>
              </w:rPr>
              <w:t>La segunda plaza requerida en este juzgado, se refuerza con el recurso vacante en el Tribunal Colegiado de Primera Instancia Civil de la Zona Sur.</w:t>
            </w:r>
          </w:p>
        </w:tc>
      </w:tr>
      <w:tr w:rsidR="00353DFD" w:rsidRPr="00353DFD" w14:paraId="448F5887" w14:textId="77777777" w:rsidTr="00353DFD">
        <w:trPr>
          <w:trHeight w:val="2024"/>
          <w:jc w:val="center"/>
        </w:trPr>
        <w:tc>
          <w:tcPr>
            <w:tcW w:w="1304" w:type="dxa"/>
            <w:tcBorders>
              <w:top w:val="nil"/>
              <w:left w:val="single" w:sz="8" w:space="0" w:color="auto"/>
              <w:bottom w:val="single" w:sz="8" w:space="0" w:color="auto"/>
              <w:right w:val="single" w:sz="8" w:space="0" w:color="auto"/>
            </w:tcBorders>
            <w:shd w:val="clear" w:color="000000" w:fill="FFFFFF"/>
            <w:vAlign w:val="center"/>
            <w:hideMark/>
          </w:tcPr>
          <w:p w14:paraId="75134CE5" w14:textId="77777777" w:rsidR="00353DFD" w:rsidRPr="00353DFD" w:rsidRDefault="00353DFD" w:rsidP="00353DFD">
            <w:pPr>
              <w:spacing w:after="0" w:line="240" w:lineRule="auto"/>
              <w:jc w:val="both"/>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Juzgado Contravencional y Pensiones Alimentarias del Primer Circuito Judicial de Guanacaste</w:t>
            </w:r>
          </w:p>
        </w:tc>
        <w:tc>
          <w:tcPr>
            <w:tcW w:w="1086" w:type="dxa"/>
            <w:tcBorders>
              <w:top w:val="nil"/>
              <w:left w:val="nil"/>
              <w:bottom w:val="single" w:sz="8" w:space="0" w:color="auto"/>
              <w:right w:val="single" w:sz="8" w:space="0" w:color="auto"/>
            </w:tcBorders>
            <w:shd w:val="clear" w:color="000000" w:fill="FFFFFF"/>
            <w:vAlign w:val="center"/>
            <w:hideMark/>
          </w:tcPr>
          <w:p w14:paraId="0079E348"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1</w:t>
            </w:r>
          </w:p>
        </w:tc>
        <w:tc>
          <w:tcPr>
            <w:tcW w:w="928" w:type="dxa"/>
            <w:tcBorders>
              <w:top w:val="nil"/>
              <w:left w:val="nil"/>
              <w:bottom w:val="single" w:sz="8" w:space="0" w:color="auto"/>
              <w:right w:val="single" w:sz="8" w:space="0" w:color="auto"/>
            </w:tcBorders>
            <w:shd w:val="clear" w:color="000000" w:fill="FFFFFF"/>
            <w:vAlign w:val="center"/>
            <w:hideMark/>
          </w:tcPr>
          <w:p w14:paraId="5F10FED2"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Técnica o Técnico Judicial 1</w:t>
            </w:r>
          </w:p>
        </w:tc>
        <w:tc>
          <w:tcPr>
            <w:tcW w:w="1284" w:type="dxa"/>
            <w:tcBorders>
              <w:top w:val="nil"/>
              <w:left w:val="nil"/>
              <w:bottom w:val="single" w:sz="8" w:space="0" w:color="auto"/>
              <w:right w:val="single" w:sz="8" w:space="0" w:color="auto"/>
            </w:tcBorders>
            <w:shd w:val="clear" w:color="auto" w:fill="auto"/>
            <w:vAlign w:val="center"/>
            <w:hideMark/>
          </w:tcPr>
          <w:p w14:paraId="2A0CAAF0"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 -</w:t>
            </w:r>
          </w:p>
        </w:tc>
        <w:tc>
          <w:tcPr>
            <w:tcW w:w="1295" w:type="dxa"/>
            <w:tcBorders>
              <w:top w:val="nil"/>
              <w:left w:val="nil"/>
              <w:bottom w:val="single" w:sz="8" w:space="0" w:color="auto"/>
              <w:right w:val="single" w:sz="8" w:space="0" w:color="auto"/>
            </w:tcBorders>
            <w:shd w:val="clear" w:color="auto" w:fill="auto"/>
            <w:vAlign w:val="center"/>
            <w:hideMark/>
          </w:tcPr>
          <w:p w14:paraId="430686AA"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Ordinario </w:t>
            </w:r>
          </w:p>
        </w:tc>
        <w:tc>
          <w:tcPr>
            <w:tcW w:w="1649" w:type="dxa"/>
            <w:tcBorders>
              <w:top w:val="nil"/>
              <w:left w:val="nil"/>
              <w:bottom w:val="single" w:sz="8" w:space="0" w:color="auto"/>
              <w:right w:val="nil"/>
            </w:tcBorders>
            <w:shd w:val="clear" w:color="auto" w:fill="auto"/>
            <w:vAlign w:val="center"/>
            <w:hideMark/>
          </w:tcPr>
          <w:p w14:paraId="6C68FA8D"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single" w:sz="8" w:space="0" w:color="auto"/>
              <w:bottom w:val="single" w:sz="8" w:space="0" w:color="auto"/>
              <w:right w:val="single" w:sz="8" w:space="0" w:color="auto"/>
            </w:tcBorders>
            <w:shd w:val="clear" w:color="000000" w:fill="FFFFFF"/>
            <w:vAlign w:val="center"/>
            <w:hideMark/>
          </w:tcPr>
          <w:p w14:paraId="1260E86A"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₡15 381 000,00</w:t>
            </w:r>
          </w:p>
        </w:tc>
        <w:tc>
          <w:tcPr>
            <w:tcW w:w="2167" w:type="dxa"/>
            <w:tcBorders>
              <w:top w:val="nil"/>
              <w:left w:val="nil"/>
              <w:bottom w:val="single" w:sz="8" w:space="0" w:color="auto"/>
              <w:right w:val="single" w:sz="8" w:space="0" w:color="auto"/>
            </w:tcBorders>
            <w:shd w:val="clear" w:color="auto" w:fill="auto"/>
            <w:vAlign w:val="center"/>
            <w:hideMark/>
          </w:tcPr>
          <w:p w14:paraId="2AC0E148" w14:textId="77777777" w:rsidR="00353DFD" w:rsidRPr="00353DFD" w:rsidRDefault="00353DFD" w:rsidP="00353DFD">
            <w:pPr>
              <w:spacing w:after="0" w:line="240" w:lineRule="auto"/>
              <w:jc w:val="both"/>
              <w:rPr>
                <w:rFonts w:ascii="Book Antiqua" w:eastAsia="Times New Roman" w:hAnsi="Book Antiqua" w:cs="Calibri"/>
                <w:color w:val="000000"/>
                <w:sz w:val="16"/>
                <w:szCs w:val="16"/>
                <w:lang w:eastAsia="es-CR"/>
              </w:rPr>
            </w:pPr>
            <w:r w:rsidRPr="00353DFD">
              <w:rPr>
                <w:rFonts w:ascii="Book Antiqua" w:eastAsia="Times New Roman" w:hAnsi="Book Antiqua" w:cs="Calibri"/>
                <w:color w:val="000000"/>
                <w:sz w:val="16"/>
                <w:szCs w:val="16"/>
                <w:lang w:eastAsia="es-CR"/>
              </w:rPr>
              <w:t>Esta plaza se asignaría al Juzgado de Tránsito conforme al informe 1069-PLA-EV-2020, para poder lograr la Especialización del Juzgado de PA de Liberia.</w:t>
            </w:r>
          </w:p>
        </w:tc>
      </w:tr>
      <w:tr w:rsidR="00353DFD" w:rsidRPr="00353DFD" w14:paraId="26E7D79E" w14:textId="77777777" w:rsidTr="00353DFD">
        <w:trPr>
          <w:trHeight w:val="905"/>
          <w:jc w:val="center"/>
        </w:trPr>
        <w:tc>
          <w:tcPr>
            <w:tcW w:w="1304" w:type="dxa"/>
            <w:tcBorders>
              <w:top w:val="nil"/>
              <w:left w:val="single" w:sz="8" w:space="0" w:color="auto"/>
              <w:bottom w:val="single" w:sz="8" w:space="0" w:color="auto"/>
              <w:right w:val="single" w:sz="8" w:space="0" w:color="auto"/>
            </w:tcBorders>
            <w:shd w:val="clear" w:color="000000" w:fill="FFFFFF"/>
            <w:vAlign w:val="center"/>
            <w:hideMark/>
          </w:tcPr>
          <w:p w14:paraId="4A4416EC" w14:textId="77777777" w:rsidR="00353DFD" w:rsidRPr="00353DFD" w:rsidRDefault="00353DFD" w:rsidP="00353DFD">
            <w:pPr>
              <w:spacing w:after="0" w:line="240" w:lineRule="auto"/>
              <w:jc w:val="both"/>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Juzgado Contravencional de Paraíso</w:t>
            </w:r>
          </w:p>
        </w:tc>
        <w:tc>
          <w:tcPr>
            <w:tcW w:w="1086" w:type="dxa"/>
            <w:tcBorders>
              <w:top w:val="nil"/>
              <w:left w:val="nil"/>
              <w:bottom w:val="single" w:sz="8" w:space="0" w:color="auto"/>
              <w:right w:val="single" w:sz="8" w:space="0" w:color="auto"/>
            </w:tcBorders>
            <w:shd w:val="clear" w:color="000000" w:fill="FFFFFF"/>
            <w:vAlign w:val="center"/>
            <w:hideMark/>
          </w:tcPr>
          <w:p w14:paraId="31303A72"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1</w:t>
            </w:r>
          </w:p>
        </w:tc>
        <w:tc>
          <w:tcPr>
            <w:tcW w:w="928" w:type="dxa"/>
            <w:tcBorders>
              <w:top w:val="nil"/>
              <w:left w:val="nil"/>
              <w:bottom w:val="single" w:sz="8" w:space="0" w:color="auto"/>
              <w:right w:val="single" w:sz="8" w:space="0" w:color="auto"/>
            </w:tcBorders>
            <w:shd w:val="clear" w:color="000000" w:fill="FFFFFF"/>
            <w:vAlign w:val="center"/>
            <w:hideMark/>
          </w:tcPr>
          <w:p w14:paraId="223EF1AC"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Juez 1</w:t>
            </w:r>
          </w:p>
        </w:tc>
        <w:tc>
          <w:tcPr>
            <w:tcW w:w="1284" w:type="dxa"/>
            <w:tcBorders>
              <w:top w:val="nil"/>
              <w:left w:val="nil"/>
              <w:bottom w:val="single" w:sz="8" w:space="0" w:color="auto"/>
              <w:right w:val="single" w:sz="8" w:space="0" w:color="auto"/>
            </w:tcBorders>
            <w:shd w:val="clear" w:color="auto" w:fill="auto"/>
            <w:vAlign w:val="center"/>
            <w:hideMark/>
          </w:tcPr>
          <w:p w14:paraId="63CA072F"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w:t>
            </w:r>
          </w:p>
        </w:tc>
        <w:tc>
          <w:tcPr>
            <w:tcW w:w="1295" w:type="dxa"/>
            <w:tcBorders>
              <w:top w:val="nil"/>
              <w:left w:val="nil"/>
              <w:bottom w:val="single" w:sz="8" w:space="0" w:color="auto"/>
              <w:right w:val="single" w:sz="8" w:space="0" w:color="auto"/>
            </w:tcBorders>
            <w:shd w:val="clear" w:color="auto" w:fill="auto"/>
            <w:vAlign w:val="center"/>
            <w:hideMark/>
          </w:tcPr>
          <w:p w14:paraId="58827CA6"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Ordinario</w:t>
            </w:r>
          </w:p>
        </w:tc>
        <w:tc>
          <w:tcPr>
            <w:tcW w:w="1649" w:type="dxa"/>
            <w:tcBorders>
              <w:top w:val="nil"/>
              <w:left w:val="nil"/>
              <w:bottom w:val="single" w:sz="8" w:space="0" w:color="auto"/>
              <w:right w:val="nil"/>
            </w:tcBorders>
            <w:shd w:val="clear" w:color="auto" w:fill="auto"/>
            <w:vAlign w:val="center"/>
            <w:hideMark/>
          </w:tcPr>
          <w:p w14:paraId="20F4DFB2"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single" w:sz="8" w:space="0" w:color="auto"/>
              <w:bottom w:val="single" w:sz="8" w:space="0" w:color="auto"/>
              <w:right w:val="single" w:sz="8" w:space="0" w:color="auto"/>
            </w:tcBorders>
            <w:shd w:val="clear" w:color="000000" w:fill="FFFFFF"/>
            <w:vAlign w:val="center"/>
            <w:hideMark/>
          </w:tcPr>
          <w:p w14:paraId="6D367F03"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₡53 778 000,00</w:t>
            </w:r>
          </w:p>
        </w:tc>
        <w:tc>
          <w:tcPr>
            <w:tcW w:w="2167" w:type="dxa"/>
            <w:tcBorders>
              <w:top w:val="nil"/>
              <w:left w:val="nil"/>
              <w:bottom w:val="single" w:sz="8" w:space="0" w:color="auto"/>
              <w:right w:val="single" w:sz="8" w:space="0" w:color="auto"/>
            </w:tcBorders>
            <w:shd w:val="clear" w:color="auto" w:fill="auto"/>
            <w:vAlign w:val="center"/>
            <w:hideMark/>
          </w:tcPr>
          <w:p w14:paraId="5EB37DA4" w14:textId="77777777" w:rsidR="00353DFD" w:rsidRPr="00353DFD" w:rsidRDefault="00353DFD" w:rsidP="00353DFD">
            <w:pPr>
              <w:spacing w:after="0" w:line="240" w:lineRule="auto"/>
              <w:jc w:val="both"/>
              <w:rPr>
                <w:rFonts w:ascii="Book Antiqua" w:eastAsia="Times New Roman" w:hAnsi="Book Antiqua" w:cs="Calibri"/>
                <w:color w:val="000000"/>
                <w:sz w:val="16"/>
                <w:szCs w:val="16"/>
                <w:lang w:eastAsia="es-CR"/>
              </w:rPr>
            </w:pPr>
            <w:r w:rsidRPr="00353DFD">
              <w:rPr>
                <w:rFonts w:ascii="Book Antiqua" w:eastAsia="Times New Roman" w:hAnsi="Book Antiqua" w:cs="Calibri"/>
                <w:color w:val="000000"/>
                <w:sz w:val="16"/>
                <w:szCs w:val="16"/>
                <w:lang w:eastAsia="es-CR"/>
              </w:rPr>
              <w:t>Para la atención de las materias Faltas y Contravenciones, VD y PA.</w:t>
            </w:r>
          </w:p>
        </w:tc>
      </w:tr>
      <w:tr w:rsidR="00353DFD" w:rsidRPr="00353DFD" w14:paraId="64D8DD60" w14:textId="77777777" w:rsidTr="00353DFD">
        <w:trPr>
          <w:trHeight w:val="905"/>
          <w:jc w:val="center"/>
        </w:trPr>
        <w:tc>
          <w:tcPr>
            <w:tcW w:w="1304" w:type="dxa"/>
            <w:tcBorders>
              <w:top w:val="nil"/>
              <w:left w:val="single" w:sz="8" w:space="0" w:color="auto"/>
              <w:bottom w:val="single" w:sz="8" w:space="0" w:color="auto"/>
              <w:right w:val="single" w:sz="8" w:space="0" w:color="auto"/>
            </w:tcBorders>
            <w:shd w:val="clear" w:color="000000" w:fill="FFFFFF"/>
            <w:vAlign w:val="center"/>
            <w:hideMark/>
          </w:tcPr>
          <w:p w14:paraId="2747967A"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Sala Segunda</w:t>
            </w:r>
          </w:p>
        </w:tc>
        <w:tc>
          <w:tcPr>
            <w:tcW w:w="1086" w:type="dxa"/>
            <w:tcBorders>
              <w:top w:val="nil"/>
              <w:left w:val="nil"/>
              <w:bottom w:val="single" w:sz="8" w:space="0" w:color="auto"/>
              <w:right w:val="single" w:sz="8" w:space="0" w:color="auto"/>
            </w:tcBorders>
            <w:shd w:val="clear" w:color="auto" w:fill="auto"/>
            <w:vAlign w:val="center"/>
            <w:hideMark/>
          </w:tcPr>
          <w:p w14:paraId="00648424"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1</w:t>
            </w:r>
          </w:p>
        </w:tc>
        <w:tc>
          <w:tcPr>
            <w:tcW w:w="928" w:type="dxa"/>
            <w:tcBorders>
              <w:top w:val="nil"/>
              <w:left w:val="nil"/>
              <w:bottom w:val="single" w:sz="8" w:space="0" w:color="auto"/>
              <w:right w:val="single" w:sz="8" w:space="0" w:color="auto"/>
            </w:tcBorders>
            <w:shd w:val="clear" w:color="auto" w:fill="auto"/>
            <w:vAlign w:val="center"/>
            <w:hideMark/>
          </w:tcPr>
          <w:p w14:paraId="2B2E06F0"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Profesional en Derecho 3B</w:t>
            </w:r>
          </w:p>
        </w:tc>
        <w:tc>
          <w:tcPr>
            <w:tcW w:w="1284" w:type="dxa"/>
            <w:tcBorders>
              <w:top w:val="nil"/>
              <w:left w:val="nil"/>
              <w:bottom w:val="single" w:sz="8" w:space="0" w:color="auto"/>
              <w:right w:val="single" w:sz="8" w:space="0" w:color="auto"/>
            </w:tcBorders>
            <w:shd w:val="clear" w:color="auto" w:fill="auto"/>
            <w:vAlign w:val="center"/>
            <w:hideMark/>
          </w:tcPr>
          <w:p w14:paraId="1FCCDEF6"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 -</w:t>
            </w:r>
          </w:p>
        </w:tc>
        <w:tc>
          <w:tcPr>
            <w:tcW w:w="1295" w:type="dxa"/>
            <w:tcBorders>
              <w:top w:val="nil"/>
              <w:left w:val="nil"/>
              <w:bottom w:val="single" w:sz="8" w:space="0" w:color="auto"/>
              <w:right w:val="single" w:sz="8" w:space="0" w:color="auto"/>
            </w:tcBorders>
            <w:shd w:val="clear" w:color="auto" w:fill="auto"/>
            <w:vAlign w:val="center"/>
            <w:hideMark/>
          </w:tcPr>
          <w:p w14:paraId="119246F5"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Ordinario </w:t>
            </w:r>
          </w:p>
        </w:tc>
        <w:tc>
          <w:tcPr>
            <w:tcW w:w="1649" w:type="dxa"/>
            <w:tcBorders>
              <w:top w:val="nil"/>
              <w:left w:val="nil"/>
              <w:bottom w:val="single" w:sz="8" w:space="0" w:color="auto"/>
              <w:right w:val="nil"/>
            </w:tcBorders>
            <w:shd w:val="clear" w:color="auto" w:fill="auto"/>
            <w:vAlign w:val="center"/>
            <w:hideMark/>
          </w:tcPr>
          <w:p w14:paraId="33B8D256"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single" w:sz="8" w:space="0" w:color="auto"/>
              <w:bottom w:val="single" w:sz="8" w:space="0" w:color="auto"/>
              <w:right w:val="single" w:sz="8" w:space="0" w:color="auto"/>
            </w:tcBorders>
            <w:shd w:val="clear" w:color="000000" w:fill="FFFFFF"/>
            <w:vAlign w:val="center"/>
            <w:hideMark/>
          </w:tcPr>
          <w:p w14:paraId="546A02F6"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₡56 926 000,00</w:t>
            </w:r>
          </w:p>
        </w:tc>
        <w:tc>
          <w:tcPr>
            <w:tcW w:w="2167" w:type="dxa"/>
            <w:vMerge w:val="restart"/>
            <w:tcBorders>
              <w:top w:val="nil"/>
              <w:left w:val="single" w:sz="8" w:space="0" w:color="auto"/>
              <w:bottom w:val="single" w:sz="8" w:space="0" w:color="000000"/>
              <w:right w:val="single" w:sz="8" w:space="0" w:color="auto"/>
            </w:tcBorders>
            <w:shd w:val="clear" w:color="auto" w:fill="auto"/>
            <w:vAlign w:val="center"/>
            <w:hideMark/>
          </w:tcPr>
          <w:p w14:paraId="0200696B" w14:textId="77777777" w:rsidR="00353DFD" w:rsidRPr="00353DFD" w:rsidRDefault="00353DFD" w:rsidP="00353DFD">
            <w:pPr>
              <w:spacing w:after="0" w:line="240" w:lineRule="auto"/>
              <w:jc w:val="both"/>
              <w:rPr>
                <w:rFonts w:ascii="Book Antiqua" w:eastAsia="Times New Roman" w:hAnsi="Book Antiqua" w:cs="Calibri"/>
                <w:color w:val="000000"/>
                <w:sz w:val="16"/>
                <w:szCs w:val="16"/>
                <w:lang w:eastAsia="es-CR"/>
              </w:rPr>
            </w:pPr>
            <w:r w:rsidRPr="00353DFD">
              <w:rPr>
                <w:rFonts w:ascii="Book Antiqua" w:eastAsia="Times New Roman" w:hAnsi="Book Antiqua" w:cs="Calibri"/>
                <w:color w:val="000000"/>
                <w:sz w:val="16"/>
                <w:szCs w:val="16"/>
                <w:lang w:eastAsia="es-CR"/>
              </w:rPr>
              <w:t>Asumir nueva carga de trabajo con la entrada en vigencia del CPF, completar estructura y mantener proporción de personal de apoyo por cantidad de letrados</w:t>
            </w:r>
          </w:p>
        </w:tc>
      </w:tr>
      <w:tr w:rsidR="00353DFD" w:rsidRPr="00353DFD" w14:paraId="5405AE38" w14:textId="77777777" w:rsidTr="00353DFD">
        <w:trPr>
          <w:trHeight w:val="681"/>
          <w:jc w:val="center"/>
        </w:trPr>
        <w:tc>
          <w:tcPr>
            <w:tcW w:w="1304" w:type="dxa"/>
            <w:tcBorders>
              <w:top w:val="nil"/>
              <w:left w:val="single" w:sz="8" w:space="0" w:color="auto"/>
              <w:bottom w:val="single" w:sz="8" w:space="0" w:color="auto"/>
              <w:right w:val="single" w:sz="8" w:space="0" w:color="auto"/>
            </w:tcBorders>
            <w:shd w:val="clear" w:color="000000" w:fill="FFFFFF"/>
            <w:vAlign w:val="center"/>
            <w:hideMark/>
          </w:tcPr>
          <w:p w14:paraId="6EB18BDC"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Sala Segunda</w:t>
            </w:r>
          </w:p>
        </w:tc>
        <w:tc>
          <w:tcPr>
            <w:tcW w:w="1086" w:type="dxa"/>
            <w:tcBorders>
              <w:top w:val="nil"/>
              <w:left w:val="nil"/>
              <w:bottom w:val="single" w:sz="8" w:space="0" w:color="auto"/>
              <w:right w:val="single" w:sz="8" w:space="0" w:color="auto"/>
            </w:tcBorders>
            <w:shd w:val="clear" w:color="auto" w:fill="auto"/>
            <w:vAlign w:val="center"/>
            <w:hideMark/>
          </w:tcPr>
          <w:p w14:paraId="2C4F5B8D"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w:t>
            </w:r>
          </w:p>
        </w:tc>
        <w:tc>
          <w:tcPr>
            <w:tcW w:w="928" w:type="dxa"/>
            <w:tcBorders>
              <w:top w:val="nil"/>
              <w:left w:val="nil"/>
              <w:bottom w:val="single" w:sz="8" w:space="0" w:color="auto"/>
              <w:right w:val="single" w:sz="8" w:space="0" w:color="auto"/>
            </w:tcBorders>
            <w:shd w:val="clear" w:color="auto" w:fill="auto"/>
            <w:vAlign w:val="center"/>
            <w:hideMark/>
          </w:tcPr>
          <w:p w14:paraId="7B7807F6"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Técnico Sala de la Corte</w:t>
            </w:r>
          </w:p>
        </w:tc>
        <w:tc>
          <w:tcPr>
            <w:tcW w:w="1284" w:type="dxa"/>
            <w:tcBorders>
              <w:top w:val="nil"/>
              <w:left w:val="nil"/>
              <w:bottom w:val="single" w:sz="8" w:space="0" w:color="auto"/>
              <w:right w:val="single" w:sz="8" w:space="0" w:color="auto"/>
            </w:tcBorders>
            <w:shd w:val="clear" w:color="auto" w:fill="auto"/>
            <w:vAlign w:val="center"/>
            <w:hideMark/>
          </w:tcPr>
          <w:p w14:paraId="46D65D1B"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 -</w:t>
            </w:r>
          </w:p>
        </w:tc>
        <w:tc>
          <w:tcPr>
            <w:tcW w:w="1295" w:type="dxa"/>
            <w:tcBorders>
              <w:top w:val="nil"/>
              <w:left w:val="nil"/>
              <w:bottom w:val="single" w:sz="8" w:space="0" w:color="auto"/>
              <w:right w:val="single" w:sz="8" w:space="0" w:color="auto"/>
            </w:tcBorders>
            <w:shd w:val="clear" w:color="auto" w:fill="auto"/>
            <w:vAlign w:val="center"/>
            <w:hideMark/>
          </w:tcPr>
          <w:p w14:paraId="28BEAEA6"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Ordinario </w:t>
            </w:r>
          </w:p>
        </w:tc>
        <w:tc>
          <w:tcPr>
            <w:tcW w:w="1649" w:type="dxa"/>
            <w:tcBorders>
              <w:top w:val="nil"/>
              <w:left w:val="nil"/>
              <w:bottom w:val="single" w:sz="8" w:space="0" w:color="auto"/>
              <w:right w:val="nil"/>
            </w:tcBorders>
            <w:shd w:val="clear" w:color="auto" w:fill="auto"/>
            <w:vAlign w:val="center"/>
            <w:hideMark/>
          </w:tcPr>
          <w:p w14:paraId="363EE7FA"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single" w:sz="8" w:space="0" w:color="auto"/>
              <w:bottom w:val="single" w:sz="8" w:space="0" w:color="auto"/>
              <w:right w:val="single" w:sz="8" w:space="0" w:color="auto"/>
            </w:tcBorders>
            <w:shd w:val="clear" w:color="000000" w:fill="FFFFFF"/>
            <w:vAlign w:val="center"/>
            <w:hideMark/>
          </w:tcPr>
          <w:p w14:paraId="26563B36"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₡39 974 000,00</w:t>
            </w:r>
          </w:p>
        </w:tc>
        <w:tc>
          <w:tcPr>
            <w:tcW w:w="2167" w:type="dxa"/>
            <w:vMerge/>
            <w:tcBorders>
              <w:top w:val="nil"/>
              <w:left w:val="single" w:sz="8" w:space="0" w:color="auto"/>
              <w:bottom w:val="single" w:sz="8" w:space="0" w:color="000000"/>
              <w:right w:val="single" w:sz="8" w:space="0" w:color="auto"/>
            </w:tcBorders>
            <w:vAlign w:val="center"/>
            <w:hideMark/>
          </w:tcPr>
          <w:p w14:paraId="552A54D7" w14:textId="77777777" w:rsidR="00353DFD" w:rsidRPr="00353DFD" w:rsidRDefault="00353DFD" w:rsidP="00353DFD">
            <w:pPr>
              <w:spacing w:after="0" w:line="240" w:lineRule="auto"/>
              <w:rPr>
                <w:rFonts w:ascii="Book Antiqua" w:eastAsia="Times New Roman" w:hAnsi="Book Antiqua" w:cs="Calibri"/>
                <w:color w:val="000000"/>
                <w:sz w:val="16"/>
                <w:szCs w:val="16"/>
                <w:lang w:eastAsia="es-CR"/>
              </w:rPr>
            </w:pPr>
          </w:p>
        </w:tc>
      </w:tr>
      <w:tr w:rsidR="00353DFD" w:rsidRPr="00353DFD" w14:paraId="2C0CA5E6" w14:textId="77777777" w:rsidTr="00353DFD">
        <w:trPr>
          <w:trHeight w:val="905"/>
          <w:jc w:val="center"/>
        </w:trPr>
        <w:tc>
          <w:tcPr>
            <w:tcW w:w="1304" w:type="dxa"/>
            <w:tcBorders>
              <w:top w:val="nil"/>
              <w:left w:val="single" w:sz="8" w:space="0" w:color="auto"/>
              <w:bottom w:val="single" w:sz="8" w:space="0" w:color="auto"/>
              <w:right w:val="single" w:sz="8" w:space="0" w:color="auto"/>
            </w:tcBorders>
            <w:shd w:val="clear" w:color="000000" w:fill="FFFFFF"/>
            <w:vAlign w:val="center"/>
            <w:hideMark/>
          </w:tcPr>
          <w:p w14:paraId="78F98CAE"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Sala Segunda</w:t>
            </w:r>
          </w:p>
        </w:tc>
        <w:tc>
          <w:tcPr>
            <w:tcW w:w="1086" w:type="dxa"/>
            <w:tcBorders>
              <w:top w:val="nil"/>
              <w:left w:val="nil"/>
              <w:bottom w:val="single" w:sz="8" w:space="0" w:color="auto"/>
              <w:right w:val="single" w:sz="8" w:space="0" w:color="auto"/>
            </w:tcBorders>
            <w:shd w:val="clear" w:color="auto" w:fill="auto"/>
            <w:vAlign w:val="center"/>
            <w:hideMark/>
          </w:tcPr>
          <w:p w14:paraId="1896F676"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w:t>
            </w:r>
          </w:p>
        </w:tc>
        <w:tc>
          <w:tcPr>
            <w:tcW w:w="928" w:type="dxa"/>
            <w:tcBorders>
              <w:top w:val="nil"/>
              <w:left w:val="nil"/>
              <w:bottom w:val="single" w:sz="8" w:space="0" w:color="auto"/>
              <w:right w:val="single" w:sz="8" w:space="0" w:color="auto"/>
            </w:tcBorders>
            <w:shd w:val="clear" w:color="auto" w:fill="auto"/>
            <w:vAlign w:val="center"/>
            <w:hideMark/>
          </w:tcPr>
          <w:p w14:paraId="7279BB18"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Técnica o Técnico Judicial 3</w:t>
            </w:r>
          </w:p>
        </w:tc>
        <w:tc>
          <w:tcPr>
            <w:tcW w:w="1284" w:type="dxa"/>
            <w:tcBorders>
              <w:top w:val="nil"/>
              <w:left w:val="nil"/>
              <w:bottom w:val="single" w:sz="8" w:space="0" w:color="auto"/>
              <w:right w:val="single" w:sz="8" w:space="0" w:color="auto"/>
            </w:tcBorders>
            <w:shd w:val="clear" w:color="auto" w:fill="auto"/>
            <w:vAlign w:val="center"/>
            <w:hideMark/>
          </w:tcPr>
          <w:p w14:paraId="430B8AB2"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 -</w:t>
            </w:r>
          </w:p>
        </w:tc>
        <w:tc>
          <w:tcPr>
            <w:tcW w:w="1295" w:type="dxa"/>
            <w:tcBorders>
              <w:top w:val="nil"/>
              <w:left w:val="nil"/>
              <w:bottom w:val="single" w:sz="8" w:space="0" w:color="auto"/>
              <w:right w:val="single" w:sz="8" w:space="0" w:color="auto"/>
            </w:tcBorders>
            <w:shd w:val="clear" w:color="auto" w:fill="auto"/>
            <w:vAlign w:val="center"/>
            <w:hideMark/>
          </w:tcPr>
          <w:p w14:paraId="2CD4959F"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Ordinario </w:t>
            </w:r>
          </w:p>
        </w:tc>
        <w:tc>
          <w:tcPr>
            <w:tcW w:w="1649" w:type="dxa"/>
            <w:tcBorders>
              <w:top w:val="nil"/>
              <w:left w:val="nil"/>
              <w:bottom w:val="single" w:sz="8" w:space="0" w:color="auto"/>
              <w:right w:val="nil"/>
            </w:tcBorders>
            <w:shd w:val="clear" w:color="auto" w:fill="auto"/>
            <w:vAlign w:val="center"/>
            <w:hideMark/>
          </w:tcPr>
          <w:p w14:paraId="727CCF1F"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single" w:sz="8" w:space="0" w:color="auto"/>
              <w:bottom w:val="single" w:sz="8" w:space="0" w:color="auto"/>
              <w:right w:val="single" w:sz="8" w:space="0" w:color="auto"/>
            </w:tcBorders>
            <w:shd w:val="clear" w:color="000000" w:fill="FFFFFF"/>
            <w:vAlign w:val="center"/>
            <w:hideMark/>
          </w:tcPr>
          <w:p w14:paraId="3922DAB6"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₡33 352 000,00</w:t>
            </w:r>
          </w:p>
        </w:tc>
        <w:tc>
          <w:tcPr>
            <w:tcW w:w="2167" w:type="dxa"/>
            <w:vMerge/>
            <w:tcBorders>
              <w:top w:val="nil"/>
              <w:left w:val="single" w:sz="8" w:space="0" w:color="auto"/>
              <w:bottom w:val="single" w:sz="8" w:space="0" w:color="000000"/>
              <w:right w:val="single" w:sz="8" w:space="0" w:color="auto"/>
            </w:tcBorders>
            <w:vAlign w:val="center"/>
            <w:hideMark/>
          </w:tcPr>
          <w:p w14:paraId="092D5B1A" w14:textId="77777777" w:rsidR="00353DFD" w:rsidRPr="00353DFD" w:rsidRDefault="00353DFD" w:rsidP="00353DFD">
            <w:pPr>
              <w:spacing w:after="0" w:line="240" w:lineRule="auto"/>
              <w:rPr>
                <w:rFonts w:ascii="Book Antiqua" w:eastAsia="Times New Roman" w:hAnsi="Book Antiqua" w:cs="Calibri"/>
                <w:color w:val="000000"/>
                <w:sz w:val="16"/>
                <w:szCs w:val="16"/>
                <w:lang w:eastAsia="es-CR"/>
              </w:rPr>
            </w:pPr>
          </w:p>
        </w:tc>
      </w:tr>
      <w:tr w:rsidR="00353DFD" w:rsidRPr="00353DFD" w14:paraId="161F6263" w14:textId="77777777" w:rsidTr="00353DFD">
        <w:trPr>
          <w:trHeight w:val="1352"/>
          <w:jc w:val="center"/>
        </w:trPr>
        <w:tc>
          <w:tcPr>
            <w:tcW w:w="1304" w:type="dxa"/>
            <w:tcBorders>
              <w:top w:val="nil"/>
              <w:left w:val="single" w:sz="8" w:space="0" w:color="auto"/>
              <w:bottom w:val="single" w:sz="8" w:space="0" w:color="auto"/>
              <w:right w:val="single" w:sz="8" w:space="0" w:color="auto"/>
            </w:tcBorders>
            <w:shd w:val="clear" w:color="000000" w:fill="FFFFFF"/>
            <w:vAlign w:val="center"/>
            <w:hideMark/>
          </w:tcPr>
          <w:p w14:paraId="7C453DE5"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 xml:space="preserve">Juzgado Especializado en Segunda Instancia de Pensiones Alimentarias </w:t>
            </w:r>
          </w:p>
        </w:tc>
        <w:tc>
          <w:tcPr>
            <w:tcW w:w="1086" w:type="dxa"/>
            <w:tcBorders>
              <w:top w:val="nil"/>
              <w:left w:val="nil"/>
              <w:bottom w:val="single" w:sz="8" w:space="0" w:color="auto"/>
              <w:right w:val="single" w:sz="8" w:space="0" w:color="auto"/>
            </w:tcBorders>
            <w:shd w:val="clear" w:color="auto" w:fill="auto"/>
            <w:vAlign w:val="center"/>
            <w:hideMark/>
          </w:tcPr>
          <w:p w14:paraId="07647620"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5</w:t>
            </w:r>
          </w:p>
        </w:tc>
        <w:tc>
          <w:tcPr>
            <w:tcW w:w="928" w:type="dxa"/>
            <w:tcBorders>
              <w:top w:val="nil"/>
              <w:left w:val="nil"/>
              <w:bottom w:val="single" w:sz="8" w:space="0" w:color="auto"/>
              <w:right w:val="single" w:sz="8" w:space="0" w:color="auto"/>
            </w:tcBorders>
            <w:shd w:val="clear" w:color="auto" w:fill="auto"/>
            <w:vAlign w:val="center"/>
            <w:hideMark/>
          </w:tcPr>
          <w:p w14:paraId="34146DE3"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Juez 3</w:t>
            </w:r>
          </w:p>
        </w:tc>
        <w:tc>
          <w:tcPr>
            <w:tcW w:w="1284" w:type="dxa"/>
            <w:tcBorders>
              <w:top w:val="nil"/>
              <w:left w:val="nil"/>
              <w:bottom w:val="single" w:sz="8" w:space="0" w:color="auto"/>
              <w:right w:val="single" w:sz="8" w:space="0" w:color="auto"/>
            </w:tcBorders>
            <w:shd w:val="clear" w:color="auto" w:fill="auto"/>
            <w:vAlign w:val="center"/>
            <w:hideMark/>
          </w:tcPr>
          <w:p w14:paraId="0EC86327"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w:t>
            </w:r>
          </w:p>
        </w:tc>
        <w:tc>
          <w:tcPr>
            <w:tcW w:w="1295" w:type="dxa"/>
            <w:tcBorders>
              <w:top w:val="nil"/>
              <w:left w:val="nil"/>
              <w:bottom w:val="single" w:sz="8" w:space="0" w:color="auto"/>
              <w:right w:val="single" w:sz="8" w:space="0" w:color="auto"/>
            </w:tcBorders>
            <w:shd w:val="clear" w:color="auto" w:fill="auto"/>
            <w:vAlign w:val="center"/>
            <w:hideMark/>
          </w:tcPr>
          <w:p w14:paraId="38907FCC"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Ordinarias</w:t>
            </w:r>
          </w:p>
        </w:tc>
        <w:tc>
          <w:tcPr>
            <w:tcW w:w="1649" w:type="dxa"/>
            <w:tcBorders>
              <w:top w:val="nil"/>
              <w:left w:val="nil"/>
              <w:bottom w:val="single" w:sz="8" w:space="0" w:color="auto"/>
              <w:right w:val="nil"/>
            </w:tcBorders>
            <w:shd w:val="clear" w:color="auto" w:fill="auto"/>
            <w:vAlign w:val="center"/>
            <w:hideMark/>
          </w:tcPr>
          <w:p w14:paraId="1A838A88"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single" w:sz="8" w:space="0" w:color="auto"/>
              <w:bottom w:val="single" w:sz="8" w:space="0" w:color="auto"/>
              <w:right w:val="single" w:sz="8" w:space="0" w:color="auto"/>
            </w:tcBorders>
            <w:shd w:val="clear" w:color="000000" w:fill="FFFFFF"/>
            <w:vAlign w:val="center"/>
            <w:hideMark/>
          </w:tcPr>
          <w:p w14:paraId="43663994"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₡285 147 000,00</w:t>
            </w:r>
          </w:p>
        </w:tc>
        <w:tc>
          <w:tcPr>
            <w:tcW w:w="2167" w:type="dxa"/>
            <w:tcBorders>
              <w:top w:val="nil"/>
              <w:left w:val="nil"/>
              <w:bottom w:val="single" w:sz="8" w:space="0" w:color="auto"/>
              <w:right w:val="single" w:sz="8" w:space="0" w:color="auto"/>
            </w:tcBorders>
            <w:shd w:val="clear" w:color="auto" w:fill="auto"/>
            <w:vAlign w:val="center"/>
            <w:hideMark/>
          </w:tcPr>
          <w:p w14:paraId="43BBC91E" w14:textId="77777777" w:rsidR="00353DFD" w:rsidRPr="00353DFD" w:rsidRDefault="00353DFD" w:rsidP="00353DFD">
            <w:pPr>
              <w:spacing w:after="0" w:line="240" w:lineRule="auto"/>
              <w:rPr>
                <w:rFonts w:ascii="Book Antiqua" w:eastAsia="Times New Roman" w:hAnsi="Book Antiqua" w:cs="Calibri"/>
                <w:color w:val="000000"/>
                <w:sz w:val="16"/>
                <w:szCs w:val="16"/>
                <w:lang w:eastAsia="es-CR"/>
              </w:rPr>
            </w:pPr>
            <w:r w:rsidRPr="00353DFD">
              <w:rPr>
                <w:rFonts w:ascii="Book Antiqua" w:eastAsia="Times New Roman" w:hAnsi="Book Antiqua" w:cs="Calibri"/>
                <w:color w:val="000000"/>
                <w:sz w:val="16"/>
                <w:szCs w:val="16"/>
                <w:lang w:eastAsia="es-CR"/>
              </w:rPr>
              <w:t>Para la atención de las apelaciones de Pensiones Alimentarias</w:t>
            </w:r>
          </w:p>
        </w:tc>
      </w:tr>
      <w:tr w:rsidR="00353DFD" w:rsidRPr="00353DFD" w14:paraId="3437972E" w14:textId="77777777" w:rsidTr="00353DFD">
        <w:trPr>
          <w:trHeight w:val="1352"/>
          <w:jc w:val="center"/>
        </w:trPr>
        <w:tc>
          <w:tcPr>
            <w:tcW w:w="1304" w:type="dxa"/>
            <w:tcBorders>
              <w:top w:val="nil"/>
              <w:left w:val="single" w:sz="8" w:space="0" w:color="auto"/>
              <w:bottom w:val="single" w:sz="8" w:space="0" w:color="auto"/>
              <w:right w:val="single" w:sz="8" w:space="0" w:color="auto"/>
            </w:tcBorders>
            <w:shd w:val="clear" w:color="000000" w:fill="FFFFFF"/>
            <w:vAlign w:val="center"/>
            <w:hideMark/>
          </w:tcPr>
          <w:p w14:paraId="4D0E2550"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Juzgado Especializado en Segunda Instancia de Pensiones Alimentarias</w:t>
            </w:r>
          </w:p>
        </w:tc>
        <w:tc>
          <w:tcPr>
            <w:tcW w:w="1086" w:type="dxa"/>
            <w:tcBorders>
              <w:top w:val="nil"/>
              <w:left w:val="nil"/>
              <w:bottom w:val="single" w:sz="8" w:space="0" w:color="auto"/>
              <w:right w:val="single" w:sz="8" w:space="0" w:color="auto"/>
            </w:tcBorders>
            <w:shd w:val="clear" w:color="auto" w:fill="auto"/>
            <w:vAlign w:val="center"/>
            <w:hideMark/>
          </w:tcPr>
          <w:p w14:paraId="32BA547E"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5</w:t>
            </w:r>
          </w:p>
        </w:tc>
        <w:tc>
          <w:tcPr>
            <w:tcW w:w="928" w:type="dxa"/>
            <w:tcBorders>
              <w:top w:val="nil"/>
              <w:left w:val="nil"/>
              <w:bottom w:val="single" w:sz="8" w:space="0" w:color="auto"/>
              <w:right w:val="single" w:sz="8" w:space="0" w:color="auto"/>
            </w:tcBorders>
            <w:shd w:val="clear" w:color="auto" w:fill="auto"/>
            <w:vAlign w:val="center"/>
            <w:hideMark/>
          </w:tcPr>
          <w:p w14:paraId="314824DD"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Juez 3</w:t>
            </w:r>
          </w:p>
        </w:tc>
        <w:tc>
          <w:tcPr>
            <w:tcW w:w="1284" w:type="dxa"/>
            <w:tcBorders>
              <w:top w:val="nil"/>
              <w:left w:val="nil"/>
              <w:bottom w:val="single" w:sz="8" w:space="0" w:color="auto"/>
              <w:right w:val="single" w:sz="8" w:space="0" w:color="auto"/>
            </w:tcBorders>
            <w:shd w:val="clear" w:color="auto" w:fill="auto"/>
            <w:vAlign w:val="center"/>
            <w:hideMark/>
          </w:tcPr>
          <w:p w14:paraId="37BB09E1"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w:t>
            </w:r>
          </w:p>
        </w:tc>
        <w:tc>
          <w:tcPr>
            <w:tcW w:w="1295" w:type="dxa"/>
            <w:tcBorders>
              <w:top w:val="nil"/>
              <w:left w:val="nil"/>
              <w:bottom w:val="single" w:sz="8" w:space="0" w:color="auto"/>
              <w:right w:val="single" w:sz="8" w:space="0" w:color="auto"/>
            </w:tcBorders>
            <w:shd w:val="clear" w:color="auto" w:fill="auto"/>
            <w:vAlign w:val="center"/>
            <w:hideMark/>
          </w:tcPr>
          <w:p w14:paraId="1D76BD2E"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Extraordinario</w:t>
            </w:r>
          </w:p>
        </w:tc>
        <w:tc>
          <w:tcPr>
            <w:tcW w:w="1649" w:type="dxa"/>
            <w:tcBorders>
              <w:top w:val="nil"/>
              <w:left w:val="nil"/>
              <w:bottom w:val="single" w:sz="8" w:space="0" w:color="auto"/>
              <w:right w:val="nil"/>
            </w:tcBorders>
            <w:shd w:val="clear" w:color="auto" w:fill="auto"/>
            <w:vAlign w:val="center"/>
            <w:hideMark/>
          </w:tcPr>
          <w:p w14:paraId="6F444947" w14:textId="77777777" w:rsidR="00353DFD" w:rsidRPr="00353DFD" w:rsidRDefault="00353DFD" w:rsidP="00353DFD">
            <w:pPr>
              <w:spacing w:after="0" w:line="240" w:lineRule="auto"/>
              <w:jc w:val="center"/>
              <w:rPr>
                <w:rFonts w:ascii="Book Antiqua" w:eastAsia="Times New Roman" w:hAnsi="Book Antiqua" w:cs="Calibri"/>
                <w:color w:val="000000"/>
                <w:sz w:val="18"/>
                <w:szCs w:val="18"/>
                <w:lang w:eastAsia="es-CR"/>
              </w:rPr>
            </w:pPr>
            <w:r w:rsidRPr="00353DFD">
              <w:rPr>
                <w:rFonts w:ascii="Book Antiqua" w:eastAsia="Times New Roman" w:hAnsi="Book Antiqua" w:cs="Calibri"/>
                <w:color w:val="000000"/>
                <w:sz w:val="18"/>
                <w:szCs w:val="18"/>
                <w:lang w:eastAsia="es-CR"/>
              </w:rPr>
              <w:t>2024</w:t>
            </w:r>
          </w:p>
        </w:tc>
        <w:tc>
          <w:tcPr>
            <w:tcW w:w="1644" w:type="dxa"/>
            <w:tcBorders>
              <w:top w:val="nil"/>
              <w:left w:val="single" w:sz="8" w:space="0" w:color="auto"/>
              <w:bottom w:val="single" w:sz="8" w:space="0" w:color="auto"/>
              <w:right w:val="single" w:sz="8" w:space="0" w:color="auto"/>
            </w:tcBorders>
            <w:shd w:val="clear" w:color="000000" w:fill="FFFFFF"/>
            <w:vAlign w:val="center"/>
            <w:hideMark/>
          </w:tcPr>
          <w:p w14:paraId="29BC1225" w14:textId="77777777" w:rsidR="00353DFD" w:rsidRPr="00353DFD" w:rsidRDefault="00353DFD" w:rsidP="00353DFD">
            <w:pPr>
              <w:spacing w:after="0" w:line="240" w:lineRule="auto"/>
              <w:jc w:val="center"/>
              <w:rPr>
                <w:rFonts w:ascii="Times New Roman" w:eastAsia="Times New Roman" w:hAnsi="Times New Roman" w:cs="Times New Roman"/>
                <w:color w:val="000000"/>
                <w:sz w:val="18"/>
                <w:szCs w:val="18"/>
                <w:lang w:eastAsia="es-CR"/>
              </w:rPr>
            </w:pPr>
            <w:r w:rsidRPr="00353DFD">
              <w:rPr>
                <w:rFonts w:ascii="Times New Roman" w:eastAsia="Times New Roman" w:hAnsi="Times New Roman" w:cs="Times New Roman"/>
                <w:color w:val="000000"/>
                <w:sz w:val="18"/>
                <w:szCs w:val="18"/>
                <w:lang w:eastAsia="es-CR"/>
              </w:rPr>
              <w:t>₡285 147 000,00</w:t>
            </w:r>
          </w:p>
        </w:tc>
        <w:tc>
          <w:tcPr>
            <w:tcW w:w="2167" w:type="dxa"/>
            <w:tcBorders>
              <w:top w:val="nil"/>
              <w:left w:val="nil"/>
              <w:bottom w:val="single" w:sz="8" w:space="0" w:color="auto"/>
              <w:right w:val="single" w:sz="8" w:space="0" w:color="auto"/>
            </w:tcBorders>
            <w:shd w:val="clear" w:color="auto" w:fill="auto"/>
            <w:vAlign w:val="center"/>
            <w:hideMark/>
          </w:tcPr>
          <w:p w14:paraId="2F10D7E7" w14:textId="77777777" w:rsidR="00353DFD" w:rsidRPr="00353DFD" w:rsidRDefault="00353DFD" w:rsidP="00353DFD">
            <w:pPr>
              <w:spacing w:after="0" w:line="240" w:lineRule="auto"/>
              <w:rPr>
                <w:rFonts w:ascii="Book Antiqua" w:eastAsia="Times New Roman" w:hAnsi="Book Antiqua" w:cs="Calibri"/>
                <w:color w:val="000000"/>
                <w:sz w:val="16"/>
                <w:szCs w:val="16"/>
                <w:lang w:eastAsia="es-CR"/>
              </w:rPr>
            </w:pPr>
            <w:r w:rsidRPr="00353DFD">
              <w:rPr>
                <w:rFonts w:ascii="Book Antiqua" w:eastAsia="Times New Roman" w:hAnsi="Book Antiqua" w:cs="Calibri"/>
                <w:color w:val="000000"/>
                <w:sz w:val="16"/>
                <w:szCs w:val="16"/>
                <w:lang w:eastAsia="es-CR"/>
              </w:rPr>
              <w:t>Para la atención de las apelaciones de Pensiones Alimentarias</w:t>
            </w:r>
          </w:p>
        </w:tc>
      </w:tr>
      <w:tr w:rsidR="00353DFD" w:rsidRPr="00353DFD" w14:paraId="3602B616" w14:textId="77777777" w:rsidTr="00353DFD">
        <w:trPr>
          <w:trHeight w:val="279"/>
          <w:jc w:val="center"/>
        </w:trPr>
        <w:tc>
          <w:tcPr>
            <w:tcW w:w="1304" w:type="dxa"/>
            <w:tcBorders>
              <w:top w:val="nil"/>
              <w:left w:val="single" w:sz="8" w:space="0" w:color="auto"/>
              <w:bottom w:val="single" w:sz="8" w:space="0" w:color="auto"/>
              <w:right w:val="single" w:sz="8" w:space="0" w:color="auto"/>
            </w:tcBorders>
            <w:shd w:val="clear" w:color="000000" w:fill="808080"/>
            <w:vAlign w:val="center"/>
            <w:hideMark/>
          </w:tcPr>
          <w:p w14:paraId="53AF8684"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 xml:space="preserve">Total </w:t>
            </w:r>
          </w:p>
        </w:tc>
        <w:tc>
          <w:tcPr>
            <w:tcW w:w="1086" w:type="dxa"/>
            <w:tcBorders>
              <w:top w:val="nil"/>
              <w:left w:val="nil"/>
              <w:bottom w:val="single" w:sz="8" w:space="0" w:color="auto"/>
              <w:right w:val="single" w:sz="8" w:space="0" w:color="auto"/>
            </w:tcBorders>
            <w:shd w:val="clear" w:color="000000" w:fill="808080"/>
            <w:vAlign w:val="center"/>
            <w:hideMark/>
          </w:tcPr>
          <w:p w14:paraId="0FC868BF" w14:textId="77777777" w:rsidR="00353DFD" w:rsidRPr="00353DFD" w:rsidRDefault="00353DFD" w:rsidP="00353DFD">
            <w:pPr>
              <w:spacing w:after="0" w:line="240" w:lineRule="auto"/>
              <w:jc w:val="center"/>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19</w:t>
            </w:r>
          </w:p>
        </w:tc>
        <w:tc>
          <w:tcPr>
            <w:tcW w:w="5157" w:type="dxa"/>
            <w:gridSpan w:val="4"/>
            <w:tcBorders>
              <w:top w:val="single" w:sz="8" w:space="0" w:color="auto"/>
              <w:left w:val="nil"/>
              <w:bottom w:val="single" w:sz="8" w:space="0" w:color="auto"/>
              <w:right w:val="single" w:sz="8" w:space="0" w:color="000000"/>
            </w:tcBorders>
            <w:shd w:val="clear" w:color="000000" w:fill="808080"/>
            <w:vAlign w:val="center"/>
            <w:hideMark/>
          </w:tcPr>
          <w:p w14:paraId="1667255B" w14:textId="77777777" w:rsidR="00353DFD" w:rsidRPr="00353DFD" w:rsidRDefault="00353DFD" w:rsidP="00353DFD">
            <w:pPr>
              <w:spacing w:after="0" w:line="240" w:lineRule="auto"/>
              <w:rPr>
                <w:rFonts w:ascii="Book Antiqua" w:eastAsia="Times New Roman" w:hAnsi="Book Antiqua" w:cs="Calibri"/>
                <w:b/>
                <w:bCs/>
                <w:color w:val="FFFFFF"/>
                <w:sz w:val="18"/>
                <w:szCs w:val="18"/>
                <w:lang w:eastAsia="es-CR"/>
              </w:rPr>
            </w:pPr>
            <w:r w:rsidRPr="00353DFD">
              <w:rPr>
                <w:rFonts w:ascii="Book Antiqua" w:eastAsia="Times New Roman" w:hAnsi="Book Antiqua" w:cs="Calibri"/>
                <w:b/>
                <w:bCs/>
                <w:color w:val="FFFFFF"/>
                <w:sz w:val="18"/>
                <w:szCs w:val="18"/>
                <w:lang w:eastAsia="es-CR"/>
              </w:rPr>
              <w:t>Plazas para cubrir necesidades según cargas de trabajo actuales.</w:t>
            </w:r>
          </w:p>
        </w:tc>
        <w:tc>
          <w:tcPr>
            <w:tcW w:w="3812" w:type="dxa"/>
            <w:gridSpan w:val="2"/>
            <w:tcBorders>
              <w:top w:val="single" w:sz="8" w:space="0" w:color="auto"/>
              <w:left w:val="nil"/>
              <w:bottom w:val="single" w:sz="8" w:space="0" w:color="auto"/>
              <w:right w:val="single" w:sz="8" w:space="0" w:color="000000"/>
            </w:tcBorders>
            <w:shd w:val="clear" w:color="000000" w:fill="808080"/>
            <w:vAlign w:val="center"/>
            <w:hideMark/>
          </w:tcPr>
          <w:p w14:paraId="0E10CFDB" w14:textId="77777777" w:rsidR="00353DFD" w:rsidRPr="00353DFD" w:rsidRDefault="00353DFD" w:rsidP="00353DFD">
            <w:pPr>
              <w:spacing w:after="0" w:line="240" w:lineRule="auto"/>
              <w:jc w:val="center"/>
              <w:rPr>
                <w:rFonts w:ascii="Times New Roman" w:eastAsia="Times New Roman" w:hAnsi="Times New Roman" w:cs="Times New Roman"/>
                <w:b/>
                <w:bCs/>
                <w:color w:val="FFFFFF"/>
                <w:sz w:val="18"/>
                <w:szCs w:val="18"/>
                <w:lang w:eastAsia="es-CR"/>
              </w:rPr>
            </w:pPr>
            <w:r w:rsidRPr="00353DFD">
              <w:rPr>
                <w:rFonts w:ascii="Times New Roman" w:eastAsia="Times New Roman" w:hAnsi="Times New Roman" w:cs="Times New Roman"/>
                <w:b/>
                <w:bCs/>
                <w:color w:val="FFFFFF"/>
                <w:sz w:val="18"/>
                <w:szCs w:val="18"/>
                <w:lang w:eastAsia="es-CR"/>
              </w:rPr>
              <w:t>₡801 595 000,00</w:t>
            </w:r>
          </w:p>
        </w:tc>
      </w:tr>
    </w:tbl>
    <w:p w14:paraId="158A2374" w14:textId="77777777" w:rsidR="00A65C1F" w:rsidRPr="00A65C1F" w:rsidRDefault="00A65C1F" w:rsidP="001D0C10">
      <w:pPr>
        <w:tabs>
          <w:tab w:val="left" w:pos="8364"/>
        </w:tabs>
        <w:spacing w:after="0" w:line="276" w:lineRule="auto"/>
        <w:ind w:right="1700"/>
        <w:jc w:val="both"/>
        <w:rPr>
          <w:rFonts w:ascii="Book Antiqua" w:eastAsia="Calibri" w:hAnsi="Book Antiqua" w:cs="Arial"/>
          <w:bCs/>
          <w:i/>
          <w:sz w:val="20"/>
          <w:szCs w:val="20"/>
        </w:rPr>
      </w:pPr>
      <w:r w:rsidRPr="0080175A">
        <w:rPr>
          <w:rFonts w:ascii="Book Antiqua" w:eastAsia="Calibri" w:hAnsi="Book Antiqua" w:cs="Arial"/>
          <w:b/>
          <w:i/>
          <w:sz w:val="20"/>
          <w:szCs w:val="20"/>
        </w:rPr>
        <w:t>Fuente:</w:t>
      </w:r>
      <w:r w:rsidRPr="00A65C1F">
        <w:rPr>
          <w:rFonts w:ascii="Book Antiqua" w:eastAsia="Calibri" w:hAnsi="Book Antiqua" w:cs="Arial"/>
          <w:bCs/>
          <w:i/>
          <w:sz w:val="20"/>
          <w:szCs w:val="20"/>
        </w:rPr>
        <w:t xml:space="preserve"> Subproceso de Modernización Institucional.</w:t>
      </w:r>
    </w:p>
    <w:p w14:paraId="010E0EC4" w14:textId="77777777" w:rsidR="00D510E1" w:rsidRDefault="00D510E1" w:rsidP="000D3457">
      <w:pPr>
        <w:spacing w:after="0" w:line="276" w:lineRule="auto"/>
        <w:jc w:val="both"/>
        <w:rPr>
          <w:rFonts w:ascii="Book Antiqua" w:eastAsia="Calibri" w:hAnsi="Book Antiqua" w:cs="Arial"/>
          <w:sz w:val="24"/>
          <w:szCs w:val="24"/>
        </w:rPr>
      </w:pPr>
    </w:p>
    <w:p w14:paraId="5F2C9837" w14:textId="3CDE6B6B" w:rsidR="000D3457" w:rsidRPr="000D3457" w:rsidRDefault="000D3457" w:rsidP="000D3457">
      <w:pPr>
        <w:spacing w:after="0" w:line="276" w:lineRule="auto"/>
        <w:jc w:val="both"/>
        <w:rPr>
          <w:rFonts w:ascii="Book Antiqua" w:eastAsia="Calibri" w:hAnsi="Book Antiqua" w:cs="Arial"/>
          <w:sz w:val="24"/>
          <w:szCs w:val="24"/>
        </w:rPr>
      </w:pPr>
      <w:r w:rsidRPr="00A6636F">
        <w:rPr>
          <w:rFonts w:ascii="Book Antiqua" w:eastAsia="Calibri" w:hAnsi="Book Antiqua" w:cs="Arial"/>
          <w:sz w:val="24"/>
          <w:szCs w:val="24"/>
        </w:rPr>
        <w:t xml:space="preserve">La presente propuesta registra la incorporación de </w:t>
      </w:r>
      <w:r w:rsidR="00821ADB" w:rsidRPr="00E10EC5">
        <w:rPr>
          <w:rFonts w:ascii="Book Antiqua" w:eastAsia="Calibri" w:hAnsi="Book Antiqua" w:cs="Arial"/>
          <w:sz w:val="24"/>
          <w:szCs w:val="24"/>
        </w:rPr>
        <w:t>1</w:t>
      </w:r>
      <w:r w:rsidR="004A31AE" w:rsidRPr="00E10EC5">
        <w:rPr>
          <w:rFonts w:ascii="Book Antiqua" w:eastAsia="Calibri" w:hAnsi="Book Antiqua" w:cs="Arial"/>
          <w:sz w:val="24"/>
          <w:szCs w:val="24"/>
        </w:rPr>
        <w:t>9</w:t>
      </w:r>
      <w:r w:rsidR="004957EA" w:rsidRPr="00E10EC5">
        <w:rPr>
          <w:rFonts w:ascii="Book Antiqua" w:eastAsia="Calibri" w:hAnsi="Book Antiqua" w:cs="Arial"/>
          <w:sz w:val="24"/>
          <w:szCs w:val="24"/>
        </w:rPr>
        <w:t xml:space="preserve"> </w:t>
      </w:r>
      <w:r w:rsidRPr="00E10EC5">
        <w:rPr>
          <w:rFonts w:ascii="Book Antiqua" w:eastAsia="Calibri" w:hAnsi="Book Antiqua" w:cs="Arial"/>
          <w:sz w:val="24"/>
          <w:szCs w:val="24"/>
        </w:rPr>
        <w:t>recursos nuevos en</w:t>
      </w:r>
      <w:r w:rsidRPr="00A6636F">
        <w:rPr>
          <w:rFonts w:ascii="Book Antiqua" w:eastAsia="Calibri" w:hAnsi="Book Antiqua" w:cs="Arial"/>
          <w:sz w:val="24"/>
          <w:szCs w:val="24"/>
        </w:rPr>
        <w:t xml:space="preserve"> total (</w:t>
      </w:r>
      <w:r w:rsidR="005D2069" w:rsidRPr="00A6636F">
        <w:rPr>
          <w:rFonts w:ascii="Book Antiqua" w:eastAsia="Calibri" w:hAnsi="Book Antiqua" w:cs="Arial"/>
          <w:sz w:val="24"/>
          <w:szCs w:val="24"/>
        </w:rPr>
        <w:t>2</w:t>
      </w:r>
      <w:r w:rsidR="00474474" w:rsidRPr="00A6636F">
        <w:rPr>
          <w:rFonts w:ascii="Book Antiqua" w:eastAsia="Calibri" w:hAnsi="Book Antiqua" w:cs="Arial"/>
          <w:sz w:val="24"/>
          <w:szCs w:val="24"/>
        </w:rPr>
        <w:t xml:space="preserve"> plazas de Técnicos Judiciales 2,</w:t>
      </w:r>
      <w:r w:rsidR="005D2069" w:rsidRPr="00A6636F">
        <w:rPr>
          <w:rFonts w:ascii="Book Antiqua" w:eastAsia="Calibri" w:hAnsi="Book Antiqua" w:cs="Arial"/>
          <w:sz w:val="24"/>
          <w:szCs w:val="24"/>
        </w:rPr>
        <w:t xml:space="preserve"> 1 Técnico Judicial 1,</w:t>
      </w:r>
      <w:r w:rsidR="00474474" w:rsidRPr="00A6636F">
        <w:rPr>
          <w:rFonts w:ascii="Book Antiqua" w:eastAsia="Calibri" w:hAnsi="Book Antiqua" w:cs="Arial"/>
          <w:sz w:val="24"/>
          <w:szCs w:val="24"/>
        </w:rPr>
        <w:t xml:space="preserve"> </w:t>
      </w:r>
      <w:r w:rsidR="00792DD6" w:rsidRPr="00A6636F">
        <w:rPr>
          <w:rFonts w:ascii="Book Antiqua" w:eastAsia="Calibri" w:hAnsi="Book Antiqua" w:cs="Arial"/>
          <w:sz w:val="24"/>
          <w:szCs w:val="24"/>
        </w:rPr>
        <w:t xml:space="preserve">1 Juez 1, </w:t>
      </w:r>
      <w:r w:rsidR="00474474" w:rsidRPr="00A6636F">
        <w:rPr>
          <w:rFonts w:ascii="Book Antiqua" w:eastAsia="Calibri" w:hAnsi="Book Antiqua" w:cs="Arial"/>
          <w:sz w:val="24"/>
          <w:szCs w:val="24"/>
        </w:rPr>
        <w:t>2 Técnicos Judiciales</w:t>
      </w:r>
      <w:r w:rsidR="00474474" w:rsidRPr="00B26C45">
        <w:rPr>
          <w:rFonts w:ascii="Book Antiqua" w:eastAsia="Calibri" w:hAnsi="Book Antiqua" w:cs="Arial"/>
          <w:sz w:val="24"/>
          <w:szCs w:val="24"/>
        </w:rPr>
        <w:t xml:space="preserve"> 3, 2 Técnicos de Sala de la Corte, </w:t>
      </w:r>
      <w:r w:rsidR="00FF7AB5">
        <w:rPr>
          <w:rFonts w:ascii="Book Antiqua" w:eastAsia="Calibri" w:hAnsi="Book Antiqua" w:cs="Arial"/>
          <w:sz w:val="24"/>
          <w:szCs w:val="24"/>
        </w:rPr>
        <w:t>1</w:t>
      </w:r>
      <w:r w:rsidR="00474474" w:rsidRPr="00B26C45">
        <w:rPr>
          <w:rFonts w:ascii="Book Antiqua" w:eastAsia="Calibri" w:hAnsi="Book Antiqua" w:cs="Arial"/>
          <w:sz w:val="24"/>
          <w:szCs w:val="24"/>
        </w:rPr>
        <w:t xml:space="preserve"> Profesional en Derecho 3B en condición de </w:t>
      </w:r>
      <w:r w:rsidRPr="00B26C45">
        <w:rPr>
          <w:rFonts w:ascii="Book Antiqua" w:eastAsia="Calibri" w:hAnsi="Book Antiqua" w:cs="Arial"/>
          <w:sz w:val="24"/>
          <w:szCs w:val="24"/>
        </w:rPr>
        <w:t xml:space="preserve">plazas </w:t>
      </w:r>
      <w:r w:rsidR="00D658E7" w:rsidRPr="00B26C45">
        <w:rPr>
          <w:rFonts w:ascii="Book Antiqua" w:eastAsia="Calibri" w:hAnsi="Book Antiqua" w:cs="Arial"/>
          <w:sz w:val="24"/>
          <w:szCs w:val="24"/>
        </w:rPr>
        <w:t xml:space="preserve">ordinarias porque son para completar estructura, salvo la del Juzgado de Familia de San Carlos a la espera de visualizar el impacto real de la reforma y la disminución en carga de trabajo </w:t>
      </w:r>
      <w:r w:rsidR="009861F9">
        <w:rPr>
          <w:rFonts w:ascii="Book Antiqua" w:eastAsia="Calibri" w:hAnsi="Book Antiqua" w:cs="Arial"/>
          <w:sz w:val="24"/>
          <w:szCs w:val="24"/>
        </w:rPr>
        <w:t>al</w:t>
      </w:r>
      <w:r w:rsidR="00D658E7" w:rsidRPr="00B26C45">
        <w:rPr>
          <w:rFonts w:ascii="Book Antiqua" w:eastAsia="Calibri" w:hAnsi="Book Antiqua" w:cs="Arial"/>
          <w:sz w:val="24"/>
          <w:szCs w:val="24"/>
        </w:rPr>
        <w:t xml:space="preserve"> centralizarse la atención de las apelaciones en materia de Pensiones, </w:t>
      </w:r>
      <w:r w:rsidR="00A24872">
        <w:rPr>
          <w:rFonts w:ascii="Book Antiqua" w:eastAsia="Calibri" w:hAnsi="Book Antiqua" w:cs="Arial"/>
          <w:sz w:val="24"/>
          <w:szCs w:val="24"/>
        </w:rPr>
        <w:t>10</w:t>
      </w:r>
      <w:r w:rsidR="009861F9">
        <w:rPr>
          <w:rFonts w:ascii="Book Antiqua" w:eastAsia="Calibri" w:hAnsi="Book Antiqua" w:cs="Arial"/>
          <w:sz w:val="24"/>
          <w:szCs w:val="24"/>
        </w:rPr>
        <w:t xml:space="preserve"> plazas </w:t>
      </w:r>
      <w:r w:rsidR="008270BA">
        <w:rPr>
          <w:rFonts w:ascii="Book Antiqua" w:eastAsia="Calibri" w:hAnsi="Book Antiqua" w:cs="Arial"/>
          <w:sz w:val="24"/>
          <w:szCs w:val="24"/>
        </w:rPr>
        <w:t xml:space="preserve">de Juez </w:t>
      </w:r>
      <w:r w:rsidR="00484D38">
        <w:rPr>
          <w:rFonts w:ascii="Book Antiqua" w:eastAsia="Calibri" w:hAnsi="Book Antiqua" w:cs="Arial"/>
          <w:sz w:val="24"/>
          <w:szCs w:val="24"/>
        </w:rPr>
        <w:t>3</w:t>
      </w:r>
      <w:r w:rsidR="00A24872">
        <w:rPr>
          <w:rFonts w:ascii="Book Antiqua" w:eastAsia="Calibri" w:hAnsi="Book Antiqua" w:cs="Arial"/>
          <w:sz w:val="24"/>
          <w:szCs w:val="24"/>
        </w:rPr>
        <w:t xml:space="preserve"> (5 ordinarias y 5 extraordinarias)</w:t>
      </w:r>
      <w:r w:rsidR="008270BA">
        <w:rPr>
          <w:rFonts w:ascii="Book Antiqua" w:eastAsia="Calibri" w:hAnsi="Book Antiqua" w:cs="Arial"/>
          <w:sz w:val="24"/>
          <w:szCs w:val="24"/>
        </w:rPr>
        <w:t xml:space="preserve"> para la atención de la segunda instancia de Pensiones Alimentarias, </w:t>
      </w:r>
      <w:r w:rsidRPr="00B26C45">
        <w:rPr>
          <w:rFonts w:ascii="Book Antiqua" w:eastAsia="Calibri" w:hAnsi="Book Antiqua" w:cs="Arial"/>
          <w:sz w:val="24"/>
          <w:szCs w:val="24"/>
        </w:rPr>
        <w:t xml:space="preserve">para un costo estimado total de </w:t>
      </w:r>
      <w:r w:rsidRPr="00E94B81">
        <w:rPr>
          <w:rFonts w:ascii="Times New Roman" w:eastAsia="Calibri" w:hAnsi="Times New Roman" w:cs="Times New Roman"/>
          <w:sz w:val="24"/>
          <w:szCs w:val="24"/>
        </w:rPr>
        <w:t>₡</w:t>
      </w:r>
      <w:r w:rsidR="000D6969">
        <w:rPr>
          <w:rFonts w:ascii="Times New Roman" w:eastAsia="Calibri" w:hAnsi="Times New Roman" w:cs="Times New Roman"/>
          <w:sz w:val="24"/>
          <w:szCs w:val="24"/>
        </w:rPr>
        <w:t xml:space="preserve">801 </w:t>
      </w:r>
      <w:r w:rsidR="00097C1D">
        <w:rPr>
          <w:rFonts w:ascii="Times New Roman" w:eastAsia="Calibri" w:hAnsi="Times New Roman" w:cs="Times New Roman"/>
          <w:sz w:val="24"/>
          <w:szCs w:val="24"/>
        </w:rPr>
        <w:t>5</w:t>
      </w:r>
      <w:r w:rsidR="000D6969">
        <w:rPr>
          <w:rFonts w:ascii="Times New Roman" w:eastAsia="Calibri" w:hAnsi="Times New Roman" w:cs="Times New Roman"/>
          <w:sz w:val="24"/>
          <w:szCs w:val="24"/>
        </w:rPr>
        <w:t>95</w:t>
      </w:r>
      <w:r w:rsidR="00757ED6">
        <w:rPr>
          <w:rFonts w:ascii="Times New Roman" w:eastAsia="Calibri" w:hAnsi="Times New Roman" w:cs="Times New Roman"/>
          <w:sz w:val="24"/>
          <w:szCs w:val="24"/>
        </w:rPr>
        <w:t> </w:t>
      </w:r>
      <w:r w:rsidR="003F5D86" w:rsidRPr="00E94B81">
        <w:rPr>
          <w:rFonts w:ascii="Book Antiqua" w:eastAsia="Calibri" w:hAnsi="Book Antiqua" w:cs="Times New Roman"/>
          <w:sz w:val="24"/>
          <w:szCs w:val="24"/>
        </w:rPr>
        <w:t>000</w:t>
      </w:r>
      <w:r w:rsidR="00757ED6">
        <w:rPr>
          <w:rFonts w:ascii="Book Antiqua" w:eastAsia="Calibri" w:hAnsi="Book Antiqua" w:cs="Times New Roman"/>
          <w:sz w:val="24"/>
          <w:szCs w:val="24"/>
        </w:rPr>
        <w:t>,</w:t>
      </w:r>
      <w:r w:rsidRPr="00E94B81">
        <w:rPr>
          <w:rFonts w:ascii="Book Antiqua" w:eastAsia="Calibri" w:hAnsi="Book Antiqua" w:cs="Times New Roman"/>
          <w:sz w:val="24"/>
          <w:szCs w:val="24"/>
        </w:rPr>
        <w:t xml:space="preserve">00 </w:t>
      </w:r>
      <w:r w:rsidRPr="00E94B81">
        <w:rPr>
          <w:rFonts w:ascii="Book Antiqua" w:eastAsia="Calibri" w:hAnsi="Book Antiqua" w:cs="Arial"/>
          <w:sz w:val="24"/>
          <w:szCs w:val="24"/>
        </w:rPr>
        <w:t>por</w:t>
      </w:r>
      <w:r w:rsidRPr="00B26C45">
        <w:rPr>
          <w:rFonts w:ascii="Book Antiqua" w:eastAsia="Calibri" w:hAnsi="Book Antiqua" w:cs="Arial"/>
          <w:sz w:val="24"/>
          <w:szCs w:val="24"/>
        </w:rPr>
        <w:t xml:space="preserve"> concepto de necesidad de recurso humano producto de la entrada en vigencia del Código Procesal Familia</w:t>
      </w:r>
      <w:r w:rsidR="003F5D86" w:rsidRPr="00B26C45">
        <w:rPr>
          <w:rFonts w:ascii="Book Antiqua" w:eastAsia="Calibri" w:hAnsi="Book Antiqua" w:cs="Arial"/>
          <w:sz w:val="24"/>
          <w:szCs w:val="24"/>
        </w:rPr>
        <w:t>.</w:t>
      </w:r>
      <w:r w:rsidRPr="00E057C9">
        <w:rPr>
          <w:rFonts w:ascii="Book Antiqua" w:eastAsia="Calibri" w:hAnsi="Book Antiqua" w:cs="Arial"/>
          <w:sz w:val="24"/>
          <w:szCs w:val="24"/>
        </w:rPr>
        <w:t xml:space="preserve"> </w:t>
      </w:r>
    </w:p>
    <w:p w14:paraId="4CD859A2" w14:textId="77777777" w:rsidR="000D3457" w:rsidRPr="000D3457" w:rsidRDefault="000D3457" w:rsidP="000D3457">
      <w:pPr>
        <w:spacing w:after="0" w:line="276" w:lineRule="auto"/>
        <w:jc w:val="both"/>
        <w:rPr>
          <w:rFonts w:ascii="Book Antiqua" w:eastAsia="Calibri" w:hAnsi="Book Antiqua" w:cs="Arial"/>
          <w:sz w:val="24"/>
          <w:szCs w:val="24"/>
        </w:rPr>
      </w:pPr>
    </w:p>
    <w:p w14:paraId="22F38C05" w14:textId="2C13C0EB" w:rsidR="000D3457" w:rsidRPr="000D3457" w:rsidRDefault="00C165C5" w:rsidP="000D3457">
      <w:pPr>
        <w:spacing w:after="0" w:line="276" w:lineRule="auto"/>
        <w:jc w:val="both"/>
        <w:rPr>
          <w:rFonts w:ascii="Book Antiqua" w:eastAsia="Times New Roman" w:hAnsi="Book Antiqua" w:cs="Times New Roman"/>
          <w:color w:val="000000"/>
          <w:sz w:val="24"/>
          <w:szCs w:val="24"/>
          <w:lang w:eastAsia="es-CR"/>
        </w:rPr>
      </w:pPr>
      <w:r w:rsidRPr="00C1024E">
        <w:rPr>
          <w:rFonts w:ascii="Book Antiqua" w:eastAsia="Calibri" w:hAnsi="Book Antiqua" w:cs="Arial"/>
          <w:sz w:val="24"/>
          <w:szCs w:val="24"/>
        </w:rPr>
        <w:t>Para 202</w:t>
      </w:r>
      <w:r w:rsidR="00B579C0" w:rsidRPr="00C1024E">
        <w:rPr>
          <w:rFonts w:ascii="Book Antiqua" w:eastAsia="Calibri" w:hAnsi="Book Antiqua" w:cs="Arial"/>
          <w:sz w:val="24"/>
          <w:szCs w:val="24"/>
        </w:rPr>
        <w:t>4</w:t>
      </w:r>
      <w:r w:rsidRPr="00C1024E">
        <w:rPr>
          <w:rFonts w:ascii="Book Antiqua" w:eastAsia="Calibri" w:hAnsi="Book Antiqua" w:cs="Arial"/>
          <w:sz w:val="24"/>
          <w:szCs w:val="24"/>
        </w:rPr>
        <w:t>, l</w:t>
      </w:r>
      <w:r w:rsidR="000D3457" w:rsidRPr="00C1024E">
        <w:rPr>
          <w:rFonts w:ascii="Book Antiqua" w:eastAsia="Calibri" w:hAnsi="Book Antiqua" w:cs="Arial"/>
          <w:sz w:val="24"/>
          <w:szCs w:val="24"/>
        </w:rPr>
        <w:t xml:space="preserve">os costos asociados por concepto de mobiliario y equipo para las plazas nuevas </w:t>
      </w:r>
      <w:r w:rsidR="003243DD">
        <w:rPr>
          <w:rFonts w:ascii="Book Antiqua" w:eastAsia="Calibri" w:hAnsi="Book Antiqua" w:cs="Arial"/>
          <w:sz w:val="24"/>
          <w:szCs w:val="24"/>
        </w:rPr>
        <w:t xml:space="preserve">profesionales y no profesionales, </w:t>
      </w:r>
      <w:r w:rsidR="000D3457" w:rsidRPr="00C1024E">
        <w:rPr>
          <w:rFonts w:ascii="Book Antiqua" w:eastAsia="Calibri" w:hAnsi="Book Antiqua" w:cs="Arial"/>
          <w:sz w:val="24"/>
          <w:szCs w:val="24"/>
        </w:rPr>
        <w:t xml:space="preserve">fue estimado </w:t>
      </w:r>
      <w:r w:rsidR="00271247" w:rsidRPr="00C1024E">
        <w:rPr>
          <w:rFonts w:ascii="Book Antiqua" w:eastAsia="Calibri" w:hAnsi="Book Antiqua" w:cs="Arial"/>
          <w:sz w:val="24"/>
          <w:szCs w:val="24"/>
        </w:rPr>
        <w:t>por</w:t>
      </w:r>
      <w:r w:rsidR="000D3457" w:rsidRPr="00C1024E">
        <w:rPr>
          <w:rFonts w:ascii="Book Antiqua" w:eastAsia="Calibri" w:hAnsi="Book Antiqua" w:cs="Arial"/>
          <w:sz w:val="24"/>
          <w:szCs w:val="24"/>
        </w:rPr>
        <w:t xml:space="preserve"> parte de</w:t>
      </w:r>
      <w:r w:rsidR="00271247" w:rsidRPr="00C1024E">
        <w:rPr>
          <w:rFonts w:ascii="Book Antiqua" w:eastAsia="Calibri" w:hAnsi="Book Antiqua" w:cs="Arial"/>
          <w:sz w:val="24"/>
          <w:szCs w:val="24"/>
        </w:rPr>
        <w:t xml:space="preserve"> esta </w:t>
      </w:r>
      <w:r w:rsidR="000D3457" w:rsidRPr="00C1024E">
        <w:rPr>
          <w:rFonts w:ascii="Book Antiqua" w:eastAsia="Calibri" w:hAnsi="Book Antiqua" w:cs="Arial"/>
          <w:sz w:val="24"/>
          <w:szCs w:val="24"/>
        </w:rPr>
        <w:t>Dirección</w:t>
      </w:r>
      <w:r w:rsidR="00A4611F" w:rsidRPr="00C1024E">
        <w:rPr>
          <w:rFonts w:ascii="Book Antiqua" w:eastAsia="Calibri" w:hAnsi="Book Antiqua" w:cs="Arial"/>
          <w:sz w:val="24"/>
          <w:szCs w:val="24"/>
        </w:rPr>
        <w:t>.</w:t>
      </w:r>
    </w:p>
    <w:p w14:paraId="744F726E" w14:textId="77777777" w:rsidR="000D3457" w:rsidRPr="000D3457" w:rsidRDefault="000D3457" w:rsidP="000D3457">
      <w:pPr>
        <w:spacing w:after="0" w:line="276" w:lineRule="auto"/>
        <w:jc w:val="both"/>
        <w:rPr>
          <w:rFonts w:ascii="Book Antiqua" w:eastAsia="Times New Roman" w:hAnsi="Book Antiqua" w:cs="Times New Roman"/>
          <w:color w:val="000000"/>
          <w:sz w:val="24"/>
          <w:szCs w:val="24"/>
          <w:lang w:eastAsia="es-CR"/>
        </w:rPr>
      </w:pPr>
    </w:p>
    <w:p w14:paraId="26E5E544" w14:textId="21BAD586" w:rsidR="000D3457" w:rsidRDefault="000D3457" w:rsidP="000D3457">
      <w:pPr>
        <w:spacing w:after="0" w:line="276" w:lineRule="auto"/>
        <w:jc w:val="both"/>
        <w:rPr>
          <w:rFonts w:ascii="Book Antiqua" w:eastAsia="Calibri" w:hAnsi="Book Antiqua" w:cs="Arial"/>
          <w:sz w:val="24"/>
          <w:szCs w:val="24"/>
        </w:rPr>
      </w:pPr>
      <w:r w:rsidRPr="00BA5685">
        <w:rPr>
          <w:rFonts w:ascii="Book Antiqua" w:eastAsia="Calibri" w:hAnsi="Book Antiqua" w:cs="Arial"/>
          <w:sz w:val="24"/>
          <w:szCs w:val="24"/>
        </w:rPr>
        <w:t xml:space="preserve">Cabe mencionar además la inclusión en el presupuesto de la Dirección de Tecnología de Información </w:t>
      </w:r>
      <w:r w:rsidR="007726C6" w:rsidRPr="00BA5685">
        <w:rPr>
          <w:rFonts w:ascii="Book Antiqua" w:eastAsia="Calibri" w:hAnsi="Book Antiqua" w:cs="Arial"/>
          <w:sz w:val="24"/>
          <w:szCs w:val="24"/>
        </w:rPr>
        <w:t xml:space="preserve">y Comunicaciones </w:t>
      </w:r>
      <w:r w:rsidRPr="00BA5685">
        <w:rPr>
          <w:rFonts w:ascii="Book Antiqua" w:eastAsia="Calibri" w:hAnsi="Book Antiqua" w:cs="Arial"/>
          <w:sz w:val="24"/>
          <w:szCs w:val="24"/>
        </w:rPr>
        <w:t xml:space="preserve">de 15 millones de colones para la elaboración </w:t>
      </w:r>
      <w:r w:rsidR="007726C6" w:rsidRPr="00BA5685">
        <w:rPr>
          <w:rFonts w:ascii="Book Antiqua" w:eastAsia="Calibri" w:hAnsi="Book Antiqua" w:cs="Arial"/>
          <w:sz w:val="24"/>
          <w:szCs w:val="24"/>
        </w:rPr>
        <w:t xml:space="preserve">del </w:t>
      </w:r>
      <w:r w:rsidRPr="00BA5685">
        <w:rPr>
          <w:rFonts w:ascii="Book Antiqua" w:eastAsia="Calibri" w:hAnsi="Book Antiqua" w:cs="Arial"/>
          <w:sz w:val="24"/>
          <w:szCs w:val="24"/>
        </w:rPr>
        <w:t xml:space="preserve">sitio web de la Comisión de Familia, plataforma </w:t>
      </w:r>
      <w:r w:rsidR="00E80DD9" w:rsidRPr="00BA5685">
        <w:rPr>
          <w:rFonts w:ascii="Book Antiqua" w:eastAsia="Calibri" w:hAnsi="Book Antiqua" w:cs="Arial"/>
          <w:sz w:val="24"/>
          <w:szCs w:val="24"/>
        </w:rPr>
        <w:t xml:space="preserve">solicitada por esa Comisión </w:t>
      </w:r>
      <w:r w:rsidRPr="00BA5685">
        <w:rPr>
          <w:rFonts w:ascii="Book Antiqua" w:eastAsia="Calibri" w:hAnsi="Book Antiqua" w:cs="Arial"/>
          <w:sz w:val="24"/>
          <w:szCs w:val="24"/>
        </w:rPr>
        <w:t>para ser utilizada como informativa entre otros aspectos para la reforma.</w:t>
      </w:r>
      <w:r w:rsidRPr="000D3457">
        <w:rPr>
          <w:rFonts w:ascii="Book Antiqua" w:eastAsia="Calibri" w:hAnsi="Book Antiqua" w:cs="Arial"/>
          <w:sz w:val="24"/>
          <w:szCs w:val="24"/>
        </w:rPr>
        <w:t xml:space="preserve"> </w:t>
      </w:r>
    </w:p>
    <w:p w14:paraId="440BEFA7" w14:textId="77777777" w:rsidR="009B5E1A" w:rsidRDefault="009B5E1A" w:rsidP="000D3457">
      <w:pPr>
        <w:spacing w:after="0" w:line="276" w:lineRule="auto"/>
        <w:jc w:val="both"/>
        <w:rPr>
          <w:rFonts w:ascii="Book Antiqua" w:eastAsia="Calibri" w:hAnsi="Book Antiqua" w:cs="Arial"/>
          <w:sz w:val="24"/>
          <w:szCs w:val="24"/>
        </w:rPr>
      </w:pPr>
    </w:p>
    <w:p w14:paraId="2335F9AD" w14:textId="5EEFA0A1" w:rsidR="002C155B" w:rsidRPr="00612E7C" w:rsidRDefault="002C155B" w:rsidP="00612E7C">
      <w:pPr>
        <w:pStyle w:val="Prrafodelista"/>
        <w:keepNext/>
        <w:widowControl w:val="0"/>
        <w:numPr>
          <w:ilvl w:val="2"/>
          <w:numId w:val="48"/>
        </w:numPr>
        <w:autoSpaceDN w:val="0"/>
        <w:adjustRightInd w:val="0"/>
        <w:spacing w:after="0" w:line="276" w:lineRule="auto"/>
        <w:jc w:val="both"/>
        <w:outlineLvl w:val="1"/>
        <w:rPr>
          <w:rFonts w:ascii="Book Antiqua" w:eastAsiaTheme="majorEastAsia" w:hAnsi="Book Antiqua" w:cstheme="majorBidi"/>
          <w:b/>
          <w:color w:val="1F3864" w:themeColor="accent1" w:themeShade="80"/>
          <w:sz w:val="24"/>
          <w:lang w:val="es-ES"/>
        </w:rPr>
      </w:pPr>
      <w:r w:rsidRPr="00612E7C">
        <w:rPr>
          <w:rFonts w:ascii="Book Antiqua" w:eastAsiaTheme="majorEastAsia" w:hAnsi="Book Antiqua" w:cstheme="majorBidi"/>
          <w:b/>
          <w:color w:val="1F3864" w:themeColor="accent1" w:themeShade="80"/>
          <w:sz w:val="24"/>
          <w:lang w:val="es-ES"/>
        </w:rPr>
        <w:t>Costo recurso humano estimado para el Centro de Apoyo, Coordinación y Mejoramiento de la Función Jurisdiccional-Programa 927</w:t>
      </w:r>
      <w:r w:rsidR="008464F6" w:rsidRPr="00612E7C">
        <w:rPr>
          <w:rFonts w:ascii="Book Antiqua" w:eastAsiaTheme="majorEastAsia" w:hAnsi="Book Antiqua" w:cstheme="majorBidi"/>
          <w:b/>
          <w:color w:val="1F3864" w:themeColor="accent1" w:themeShade="80"/>
          <w:sz w:val="24"/>
          <w:lang w:val="es-ES"/>
        </w:rPr>
        <w:t xml:space="preserve"> y Modelo de Tramitación de Violencia Doméstica</w:t>
      </w:r>
    </w:p>
    <w:p w14:paraId="5A9945DD" w14:textId="77777777" w:rsidR="00C153A4" w:rsidRDefault="00C153A4" w:rsidP="002C155B">
      <w:pPr>
        <w:spacing w:after="0" w:line="276" w:lineRule="auto"/>
        <w:jc w:val="both"/>
        <w:rPr>
          <w:rFonts w:ascii="Book Antiqua" w:eastAsia="Calibri" w:hAnsi="Book Antiqua" w:cs="Arial"/>
          <w:sz w:val="24"/>
          <w:szCs w:val="24"/>
        </w:rPr>
      </w:pPr>
    </w:p>
    <w:p w14:paraId="726D166E" w14:textId="7DC8B48D" w:rsidR="000306FA" w:rsidRDefault="002C155B" w:rsidP="002C155B">
      <w:pPr>
        <w:spacing w:after="0" w:line="276" w:lineRule="auto"/>
        <w:jc w:val="both"/>
        <w:rPr>
          <w:rFonts w:ascii="Book Antiqua" w:eastAsia="Calibri" w:hAnsi="Book Antiqua" w:cs="Arial"/>
          <w:sz w:val="24"/>
          <w:szCs w:val="24"/>
        </w:rPr>
      </w:pPr>
      <w:r w:rsidRPr="002C155B">
        <w:rPr>
          <w:rFonts w:ascii="Book Antiqua" w:eastAsia="Calibri" w:hAnsi="Book Antiqua" w:cs="Arial"/>
          <w:sz w:val="24"/>
          <w:szCs w:val="24"/>
        </w:rPr>
        <w:t>El detalle del costo de recurso humano requerido del presupuesto para 202</w:t>
      </w:r>
      <w:r w:rsidR="00C1024E">
        <w:rPr>
          <w:rFonts w:ascii="Book Antiqua" w:eastAsia="Calibri" w:hAnsi="Book Antiqua" w:cs="Arial"/>
          <w:sz w:val="24"/>
          <w:szCs w:val="24"/>
        </w:rPr>
        <w:t>4</w:t>
      </w:r>
      <w:r w:rsidR="008464F6">
        <w:rPr>
          <w:rFonts w:ascii="Book Antiqua" w:eastAsia="Calibri" w:hAnsi="Book Antiqua" w:cs="Arial"/>
          <w:sz w:val="24"/>
          <w:szCs w:val="24"/>
        </w:rPr>
        <w:t>,</w:t>
      </w:r>
      <w:r w:rsidRPr="002C155B">
        <w:rPr>
          <w:rFonts w:ascii="Book Antiqua" w:eastAsia="Calibri" w:hAnsi="Book Antiqua" w:cs="Arial"/>
          <w:sz w:val="24"/>
          <w:szCs w:val="24"/>
        </w:rPr>
        <w:t xml:space="preserve"> es el siguiente:</w:t>
      </w:r>
    </w:p>
    <w:p w14:paraId="0BA713D3" w14:textId="0C21B619" w:rsidR="002C155B" w:rsidRPr="002C155B" w:rsidRDefault="002C155B" w:rsidP="002C15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155B">
        <w:rPr>
          <w:rFonts w:ascii="Book Antiqua" w:eastAsia="Calibri" w:hAnsi="Book Antiqua" w:cs="Arial"/>
          <w:b/>
          <w:bCs/>
          <w:color w:val="1F497D"/>
          <w:szCs w:val="24"/>
          <w:lang w:val="es-ES" w:eastAsia="es-ES"/>
        </w:rPr>
        <w:t xml:space="preserve">Cuadro </w:t>
      </w:r>
      <w:r w:rsidRPr="002C155B">
        <w:rPr>
          <w:rFonts w:ascii="Book Antiqua" w:eastAsia="Calibri" w:hAnsi="Book Antiqua" w:cs="Arial"/>
          <w:b/>
          <w:bCs/>
          <w:color w:val="1F497D"/>
          <w:szCs w:val="24"/>
          <w:lang w:val="es-ES" w:eastAsia="es-ES"/>
        </w:rPr>
        <w:fldChar w:fldCharType="begin"/>
      </w:r>
      <w:r w:rsidRPr="002C155B">
        <w:rPr>
          <w:rFonts w:ascii="Book Antiqua" w:eastAsia="Calibri" w:hAnsi="Book Antiqua" w:cs="Arial"/>
          <w:b/>
          <w:bCs/>
          <w:color w:val="1F497D"/>
          <w:szCs w:val="24"/>
          <w:lang w:val="es-ES" w:eastAsia="es-ES"/>
        </w:rPr>
        <w:instrText xml:space="preserve"> SEQ Cuadro \* ARABIC </w:instrText>
      </w:r>
      <w:r w:rsidRPr="002C155B">
        <w:rPr>
          <w:rFonts w:ascii="Book Antiqua" w:eastAsia="Calibri" w:hAnsi="Book Antiqua" w:cs="Arial"/>
          <w:b/>
          <w:bCs/>
          <w:color w:val="1F497D"/>
          <w:szCs w:val="24"/>
          <w:lang w:val="es-ES" w:eastAsia="es-ES"/>
        </w:rPr>
        <w:fldChar w:fldCharType="separate"/>
      </w:r>
      <w:r w:rsidR="00533BEB">
        <w:rPr>
          <w:rFonts w:ascii="Book Antiqua" w:eastAsia="Calibri" w:hAnsi="Book Antiqua" w:cs="Arial"/>
          <w:b/>
          <w:bCs/>
          <w:noProof/>
          <w:color w:val="1F497D"/>
          <w:szCs w:val="24"/>
          <w:lang w:val="es-ES" w:eastAsia="es-ES"/>
        </w:rPr>
        <w:t>75</w:t>
      </w:r>
      <w:r w:rsidRPr="002C155B">
        <w:rPr>
          <w:rFonts w:ascii="Book Antiqua" w:eastAsia="Calibri" w:hAnsi="Book Antiqua" w:cs="Arial"/>
          <w:b/>
          <w:bCs/>
          <w:color w:val="1F497D"/>
          <w:szCs w:val="24"/>
          <w:lang w:val="es-ES" w:eastAsia="es-ES"/>
        </w:rPr>
        <w:fldChar w:fldCharType="end"/>
      </w:r>
      <w:r w:rsidRPr="002C155B">
        <w:rPr>
          <w:rFonts w:ascii="Book Antiqua" w:eastAsia="Calibri" w:hAnsi="Book Antiqua" w:cs="Arial"/>
          <w:b/>
          <w:bCs/>
          <w:color w:val="1F497D"/>
          <w:szCs w:val="24"/>
          <w:lang w:val="es-ES" w:eastAsia="es-ES"/>
        </w:rPr>
        <w:t xml:space="preserve"> </w:t>
      </w:r>
    </w:p>
    <w:p w14:paraId="23B04EEF" w14:textId="0C672D16" w:rsidR="002C155B" w:rsidRPr="002C155B" w:rsidRDefault="002C155B" w:rsidP="002C15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155B">
        <w:rPr>
          <w:rFonts w:ascii="Book Antiqua" w:eastAsia="Calibri" w:hAnsi="Book Antiqua" w:cs="Arial"/>
          <w:b/>
          <w:bCs/>
          <w:color w:val="1F497D"/>
          <w:szCs w:val="24"/>
          <w:lang w:val="es-ES" w:eastAsia="es-ES"/>
        </w:rPr>
        <w:t>Costos económicos recurso humano CACMFJ, 202</w:t>
      </w:r>
      <w:r w:rsidR="0057217C">
        <w:rPr>
          <w:rFonts w:ascii="Book Antiqua" w:eastAsia="Calibri" w:hAnsi="Book Antiqua" w:cs="Arial"/>
          <w:b/>
          <w:bCs/>
          <w:color w:val="1F497D"/>
          <w:szCs w:val="24"/>
          <w:lang w:val="es-ES" w:eastAsia="es-ES"/>
        </w:rPr>
        <w:t>4</w:t>
      </w:r>
    </w:p>
    <w:tbl>
      <w:tblPr>
        <w:tblW w:w="10480" w:type="dxa"/>
        <w:jc w:val="center"/>
        <w:tblLayout w:type="fixed"/>
        <w:tblCellMar>
          <w:left w:w="70" w:type="dxa"/>
          <w:right w:w="70" w:type="dxa"/>
        </w:tblCellMar>
        <w:tblLook w:val="04A0" w:firstRow="1" w:lastRow="0" w:firstColumn="1" w:lastColumn="0" w:noHBand="0" w:noVBand="1"/>
      </w:tblPr>
      <w:tblGrid>
        <w:gridCol w:w="1225"/>
        <w:gridCol w:w="985"/>
        <w:gridCol w:w="1920"/>
        <w:gridCol w:w="1820"/>
        <w:gridCol w:w="940"/>
        <w:gridCol w:w="1747"/>
        <w:gridCol w:w="1843"/>
      </w:tblGrid>
      <w:tr w:rsidR="00AB5E03" w:rsidRPr="00AB5E03" w14:paraId="0B379531" w14:textId="77777777" w:rsidTr="00AB5E03">
        <w:trPr>
          <w:trHeight w:val="530"/>
          <w:jc w:val="center"/>
        </w:trPr>
        <w:tc>
          <w:tcPr>
            <w:tcW w:w="1225"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5B0DD8B1" w14:textId="77777777" w:rsidR="00AB5E03" w:rsidRPr="00AB5E03" w:rsidRDefault="00AB5E03" w:rsidP="00AB5E03">
            <w:pPr>
              <w:spacing w:after="0" w:line="240" w:lineRule="auto"/>
              <w:jc w:val="center"/>
              <w:rPr>
                <w:rFonts w:ascii="Book Antiqua" w:eastAsia="Times New Roman" w:hAnsi="Book Antiqua" w:cs="Calibri"/>
                <w:b/>
                <w:bCs/>
                <w:color w:val="FFFFFF"/>
                <w:sz w:val="20"/>
                <w:szCs w:val="20"/>
                <w:lang w:eastAsia="es-CR"/>
              </w:rPr>
            </w:pPr>
            <w:r w:rsidRPr="00AB5E03">
              <w:rPr>
                <w:rFonts w:ascii="Book Antiqua" w:eastAsia="Times New Roman" w:hAnsi="Book Antiqua" w:cs="Calibri"/>
                <w:b/>
                <w:bCs/>
                <w:color w:val="FFFFFF"/>
                <w:sz w:val="20"/>
                <w:szCs w:val="20"/>
                <w:lang w:eastAsia="es-CR"/>
              </w:rPr>
              <w:t>Oficina</w:t>
            </w:r>
          </w:p>
        </w:tc>
        <w:tc>
          <w:tcPr>
            <w:tcW w:w="985" w:type="dxa"/>
            <w:tcBorders>
              <w:top w:val="single" w:sz="8" w:space="0" w:color="auto"/>
              <w:left w:val="nil"/>
              <w:bottom w:val="single" w:sz="8" w:space="0" w:color="auto"/>
              <w:right w:val="single" w:sz="8" w:space="0" w:color="auto"/>
            </w:tcBorders>
            <w:shd w:val="clear" w:color="000000" w:fill="002060"/>
            <w:vAlign w:val="center"/>
            <w:hideMark/>
          </w:tcPr>
          <w:p w14:paraId="3D3EF01E" w14:textId="77777777" w:rsidR="00AB5E03" w:rsidRPr="00AB5E03" w:rsidRDefault="00AB5E03" w:rsidP="00AB5E03">
            <w:pPr>
              <w:spacing w:after="0" w:line="240" w:lineRule="auto"/>
              <w:jc w:val="center"/>
              <w:rPr>
                <w:rFonts w:ascii="Book Antiqua" w:eastAsia="Times New Roman" w:hAnsi="Book Antiqua" w:cs="Calibri"/>
                <w:b/>
                <w:bCs/>
                <w:color w:val="FFFFFF"/>
                <w:sz w:val="20"/>
                <w:szCs w:val="20"/>
                <w:lang w:eastAsia="es-CR"/>
              </w:rPr>
            </w:pPr>
            <w:r w:rsidRPr="00AB5E03">
              <w:rPr>
                <w:rFonts w:ascii="Book Antiqua" w:eastAsia="Times New Roman" w:hAnsi="Book Antiqua" w:cs="Calibri"/>
                <w:b/>
                <w:bCs/>
                <w:color w:val="FFFFFF"/>
                <w:sz w:val="20"/>
                <w:szCs w:val="20"/>
                <w:lang w:eastAsia="es-CR"/>
              </w:rPr>
              <w:t>Cantidad</w:t>
            </w:r>
          </w:p>
        </w:tc>
        <w:tc>
          <w:tcPr>
            <w:tcW w:w="1920" w:type="dxa"/>
            <w:tcBorders>
              <w:top w:val="single" w:sz="8" w:space="0" w:color="auto"/>
              <w:left w:val="nil"/>
              <w:bottom w:val="single" w:sz="8" w:space="0" w:color="auto"/>
              <w:right w:val="single" w:sz="8" w:space="0" w:color="auto"/>
            </w:tcBorders>
            <w:shd w:val="clear" w:color="000000" w:fill="002060"/>
            <w:vAlign w:val="center"/>
            <w:hideMark/>
          </w:tcPr>
          <w:p w14:paraId="328E855E" w14:textId="77777777" w:rsidR="00AB5E03" w:rsidRPr="00AB5E03" w:rsidRDefault="00AB5E03" w:rsidP="00AB5E03">
            <w:pPr>
              <w:spacing w:after="0" w:line="240" w:lineRule="auto"/>
              <w:jc w:val="center"/>
              <w:rPr>
                <w:rFonts w:ascii="Book Antiqua" w:eastAsia="Times New Roman" w:hAnsi="Book Antiqua" w:cs="Calibri"/>
                <w:b/>
                <w:bCs/>
                <w:color w:val="FFFFFF"/>
                <w:sz w:val="20"/>
                <w:szCs w:val="20"/>
                <w:lang w:eastAsia="es-CR"/>
              </w:rPr>
            </w:pPr>
            <w:r w:rsidRPr="00AB5E03">
              <w:rPr>
                <w:rFonts w:ascii="Book Antiqua" w:eastAsia="Times New Roman" w:hAnsi="Book Antiqua" w:cs="Calibri"/>
                <w:b/>
                <w:bCs/>
                <w:color w:val="FFFFFF"/>
                <w:sz w:val="20"/>
                <w:szCs w:val="20"/>
                <w:lang w:eastAsia="es-CR"/>
              </w:rPr>
              <w:t>Tipo de plaza</w:t>
            </w:r>
          </w:p>
        </w:tc>
        <w:tc>
          <w:tcPr>
            <w:tcW w:w="1820" w:type="dxa"/>
            <w:tcBorders>
              <w:top w:val="single" w:sz="8" w:space="0" w:color="auto"/>
              <w:left w:val="nil"/>
              <w:bottom w:val="single" w:sz="8" w:space="0" w:color="auto"/>
              <w:right w:val="single" w:sz="8" w:space="0" w:color="auto"/>
            </w:tcBorders>
            <w:shd w:val="clear" w:color="000000" w:fill="002060"/>
            <w:vAlign w:val="center"/>
            <w:hideMark/>
          </w:tcPr>
          <w:p w14:paraId="209F3227" w14:textId="77777777" w:rsidR="00AB5E03" w:rsidRPr="00AB5E03" w:rsidRDefault="00AB5E03" w:rsidP="00AB5E03">
            <w:pPr>
              <w:spacing w:after="0" w:line="240" w:lineRule="auto"/>
              <w:jc w:val="center"/>
              <w:rPr>
                <w:rFonts w:ascii="Book Antiqua" w:eastAsia="Times New Roman" w:hAnsi="Book Antiqua" w:cs="Calibri"/>
                <w:b/>
                <w:bCs/>
                <w:color w:val="FFFFFF"/>
                <w:sz w:val="20"/>
                <w:szCs w:val="20"/>
                <w:lang w:eastAsia="es-CR"/>
              </w:rPr>
            </w:pPr>
            <w:r w:rsidRPr="00AB5E03">
              <w:rPr>
                <w:rFonts w:ascii="Book Antiqua" w:eastAsia="Times New Roman" w:hAnsi="Book Antiqua" w:cs="Calibri"/>
                <w:b/>
                <w:bCs/>
                <w:color w:val="FFFFFF"/>
                <w:sz w:val="20"/>
                <w:szCs w:val="20"/>
                <w:lang w:eastAsia="es-CR"/>
              </w:rPr>
              <w:t>Recomendación</w:t>
            </w:r>
          </w:p>
        </w:tc>
        <w:tc>
          <w:tcPr>
            <w:tcW w:w="940" w:type="dxa"/>
            <w:tcBorders>
              <w:top w:val="single" w:sz="8" w:space="0" w:color="auto"/>
              <w:left w:val="nil"/>
              <w:bottom w:val="single" w:sz="8" w:space="0" w:color="auto"/>
              <w:right w:val="single" w:sz="8" w:space="0" w:color="auto"/>
            </w:tcBorders>
            <w:shd w:val="clear" w:color="000000" w:fill="002060"/>
            <w:vAlign w:val="center"/>
            <w:hideMark/>
          </w:tcPr>
          <w:p w14:paraId="1653D531" w14:textId="77777777" w:rsidR="00AB5E03" w:rsidRPr="00AB5E03" w:rsidRDefault="00AB5E03" w:rsidP="00AB5E03">
            <w:pPr>
              <w:spacing w:after="0" w:line="240" w:lineRule="auto"/>
              <w:jc w:val="center"/>
              <w:rPr>
                <w:rFonts w:ascii="Book Antiqua" w:eastAsia="Times New Roman" w:hAnsi="Book Antiqua" w:cs="Calibri"/>
                <w:b/>
                <w:bCs/>
                <w:color w:val="FFFFFF"/>
                <w:sz w:val="20"/>
                <w:szCs w:val="20"/>
                <w:lang w:eastAsia="es-CR"/>
              </w:rPr>
            </w:pPr>
            <w:r w:rsidRPr="00AB5E03">
              <w:rPr>
                <w:rFonts w:ascii="Book Antiqua" w:eastAsia="Times New Roman" w:hAnsi="Book Antiqua" w:cs="Calibri"/>
                <w:b/>
                <w:bCs/>
                <w:color w:val="FFFFFF"/>
                <w:sz w:val="20"/>
                <w:szCs w:val="20"/>
                <w:lang w:eastAsia="es-CR"/>
              </w:rPr>
              <w:t>Periodo</w:t>
            </w:r>
          </w:p>
        </w:tc>
        <w:tc>
          <w:tcPr>
            <w:tcW w:w="1747" w:type="dxa"/>
            <w:tcBorders>
              <w:top w:val="single" w:sz="8" w:space="0" w:color="auto"/>
              <w:left w:val="nil"/>
              <w:bottom w:val="single" w:sz="8" w:space="0" w:color="auto"/>
              <w:right w:val="single" w:sz="8" w:space="0" w:color="auto"/>
            </w:tcBorders>
            <w:shd w:val="clear" w:color="000000" w:fill="002060"/>
            <w:vAlign w:val="center"/>
            <w:hideMark/>
          </w:tcPr>
          <w:p w14:paraId="2926762B" w14:textId="77777777" w:rsidR="00AB5E03" w:rsidRPr="00AB5E03" w:rsidRDefault="00AB5E03" w:rsidP="00AB5E03">
            <w:pPr>
              <w:spacing w:after="0" w:line="240" w:lineRule="auto"/>
              <w:jc w:val="center"/>
              <w:rPr>
                <w:rFonts w:ascii="Book Antiqua" w:eastAsia="Times New Roman" w:hAnsi="Book Antiqua" w:cs="Calibri"/>
                <w:b/>
                <w:bCs/>
                <w:color w:val="FFFFFF"/>
                <w:sz w:val="20"/>
                <w:szCs w:val="20"/>
                <w:lang w:eastAsia="es-CR"/>
              </w:rPr>
            </w:pPr>
            <w:r w:rsidRPr="00AB5E03">
              <w:rPr>
                <w:rFonts w:ascii="Book Antiqua" w:eastAsia="Times New Roman" w:hAnsi="Book Antiqua" w:cs="Calibri"/>
                <w:b/>
                <w:bCs/>
                <w:color w:val="FFFFFF"/>
                <w:sz w:val="20"/>
                <w:szCs w:val="20"/>
                <w:lang w:eastAsia="es-CR"/>
              </w:rPr>
              <w:t>Costo total 2024</w:t>
            </w:r>
          </w:p>
        </w:tc>
        <w:tc>
          <w:tcPr>
            <w:tcW w:w="1843" w:type="dxa"/>
            <w:tcBorders>
              <w:top w:val="single" w:sz="8" w:space="0" w:color="auto"/>
              <w:left w:val="nil"/>
              <w:bottom w:val="single" w:sz="8" w:space="0" w:color="auto"/>
              <w:right w:val="single" w:sz="8" w:space="0" w:color="auto"/>
            </w:tcBorders>
            <w:shd w:val="clear" w:color="000000" w:fill="002060"/>
            <w:vAlign w:val="center"/>
            <w:hideMark/>
          </w:tcPr>
          <w:p w14:paraId="43902065" w14:textId="77777777" w:rsidR="00AB5E03" w:rsidRPr="00AB5E03" w:rsidRDefault="00AB5E03" w:rsidP="00AB5E03">
            <w:pPr>
              <w:spacing w:after="0" w:line="240" w:lineRule="auto"/>
              <w:jc w:val="center"/>
              <w:rPr>
                <w:rFonts w:ascii="Book Antiqua" w:eastAsia="Times New Roman" w:hAnsi="Book Antiqua" w:cs="Calibri"/>
                <w:b/>
                <w:bCs/>
                <w:color w:val="FFFFFF"/>
                <w:sz w:val="20"/>
                <w:szCs w:val="20"/>
                <w:lang w:eastAsia="es-CR"/>
              </w:rPr>
            </w:pPr>
            <w:r w:rsidRPr="00AB5E03">
              <w:rPr>
                <w:rFonts w:ascii="Book Antiqua" w:eastAsia="Times New Roman" w:hAnsi="Book Antiqua" w:cs="Calibri"/>
                <w:b/>
                <w:bCs/>
                <w:color w:val="FFFFFF"/>
                <w:sz w:val="20"/>
                <w:szCs w:val="20"/>
                <w:lang w:eastAsia="es-CR"/>
              </w:rPr>
              <w:t>Observaciones</w:t>
            </w:r>
          </w:p>
        </w:tc>
      </w:tr>
      <w:tr w:rsidR="00AB5E03" w:rsidRPr="00AB5E03" w14:paraId="644BB95F" w14:textId="77777777" w:rsidTr="00AB5E03">
        <w:trPr>
          <w:trHeight w:val="790"/>
          <w:jc w:val="center"/>
        </w:trPr>
        <w:tc>
          <w:tcPr>
            <w:tcW w:w="1225" w:type="dxa"/>
            <w:vMerge w:val="restart"/>
            <w:tcBorders>
              <w:top w:val="nil"/>
              <w:left w:val="single" w:sz="8" w:space="0" w:color="auto"/>
              <w:bottom w:val="single" w:sz="8" w:space="0" w:color="000000"/>
              <w:right w:val="single" w:sz="8" w:space="0" w:color="auto"/>
            </w:tcBorders>
            <w:shd w:val="clear" w:color="auto" w:fill="auto"/>
            <w:vAlign w:val="center"/>
            <w:hideMark/>
          </w:tcPr>
          <w:p w14:paraId="6E632BC0"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CACMFJ</w:t>
            </w:r>
          </w:p>
        </w:tc>
        <w:tc>
          <w:tcPr>
            <w:tcW w:w="985" w:type="dxa"/>
            <w:tcBorders>
              <w:top w:val="nil"/>
              <w:left w:val="nil"/>
              <w:bottom w:val="single" w:sz="8" w:space="0" w:color="auto"/>
              <w:right w:val="single" w:sz="8" w:space="0" w:color="auto"/>
            </w:tcBorders>
            <w:shd w:val="clear" w:color="auto" w:fill="auto"/>
            <w:noWrap/>
            <w:vAlign w:val="center"/>
            <w:hideMark/>
          </w:tcPr>
          <w:p w14:paraId="6D92525E"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1</w:t>
            </w:r>
          </w:p>
        </w:tc>
        <w:tc>
          <w:tcPr>
            <w:tcW w:w="1920" w:type="dxa"/>
            <w:tcBorders>
              <w:top w:val="nil"/>
              <w:left w:val="nil"/>
              <w:bottom w:val="single" w:sz="8" w:space="0" w:color="auto"/>
              <w:right w:val="single" w:sz="8" w:space="0" w:color="auto"/>
            </w:tcBorders>
            <w:shd w:val="clear" w:color="auto" w:fill="auto"/>
            <w:vAlign w:val="center"/>
            <w:hideMark/>
          </w:tcPr>
          <w:p w14:paraId="216ED676"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Jueza o Juez 4 Gestor</w:t>
            </w:r>
          </w:p>
        </w:tc>
        <w:tc>
          <w:tcPr>
            <w:tcW w:w="1820" w:type="dxa"/>
            <w:tcBorders>
              <w:top w:val="nil"/>
              <w:left w:val="nil"/>
              <w:bottom w:val="single" w:sz="8" w:space="0" w:color="auto"/>
              <w:right w:val="single" w:sz="8" w:space="0" w:color="auto"/>
            </w:tcBorders>
            <w:shd w:val="clear" w:color="auto" w:fill="auto"/>
            <w:vAlign w:val="center"/>
            <w:hideMark/>
          </w:tcPr>
          <w:p w14:paraId="34263F84"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Ordinario</w:t>
            </w:r>
          </w:p>
        </w:tc>
        <w:tc>
          <w:tcPr>
            <w:tcW w:w="940" w:type="dxa"/>
            <w:tcBorders>
              <w:top w:val="nil"/>
              <w:left w:val="nil"/>
              <w:bottom w:val="single" w:sz="8" w:space="0" w:color="auto"/>
              <w:right w:val="single" w:sz="8" w:space="0" w:color="auto"/>
            </w:tcBorders>
            <w:shd w:val="clear" w:color="auto" w:fill="auto"/>
            <w:vAlign w:val="center"/>
            <w:hideMark/>
          </w:tcPr>
          <w:p w14:paraId="3A5F6BD7"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79B8FC7B"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61 711 000.00</w:t>
            </w:r>
          </w:p>
        </w:tc>
        <w:tc>
          <w:tcPr>
            <w:tcW w:w="1843" w:type="dxa"/>
            <w:tcBorders>
              <w:top w:val="nil"/>
              <w:left w:val="nil"/>
              <w:bottom w:val="single" w:sz="8" w:space="0" w:color="auto"/>
              <w:right w:val="single" w:sz="8" w:space="0" w:color="auto"/>
            </w:tcBorders>
            <w:shd w:val="clear" w:color="auto" w:fill="auto"/>
            <w:vAlign w:val="center"/>
            <w:hideMark/>
          </w:tcPr>
          <w:p w14:paraId="48BAF1AB"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Gestor en las materias de FA, PA y VD</w:t>
            </w:r>
          </w:p>
        </w:tc>
      </w:tr>
      <w:tr w:rsidR="00AB5E03" w:rsidRPr="00AB5E03" w14:paraId="760B0308" w14:textId="77777777" w:rsidTr="00AB5E03">
        <w:trPr>
          <w:trHeight w:val="530"/>
          <w:jc w:val="center"/>
        </w:trPr>
        <w:tc>
          <w:tcPr>
            <w:tcW w:w="1225" w:type="dxa"/>
            <w:vMerge/>
            <w:tcBorders>
              <w:top w:val="nil"/>
              <w:left w:val="single" w:sz="8" w:space="0" w:color="auto"/>
              <w:bottom w:val="single" w:sz="8" w:space="0" w:color="000000"/>
              <w:right w:val="single" w:sz="8" w:space="0" w:color="auto"/>
            </w:tcBorders>
            <w:vAlign w:val="center"/>
            <w:hideMark/>
          </w:tcPr>
          <w:p w14:paraId="1E653F8E"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2D43F118"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1</w:t>
            </w:r>
          </w:p>
        </w:tc>
        <w:tc>
          <w:tcPr>
            <w:tcW w:w="1920" w:type="dxa"/>
            <w:tcBorders>
              <w:top w:val="nil"/>
              <w:left w:val="nil"/>
              <w:bottom w:val="single" w:sz="8" w:space="0" w:color="auto"/>
              <w:right w:val="single" w:sz="8" w:space="0" w:color="auto"/>
            </w:tcBorders>
            <w:shd w:val="clear" w:color="auto" w:fill="auto"/>
            <w:vAlign w:val="center"/>
            <w:hideMark/>
          </w:tcPr>
          <w:p w14:paraId="2284FCA3"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Profesional 2</w:t>
            </w:r>
          </w:p>
        </w:tc>
        <w:tc>
          <w:tcPr>
            <w:tcW w:w="1820" w:type="dxa"/>
            <w:tcBorders>
              <w:top w:val="nil"/>
              <w:left w:val="nil"/>
              <w:bottom w:val="single" w:sz="8" w:space="0" w:color="auto"/>
              <w:right w:val="single" w:sz="8" w:space="0" w:color="auto"/>
            </w:tcBorders>
            <w:shd w:val="clear" w:color="auto" w:fill="auto"/>
            <w:vAlign w:val="center"/>
            <w:hideMark/>
          </w:tcPr>
          <w:p w14:paraId="62DCC7AA"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Ordinario</w:t>
            </w:r>
          </w:p>
        </w:tc>
        <w:tc>
          <w:tcPr>
            <w:tcW w:w="940" w:type="dxa"/>
            <w:tcBorders>
              <w:top w:val="nil"/>
              <w:left w:val="nil"/>
              <w:bottom w:val="single" w:sz="8" w:space="0" w:color="auto"/>
              <w:right w:val="single" w:sz="8" w:space="0" w:color="auto"/>
            </w:tcBorders>
            <w:shd w:val="clear" w:color="auto" w:fill="auto"/>
            <w:vAlign w:val="center"/>
            <w:hideMark/>
          </w:tcPr>
          <w:p w14:paraId="4AE4A56A"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40AAB97C"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36 795 000.00</w:t>
            </w:r>
          </w:p>
        </w:tc>
        <w:tc>
          <w:tcPr>
            <w:tcW w:w="1843" w:type="dxa"/>
            <w:tcBorders>
              <w:top w:val="nil"/>
              <w:left w:val="nil"/>
              <w:bottom w:val="single" w:sz="8" w:space="0" w:color="auto"/>
              <w:right w:val="single" w:sz="8" w:space="0" w:color="auto"/>
            </w:tcBorders>
            <w:shd w:val="clear" w:color="auto" w:fill="auto"/>
            <w:vAlign w:val="center"/>
            <w:hideMark/>
          </w:tcPr>
          <w:p w14:paraId="709AAC0D"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Seguimiento a la jurisdicción</w:t>
            </w:r>
          </w:p>
        </w:tc>
      </w:tr>
      <w:tr w:rsidR="00AB5E03" w:rsidRPr="00AB5E03" w14:paraId="5D06529F" w14:textId="77777777" w:rsidTr="00AB5E03">
        <w:trPr>
          <w:trHeight w:val="530"/>
          <w:jc w:val="center"/>
        </w:trPr>
        <w:tc>
          <w:tcPr>
            <w:tcW w:w="1225" w:type="dxa"/>
            <w:vMerge/>
            <w:tcBorders>
              <w:top w:val="nil"/>
              <w:left w:val="single" w:sz="8" w:space="0" w:color="auto"/>
              <w:bottom w:val="single" w:sz="8" w:space="0" w:color="000000"/>
              <w:right w:val="single" w:sz="8" w:space="0" w:color="auto"/>
            </w:tcBorders>
            <w:vAlign w:val="center"/>
            <w:hideMark/>
          </w:tcPr>
          <w:p w14:paraId="1395E744"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78D5CD14"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1</w:t>
            </w:r>
          </w:p>
        </w:tc>
        <w:tc>
          <w:tcPr>
            <w:tcW w:w="1920" w:type="dxa"/>
            <w:tcBorders>
              <w:top w:val="nil"/>
              <w:left w:val="nil"/>
              <w:bottom w:val="single" w:sz="8" w:space="0" w:color="auto"/>
              <w:right w:val="single" w:sz="8" w:space="0" w:color="auto"/>
            </w:tcBorders>
            <w:shd w:val="clear" w:color="auto" w:fill="auto"/>
            <w:vAlign w:val="center"/>
            <w:hideMark/>
          </w:tcPr>
          <w:p w14:paraId="3D296D01"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Profesional 2</w:t>
            </w:r>
          </w:p>
        </w:tc>
        <w:tc>
          <w:tcPr>
            <w:tcW w:w="1820" w:type="dxa"/>
            <w:tcBorders>
              <w:top w:val="nil"/>
              <w:left w:val="nil"/>
              <w:bottom w:val="single" w:sz="8" w:space="0" w:color="auto"/>
              <w:right w:val="single" w:sz="8" w:space="0" w:color="auto"/>
            </w:tcBorders>
            <w:shd w:val="clear" w:color="auto" w:fill="auto"/>
            <w:vAlign w:val="center"/>
            <w:hideMark/>
          </w:tcPr>
          <w:p w14:paraId="79479933"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4ACD3190"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3CF33ADA"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36 795 000.00</w:t>
            </w:r>
          </w:p>
        </w:tc>
        <w:tc>
          <w:tcPr>
            <w:tcW w:w="1843" w:type="dxa"/>
            <w:tcBorders>
              <w:top w:val="nil"/>
              <w:left w:val="nil"/>
              <w:bottom w:val="single" w:sz="8" w:space="0" w:color="auto"/>
              <w:right w:val="single" w:sz="8" w:space="0" w:color="auto"/>
            </w:tcBorders>
            <w:shd w:val="clear" w:color="auto" w:fill="auto"/>
            <w:vAlign w:val="center"/>
            <w:hideMark/>
          </w:tcPr>
          <w:p w14:paraId="5A25995B"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Seguimiento a la jurisdicción</w:t>
            </w:r>
          </w:p>
        </w:tc>
      </w:tr>
      <w:tr w:rsidR="00AB5E03" w:rsidRPr="00AB5E03" w14:paraId="0F6B1C48" w14:textId="77777777" w:rsidTr="00AB5E03">
        <w:trPr>
          <w:trHeight w:val="730"/>
          <w:jc w:val="center"/>
        </w:trPr>
        <w:tc>
          <w:tcPr>
            <w:tcW w:w="1225" w:type="dxa"/>
            <w:vMerge/>
            <w:tcBorders>
              <w:top w:val="nil"/>
              <w:left w:val="single" w:sz="8" w:space="0" w:color="auto"/>
              <w:bottom w:val="single" w:sz="8" w:space="0" w:color="000000"/>
              <w:right w:val="single" w:sz="8" w:space="0" w:color="auto"/>
            </w:tcBorders>
            <w:vAlign w:val="center"/>
            <w:hideMark/>
          </w:tcPr>
          <w:p w14:paraId="15179A8E"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4590ED10"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1</w:t>
            </w:r>
          </w:p>
        </w:tc>
        <w:tc>
          <w:tcPr>
            <w:tcW w:w="1920" w:type="dxa"/>
            <w:tcBorders>
              <w:top w:val="nil"/>
              <w:left w:val="nil"/>
              <w:bottom w:val="single" w:sz="8" w:space="0" w:color="auto"/>
              <w:right w:val="single" w:sz="8" w:space="0" w:color="auto"/>
            </w:tcBorders>
            <w:shd w:val="clear" w:color="auto" w:fill="auto"/>
            <w:vAlign w:val="center"/>
            <w:hideMark/>
          </w:tcPr>
          <w:p w14:paraId="63E3507C"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Coordinador Judicial 2</w:t>
            </w:r>
          </w:p>
        </w:tc>
        <w:tc>
          <w:tcPr>
            <w:tcW w:w="1820" w:type="dxa"/>
            <w:tcBorders>
              <w:top w:val="nil"/>
              <w:left w:val="nil"/>
              <w:bottom w:val="single" w:sz="8" w:space="0" w:color="auto"/>
              <w:right w:val="single" w:sz="8" w:space="0" w:color="auto"/>
            </w:tcBorders>
            <w:shd w:val="clear" w:color="auto" w:fill="auto"/>
            <w:vAlign w:val="center"/>
            <w:hideMark/>
          </w:tcPr>
          <w:p w14:paraId="22937E70"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0F665CEA"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650748C2"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18 905 000.00</w:t>
            </w:r>
          </w:p>
        </w:tc>
        <w:tc>
          <w:tcPr>
            <w:tcW w:w="1843" w:type="dxa"/>
            <w:tcBorders>
              <w:top w:val="nil"/>
              <w:left w:val="nil"/>
              <w:bottom w:val="single" w:sz="8" w:space="0" w:color="auto"/>
              <w:right w:val="single" w:sz="8" w:space="0" w:color="auto"/>
            </w:tcBorders>
            <w:shd w:val="clear" w:color="auto" w:fill="auto"/>
            <w:vAlign w:val="center"/>
            <w:hideMark/>
          </w:tcPr>
          <w:p w14:paraId="637F2CD1"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Seguimiento a la jurisdicción</w:t>
            </w:r>
          </w:p>
        </w:tc>
      </w:tr>
      <w:tr w:rsidR="00AB5E03" w:rsidRPr="00AB5E03" w14:paraId="169F1D1C" w14:textId="77777777" w:rsidTr="00AB5E03">
        <w:trPr>
          <w:trHeight w:val="790"/>
          <w:jc w:val="center"/>
        </w:trPr>
        <w:tc>
          <w:tcPr>
            <w:tcW w:w="1225" w:type="dxa"/>
            <w:vMerge/>
            <w:tcBorders>
              <w:top w:val="nil"/>
              <w:left w:val="single" w:sz="8" w:space="0" w:color="auto"/>
              <w:bottom w:val="single" w:sz="8" w:space="0" w:color="000000"/>
              <w:right w:val="single" w:sz="8" w:space="0" w:color="auto"/>
            </w:tcBorders>
            <w:vAlign w:val="center"/>
            <w:hideMark/>
          </w:tcPr>
          <w:p w14:paraId="5FFB8FB7"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50C55B7C"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w:t>
            </w:r>
          </w:p>
        </w:tc>
        <w:tc>
          <w:tcPr>
            <w:tcW w:w="1920" w:type="dxa"/>
            <w:tcBorders>
              <w:top w:val="nil"/>
              <w:left w:val="nil"/>
              <w:bottom w:val="single" w:sz="8" w:space="0" w:color="auto"/>
              <w:right w:val="single" w:sz="8" w:space="0" w:color="auto"/>
            </w:tcBorders>
            <w:shd w:val="clear" w:color="auto" w:fill="auto"/>
            <w:vAlign w:val="center"/>
            <w:hideMark/>
          </w:tcPr>
          <w:p w14:paraId="3E53957D"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Técnica o Técnico Supernumerarios</w:t>
            </w:r>
          </w:p>
        </w:tc>
        <w:tc>
          <w:tcPr>
            <w:tcW w:w="1820" w:type="dxa"/>
            <w:tcBorders>
              <w:top w:val="nil"/>
              <w:left w:val="nil"/>
              <w:bottom w:val="single" w:sz="8" w:space="0" w:color="auto"/>
              <w:right w:val="single" w:sz="8" w:space="0" w:color="auto"/>
            </w:tcBorders>
            <w:shd w:val="clear" w:color="auto" w:fill="auto"/>
            <w:vAlign w:val="center"/>
            <w:hideMark/>
          </w:tcPr>
          <w:p w14:paraId="279AB667"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755446A9"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3D27B8E8"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33 352 000.00</w:t>
            </w:r>
          </w:p>
        </w:tc>
        <w:tc>
          <w:tcPr>
            <w:tcW w:w="1843" w:type="dxa"/>
            <w:tcBorders>
              <w:top w:val="nil"/>
              <w:left w:val="nil"/>
              <w:bottom w:val="single" w:sz="8" w:space="0" w:color="auto"/>
              <w:right w:val="single" w:sz="8" w:space="0" w:color="auto"/>
            </w:tcBorders>
            <w:shd w:val="clear" w:color="auto" w:fill="auto"/>
            <w:vAlign w:val="center"/>
            <w:hideMark/>
          </w:tcPr>
          <w:p w14:paraId="37ED6B55"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Seguimiento a la jurisdicción</w:t>
            </w:r>
          </w:p>
        </w:tc>
      </w:tr>
      <w:tr w:rsidR="00AB5E03" w:rsidRPr="00AB5E03" w14:paraId="34EA327E" w14:textId="77777777" w:rsidTr="00AB5E03">
        <w:trPr>
          <w:trHeight w:val="790"/>
          <w:jc w:val="center"/>
        </w:trPr>
        <w:tc>
          <w:tcPr>
            <w:tcW w:w="1225" w:type="dxa"/>
            <w:vMerge/>
            <w:tcBorders>
              <w:top w:val="nil"/>
              <w:left w:val="single" w:sz="8" w:space="0" w:color="auto"/>
              <w:bottom w:val="single" w:sz="8" w:space="0" w:color="000000"/>
              <w:right w:val="single" w:sz="8" w:space="0" w:color="auto"/>
            </w:tcBorders>
            <w:vAlign w:val="center"/>
            <w:hideMark/>
          </w:tcPr>
          <w:p w14:paraId="44009DF5"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66B8A501"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4</w:t>
            </w:r>
          </w:p>
        </w:tc>
        <w:tc>
          <w:tcPr>
            <w:tcW w:w="1920" w:type="dxa"/>
            <w:tcBorders>
              <w:top w:val="nil"/>
              <w:left w:val="nil"/>
              <w:bottom w:val="single" w:sz="8" w:space="0" w:color="auto"/>
              <w:right w:val="single" w:sz="8" w:space="0" w:color="auto"/>
            </w:tcBorders>
            <w:shd w:val="clear" w:color="auto" w:fill="auto"/>
            <w:vAlign w:val="center"/>
            <w:hideMark/>
          </w:tcPr>
          <w:p w14:paraId="549F11DF"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Jueza o Juez Supernumerario</w:t>
            </w:r>
          </w:p>
        </w:tc>
        <w:tc>
          <w:tcPr>
            <w:tcW w:w="1820" w:type="dxa"/>
            <w:tcBorders>
              <w:top w:val="nil"/>
              <w:left w:val="nil"/>
              <w:bottom w:val="single" w:sz="8" w:space="0" w:color="auto"/>
              <w:right w:val="single" w:sz="8" w:space="0" w:color="auto"/>
            </w:tcBorders>
            <w:shd w:val="clear" w:color="auto" w:fill="auto"/>
            <w:vAlign w:val="center"/>
            <w:hideMark/>
          </w:tcPr>
          <w:p w14:paraId="757D712C"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686BAB07"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058D2A1A"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219 452 000.00</w:t>
            </w:r>
          </w:p>
        </w:tc>
        <w:tc>
          <w:tcPr>
            <w:tcW w:w="1843" w:type="dxa"/>
            <w:tcBorders>
              <w:top w:val="nil"/>
              <w:left w:val="nil"/>
              <w:bottom w:val="single" w:sz="8" w:space="0" w:color="auto"/>
              <w:right w:val="single" w:sz="8" w:space="0" w:color="auto"/>
            </w:tcBorders>
            <w:shd w:val="clear" w:color="auto" w:fill="auto"/>
            <w:vAlign w:val="center"/>
            <w:hideMark/>
          </w:tcPr>
          <w:p w14:paraId="1394D2E8"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Plan de descongestionamiento de fallo</w:t>
            </w:r>
          </w:p>
        </w:tc>
      </w:tr>
      <w:tr w:rsidR="00AB5E03" w:rsidRPr="00AB5E03" w14:paraId="59D6DEDD" w14:textId="77777777" w:rsidTr="00AB5E03">
        <w:trPr>
          <w:trHeight w:val="790"/>
          <w:jc w:val="center"/>
        </w:trPr>
        <w:tc>
          <w:tcPr>
            <w:tcW w:w="1225" w:type="dxa"/>
            <w:vMerge/>
            <w:tcBorders>
              <w:top w:val="nil"/>
              <w:left w:val="single" w:sz="8" w:space="0" w:color="auto"/>
              <w:bottom w:val="single" w:sz="8" w:space="0" w:color="000000"/>
              <w:right w:val="single" w:sz="8" w:space="0" w:color="auto"/>
            </w:tcBorders>
            <w:vAlign w:val="center"/>
            <w:hideMark/>
          </w:tcPr>
          <w:p w14:paraId="75FA69DE"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22BC5C84"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8</w:t>
            </w:r>
          </w:p>
        </w:tc>
        <w:tc>
          <w:tcPr>
            <w:tcW w:w="1920" w:type="dxa"/>
            <w:tcBorders>
              <w:top w:val="nil"/>
              <w:left w:val="nil"/>
              <w:bottom w:val="single" w:sz="8" w:space="0" w:color="auto"/>
              <w:right w:val="single" w:sz="8" w:space="0" w:color="auto"/>
            </w:tcBorders>
            <w:shd w:val="clear" w:color="auto" w:fill="auto"/>
            <w:vAlign w:val="center"/>
            <w:hideMark/>
          </w:tcPr>
          <w:p w14:paraId="2F35F8F7"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Jueza o Juez Supernumerario</w:t>
            </w:r>
          </w:p>
        </w:tc>
        <w:tc>
          <w:tcPr>
            <w:tcW w:w="1820" w:type="dxa"/>
            <w:tcBorders>
              <w:top w:val="nil"/>
              <w:left w:val="nil"/>
              <w:bottom w:val="single" w:sz="8" w:space="0" w:color="auto"/>
              <w:right w:val="single" w:sz="8" w:space="0" w:color="auto"/>
            </w:tcBorders>
            <w:shd w:val="clear" w:color="auto" w:fill="auto"/>
            <w:vAlign w:val="center"/>
            <w:hideMark/>
          </w:tcPr>
          <w:p w14:paraId="449CDA5F"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507242A8"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4A740032"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438 904 000.00</w:t>
            </w:r>
          </w:p>
        </w:tc>
        <w:tc>
          <w:tcPr>
            <w:tcW w:w="1843" w:type="dxa"/>
            <w:tcBorders>
              <w:top w:val="nil"/>
              <w:left w:val="nil"/>
              <w:bottom w:val="single" w:sz="8" w:space="0" w:color="auto"/>
              <w:right w:val="single" w:sz="8" w:space="0" w:color="auto"/>
            </w:tcBorders>
            <w:shd w:val="clear" w:color="auto" w:fill="auto"/>
            <w:vAlign w:val="center"/>
            <w:hideMark/>
          </w:tcPr>
          <w:p w14:paraId="5F385DD9"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Plan de descongestionamiento de audiencias</w:t>
            </w:r>
          </w:p>
        </w:tc>
      </w:tr>
      <w:tr w:rsidR="00AB5E03" w:rsidRPr="00AB5E03" w14:paraId="1DED3E08" w14:textId="77777777" w:rsidTr="00AB5E03">
        <w:trPr>
          <w:trHeight w:val="790"/>
          <w:jc w:val="center"/>
        </w:trPr>
        <w:tc>
          <w:tcPr>
            <w:tcW w:w="1225" w:type="dxa"/>
            <w:vMerge/>
            <w:tcBorders>
              <w:top w:val="nil"/>
              <w:left w:val="single" w:sz="8" w:space="0" w:color="auto"/>
              <w:bottom w:val="single" w:sz="8" w:space="0" w:color="000000"/>
              <w:right w:val="single" w:sz="8" w:space="0" w:color="auto"/>
            </w:tcBorders>
            <w:vAlign w:val="center"/>
            <w:hideMark/>
          </w:tcPr>
          <w:p w14:paraId="793DA621"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4D1B2B6F"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4</w:t>
            </w:r>
          </w:p>
        </w:tc>
        <w:tc>
          <w:tcPr>
            <w:tcW w:w="1920" w:type="dxa"/>
            <w:tcBorders>
              <w:top w:val="nil"/>
              <w:left w:val="nil"/>
              <w:bottom w:val="single" w:sz="8" w:space="0" w:color="auto"/>
              <w:right w:val="single" w:sz="8" w:space="0" w:color="auto"/>
            </w:tcBorders>
            <w:shd w:val="clear" w:color="auto" w:fill="auto"/>
            <w:vAlign w:val="center"/>
            <w:hideMark/>
          </w:tcPr>
          <w:p w14:paraId="265E2D73"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Jueza o Juez 3</w:t>
            </w:r>
          </w:p>
        </w:tc>
        <w:tc>
          <w:tcPr>
            <w:tcW w:w="1820" w:type="dxa"/>
            <w:tcBorders>
              <w:top w:val="nil"/>
              <w:left w:val="nil"/>
              <w:bottom w:val="single" w:sz="8" w:space="0" w:color="auto"/>
              <w:right w:val="single" w:sz="8" w:space="0" w:color="auto"/>
            </w:tcBorders>
            <w:shd w:val="clear" w:color="auto" w:fill="auto"/>
            <w:vAlign w:val="center"/>
            <w:hideMark/>
          </w:tcPr>
          <w:p w14:paraId="06024C61"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2138D02D"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1B9704E6"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228 588 000.00</w:t>
            </w:r>
          </w:p>
        </w:tc>
        <w:tc>
          <w:tcPr>
            <w:tcW w:w="1843" w:type="dxa"/>
            <w:tcBorders>
              <w:top w:val="nil"/>
              <w:left w:val="nil"/>
              <w:bottom w:val="single" w:sz="8" w:space="0" w:color="auto"/>
              <w:right w:val="single" w:sz="8" w:space="0" w:color="auto"/>
            </w:tcBorders>
            <w:shd w:val="clear" w:color="auto" w:fill="auto"/>
            <w:vAlign w:val="center"/>
            <w:hideMark/>
          </w:tcPr>
          <w:p w14:paraId="0BA3A806"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Plan de descongestionamiento de fallo</w:t>
            </w:r>
          </w:p>
        </w:tc>
      </w:tr>
      <w:tr w:rsidR="00AB5E03" w:rsidRPr="00AB5E03" w14:paraId="6E5E35A0" w14:textId="77777777" w:rsidTr="00AB5E03">
        <w:trPr>
          <w:trHeight w:val="790"/>
          <w:jc w:val="center"/>
        </w:trPr>
        <w:tc>
          <w:tcPr>
            <w:tcW w:w="1225" w:type="dxa"/>
            <w:vMerge/>
            <w:tcBorders>
              <w:top w:val="nil"/>
              <w:left w:val="single" w:sz="8" w:space="0" w:color="auto"/>
              <w:bottom w:val="single" w:sz="8" w:space="0" w:color="000000"/>
              <w:right w:val="single" w:sz="8" w:space="0" w:color="auto"/>
            </w:tcBorders>
            <w:vAlign w:val="center"/>
            <w:hideMark/>
          </w:tcPr>
          <w:p w14:paraId="45AEF509"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63FB2F16"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4</w:t>
            </w:r>
          </w:p>
        </w:tc>
        <w:tc>
          <w:tcPr>
            <w:tcW w:w="1920" w:type="dxa"/>
            <w:tcBorders>
              <w:top w:val="nil"/>
              <w:left w:val="nil"/>
              <w:bottom w:val="single" w:sz="8" w:space="0" w:color="auto"/>
              <w:right w:val="single" w:sz="8" w:space="0" w:color="auto"/>
            </w:tcBorders>
            <w:shd w:val="clear" w:color="auto" w:fill="auto"/>
            <w:vAlign w:val="center"/>
            <w:hideMark/>
          </w:tcPr>
          <w:p w14:paraId="364A5082"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Jueza o Juez 3</w:t>
            </w:r>
          </w:p>
        </w:tc>
        <w:tc>
          <w:tcPr>
            <w:tcW w:w="1820" w:type="dxa"/>
            <w:tcBorders>
              <w:top w:val="nil"/>
              <w:left w:val="nil"/>
              <w:bottom w:val="single" w:sz="8" w:space="0" w:color="auto"/>
              <w:right w:val="single" w:sz="8" w:space="0" w:color="auto"/>
            </w:tcBorders>
            <w:shd w:val="clear" w:color="auto" w:fill="auto"/>
            <w:vAlign w:val="center"/>
            <w:hideMark/>
          </w:tcPr>
          <w:p w14:paraId="5BFF6C2F"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70E6228F"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47C8BFD6"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228 588 000.00</w:t>
            </w:r>
          </w:p>
        </w:tc>
        <w:tc>
          <w:tcPr>
            <w:tcW w:w="1843" w:type="dxa"/>
            <w:tcBorders>
              <w:top w:val="nil"/>
              <w:left w:val="nil"/>
              <w:bottom w:val="single" w:sz="8" w:space="0" w:color="auto"/>
              <w:right w:val="single" w:sz="8" w:space="0" w:color="auto"/>
            </w:tcBorders>
            <w:shd w:val="clear" w:color="auto" w:fill="auto"/>
            <w:vAlign w:val="center"/>
            <w:hideMark/>
          </w:tcPr>
          <w:p w14:paraId="7B744031"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Plan de descongestionamiento de audiencias</w:t>
            </w:r>
          </w:p>
        </w:tc>
      </w:tr>
      <w:tr w:rsidR="00AB5E03" w:rsidRPr="00AB5E03" w14:paraId="7F78A3C0" w14:textId="77777777" w:rsidTr="00AB5E03">
        <w:trPr>
          <w:trHeight w:val="530"/>
          <w:jc w:val="center"/>
        </w:trPr>
        <w:tc>
          <w:tcPr>
            <w:tcW w:w="1225" w:type="dxa"/>
            <w:vMerge/>
            <w:tcBorders>
              <w:top w:val="nil"/>
              <w:left w:val="single" w:sz="8" w:space="0" w:color="auto"/>
              <w:bottom w:val="single" w:sz="8" w:space="0" w:color="000000"/>
              <w:right w:val="single" w:sz="8" w:space="0" w:color="auto"/>
            </w:tcBorders>
            <w:vAlign w:val="center"/>
            <w:hideMark/>
          </w:tcPr>
          <w:p w14:paraId="7785D600"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646FC552"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4</w:t>
            </w:r>
          </w:p>
        </w:tc>
        <w:tc>
          <w:tcPr>
            <w:tcW w:w="1920" w:type="dxa"/>
            <w:tcBorders>
              <w:top w:val="nil"/>
              <w:left w:val="nil"/>
              <w:bottom w:val="single" w:sz="8" w:space="0" w:color="auto"/>
              <w:right w:val="single" w:sz="8" w:space="0" w:color="auto"/>
            </w:tcBorders>
            <w:shd w:val="clear" w:color="auto" w:fill="auto"/>
            <w:vAlign w:val="center"/>
            <w:hideMark/>
          </w:tcPr>
          <w:p w14:paraId="2EF1B66D"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Técnica o Técnico Judicial 2</w:t>
            </w:r>
          </w:p>
        </w:tc>
        <w:tc>
          <w:tcPr>
            <w:tcW w:w="1820" w:type="dxa"/>
            <w:tcBorders>
              <w:top w:val="nil"/>
              <w:left w:val="nil"/>
              <w:bottom w:val="single" w:sz="8" w:space="0" w:color="auto"/>
              <w:right w:val="single" w:sz="8" w:space="0" w:color="auto"/>
            </w:tcBorders>
            <w:shd w:val="clear" w:color="auto" w:fill="auto"/>
            <w:vAlign w:val="center"/>
            <w:hideMark/>
          </w:tcPr>
          <w:p w14:paraId="09F0530F"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63AF29A8"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51DE0F9C"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63 780 000.00</w:t>
            </w:r>
          </w:p>
        </w:tc>
        <w:tc>
          <w:tcPr>
            <w:tcW w:w="1843" w:type="dxa"/>
            <w:tcBorders>
              <w:top w:val="nil"/>
              <w:left w:val="nil"/>
              <w:bottom w:val="single" w:sz="8" w:space="0" w:color="auto"/>
              <w:right w:val="single" w:sz="8" w:space="0" w:color="auto"/>
            </w:tcBorders>
            <w:shd w:val="clear" w:color="auto" w:fill="auto"/>
            <w:vAlign w:val="center"/>
            <w:hideMark/>
          </w:tcPr>
          <w:p w14:paraId="4F09BDFF" w14:textId="77777777" w:rsidR="00AB5E03" w:rsidRPr="00AB5E03" w:rsidRDefault="00AB5E03" w:rsidP="00AB5E03">
            <w:pPr>
              <w:spacing w:after="0" w:line="240" w:lineRule="auto"/>
              <w:jc w:val="both"/>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Atención de escritos y demandas nuevas </w:t>
            </w:r>
          </w:p>
        </w:tc>
      </w:tr>
      <w:tr w:rsidR="00AB5E03" w:rsidRPr="00AB5E03" w14:paraId="15D81C79" w14:textId="77777777" w:rsidTr="00AB5E03">
        <w:trPr>
          <w:trHeight w:val="1050"/>
          <w:jc w:val="center"/>
        </w:trPr>
        <w:tc>
          <w:tcPr>
            <w:tcW w:w="1225" w:type="dxa"/>
            <w:vMerge/>
            <w:tcBorders>
              <w:top w:val="nil"/>
              <w:left w:val="single" w:sz="8" w:space="0" w:color="auto"/>
              <w:bottom w:val="single" w:sz="8" w:space="0" w:color="000000"/>
              <w:right w:val="single" w:sz="8" w:space="0" w:color="auto"/>
            </w:tcBorders>
            <w:vAlign w:val="center"/>
            <w:hideMark/>
          </w:tcPr>
          <w:p w14:paraId="51C77FAD"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6D79E3C4"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3</w:t>
            </w:r>
          </w:p>
        </w:tc>
        <w:tc>
          <w:tcPr>
            <w:tcW w:w="1920" w:type="dxa"/>
            <w:tcBorders>
              <w:top w:val="nil"/>
              <w:left w:val="nil"/>
              <w:bottom w:val="single" w:sz="8" w:space="0" w:color="auto"/>
              <w:right w:val="single" w:sz="8" w:space="0" w:color="auto"/>
            </w:tcBorders>
            <w:shd w:val="clear" w:color="auto" w:fill="auto"/>
            <w:vAlign w:val="center"/>
            <w:hideMark/>
          </w:tcPr>
          <w:p w14:paraId="7823C0D3"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Jueza o Juez 4 </w:t>
            </w:r>
          </w:p>
        </w:tc>
        <w:tc>
          <w:tcPr>
            <w:tcW w:w="1820" w:type="dxa"/>
            <w:tcBorders>
              <w:top w:val="nil"/>
              <w:left w:val="nil"/>
              <w:bottom w:val="single" w:sz="8" w:space="0" w:color="auto"/>
              <w:right w:val="single" w:sz="8" w:space="0" w:color="auto"/>
            </w:tcBorders>
            <w:shd w:val="clear" w:color="auto" w:fill="auto"/>
            <w:vAlign w:val="center"/>
            <w:hideMark/>
          </w:tcPr>
          <w:p w14:paraId="0EA94AC7"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0FA66BF8"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7E88BAFE"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xml:space="preserve"> </w:t>
            </w: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46 283 250.00</w:t>
            </w:r>
          </w:p>
        </w:tc>
        <w:tc>
          <w:tcPr>
            <w:tcW w:w="1843" w:type="dxa"/>
            <w:tcBorders>
              <w:top w:val="nil"/>
              <w:left w:val="nil"/>
              <w:bottom w:val="single" w:sz="8" w:space="0" w:color="auto"/>
              <w:right w:val="single" w:sz="8" w:space="0" w:color="auto"/>
            </w:tcBorders>
            <w:shd w:val="clear" w:color="auto" w:fill="auto"/>
            <w:vAlign w:val="center"/>
            <w:hideMark/>
          </w:tcPr>
          <w:p w14:paraId="5E7AA16D" w14:textId="77777777" w:rsidR="00AB5E03" w:rsidRPr="00AB5E03" w:rsidRDefault="00AB5E03" w:rsidP="00AB5E03">
            <w:pPr>
              <w:spacing w:after="0" w:line="240" w:lineRule="auto"/>
              <w:jc w:val="both"/>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Plan de descongestionamiento de II instancia de Familia</w:t>
            </w:r>
          </w:p>
        </w:tc>
      </w:tr>
      <w:tr w:rsidR="00AB5E03" w:rsidRPr="00AB5E03" w14:paraId="1B4EDF97" w14:textId="77777777" w:rsidTr="00AB5E03">
        <w:trPr>
          <w:trHeight w:val="460"/>
          <w:jc w:val="center"/>
        </w:trPr>
        <w:tc>
          <w:tcPr>
            <w:tcW w:w="1225" w:type="dxa"/>
            <w:vMerge w:val="restart"/>
            <w:tcBorders>
              <w:top w:val="nil"/>
              <w:left w:val="single" w:sz="8" w:space="0" w:color="auto"/>
              <w:bottom w:val="nil"/>
              <w:right w:val="single" w:sz="8" w:space="0" w:color="auto"/>
            </w:tcBorders>
            <w:shd w:val="clear" w:color="auto" w:fill="auto"/>
            <w:vAlign w:val="center"/>
            <w:hideMark/>
          </w:tcPr>
          <w:p w14:paraId="21414611"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Estructuras Modelo de Tramitación Violencia Doméstica</w:t>
            </w:r>
          </w:p>
        </w:tc>
        <w:tc>
          <w:tcPr>
            <w:tcW w:w="985" w:type="dxa"/>
            <w:tcBorders>
              <w:top w:val="nil"/>
              <w:left w:val="nil"/>
              <w:bottom w:val="single" w:sz="8" w:space="0" w:color="auto"/>
              <w:right w:val="single" w:sz="8" w:space="0" w:color="auto"/>
            </w:tcBorders>
            <w:shd w:val="clear" w:color="auto" w:fill="auto"/>
            <w:vAlign w:val="center"/>
            <w:hideMark/>
          </w:tcPr>
          <w:p w14:paraId="6029BF09"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w:t>
            </w:r>
          </w:p>
        </w:tc>
        <w:tc>
          <w:tcPr>
            <w:tcW w:w="1920" w:type="dxa"/>
            <w:tcBorders>
              <w:top w:val="nil"/>
              <w:left w:val="nil"/>
              <w:bottom w:val="single" w:sz="8" w:space="0" w:color="auto"/>
              <w:right w:val="single" w:sz="8" w:space="0" w:color="auto"/>
            </w:tcBorders>
            <w:shd w:val="clear" w:color="auto" w:fill="auto"/>
            <w:vAlign w:val="center"/>
            <w:hideMark/>
          </w:tcPr>
          <w:p w14:paraId="3C929356"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Jueza o Juez 3</w:t>
            </w:r>
          </w:p>
        </w:tc>
        <w:tc>
          <w:tcPr>
            <w:tcW w:w="1820" w:type="dxa"/>
            <w:tcBorders>
              <w:top w:val="nil"/>
              <w:left w:val="nil"/>
              <w:bottom w:val="single" w:sz="8" w:space="0" w:color="auto"/>
              <w:right w:val="single" w:sz="8" w:space="0" w:color="auto"/>
            </w:tcBorders>
            <w:shd w:val="clear" w:color="auto" w:fill="auto"/>
            <w:vAlign w:val="center"/>
            <w:hideMark/>
          </w:tcPr>
          <w:p w14:paraId="5E2B26A1"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3875C6E8"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195C72A6"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114 294 000.00</w:t>
            </w:r>
          </w:p>
        </w:tc>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14:paraId="0AA6FEE8" w14:textId="77777777" w:rsidR="00AB5E03" w:rsidRPr="00AB5E03" w:rsidRDefault="00AB5E03" w:rsidP="00AB5E03">
            <w:pPr>
              <w:spacing w:after="0" w:line="240" w:lineRule="auto"/>
              <w:jc w:val="both"/>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Completar estructuras según modelo de tramitación de VD</w:t>
            </w:r>
          </w:p>
        </w:tc>
      </w:tr>
      <w:tr w:rsidR="00AB5E03" w:rsidRPr="00AB5E03" w14:paraId="012ED6B3" w14:textId="77777777" w:rsidTr="00AB5E03">
        <w:trPr>
          <w:trHeight w:val="850"/>
          <w:jc w:val="center"/>
        </w:trPr>
        <w:tc>
          <w:tcPr>
            <w:tcW w:w="1225" w:type="dxa"/>
            <w:vMerge/>
            <w:tcBorders>
              <w:top w:val="nil"/>
              <w:left w:val="single" w:sz="8" w:space="0" w:color="auto"/>
              <w:bottom w:val="nil"/>
              <w:right w:val="single" w:sz="8" w:space="0" w:color="auto"/>
            </w:tcBorders>
            <w:vAlign w:val="center"/>
            <w:hideMark/>
          </w:tcPr>
          <w:p w14:paraId="32A6AB44"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c>
          <w:tcPr>
            <w:tcW w:w="985" w:type="dxa"/>
            <w:tcBorders>
              <w:top w:val="nil"/>
              <w:left w:val="nil"/>
              <w:bottom w:val="single" w:sz="8" w:space="0" w:color="auto"/>
              <w:right w:val="single" w:sz="8" w:space="0" w:color="auto"/>
            </w:tcBorders>
            <w:shd w:val="clear" w:color="auto" w:fill="auto"/>
            <w:vAlign w:val="center"/>
            <w:hideMark/>
          </w:tcPr>
          <w:p w14:paraId="3F05238C"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17</w:t>
            </w:r>
          </w:p>
        </w:tc>
        <w:tc>
          <w:tcPr>
            <w:tcW w:w="1920" w:type="dxa"/>
            <w:tcBorders>
              <w:top w:val="nil"/>
              <w:left w:val="nil"/>
              <w:bottom w:val="single" w:sz="8" w:space="0" w:color="auto"/>
              <w:right w:val="single" w:sz="8" w:space="0" w:color="auto"/>
            </w:tcBorders>
            <w:shd w:val="clear" w:color="auto" w:fill="auto"/>
            <w:vAlign w:val="center"/>
            <w:hideMark/>
          </w:tcPr>
          <w:p w14:paraId="43319584"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Técnica o Técnico Judicial 2*</w:t>
            </w:r>
          </w:p>
        </w:tc>
        <w:tc>
          <w:tcPr>
            <w:tcW w:w="1820" w:type="dxa"/>
            <w:tcBorders>
              <w:top w:val="nil"/>
              <w:left w:val="nil"/>
              <w:bottom w:val="single" w:sz="8" w:space="0" w:color="auto"/>
              <w:right w:val="single" w:sz="8" w:space="0" w:color="auto"/>
            </w:tcBorders>
            <w:shd w:val="clear" w:color="auto" w:fill="auto"/>
            <w:vAlign w:val="center"/>
            <w:hideMark/>
          </w:tcPr>
          <w:p w14:paraId="6041B2C1"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Extraordinarias</w:t>
            </w:r>
          </w:p>
        </w:tc>
        <w:tc>
          <w:tcPr>
            <w:tcW w:w="940" w:type="dxa"/>
            <w:tcBorders>
              <w:top w:val="nil"/>
              <w:left w:val="nil"/>
              <w:bottom w:val="single" w:sz="8" w:space="0" w:color="auto"/>
              <w:right w:val="single" w:sz="8" w:space="0" w:color="auto"/>
            </w:tcBorders>
            <w:shd w:val="clear" w:color="auto" w:fill="auto"/>
            <w:vAlign w:val="center"/>
            <w:hideMark/>
          </w:tcPr>
          <w:p w14:paraId="53739318"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2024</w:t>
            </w:r>
          </w:p>
        </w:tc>
        <w:tc>
          <w:tcPr>
            <w:tcW w:w="1747" w:type="dxa"/>
            <w:tcBorders>
              <w:top w:val="nil"/>
              <w:left w:val="nil"/>
              <w:bottom w:val="single" w:sz="8" w:space="0" w:color="auto"/>
              <w:right w:val="single" w:sz="8" w:space="0" w:color="auto"/>
            </w:tcBorders>
            <w:shd w:val="clear" w:color="auto" w:fill="auto"/>
            <w:vAlign w:val="center"/>
            <w:hideMark/>
          </w:tcPr>
          <w:p w14:paraId="13DED8A9" w14:textId="77777777" w:rsidR="00AB5E03" w:rsidRPr="00AB5E03" w:rsidRDefault="00AB5E03" w:rsidP="00AB5E03">
            <w:pPr>
              <w:spacing w:after="0" w:line="240" w:lineRule="auto"/>
              <w:jc w:val="center"/>
              <w:rPr>
                <w:rFonts w:ascii="Book Antiqua" w:eastAsia="Times New Roman" w:hAnsi="Book Antiqua" w:cs="Calibri"/>
                <w:color w:val="000000"/>
                <w:sz w:val="20"/>
                <w:szCs w:val="20"/>
                <w:lang w:eastAsia="es-CR"/>
              </w:rPr>
            </w:pPr>
            <w:r w:rsidRPr="00AB5E03">
              <w:rPr>
                <w:rFonts w:ascii="Times New Roman" w:eastAsia="Times New Roman" w:hAnsi="Times New Roman" w:cs="Times New Roman"/>
                <w:color w:val="000000"/>
                <w:sz w:val="20"/>
                <w:szCs w:val="20"/>
                <w:lang w:eastAsia="es-CR"/>
              </w:rPr>
              <w:t>₡</w:t>
            </w:r>
            <w:r w:rsidRPr="00AB5E03">
              <w:rPr>
                <w:rFonts w:ascii="Book Antiqua" w:eastAsia="Times New Roman" w:hAnsi="Book Antiqua" w:cs="Calibri"/>
                <w:color w:val="000000"/>
                <w:sz w:val="20"/>
                <w:szCs w:val="20"/>
                <w:lang w:eastAsia="es-CR"/>
              </w:rPr>
              <w:t xml:space="preserve"> 271 065 000.00</w:t>
            </w:r>
          </w:p>
        </w:tc>
        <w:tc>
          <w:tcPr>
            <w:tcW w:w="1843" w:type="dxa"/>
            <w:vMerge/>
            <w:tcBorders>
              <w:top w:val="nil"/>
              <w:left w:val="single" w:sz="8" w:space="0" w:color="auto"/>
              <w:bottom w:val="single" w:sz="8" w:space="0" w:color="000000"/>
              <w:right w:val="single" w:sz="8" w:space="0" w:color="auto"/>
            </w:tcBorders>
            <w:vAlign w:val="center"/>
            <w:hideMark/>
          </w:tcPr>
          <w:p w14:paraId="672A962C"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p>
        </w:tc>
      </w:tr>
      <w:tr w:rsidR="00AB5E03" w:rsidRPr="00AB5E03" w14:paraId="522A6E0F" w14:textId="77777777" w:rsidTr="00AB5E03">
        <w:trPr>
          <w:trHeight w:val="530"/>
          <w:jc w:val="center"/>
        </w:trPr>
        <w:tc>
          <w:tcPr>
            <w:tcW w:w="1225" w:type="dxa"/>
            <w:tcBorders>
              <w:top w:val="nil"/>
              <w:left w:val="single" w:sz="8" w:space="0" w:color="auto"/>
              <w:bottom w:val="single" w:sz="8" w:space="0" w:color="auto"/>
              <w:right w:val="single" w:sz="8" w:space="0" w:color="auto"/>
            </w:tcBorders>
            <w:shd w:val="clear" w:color="auto" w:fill="auto"/>
            <w:vAlign w:val="center"/>
            <w:hideMark/>
          </w:tcPr>
          <w:p w14:paraId="30C870F6" w14:textId="77777777" w:rsidR="00AB5E03" w:rsidRPr="00AB5E03" w:rsidRDefault="00AB5E03" w:rsidP="00AB5E03">
            <w:pPr>
              <w:spacing w:after="0" w:line="240" w:lineRule="auto"/>
              <w:jc w:val="center"/>
              <w:rPr>
                <w:rFonts w:ascii="Book Antiqua" w:eastAsia="Times New Roman" w:hAnsi="Book Antiqua" w:cs="Calibri"/>
                <w:b/>
                <w:bCs/>
                <w:color w:val="000000"/>
                <w:sz w:val="20"/>
                <w:szCs w:val="20"/>
                <w:lang w:eastAsia="es-CR"/>
              </w:rPr>
            </w:pPr>
            <w:r w:rsidRPr="00AB5E03">
              <w:rPr>
                <w:rFonts w:ascii="Book Antiqua" w:eastAsia="Times New Roman" w:hAnsi="Book Antiqua" w:cs="Calibri"/>
                <w:b/>
                <w:bCs/>
                <w:color w:val="000000"/>
                <w:sz w:val="20"/>
                <w:szCs w:val="20"/>
                <w:lang w:eastAsia="es-CR"/>
              </w:rPr>
              <w:t> </w:t>
            </w:r>
          </w:p>
        </w:tc>
        <w:tc>
          <w:tcPr>
            <w:tcW w:w="985" w:type="dxa"/>
            <w:tcBorders>
              <w:top w:val="nil"/>
              <w:left w:val="nil"/>
              <w:bottom w:val="single" w:sz="8" w:space="0" w:color="auto"/>
              <w:right w:val="single" w:sz="8" w:space="0" w:color="auto"/>
            </w:tcBorders>
            <w:shd w:val="clear" w:color="auto" w:fill="auto"/>
            <w:noWrap/>
            <w:vAlign w:val="center"/>
            <w:hideMark/>
          </w:tcPr>
          <w:p w14:paraId="14A25D05" w14:textId="77777777" w:rsidR="00AB5E03" w:rsidRPr="00AB5E03" w:rsidRDefault="00AB5E03" w:rsidP="00AB5E03">
            <w:pPr>
              <w:spacing w:after="0" w:line="240" w:lineRule="auto"/>
              <w:jc w:val="center"/>
              <w:rPr>
                <w:rFonts w:ascii="Book Antiqua" w:eastAsia="Times New Roman" w:hAnsi="Book Antiqua" w:cs="Calibri"/>
                <w:b/>
                <w:bCs/>
                <w:color w:val="000000"/>
                <w:sz w:val="20"/>
                <w:szCs w:val="20"/>
                <w:lang w:eastAsia="es-CR"/>
              </w:rPr>
            </w:pPr>
            <w:r w:rsidRPr="00AB5E03">
              <w:rPr>
                <w:rFonts w:ascii="Book Antiqua" w:eastAsia="Times New Roman" w:hAnsi="Book Antiqua" w:cs="Calibri"/>
                <w:b/>
                <w:bCs/>
                <w:color w:val="000000"/>
                <w:sz w:val="20"/>
                <w:szCs w:val="20"/>
                <w:lang w:eastAsia="es-CR"/>
              </w:rPr>
              <w:t>52</w:t>
            </w:r>
          </w:p>
        </w:tc>
        <w:tc>
          <w:tcPr>
            <w:tcW w:w="468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33D73F84" w14:textId="77777777" w:rsidR="00AB5E03" w:rsidRPr="00AB5E03" w:rsidRDefault="00AB5E03" w:rsidP="00AB5E03">
            <w:pPr>
              <w:spacing w:after="0" w:line="240" w:lineRule="auto"/>
              <w:jc w:val="center"/>
              <w:rPr>
                <w:rFonts w:ascii="Book Antiqua" w:eastAsia="Times New Roman" w:hAnsi="Book Antiqua" w:cs="Calibri"/>
                <w:b/>
                <w:bCs/>
                <w:color w:val="000000"/>
                <w:sz w:val="20"/>
                <w:szCs w:val="20"/>
                <w:lang w:eastAsia="es-CR"/>
              </w:rPr>
            </w:pPr>
            <w:r w:rsidRPr="00AB5E03">
              <w:rPr>
                <w:rFonts w:ascii="Book Antiqua" w:eastAsia="Times New Roman" w:hAnsi="Book Antiqua" w:cs="Calibri"/>
                <w:b/>
                <w:bCs/>
                <w:color w:val="000000"/>
                <w:sz w:val="20"/>
                <w:szCs w:val="20"/>
                <w:lang w:eastAsia="es-CR"/>
              </w:rPr>
              <w:t> </w:t>
            </w:r>
          </w:p>
        </w:tc>
        <w:tc>
          <w:tcPr>
            <w:tcW w:w="1747" w:type="dxa"/>
            <w:tcBorders>
              <w:top w:val="nil"/>
              <w:left w:val="nil"/>
              <w:bottom w:val="single" w:sz="8" w:space="0" w:color="auto"/>
              <w:right w:val="single" w:sz="8" w:space="0" w:color="auto"/>
            </w:tcBorders>
            <w:shd w:val="clear" w:color="auto" w:fill="auto"/>
            <w:vAlign w:val="center"/>
            <w:hideMark/>
          </w:tcPr>
          <w:p w14:paraId="63AC755B" w14:textId="77777777" w:rsidR="00AB5E03" w:rsidRPr="00AB5E03" w:rsidRDefault="00AB5E03" w:rsidP="00AB5E03">
            <w:pPr>
              <w:spacing w:after="0" w:line="240" w:lineRule="auto"/>
              <w:jc w:val="center"/>
              <w:rPr>
                <w:rFonts w:ascii="Book Antiqua" w:eastAsia="Times New Roman" w:hAnsi="Book Antiqua" w:cs="Calibri"/>
                <w:b/>
                <w:bCs/>
                <w:color w:val="000000"/>
                <w:sz w:val="20"/>
                <w:szCs w:val="20"/>
                <w:lang w:eastAsia="es-CR"/>
              </w:rPr>
            </w:pPr>
            <w:r w:rsidRPr="00AB5E03">
              <w:rPr>
                <w:rFonts w:ascii="Times New Roman" w:eastAsia="Times New Roman" w:hAnsi="Times New Roman" w:cs="Times New Roman"/>
                <w:b/>
                <w:bCs/>
                <w:color w:val="000000"/>
                <w:sz w:val="20"/>
                <w:szCs w:val="20"/>
                <w:lang w:eastAsia="es-CR"/>
              </w:rPr>
              <w:t>₡</w:t>
            </w:r>
            <w:r w:rsidRPr="00AB5E03">
              <w:rPr>
                <w:rFonts w:ascii="Book Antiqua" w:eastAsia="Times New Roman" w:hAnsi="Book Antiqua" w:cs="Calibri"/>
                <w:b/>
                <w:bCs/>
                <w:color w:val="000000"/>
                <w:sz w:val="20"/>
                <w:szCs w:val="20"/>
                <w:lang w:eastAsia="es-CR"/>
              </w:rPr>
              <w:t xml:space="preserve"> 1 788 700 250.00</w:t>
            </w:r>
          </w:p>
        </w:tc>
        <w:tc>
          <w:tcPr>
            <w:tcW w:w="1843" w:type="dxa"/>
            <w:tcBorders>
              <w:top w:val="nil"/>
              <w:left w:val="nil"/>
              <w:bottom w:val="single" w:sz="8" w:space="0" w:color="auto"/>
              <w:right w:val="single" w:sz="8" w:space="0" w:color="auto"/>
            </w:tcBorders>
            <w:shd w:val="clear" w:color="auto" w:fill="auto"/>
            <w:noWrap/>
            <w:vAlign w:val="center"/>
            <w:hideMark/>
          </w:tcPr>
          <w:p w14:paraId="6A1F0C0F" w14:textId="77777777" w:rsidR="00AB5E03" w:rsidRPr="00AB5E03" w:rsidRDefault="00AB5E03" w:rsidP="00AB5E03">
            <w:pPr>
              <w:spacing w:after="0" w:line="240" w:lineRule="auto"/>
              <w:rPr>
                <w:rFonts w:ascii="Book Antiqua" w:eastAsia="Times New Roman" w:hAnsi="Book Antiqua" w:cs="Calibri"/>
                <w:color w:val="000000"/>
                <w:sz w:val="20"/>
                <w:szCs w:val="20"/>
                <w:lang w:eastAsia="es-CR"/>
              </w:rPr>
            </w:pPr>
            <w:r w:rsidRPr="00AB5E03">
              <w:rPr>
                <w:rFonts w:ascii="Book Antiqua" w:eastAsia="Times New Roman" w:hAnsi="Book Antiqua" w:cs="Calibri"/>
                <w:color w:val="000000"/>
                <w:sz w:val="20"/>
                <w:szCs w:val="20"/>
                <w:lang w:eastAsia="es-CR"/>
              </w:rPr>
              <w:t> </w:t>
            </w:r>
          </w:p>
        </w:tc>
      </w:tr>
    </w:tbl>
    <w:p w14:paraId="749A72F0" w14:textId="331B9D23" w:rsidR="004C7DDB" w:rsidRDefault="004C7DDB" w:rsidP="00316234">
      <w:pPr>
        <w:spacing w:after="0" w:line="276" w:lineRule="auto"/>
        <w:jc w:val="both"/>
        <w:rPr>
          <w:rFonts w:ascii="Book Antiqua" w:eastAsia="Calibri" w:hAnsi="Book Antiqua" w:cs="Arial"/>
          <w:sz w:val="24"/>
          <w:szCs w:val="24"/>
        </w:rPr>
      </w:pPr>
    </w:p>
    <w:p w14:paraId="45680B13" w14:textId="7A4EC4D5" w:rsidR="00FF523A" w:rsidRDefault="00FF523A" w:rsidP="0031623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 hace la observación </w:t>
      </w:r>
      <w:r w:rsidRPr="00FF523A">
        <w:rPr>
          <w:rFonts w:ascii="Book Antiqua" w:eastAsia="Calibri" w:hAnsi="Book Antiqua" w:cs="Arial"/>
          <w:sz w:val="24"/>
          <w:szCs w:val="24"/>
        </w:rPr>
        <w:t xml:space="preserve">que </w:t>
      </w:r>
      <w:r w:rsidR="00EC16AC">
        <w:rPr>
          <w:rFonts w:ascii="Book Antiqua" w:eastAsia="Calibri" w:hAnsi="Book Antiqua" w:cs="Arial"/>
          <w:sz w:val="24"/>
          <w:szCs w:val="24"/>
        </w:rPr>
        <w:t>en el informe de seguimiento</w:t>
      </w:r>
      <w:r w:rsidRPr="00FF523A">
        <w:rPr>
          <w:rFonts w:ascii="Book Antiqua" w:eastAsia="Calibri" w:hAnsi="Book Antiqua" w:cs="Arial"/>
          <w:sz w:val="24"/>
          <w:szCs w:val="24"/>
        </w:rPr>
        <w:t xml:space="preserve"> del Juzgado</w:t>
      </w:r>
      <w:r w:rsidR="00EC16AC">
        <w:rPr>
          <w:rFonts w:ascii="Book Antiqua" w:eastAsia="Calibri" w:hAnsi="Book Antiqua" w:cs="Arial"/>
          <w:sz w:val="24"/>
          <w:szCs w:val="24"/>
        </w:rPr>
        <w:t xml:space="preserve"> de</w:t>
      </w:r>
      <w:r w:rsidRPr="00FF523A">
        <w:rPr>
          <w:rFonts w:ascii="Book Antiqua" w:eastAsia="Calibri" w:hAnsi="Book Antiqua" w:cs="Arial"/>
          <w:sz w:val="24"/>
          <w:szCs w:val="24"/>
        </w:rPr>
        <w:t xml:space="preserve"> Niñez y Adolescencia</w:t>
      </w:r>
      <w:r w:rsidR="00EC16AC">
        <w:rPr>
          <w:rFonts w:ascii="Book Antiqua" w:eastAsia="Calibri" w:hAnsi="Book Antiqua" w:cs="Arial"/>
          <w:sz w:val="24"/>
          <w:szCs w:val="24"/>
        </w:rPr>
        <w:t>, se</w:t>
      </w:r>
      <w:r w:rsidRPr="00FF523A">
        <w:rPr>
          <w:rFonts w:ascii="Book Antiqua" w:eastAsia="Calibri" w:hAnsi="Book Antiqua" w:cs="Arial"/>
          <w:sz w:val="24"/>
          <w:szCs w:val="24"/>
        </w:rPr>
        <w:t xml:space="preserve"> determin</w:t>
      </w:r>
      <w:r w:rsidR="00EC16AC">
        <w:rPr>
          <w:rFonts w:ascii="Book Antiqua" w:eastAsia="Calibri" w:hAnsi="Book Antiqua" w:cs="Arial"/>
          <w:sz w:val="24"/>
          <w:szCs w:val="24"/>
        </w:rPr>
        <w:t>ó</w:t>
      </w:r>
      <w:r w:rsidRPr="00FF523A">
        <w:rPr>
          <w:rFonts w:ascii="Book Antiqua" w:eastAsia="Calibri" w:hAnsi="Book Antiqua" w:cs="Arial"/>
          <w:sz w:val="24"/>
          <w:szCs w:val="24"/>
        </w:rPr>
        <w:t xml:space="preserve"> </w:t>
      </w:r>
      <w:r w:rsidR="00EC16AC">
        <w:rPr>
          <w:rFonts w:ascii="Book Antiqua" w:eastAsia="Calibri" w:hAnsi="Book Antiqua" w:cs="Arial"/>
          <w:sz w:val="24"/>
          <w:szCs w:val="24"/>
        </w:rPr>
        <w:t xml:space="preserve">que </w:t>
      </w:r>
      <w:r w:rsidRPr="00FF523A">
        <w:rPr>
          <w:rFonts w:ascii="Book Antiqua" w:eastAsia="Calibri" w:hAnsi="Book Antiqua" w:cs="Arial"/>
          <w:sz w:val="24"/>
          <w:szCs w:val="24"/>
        </w:rPr>
        <w:t>l</w:t>
      </w:r>
      <w:r w:rsidR="00EC16AC">
        <w:rPr>
          <w:rFonts w:ascii="Book Antiqua" w:eastAsia="Calibri" w:hAnsi="Book Antiqua" w:cs="Arial"/>
          <w:sz w:val="24"/>
          <w:szCs w:val="24"/>
        </w:rPr>
        <w:t>a</w:t>
      </w:r>
      <w:r w:rsidRPr="00FF523A">
        <w:rPr>
          <w:rFonts w:ascii="Book Antiqua" w:eastAsia="Calibri" w:hAnsi="Book Antiqua" w:cs="Arial"/>
          <w:sz w:val="24"/>
          <w:szCs w:val="24"/>
        </w:rPr>
        <w:t xml:space="preserve"> plaza de Auxiliar de Servicios Generales que es compartida con el Juzgado de Violencia Doméstica del Primer Circuito Judicial de San José, sea adscrita al Juzgado de Familia, Niñez y Adolescencia</w:t>
      </w:r>
      <w:r w:rsidR="00AE0505">
        <w:rPr>
          <w:rFonts w:ascii="Book Antiqua" w:eastAsia="Calibri" w:hAnsi="Book Antiqua" w:cs="Arial"/>
          <w:sz w:val="24"/>
          <w:szCs w:val="24"/>
        </w:rPr>
        <w:t>.</w:t>
      </w:r>
    </w:p>
    <w:p w14:paraId="174235B3" w14:textId="77777777" w:rsidR="00EC16AC" w:rsidRDefault="00EC16AC" w:rsidP="00316234">
      <w:pPr>
        <w:spacing w:after="0" w:line="276" w:lineRule="auto"/>
        <w:jc w:val="both"/>
        <w:rPr>
          <w:rFonts w:ascii="Book Antiqua" w:eastAsia="Calibri" w:hAnsi="Book Antiqua" w:cs="Arial"/>
          <w:sz w:val="24"/>
          <w:szCs w:val="24"/>
        </w:rPr>
      </w:pPr>
    </w:p>
    <w:p w14:paraId="5FD79B9E" w14:textId="7198871B" w:rsidR="00C77752" w:rsidRDefault="00C77752" w:rsidP="00316234">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Los costos totales estimados por concepto de recurso humano para el CACMFJ </w:t>
      </w:r>
      <w:r w:rsidR="00316234" w:rsidRPr="00A132C7">
        <w:rPr>
          <w:rFonts w:ascii="Book Antiqua" w:eastAsia="Calibri" w:hAnsi="Book Antiqua" w:cs="Arial"/>
          <w:sz w:val="24"/>
          <w:szCs w:val="24"/>
        </w:rPr>
        <w:t>más</w:t>
      </w:r>
      <w:r w:rsidR="006E172D" w:rsidRPr="00A132C7">
        <w:rPr>
          <w:rFonts w:ascii="Book Antiqua" w:eastAsia="Calibri" w:hAnsi="Book Antiqua" w:cs="Arial"/>
          <w:sz w:val="24"/>
          <w:szCs w:val="24"/>
        </w:rPr>
        <w:t xml:space="preserve"> planes de trabajo</w:t>
      </w:r>
      <w:r w:rsidR="00316234" w:rsidRPr="00A132C7">
        <w:rPr>
          <w:rFonts w:ascii="Book Antiqua" w:eastAsia="Calibri" w:hAnsi="Book Antiqua" w:cs="Arial"/>
          <w:sz w:val="24"/>
          <w:szCs w:val="24"/>
        </w:rPr>
        <w:t xml:space="preserve"> </w:t>
      </w:r>
      <w:r w:rsidRPr="00A132C7">
        <w:rPr>
          <w:rFonts w:ascii="Book Antiqua" w:eastAsia="Calibri" w:hAnsi="Book Antiqua" w:cs="Arial"/>
          <w:sz w:val="24"/>
          <w:szCs w:val="24"/>
        </w:rPr>
        <w:t>para el 202</w:t>
      </w:r>
      <w:r w:rsidR="00FA54E5">
        <w:rPr>
          <w:rFonts w:ascii="Book Antiqua" w:eastAsia="Calibri" w:hAnsi="Book Antiqua" w:cs="Arial"/>
          <w:sz w:val="24"/>
          <w:szCs w:val="24"/>
        </w:rPr>
        <w:t>4</w:t>
      </w:r>
      <w:r w:rsidRPr="00A132C7">
        <w:rPr>
          <w:rFonts w:ascii="Book Antiqua" w:eastAsia="Calibri" w:hAnsi="Book Antiqua" w:cs="Arial"/>
          <w:sz w:val="24"/>
          <w:szCs w:val="24"/>
        </w:rPr>
        <w:t xml:space="preserve"> es de</w:t>
      </w:r>
      <w:r w:rsidR="006E172D" w:rsidRPr="00A132C7">
        <w:rPr>
          <w:rFonts w:ascii="Book Antiqua" w:eastAsia="Calibri" w:hAnsi="Book Antiqua" w:cs="Arial"/>
          <w:sz w:val="24"/>
          <w:szCs w:val="24"/>
        </w:rPr>
        <w:t xml:space="preserve"> </w:t>
      </w:r>
      <w:r w:rsidR="006E172D" w:rsidRPr="00A132C7">
        <w:rPr>
          <w:rFonts w:ascii="Times New Roman" w:eastAsia="Calibri" w:hAnsi="Times New Roman" w:cs="Times New Roman"/>
          <w:sz w:val="24"/>
          <w:szCs w:val="24"/>
        </w:rPr>
        <w:t>₡</w:t>
      </w:r>
      <w:r w:rsidR="00D47C25" w:rsidRPr="00A132C7">
        <w:rPr>
          <w:rFonts w:ascii="Times New Roman" w:eastAsia="Calibri" w:hAnsi="Times New Roman" w:cs="Times New Roman"/>
          <w:sz w:val="24"/>
          <w:szCs w:val="24"/>
        </w:rPr>
        <w:t xml:space="preserve"> </w:t>
      </w:r>
      <w:r w:rsidR="00747287" w:rsidRPr="00454418">
        <w:rPr>
          <w:rFonts w:ascii="Book Antiqua" w:eastAsia="Calibri" w:hAnsi="Book Antiqua" w:cs="Times New Roman"/>
          <w:sz w:val="24"/>
          <w:szCs w:val="24"/>
        </w:rPr>
        <w:t>1 788</w:t>
      </w:r>
      <w:r w:rsidR="00454418" w:rsidRPr="00454418">
        <w:rPr>
          <w:rFonts w:ascii="Book Antiqua" w:eastAsia="Calibri" w:hAnsi="Book Antiqua" w:cs="Times New Roman"/>
          <w:sz w:val="24"/>
          <w:szCs w:val="24"/>
        </w:rPr>
        <w:t> 700 250</w:t>
      </w:r>
      <w:r w:rsidR="006E172D" w:rsidRPr="00A132C7">
        <w:rPr>
          <w:rFonts w:ascii="Book Antiqua" w:eastAsia="Calibri" w:hAnsi="Book Antiqua" w:cs="Arial"/>
          <w:sz w:val="24"/>
          <w:szCs w:val="24"/>
        </w:rPr>
        <w:t xml:space="preserve">,00. </w:t>
      </w:r>
    </w:p>
    <w:p w14:paraId="3B1750F2" w14:textId="700C3976" w:rsidR="00CB1005" w:rsidRDefault="00907AC3" w:rsidP="0031623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w:t>
      </w:r>
      <w:r w:rsidR="0064630B">
        <w:rPr>
          <w:rFonts w:ascii="Book Antiqua" w:eastAsia="Calibri" w:hAnsi="Book Antiqua" w:cs="Arial"/>
          <w:sz w:val="24"/>
          <w:szCs w:val="24"/>
        </w:rPr>
        <w:t>l costo por la recalificación de 4 plazas de Auxiliar de Servicios Generales a Técnico Judicial 2</w:t>
      </w:r>
      <w:r w:rsidR="00146198">
        <w:rPr>
          <w:rFonts w:ascii="Book Antiqua" w:eastAsia="Calibri" w:hAnsi="Book Antiqua" w:cs="Arial"/>
          <w:sz w:val="24"/>
          <w:szCs w:val="24"/>
        </w:rPr>
        <w:t xml:space="preserve">, </w:t>
      </w:r>
      <w:r w:rsidR="00966884">
        <w:rPr>
          <w:rFonts w:ascii="Book Antiqua" w:eastAsia="Calibri" w:hAnsi="Book Antiqua" w:cs="Arial"/>
          <w:sz w:val="24"/>
          <w:szCs w:val="24"/>
        </w:rPr>
        <w:t xml:space="preserve">de conformidad a lo indicado </w:t>
      </w:r>
      <w:r w:rsidR="009554AF">
        <w:rPr>
          <w:rFonts w:ascii="Book Antiqua" w:eastAsia="Calibri" w:hAnsi="Book Antiqua" w:cs="Arial"/>
          <w:sz w:val="24"/>
          <w:szCs w:val="24"/>
        </w:rPr>
        <w:t xml:space="preserve">en </w:t>
      </w:r>
      <w:r w:rsidR="00966884">
        <w:rPr>
          <w:rFonts w:ascii="Book Antiqua" w:eastAsia="Calibri" w:hAnsi="Book Antiqua" w:cs="Arial"/>
          <w:sz w:val="24"/>
          <w:szCs w:val="24"/>
        </w:rPr>
        <w:t xml:space="preserve">el Modelo de Tramitación de Violencia Doméstica </w:t>
      </w:r>
      <w:r>
        <w:rPr>
          <w:rFonts w:ascii="Book Antiqua" w:eastAsia="Calibri" w:hAnsi="Book Antiqua" w:cs="Arial"/>
          <w:sz w:val="24"/>
          <w:szCs w:val="24"/>
        </w:rPr>
        <w:t xml:space="preserve">es de </w:t>
      </w:r>
      <w:r w:rsidRPr="00A132C7">
        <w:rPr>
          <w:rFonts w:ascii="Times New Roman" w:eastAsia="Calibri" w:hAnsi="Times New Roman" w:cs="Times New Roman"/>
          <w:sz w:val="24"/>
          <w:szCs w:val="24"/>
        </w:rPr>
        <w:t>₡</w:t>
      </w:r>
      <w:r>
        <w:rPr>
          <w:rFonts w:ascii="Book Antiqua" w:eastAsia="Calibri" w:hAnsi="Book Antiqua" w:cs="Arial"/>
          <w:sz w:val="24"/>
          <w:szCs w:val="24"/>
        </w:rPr>
        <w:t xml:space="preserve"> 9 812 000,00.</w:t>
      </w:r>
    </w:p>
    <w:p w14:paraId="67DAFF4F" w14:textId="77777777" w:rsidR="00B5360D" w:rsidRPr="00A132C7" w:rsidRDefault="00B5360D" w:rsidP="00316234">
      <w:pPr>
        <w:spacing w:after="0" w:line="276" w:lineRule="auto"/>
        <w:jc w:val="both"/>
        <w:rPr>
          <w:rFonts w:ascii="Book Antiqua" w:eastAsia="Calibri" w:hAnsi="Book Antiqua" w:cs="Arial"/>
          <w:sz w:val="24"/>
          <w:szCs w:val="24"/>
        </w:rPr>
      </w:pPr>
    </w:p>
    <w:p w14:paraId="5FF068D8" w14:textId="6251DBC2" w:rsidR="009B1441" w:rsidRPr="00C153A4" w:rsidRDefault="009B144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Estimación de activar rubro de disponibilidad en la Jurisdicción</w:t>
      </w:r>
      <w:r w:rsidR="00C17D77" w:rsidRPr="00C153A4">
        <w:rPr>
          <w:rFonts w:ascii="Book Antiqua" w:eastAsiaTheme="majorEastAsia" w:hAnsi="Book Antiqua" w:cstheme="majorBidi"/>
          <w:b/>
          <w:color w:val="1F3864" w:themeColor="accent1" w:themeShade="80"/>
          <w:sz w:val="24"/>
          <w:lang w:val="es-ES"/>
        </w:rPr>
        <w:t xml:space="preserve"> Especializada de Familia</w:t>
      </w:r>
    </w:p>
    <w:p w14:paraId="24F31165" w14:textId="77777777" w:rsidR="009B1441" w:rsidRPr="0033628C" w:rsidRDefault="009B1441" w:rsidP="009B1441">
      <w:pPr>
        <w:spacing w:after="0" w:line="276" w:lineRule="auto"/>
        <w:jc w:val="both"/>
        <w:rPr>
          <w:rFonts w:ascii="Book Antiqua" w:eastAsia="Calibri" w:hAnsi="Book Antiqua" w:cs="Arial"/>
          <w:sz w:val="24"/>
          <w:szCs w:val="24"/>
        </w:rPr>
      </w:pPr>
    </w:p>
    <w:p w14:paraId="75F0690E" w14:textId="17C37C23" w:rsidR="00AC4FEB" w:rsidRDefault="00A57B75" w:rsidP="009B1441">
      <w:pPr>
        <w:spacing w:after="0" w:line="276" w:lineRule="auto"/>
        <w:jc w:val="both"/>
        <w:rPr>
          <w:rFonts w:ascii="Book Antiqua" w:eastAsia="Calibri" w:hAnsi="Book Antiqua" w:cs="Arial"/>
          <w:bCs/>
          <w:sz w:val="24"/>
          <w:szCs w:val="24"/>
        </w:rPr>
      </w:pPr>
      <w:r>
        <w:rPr>
          <w:rFonts w:ascii="Book Antiqua" w:eastAsia="Calibri" w:hAnsi="Book Antiqua" w:cs="Arial"/>
          <w:sz w:val="24"/>
          <w:szCs w:val="24"/>
        </w:rPr>
        <w:t>Como parte de lo previsto en el Código Procesal de Familia, específicamente el numeral 106 bis</w:t>
      </w:r>
      <w:r w:rsidR="004A5EDB">
        <w:rPr>
          <w:rFonts w:ascii="Book Antiqua" w:eastAsia="Calibri" w:hAnsi="Book Antiqua" w:cs="Arial"/>
          <w:sz w:val="24"/>
          <w:szCs w:val="24"/>
        </w:rPr>
        <w:t xml:space="preserve"> de </w:t>
      </w:r>
      <w:r w:rsidR="004A5EDB" w:rsidRPr="00D00CB4">
        <w:rPr>
          <w:rFonts w:ascii="Book Antiqua" w:eastAsia="Calibri" w:hAnsi="Book Antiqua" w:cs="Arial"/>
          <w:bCs/>
          <w:sz w:val="24"/>
          <w:szCs w:val="24"/>
        </w:rPr>
        <w:t>la Ley Orgánica del Poder Judicial,</w:t>
      </w:r>
      <w:r w:rsidR="004A5EDB">
        <w:rPr>
          <w:rFonts w:ascii="Book Antiqua" w:eastAsia="Calibri" w:hAnsi="Book Antiqua" w:cs="Arial"/>
          <w:bCs/>
          <w:sz w:val="24"/>
          <w:szCs w:val="24"/>
        </w:rPr>
        <w:t xml:space="preserve"> se procede a estimar el costo que representaría la activación del rubro de disponibilidad en la Jurisdicción Especializa</w:t>
      </w:r>
      <w:r w:rsidR="00B8245F">
        <w:rPr>
          <w:rFonts w:ascii="Book Antiqua" w:eastAsia="Calibri" w:hAnsi="Book Antiqua" w:cs="Arial"/>
          <w:bCs/>
          <w:sz w:val="24"/>
          <w:szCs w:val="24"/>
        </w:rPr>
        <w:t>da de Familia</w:t>
      </w:r>
      <w:r w:rsidR="00DA353E">
        <w:rPr>
          <w:rFonts w:ascii="Book Antiqua" w:eastAsia="Calibri" w:hAnsi="Book Antiqua" w:cs="Arial"/>
          <w:bCs/>
          <w:sz w:val="24"/>
          <w:szCs w:val="24"/>
        </w:rPr>
        <w:t>.</w:t>
      </w:r>
      <w:r w:rsidR="002A0C3C">
        <w:rPr>
          <w:rFonts w:ascii="Book Antiqua" w:eastAsia="Calibri" w:hAnsi="Book Antiqua" w:cs="Arial"/>
          <w:bCs/>
          <w:sz w:val="24"/>
          <w:szCs w:val="24"/>
        </w:rPr>
        <w:t xml:space="preserve"> </w:t>
      </w:r>
    </w:p>
    <w:p w14:paraId="19836639" w14:textId="60F564FB" w:rsidR="00AC4FEB" w:rsidRDefault="00AC4FEB" w:rsidP="009B1441">
      <w:pPr>
        <w:spacing w:after="0" w:line="276" w:lineRule="auto"/>
        <w:jc w:val="both"/>
        <w:rPr>
          <w:rFonts w:ascii="Book Antiqua" w:eastAsia="Calibri" w:hAnsi="Book Antiqua" w:cs="Arial"/>
          <w:bCs/>
          <w:sz w:val="24"/>
          <w:szCs w:val="24"/>
        </w:rPr>
      </w:pPr>
    </w:p>
    <w:p w14:paraId="4C3E6360" w14:textId="7C1B2701" w:rsidR="009B1441" w:rsidRPr="00E811C6" w:rsidRDefault="009B1441" w:rsidP="00CE6DF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811C6">
        <w:rPr>
          <w:rFonts w:ascii="Book Antiqua" w:eastAsia="Calibri" w:hAnsi="Book Antiqua" w:cs="Arial"/>
          <w:b/>
          <w:bCs/>
          <w:color w:val="1F497D"/>
          <w:szCs w:val="24"/>
          <w:lang w:val="es-ES" w:eastAsia="es-ES"/>
        </w:rPr>
        <w:t xml:space="preserve">Cuadro </w:t>
      </w:r>
      <w:r w:rsidRPr="00E811C6">
        <w:rPr>
          <w:rFonts w:ascii="Book Antiqua" w:eastAsia="Calibri" w:hAnsi="Book Antiqua" w:cs="Arial"/>
          <w:b/>
          <w:bCs/>
          <w:color w:val="1F497D"/>
          <w:szCs w:val="24"/>
          <w:lang w:val="es-ES" w:eastAsia="es-ES"/>
        </w:rPr>
        <w:fldChar w:fldCharType="begin"/>
      </w:r>
      <w:r w:rsidRPr="00E811C6">
        <w:rPr>
          <w:rFonts w:ascii="Book Antiqua" w:eastAsia="Calibri" w:hAnsi="Book Antiqua" w:cs="Arial"/>
          <w:b/>
          <w:bCs/>
          <w:color w:val="1F497D"/>
          <w:szCs w:val="24"/>
          <w:lang w:val="es-ES" w:eastAsia="es-ES"/>
        </w:rPr>
        <w:instrText xml:space="preserve"> SEQ Cuadro \* ARABIC </w:instrText>
      </w:r>
      <w:r w:rsidRPr="00E811C6">
        <w:rPr>
          <w:rFonts w:ascii="Book Antiqua" w:eastAsia="Calibri" w:hAnsi="Book Antiqua" w:cs="Arial"/>
          <w:b/>
          <w:bCs/>
          <w:color w:val="1F497D"/>
          <w:szCs w:val="24"/>
          <w:lang w:val="es-ES" w:eastAsia="es-ES"/>
        </w:rPr>
        <w:fldChar w:fldCharType="separate"/>
      </w:r>
      <w:r w:rsidR="000306FA">
        <w:rPr>
          <w:rFonts w:ascii="Book Antiqua" w:eastAsia="Calibri" w:hAnsi="Book Antiqua" w:cs="Arial"/>
          <w:b/>
          <w:bCs/>
          <w:noProof/>
          <w:color w:val="1F497D"/>
          <w:szCs w:val="24"/>
          <w:lang w:val="es-ES" w:eastAsia="es-ES"/>
        </w:rPr>
        <w:t>76</w:t>
      </w:r>
      <w:r w:rsidRPr="00E811C6">
        <w:rPr>
          <w:rFonts w:ascii="Book Antiqua" w:eastAsia="Calibri" w:hAnsi="Book Antiqua" w:cs="Arial"/>
          <w:b/>
          <w:bCs/>
          <w:color w:val="1F497D"/>
          <w:szCs w:val="24"/>
          <w:lang w:val="es-ES" w:eastAsia="es-ES"/>
        </w:rPr>
        <w:fldChar w:fldCharType="end"/>
      </w:r>
    </w:p>
    <w:p w14:paraId="2D52E38D" w14:textId="48DAA185" w:rsidR="009B1441" w:rsidRPr="00AC4FEB" w:rsidRDefault="005B3BC9" w:rsidP="00AC4FE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20829">
        <w:rPr>
          <w:rFonts w:ascii="Book Antiqua" w:eastAsia="Calibri" w:hAnsi="Book Antiqua" w:cs="Arial"/>
          <w:b/>
          <w:bCs/>
          <w:color w:val="1F497D"/>
          <w:szCs w:val="24"/>
          <w:lang w:val="es-ES" w:eastAsia="es-ES"/>
        </w:rPr>
        <w:t>Estimación del costo para activar el rubro de disponibilidad en la Jurisdicción Especializada de Familia</w:t>
      </w:r>
    </w:p>
    <w:tbl>
      <w:tblPr>
        <w:tblW w:w="9700" w:type="dxa"/>
        <w:tblCellMar>
          <w:left w:w="70" w:type="dxa"/>
          <w:right w:w="70" w:type="dxa"/>
        </w:tblCellMar>
        <w:tblLook w:val="04A0" w:firstRow="1" w:lastRow="0" w:firstColumn="1" w:lastColumn="0" w:noHBand="0" w:noVBand="1"/>
      </w:tblPr>
      <w:tblGrid>
        <w:gridCol w:w="600"/>
        <w:gridCol w:w="4780"/>
        <w:gridCol w:w="1200"/>
        <w:gridCol w:w="1700"/>
        <w:gridCol w:w="1420"/>
      </w:tblGrid>
      <w:tr w:rsidR="00C50766" w:rsidRPr="00C50766" w14:paraId="21533A29" w14:textId="77777777" w:rsidTr="00612E7C">
        <w:trPr>
          <w:trHeight w:val="922"/>
          <w:tblHeader/>
        </w:trPr>
        <w:tc>
          <w:tcPr>
            <w:tcW w:w="600"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2907AB73" w14:textId="77777777" w:rsidR="00C50766" w:rsidRPr="00AC4FEB" w:rsidRDefault="00C50766" w:rsidP="00C50766">
            <w:pPr>
              <w:spacing w:after="0" w:line="240" w:lineRule="auto"/>
              <w:jc w:val="center"/>
              <w:rPr>
                <w:rFonts w:ascii="Book Antiqua" w:eastAsia="Times New Roman" w:hAnsi="Book Antiqua" w:cs="Calibri"/>
                <w:b/>
                <w:bCs/>
                <w:color w:val="FFFFFF"/>
                <w:sz w:val="20"/>
                <w:szCs w:val="20"/>
                <w:lang w:eastAsia="es-CR"/>
              </w:rPr>
            </w:pPr>
            <w:r w:rsidRPr="00AC4FEB">
              <w:rPr>
                <w:rFonts w:ascii="Book Antiqua" w:eastAsia="Times New Roman" w:hAnsi="Book Antiqua" w:cs="Calibri"/>
                <w:b/>
                <w:bCs/>
                <w:color w:val="FFFFFF"/>
                <w:sz w:val="20"/>
                <w:szCs w:val="20"/>
                <w:lang w:eastAsia="es-CR"/>
              </w:rPr>
              <w:t>#</w:t>
            </w:r>
          </w:p>
        </w:tc>
        <w:tc>
          <w:tcPr>
            <w:tcW w:w="4780" w:type="dxa"/>
            <w:tcBorders>
              <w:top w:val="single" w:sz="4" w:space="0" w:color="auto"/>
              <w:left w:val="nil"/>
              <w:bottom w:val="single" w:sz="4" w:space="0" w:color="auto"/>
              <w:right w:val="single" w:sz="4" w:space="0" w:color="auto"/>
            </w:tcBorders>
            <w:shd w:val="clear" w:color="000000" w:fill="1F4E78"/>
            <w:vAlign w:val="center"/>
            <w:hideMark/>
          </w:tcPr>
          <w:p w14:paraId="26491F30" w14:textId="77777777" w:rsidR="00C50766" w:rsidRPr="00AC4FEB" w:rsidRDefault="00C50766" w:rsidP="00C50766">
            <w:pPr>
              <w:spacing w:after="0" w:line="240" w:lineRule="auto"/>
              <w:jc w:val="center"/>
              <w:rPr>
                <w:rFonts w:ascii="Book Antiqua" w:eastAsia="Times New Roman" w:hAnsi="Book Antiqua" w:cs="Calibri"/>
                <w:b/>
                <w:bCs/>
                <w:color w:val="FFFFFF"/>
                <w:sz w:val="20"/>
                <w:szCs w:val="20"/>
                <w:lang w:eastAsia="es-CR"/>
              </w:rPr>
            </w:pPr>
            <w:r w:rsidRPr="00AC4FEB">
              <w:rPr>
                <w:rFonts w:ascii="Book Antiqua" w:eastAsia="Times New Roman" w:hAnsi="Book Antiqua" w:cs="Calibri"/>
                <w:b/>
                <w:bCs/>
                <w:color w:val="FFFFFF"/>
                <w:sz w:val="20"/>
                <w:szCs w:val="20"/>
                <w:lang w:eastAsia="es-CR"/>
              </w:rPr>
              <w:t>Despacho</w:t>
            </w:r>
          </w:p>
        </w:tc>
        <w:tc>
          <w:tcPr>
            <w:tcW w:w="1200" w:type="dxa"/>
            <w:tcBorders>
              <w:top w:val="single" w:sz="4" w:space="0" w:color="auto"/>
              <w:left w:val="nil"/>
              <w:bottom w:val="single" w:sz="4" w:space="0" w:color="auto"/>
              <w:right w:val="single" w:sz="4" w:space="0" w:color="auto"/>
            </w:tcBorders>
            <w:shd w:val="clear" w:color="000000" w:fill="1F4E78"/>
            <w:vAlign w:val="center"/>
            <w:hideMark/>
          </w:tcPr>
          <w:p w14:paraId="5E3E480E" w14:textId="77777777" w:rsidR="00C50766" w:rsidRPr="00AC4FEB" w:rsidRDefault="00C50766" w:rsidP="00C50766">
            <w:pPr>
              <w:spacing w:after="0" w:line="240" w:lineRule="auto"/>
              <w:jc w:val="center"/>
              <w:rPr>
                <w:rFonts w:ascii="Book Antiqua" w:eastAsia="Times New Roman" w:hAnsi="Book Antiqua" w:cs="Calibri"/>
                <w:b/>
                <w:bCs/>
                <w:color w:val="FFFFFF"/>
                <w:sz w:val="20"/>
                <w:szCs w:val="20"/>
                <w:lang w:eastAsia="es-CR"/>
              </w:rPr>
            </w:pPr>
            <w:r w:rsidRPr="00AC4FEB">
              <w:rPr>
                <w:rFonts w:ascii="Book Antiqua" w:eastAsia="Times New Roman" w:hAnsi="Book Antiqua" w:cs="Calibri"/>
                <w:b/>
                <w:bCs/>
                <w:color w:val="FFFFFF"/>
                <w:sz w:val="20"/>
                <w:szCs w:val="20"/>
                <w:lang w:eastAsia="es-CR"/>
              </w:rPr>
              <w:t>Cant. Juezas o Jueces</w:t>
            </w:r>
          </w:p>
        </w:tc>
        <w:tc>
          <w:tcPr>
            <w:tcW w:w="1700" w:type="dxa"/>
            <w:tcBorders>
              <w:top w:val="single" w:sz="4" w:space="0" w:color="auto"/>
              <w:left w:val="nil"/>
              <w:bottom w:val="single" w:sz="4" w:space="0" w:color="auto"/>
              <w:right w:val="single" w:sz="4" w:space="0" w:color="auto"/>
            </w:tcBorders>
            <w:shd w:val="clear" w:color="000000" w:fill="1F4E78"/>
            <w:vAlign w:val="center"/>
            <w:hideMark/>
          </w:tcPr>
          <w:p w14:paraId="165F3634" w14:textId="77777777" w:rsidR="00C50766" w:rsidRPr="00AC4FEB" w:rsidRDefault="00C50766" w:rsidP="00C50766">
            <w:pPr>
              <w:spacing w:after="0" w:line="240" w:lineRule="auto"/>
              <w:jc w:val="center"/>
              <w:rPr>
                <w:rFonts w:ascii="Book Antiqua" w:eastAsia="Times New Roman" w:hAnsi="Book Antiqua" w:cs="Calibri"/>
                <w:b/>
                <w:bCs/>
                <w:color w:val="FFFFFF"/>
                <w:sz w:val="20"/>
                <w:szCs w:val="20"/>
                <w:lang w:eastAsia="es-CR"/>
              </w:rPr>
            </w:pPr>
            <w:r w:rsidRPr="00AC4FEB">
              <w:rPr>
                <w:rFonts w:ascii="Book Antiqua" w:eastAsia="Times New Roman" w:hAnsi="Book Antiqua" w:cs="Calibri"/>
                <w:b/>
                <w:bCs/>
                <w:color w:val="FFFFFF"/>
                <w:sz w:val="20"/>
                <w:szCs w:val="20"/>
                <w:lang w:eastAsia="es-CR"/>
              </w:rPr>
              <w:t>% Mensual de disponibilidad sobre salario base según estructura</w:t>
            </w:r>
          </w:p>
        </w:tc>
        <w:tc>
          <w:tcPr>
            <w:tcW w:w="1420" w:type="dxa"/>
            <w:tcBorders>
              <w:top w:val="single" w:sz="4" w:space="0" w:color="auto"/>
              <w:left w:val="nil"/>
              <w:bottom w:val="single" w:sz="4" w:space="0" w:color="auto"/>
              <w:right w:val="single" w:sz="4" w:space="0" w:color="auto"/>
            </w:tcBorders>
            <w:shd w:val="clear" w:color="000000" w:fill="1F4E78"/>
            <w:vAlign w:val="center"/>
            <w:hideMark/>
          </w:tcPr>
          <w:p w14:paraId="5DAF18B2" w14:textId="77777777" w:rsidR="00C50766" w:rsidRPr="00AC4FEB" w:rsidRDefault="00C50766" w:rsidP="00C50766">
            <w:pPr>
              <w:spacing w:after="0" w:line="240" w:lineRule="auto"/>
              <w:jc w:val="center"/>
              <w:rPr>
                <w:rFonts w:ascii="Book Antiqua" w:eastAsia="Times New Roman" w:hAnsi="Book Antiqua" w:cs="Calibri"/>
                <w:b/>
                <w:bCs/>
                <w:color w:val="FFFFFF"/>
                <w:sz w:val="20"/>
                <w:szCs w:val="20"/>
                <w:lang w:eastAsia="es-CR"/>
              </w:rPr>
            </w:pPr>
            <w:r w:rsidRPr="00AC4FEB">
              <w:rPr>
                <w:rFonts w:ascii="Book Antiqua" w:eastAsia="Times New Roman" w:hAnsi="Book Antiqua" w:cs="Calibri"/>
                <w:b/>
                <w:bCs/>
                <w:color w:val="FFFFFF"/>
                <w:sz w:val="20"/>
                <w:szCs w:val="20"/>
                <w:lang w:eastAsia="es-CR"/>
              </w:rPr>
              <w:t>Impacto Económico Mensual por despacho</w:t>
            </w:r>
          </w:p>
        </w:tc>
      </w:tr>
      <w:tr w:rsidR="00C50766" w:rsidRPr="00C50766" w14:paraId="56AB105C" w14:textId="77777777" w:rsidTr="00C50766">
        <w:trPr>
          <w:trHeight w:val="290"/>
        </w:trPr>
        <w:tc>
          <w:tcPr>
            <w:tcW w:w="5380" w:type="dxa"/>
            <w:gridSpan w:val="2"/>
            <w:tcBorders>
              <w:top w:val="single" w:sz="4" w:space="0" w:color="auto"/>
              <w:left w:val="single" w:sz="4" w:space="0" w:color="auto"/>
              <w:bottom w:val="single" w:sz="4" w:space="0" w:color="auto"/>
              <w:right w:val="single" w:sz="4" w:space="0" w:color="auto"/>
            </w:tcBorders>
            <w:shd w:val="clear" w:color="000000" w:fill="DDEBF7"/>
            <w:vAlign w:val="center"/>
            <w:hideMark/>
          </w:tcPr>
          <w:p w14:paraId="10EAF40A" w14:textId="77777777" w:rsidR="00C50766" w:rsidRPr="00AC4FEB" w:rsidRDefault="00C50766" w:rsidP="00C50766">
            <w:pPr>
              <w:spacing w:after="0" w:line="240" w:lineRule="auto"/>
              <w:rPr>
                <w:rFonts w:ascii="Book Antiqua" w:eastAsia="Times New Roman" w:hAnsi="Book Antiqua" w:cs="Calibri"/>
                <w:b/>
                <w:bCs/>
                <w:i/>
                <w:iCs/>
                <w:color w:val="000000"/>
                <w:sz w:val="20"/>
                <w:szCs w:val="20"/>
                <w:lang w:eastAsia="es-CR"/>
              </w:rPr>
            </w:pPr>
            <w:r w:rsidRPr="00AC4FEB">
              <w:rPr>
                <w:rFonts w:ascii="Book Antiqua" w:eastAsia="Times New Roman" w:hAnsi="Book Antiqua" w:cs="Calibri"/>
                <w:b/>
                <w:bCs/>
                <w:i/>
                <w:iCs/>
                <w:color w:val="000000"/>
                <w:sz w:val="20"/>
                <w:szCs w:val="20"/>
                <w:lang w:eastAsia="es-CR"/>
              </w:rPr>
              <w:t>Salario base:</w:t>
            </w:r>
          </w:p>
        </w:tc>
        <w:tc>
          <w:tcPr>
            <w:tcW w:w="432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20A0DF81" w14:textId="77777777" w:rsidR="00C50766" w:rsidRPr="00AC4FEB" w:rsidRDefault="00C50766" w:rsidP="00C50766">
            <w:pPr>
              <w:spacing w:after="0" w:line="240" w:lineRule="auto"/>
              <w:jc w:val="center"/>
              <w:rPr>
                <w:rFonts w:ascii="Book Antiqua" w:eastAsia="Times New Roman" w:hAnsi="Book Antiqua" w:cs="Calibri"/>
                <w:b/>
                <w:bCs/>
                <w:i/>
                <w:iCs/>
                <w:color w:val="000000"/>
                <w:sz w:val="20"/>
                <w:szCs w:val="20"/>
                <w:lang w:eastAsia="es-CR"/>
              </w:rPr>
            </w:pPr>
            <w:r w:rsidRPr="00AC4FEB">
              <w:rPr>
                <w:rFonts w:ascii="Times New Roman" w:eastAsia="Times New Roman" w:hAnsi="Times New Roman" w:cs="Times New Roman"/>
                <w:b/>
                <w:bCs/>
                <w:i/>
                <w:iCs/>
                <w:color w:val="000000"/>
                <w:sz w:val="20"/>
                <w:szCs w:val="20"/>
                <w:lang w:eastAsia="es-CR"/>
              </w:rPr>
              <w:t>₡</w:t>
            </w:r>
            <w:r w:rsidRPr="00AC4FEB">
              <w:rPr>
                <w:rFonts w:ascii="Book Antiqua" w:eastAsia="Times New Roman" w:hAnsi="Book Antiqua" w:cs="Calibri"/>
                <w:b/>
                <w:bCs/>
                <w:i/>
                <w:iCs/>
                <w:color w:val="000000"/>
                <w:sz w:val="20"/>
                <w:szCs w:val="20"/>
                <w:lang w:eastAsia="es-CR"/>
              </w:rPr>
              <w:t>1 199 300</w:t>
            </w:r>
          </w:p>
        </w:tc>
      </w:tr>
      <w:tr w:rsidR="00C50766" w:rsidRPr="00C50766" w14:paraId="66AB4827"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B0BF827"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1</w:t>
            </w:r>
          </w:p>
        </w:tc>
        <w:tc>
          <w:tcPr>
            <w:tcW w:w="4780" w:type="dxa"/>
            <w:tcBorders>
              <w:top w:val="nil"/>
              <w:left w:val="nil"/>
              <w:bottom w:val="single" w:sz="4" w:space="0" w:color="auto"/>
              <w:right w:val="single" w:sz="4" w:space="0" w:color="auto"/>
            </w:tcBorders>
            <w:shd w:val="clear" w:color="auto" w:fill="auto"/>
            <w:noWrap/>
            <w:vAlign w:val="center"/>
            <w:hideMark/>
          </w:tcPr>
          <w:p w14:paraId="653BB33A"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de Niñez y Adolescencia</w:t>
            </w:r>
          </w:p>
        </w:tc>
        <w:tc>
          <w:tcPr>
            <w:tcW w:w="1200" w:type="dxa"/>
            <w:tcBorders>
              <w:top w:val="nil"/>
              <w:left w:val="nil"/>
              <w:bottom w:val="single" w:sz="4" w:space="0" w:color="auto"/>
              <w:right w:val="single" w:sz="4" w:space="0" w:color="auto"/>
            </w:tcBorders>
            <w:shd w:val="clear" w:color="auto" w:fill="auto"/>
            <w:noWrap/>
            <w:vAlign w:val="center"/>
            <w:hideMark/>
          </w:tcPr>
          <w:p w14:paraId="3E57A7B7"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43C9E3AF"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33308000"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751F59C9"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3FBFD4C"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4780" w:type="dxa"/>
            <w:tcBorders>
              <w:top w:val="nil"/>
              <w:left w:val="nil"/>
              <w:bottom w:val="single" w:sz="4" w:space="0" w:color="auto"/>
              <w:right w:val="single" w:sz="4" w:space="0" w:color="auto"/>
            </w:tcBorders>
            <w:shd w:val="clear" w:color="auto" w:fill="auto"/>
            <w:noWrap/>
            <w:vAlign w:val="center"/>
            <w:hideMark/>
          </w:tcPr>
          <w:p w14:paraId="0531337D"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Primero de Familia San José</w:t>
            </w:r>
          </w:p>
        </w:tc>
        <w:tc>
          <w:tcPr>
            <w:tcW w:w="1200" w:type="dxa"/>
            <w:tcBorders>
              <w:top w:val="nil"/>
              <w:left w:val="nil"/>
              <w:bottom w:val="single" w:sz="4" w:space="0" w:color="auto"/>
              <w:right w:val="single" w:sz="4" w:space="0" w:color="auto"/>
            </w:tcBorders>
            <w:shd w:val="clear" w:color="auto" w:fill="auto"/>
            <w:noWrap/>
            <w:vAlign w:val="center"/>
            <w:hideMark/>
          </w:tcPr>
          <w:p w14:paraId="4B9104F2"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15779D25"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28D45721"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5379B813"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EC47B31"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4780" w:type="dxa"/>
            <w:tcBorders>
              <w:top w:val="nil"/>
              <w:left w:val="nil"/>
              <w:bottom w:val="single" w:sz="4" w:space="0" w:color="auto"/>
              <w:right w:val="single" w:sz="4" w:space="0" w:color="auto"/>
            </w:tcBorders>
            <w:shd w:val="clear" w:color="auto" w:fill="auto"/>
            <w:noWrap/>
            <w:vAlign w:val="center"/>
            <w:hideMark/>
          </w:tcPr>
          <w:p w14:paraId="62B6D45A"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Segundo de Familia San José</w:t>
            </w:r>
          </w:p>
        </w:tc>
        <w:tc>
          <w:tcPr>
            <w:tcW w:w="1200" w:type="dxa"/>
            <w:tcBorders>
              <w:top w:val="nil"/>
              <w:left w:val="nil"/>
              <w:bottom w:val="single" w:sz="4" w:space="0" w:color="auto"/>
              <w:right w:val="single" w:sz="4" w:space="0" w:color="auto"/>
            </w:tcBorders>
            <w:shd w:val="clear" w:color="auto" w:fill="auto"/>
            <w:noWrap/>
            <w:vAlign w:val="center"/>
            <w:hideMark/>
          </w:tcPr>
          <w:p w14:paraId="1AFD5A76"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04842B93"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5D885D8C"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62EECF30"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F97802C"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4</w:t>
            </w:r>
          </w:p>
        </w:tc>
        <w:tc>
          <w:tcPr>
            <w:tcW w:w="4780" w:type="dxa"/>
            <w:tcBorders>
              <w:top w:val="nil"/>
              <w:left w:val="nil"/>
              <w:bottom w:val="single" w:sz="4" w:space="0" w:color="auto"/>
              <w:right w:val="single" w:sz="4" w:space="0" w:color="auto"/>
            </w:tcBorders>
            <w:shd w:val="clear" w:color="auto" w:fill="auto"/>
            <w:noWrap/>
            <w:vAlign w:val="center"/>
            <w:hideMark/>
          </w:tcPr>
          <w:p w14:paraId="721D1EED"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Familia II Circ. Jud. San José</w:t>
            </w:r>
          </w:p>
        </w:tc>
        <w:tc>
          <w:tcPr>
            <w:tcW w:w="1200" w:type="dxa"/>
            <w:tcBorders>
              <w:top w:val="nil"/>
              <w:left w:val="nil"/>
              <w:bottom w:val="single" w:sz="4" w:space="0" w:color="auto"/>
              <w:right w:val="single" w:sz="4" w:space="0" w:color="auto"/>
            </w:tcBorders>
            <w:shd w:val="clear" w:color="auto" w:fill="auto"/>
            <w:noWrap/>
            <w:vAlign w:val="center"/>
            <w:hideMark/>
          </w:tcPr>
          <w:p w14:paraId="62386F8B"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4</w:t>
            </w:r>
          </w:p>
        </w:tc>
        <w:tc>
          <w:tcPr>
            <w:tcW w:w="1700" w:type="dxa"/>
            <w:tcBorders>
              <w:top w:val="nil"/>
              <w:left w:val="nil"/>
              <w:bottom w:val="single" w:sz="4" w:space="0" w:color="auto"/>
              <w:right w:val="single" w:sz="4" w:space="0" w:color="auto"/>
            </w:tcBorders>
            <w:shd w:val="clear" w:color="auto" w:fill="auto"/>
            <w:noWrap/>
            <w:vAlign w:val="center"/>
            <w:hideMark/>
          </w:tcPr>
          <w:p w14:paraId="2A1C14AB"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1%</w:t>
            </w:r>
          </w:p>
        </w:tc>
        <w:tc>
          <w:tcPr>
            <w:tcW w:w="1420" w:type="dxa"/>
            <w:tcBorders>
              <w:top w:val="nil"/>
              <w:left w:val="nil"/>
              <w:bottom w:val="single" w:sz="4" w:space="0" w:color="auto"/>
              <w:right w:val="single" w:sz="4" w:space="0" w:color="auto"/>
            </w:tcBorders>
            <w:shd w:val="clear" w:color="auto" w:fill="auto"/>
            <w:noWrap/>
            <w:vAlign w:val="center"/>
            <w:hideMark/>
          </w:tcPr>
          <w:p w14:paraId="1251B08D"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47 972</w:t>
            </w:r>
          </w:p>
        </w:tc>
      </w:tr>
      <w:tr w:rsidR="00C50766" w:rsidRPr="00C50766" w14:paraId="7C9A138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E8F4697"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5</w:t>
            </w:r>
          </w:p>
        </w:tc>
        <w:tc>
          <w:tcPr>
            <w:tcW w:w="4780" w:type="dxa"/>
            <w:tcBorders>
              <w:top w:val="nil"/>
              <w:left w:val="nil"/>
              <w:bottom w:val="single" w:sz="4" w:space="0" w:color="auto"/>
              <w:right w:val="single" w:sz="4" w:space="0" w:color="auto"/>
            </w:tcBorders>
            <w:shd w:val="clear" w:color="000000" w:fill="FFFFFF"/>
            <w:noWrap/>
            <w:vAlign w:val="center"/>
            <w:hideMark/>
          </w:tcPr>
          <w:p w14:paraId="59940D1C"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 xml:space="preserve">Juzgado de Familia III Circ. Jud. San José </w:t>
            </w:r>
          </w:p>
        </w:tc>
        <w:tc>
          <w:tcPr>
            <w:tcW w:w="1200" w:type="dxa"/>
            <w:tcBorders>
              <w:top w:val="nil"/>
              <w:left w:val="nil"/>
              <w:bottom w:val="single" w:sz="4" w:space="0" w:color="auto"/>
              <w:right w:val="single" w:sz="4" w:space="0" w:color="auto"/>
            </w:tcBorders>
            <w:shd w:val="clear" w:color="000000" w:fill="FFFFFF"/>
            <w:noWrap/>
            <w:vAlign w:val="center"/>
            <w:hideMark/>
          </w:tcPr>
          <w:p w14:paraId="1FC7C790"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700" w:type="dxa"/>
            <w:tcBorders>
              <w:top w:val="nil"/>
              <w:left w:val="nil"/>
              <w:bottom w:val="single" w:sz="4" w:space="0" w:color="auto"/>
              <w:right w:val="single" w:sz="4" w:space="0" w:color="auto"/>
            </w:tcBorders>
            <w:shd w:val="clear" w:color="000000" w:fill="FFFFFF"/>
            <w:noWrap/>
            <w:vAlign w:val="center"/>
            <w:hideMark/>
          </w:tcPr>
          <w:p w14:paraId="4E3F915D"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420" w:type="dxa"/>
            <w:tcBorders>
              <w:top w:val="nil"/>
              <w:left w:val="nil"/>
              <w:bottom w:val="single" w:sz="4" w:space="0" w:color="auto"/>
              <w:right w:val="single" w:sz="4" w:space="0" w:color="auto"/>
            </w:tcBorders>
            <w:shd w:val="clear" w:color="000000" w:fill="FFFFFF"/>
            <w:noWrap/>
            <w:vAlign w:val="center"/>
            <w:hideMark/>
          </w:tcPr>
          <w:p w14:paraId="77B88382"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0EA2D47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DECF5D8"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6</w:t>
            </w:r>
          </w:p>
        </w:tc>
        <w:tc>
          <w:tcPr>
            <w:tcW w:w="4780" w:type="dxa"/>
            <w:tcBorders>
              <w:top w:val="nil"/>
              <w:left w:val="nil"/>
              <w:bottom w:val="single" w:sz="4" w:space="0" w:color="auto"/>
              <w:right w:val="single" w:sz="4" w:space="0" w:color="auto"/>
            </w:tcBorders>
            <w:shd w:val="clear" w:color="auto" w:fill="auto"/>
            <w:noWrap/>
            <w:vAlign w:val="center"/>
            <w:hideMark/>
          </w:tcPr>
          <w:p w14:paraId="46A02F6B"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Familia I Circ. Jud. Alajuela</w:t>
            </w:r>
          </w:p>
        </w:tc>
        <w:tc>
          <w:tcPr>
            <w:tcW w:w="1200" w:type="dxa"/>
            <w:tcBorders>
              <w:top w:val="nil"/>
              <w:left w:val="nil"/>
              <w:bottom w:val="single" w:sz="4" w:space="0" w:color="auto"/>
              <w:right w:val="single" w:sz="4" w:space="0" w:color="auto"/>
            </w:tcBorders>
            <w:shd w:val="clear" w:color="auto" w:fill="auto"/>
            <w:noWrap/>
            <w:vAlign w:val="center"/>
            <w:hideMark/>
          </w:tcPr>
          <w:p w14:paraId="0A47EE72"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04934556"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20D7B761"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342EE49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7BE877E"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7</w:t>
            </w:r>
          </w:p>
        </w:tc>
        <w:tc>
          <w:tcPr>
            <w:tcW w:w="4780" w:type="dxa"/>
            <w:tcBorders>
              <w:top w:val="nil"/>
              <w:left w:val="nil"/>
              <w:bottom w:val="single" w:sz="4" w:space="0" w:color="auto"/>
              <w:right w:val="single" w:sz="4" w:space="0" w:color="auto"/>
            </w:tcBorders>
            <w:shd w:val="clear" w:color="auto" w:fill="auto"/>
            <w:noWrap/>
            <w:vAlign w:val="center"/>
            <w:hideMark/>
          </w:tcPr>
          <w:p w14:paraId="0360BC93"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Familia Cartago</w:t>
            </w:r>
          </w:p>
        </w:tc>
        <w:tc>
          <w:tcPr>
            <w:tcW w:w="1200" w:type="dxa"/>
            <w:tcBorders>
              <w:top w:val="nil"/>
              <w:left w:val="nil"/>
              <w:bottom w:val="single" w:sz="4" w:space="0" w:color="auto"/>
              <w:right w:val="single" w:sz="4" w:space="0" w:color="auto"/>
            </w:tcBorders>
            <w:shd w:val="clear" w:color="auto" w:fill="auto"/>
            <w:noWrap/>
            <w:vAlign w:val="center"/>
            <w:hideMark/>
          </w:tcPr>
          <w:p w14:paraId="312F180A"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76B9F9CB"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57B0C97F"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355CB1B8"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603DAA2"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8</w:t>
            </w:r>
          </w:p>
        </w:tc>
        <w:tc>
          <w:tcPr>
            <w:tcW w:w="4780" w:type="dxa"/>
            <w:tcBorders>
              <w:top w:val="nil"/>
              <w:left w:val="nil"/>
              <w:bottom w:val="single" w:sz="4" w:space="0" w:color="auto"/>
              <w:right w:val="single" w:sz="4" w:space="0" w:color="auto"/>
            </w:tcBorders>
            <w:shd w:val="clear" w:color="auto" w:fill="auto"/>
            <w:noWrap/>
            <w:vAlign w:val="center"/>
            <w:hideMark/>
          </w:tcPr>
          <w:p w14:paraId="5CE73CA9"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Familia Heredia</w:t>
            </w:r>
          </w:p>
        </w:tc>
        <w:tc>
          <w:tcPr>
            <w:tcW w:w="1200" w:type="dxa"/>
            <w:tcBorders>
              <w:top w:val="nil"/>
              <w:left w:val="nil"/>
              <w:bottom w:val="single" w:sz="4" w:space="0" w:color="auto"/>
              <w:right w:val="single" w:sz="4" w:space="0" w:color="auto"/>
            </w:tcBorders>
            <w:shd w:val="clear" w:color="auto" w:fill="auto"/>
            <w:noWrap/>
            <w:vAlign w:val="center"/>
            <w:hideMark/>
          </w:tcPr>
          <w:p w14:paraId="2E0F07FF"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4</w:t>
            </w:r>
          </w:p>
        </w:tc>
        <w:tc>
          <w:tcPr>
            <w:tcW w:w="1700" w:type="dxa"/>
            <w:tcBorders>
              <w:top w:val="nil"/>
              <w:left w:val="nil"/>
              <w:bottom w:val="single" w:sz="4" w:space="0" w:color="auto"/>
              <w:right w:val="single" w:sz="4" w:space="0" w:color="auto"/>
            </w:tcBorders>
            <w:shd w:val="clear" w:color="auto" w:fill="auto"/>
            <w:noWrap/>
            <w:vAlign w:val="center"/>
            <w:hideMark/>
          </w:tcPr>
          <w:p w14:paraId="11B28AFF"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1%</w:t>
            </w:r>
          </w:p>
        </w:tc>
        <w:tc>
          <w:tcPr>
            <w:tcW w:w="1420" w:type="dxa"/>
            <w:tcBorders>
              <w:top w:val="nil"/>
              <w:left w:val="nil"/>
              <w:bottom w:val="single" w:sz="4" w:space="0" w:color="auto"/>
              <w:right w:val="single" w:sz="4" w:space="0" w:color="auto"/>
            </w:tcBorders>
            <w:shd w:val="clear" w:color="auto" w:fill="auto"/>
            <w:noWrap/>
            <w:vAlign w:val="center"/>
            <w:hideMark/>
          </w:tcPr>
          <w:p w14:paraId="098B0573"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47 972</w:t>
            </w:r>
          </w:p>
        </w:tc>
      </w:tr>
      <w:tr w:rsidR="00C50766" w:rsidRPr="00C50766" w14:paraId="262200A1"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01AA860"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9</w:t>
            </w:r>
          </w:p>
        </w:tc>
        <w:tc>
          <w:tcPr>
            <w:tcW w:w="4780" w:type="dxa"/>
            <w:tcBorders>
              <w:top w:val="nil"/>
              <w:left w:val="nil"/>
              <w:bottom w:val="single" w:sz="4" w:space="0" w:color="auto"/>
              <w:right w:val="single" w:sz="4" w:space="0" w:color="auto"/>
            </w:tcBorders>
            <w:shd w:val="clear" w:color="auto" w:fill="auto"/>
            <w:noWrap/>
            <w:vAlign w:val="center"/>
            <w:hideMark/>
          </w:tcPr>
          <w:p w14:paraId="59BA3E1E"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Familia II Circ. Jud. Alajuela</w:t>
            </w:r>
          </w:p>
        </w:tc>
        <w:tc>
          <w:tcPr>
            <w:tcW w:w="1200" w:type="dxa"/>
            <w:tcBorders>
              <w:top w:val="nil"/>
              <w:left w:val="nil"/>
              <w:bottom w:val="single" w:sz="4" w:space="0" w:color="auto"/>
              <w:right w:val="single" w:sz="4" w:space="0" w:color="auto"/>
            </w:tcBorders>
            <w:shd w:val="clear" w:color="auto" w:fill="auto"/>
            <w:noWrap/>
            <w:vAlign w:val="center"/>
            <w:hideMark/>
          </w:tcPr>
          <w:p w14:paraId="58EDFD88"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3D24352E"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3118F955"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73A0498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17EF6A9"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10</w:t>
            </w:r>
          </w:p>
        </w:tc>
        <w:tc>
          <w:tcPr>
            <w:tcW w:w="4780" w:type="dxa"/>
            <w:tcBorders>
              <w:top w:val="nil"/>
              <w:left w:val="nil"/>
              <w:bottom w:val="single" w:sz="4" w:space="0" w:color="auto"/>
              <w:right w:val="single" w:sz="4" w:space="0" w:color="auto"/>
            </w:tcBorders>
            <w:shd w:val="clear" w:color="auto" w:fill="auto"/>
            <w:noWrap/>
            <w:vAlign w:val="center"/>
            <w:hideMark/>
          </w:tcPr>
          <w:p w14:paraId="7EC96085"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Familia Puntarenas</w:t>
            </w:r>
          </w:p>
        </w:tc>
        <w:tc>
          <w:tcPr>
            <w:tcW w:w="1200" w:type="dxa"/>
            <w:tcBorders>
              <w:top w:val="nil"/>
              <w:left w:val="nil"/>
              <w:bottom w:val="single" w:sz="4" w:space="0" w:color="auto"/>
              <w:right w:val="single" w:sz="4" w:space="0" w:color="auto"/>
            </w:tcBorders>
            <w:shd w:val="clear" w:color="auto" w:fill="auto"/>
            <w:noWrap/>
            <w:vAlign w:val="center"/>
            <w:hideMark/>
          </w:tcPr>
          <w:p w14:paraId="0E88D830"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32DA70D8"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0127EC48"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1866F8A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731321B"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11</w:t>
            </w:r>
          </w:p>
        </w:tc>
        <w:tc>
          <w:tcPr>
            <w:tcW w:w="4780" w:type="dxa"/>
            <w:tcBorders>
              <w:top w:val="nil"/>
              <w:left w:val="nil"/>
              <w:bottom w:val="single" w:sz="4" w:space="0" w:color="auto"/>
              <w:right w:val="single" w:sz="4" w:space="0" w:color="auto"/>
            </w:tcBorders>
            <w:shd w:val="clear" w:color="auto" w:fill="auto"/>
            <w:noWrap/>
            <w:vAlign w:val="center"/>
            <w:hideMark/>
          </w:tcPr>
          <w:p w14:paraId="655C236D"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 xml:space="preserve">Juzgado Familia I Circ. Jud. Zona Sur </w:t>
            </w:r>
          </w:p>
        </w:tc>
        <w:tc>
          <w:tcPr>
            <w:tcW w:w="1200" w:type="dxa"/>
            <w:tcBorders>
              <w:top w:val="nil"/>
              <w:left w:val="nil"/>
              <w:bottom w:val="single" w:sz="4" w:space="0" w:color="auto"/>
              <w:right w:val="single" w:sz="4" w:space="0" w:color="auto"/>
            </w:tcBorders>
            <w:shd w:val="clear" w:color="auto" w:fill="auto"/>
            <w:noWrap/>
            <w:vAlign w:val="center"/>
            <w:hideMark/>
          </w:tcPr>
          <w:p w14:paraId="1AC802D6"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06219759"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51B7EF5F"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33C4118C"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15D58FC"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12</w:t>
            </w:r>
          </w:p>
        </w:tc>
        <w:tc>
          <w:tcPr>
            <w:tcW w:w="4780" w:type="dxa"/>
            <w:tcBorders>
              <w:top w:val="nil"/>
              <w:left w:val="nil"/>
              <w:bottom w:val="single" w:sz="4" w:space="0" w:color="auto"/>
              <w:right w:val="single" w:sz="4" w:space="0" w:color="auto"/>
            </w:tcBorders>
            <w:shd w:val="clear" w:color="auto" w:fill="auto"/>
            <w:noWrap/>
            <w:vAlign w:val="center"/>
            <w:hideMark/>
          </w:tcPr>
          <w:p w14:paraId="352B983C"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Familia I Circ. Jud.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647C03B8"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04A7A674"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2EA9663E"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53B7BFA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3E1E41B"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13</w:t>
            </w:r>
          </w:p>
        </w:tc>
        <w:tc>
          <w:tcPr>
            <w:tcW w:w="4780" w:type="dxa"/>
            <w:tcBorders>
              <w:top w:val="nil"/>
              <w:left w:val="nil"/>
              <w:bottom w:val="single" w:sz="4" w:space="0" w:color="auto"/>
              <w:right w:val="single" w:sz="4" w:space="0" w:color="auto"/>
            </w:tcBorders>
            <w:shd w:val="clear" w:color="auto" w:fill="auto"/>
            <w:noWrap/>
            <w:vAlign w:val="center"/>
            <w:hideMark/>
          </w:tcPr>
          <w:p w14:paraId="0BF894C9" w14:textId="77777777" w:rsidR="00C50766" w:rsidRPr="00AC4FEB" w:rsidRDefault="00C50766" w:rsidP="00C50766">
            <w:pPr>
              <w:spacing w:after="0" w:line="240" w:lineRule="auto"/>
              <w:jc w:val="both"/>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Juzgado Familia II Circ. Jud.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5A70A69B"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2EB45C01"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Book Antiqua" w:eastAsia="Times New Roman" w:hAnsi="Book Antiqua" w:cs="Calibri"/>
                <w:color w:val="000000"/>
                <w:sz w:val="20"/>
                <w:szCs w:val="2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583A6815" w14:textId="77777777" w:rsidR="00C50766" w:rsidRPr="00AC4FEB" w:rsidRDefault="00C50766" w:rsidP="00C50766">
            <w:pPr>
              <w:spacing w:after="0" w:line="240" w:lineRule="auto"/>
              <w:jc w:val="center"/>
              <w:rPr>
                <w:rFonts w:ascii="Book Antiqua" w:eastAsia="Times New Roman" w:hAnsi="Book Antiqua" w:cs="Calibri"/>
                <w:color w:val="000000"/>
                <w:sz w:val="20"/>
                <w:szCs w:val="20"/>
                <w:lang w:eastAsia="es-CR"/>
              </w:rPr>
            </w:pPr>
            <w:r w:rsidRPr="00AC4FEB">
              <w:rPr>
                <w:rFonts w:ascii="Times New Roman" w:eastAsia="Times New Roman" w:hAnsi="Times New Roman" w:cs="Times New Roman"/>
                <w:color w:val="000000"/>
                <w:sz w:val="20"/>
                <w:szCs w:val="20"/>
                <w:lang w:eastAsia="es-CR"/>
              </w:rPr>
              <w:t>₡</w:t>
            </w:r>
            <w:r w:rsidRPr="00AC4FEB">
              <w:rPr>
                <w:rFonts w:ascii="Book Antiqua" w:eastAsia="Times New Roman" w:hAnsi="Book Antiqua" w:cs="Calibri"/>
                <w:color w:val="000000"/>
                <w:sz w:val="20"/>
                <w:szCs w:val="20"/>
                <w:lang w:eastAsia="es-CR"/>
              </w:rPr>
              <w:t>71 958</w:t>
            </w:r>
          </w:p>
        </w:tc>
      </w:tr>
      <w:tr w:rsidR="00C50766" w:rsidRPr="00C50766" w14:paraId="3D814BDB" w14:textId="77777777" w:rsidTr="00C50766">
        <w:trPr>
          <w:trHeight w:val="520"/>
        </w:trPr>
        <w:tc>
          <w:tcPr>
            <w:tcW w:w="8280" w:type="dxa"/>
            <w:gridSpan w:val="4"/>
            <w:tcBorders>
              <w:top w:val="single" w:sz="4" w:space="0" w:color="auto"/>
              <w:left w:val="single" w:sz="4" w:space="0" w:color="auto"/>
              <w:bottom w:val="single" w:sz="4" w:space="0" w:color="auto"/>
              <w:right w:val="single" w:sz="4" w:space="0" w:color="auto"/>
            </w:tcBorders>
            <w:shd w:val="clear" w:color="000000" w:fill="DDEBF7"/>
            <w:vAlign w:val="center"/>
            <w:hideMark/>
          </w:tcPr>
          <w:p w14:paraId="4B4125B7" w14:textId="77777777" w:rsidR="00C50766" w:rsidRPr="00AC4FEB" w:rsidRDefault="00C50766" w:rsidP="00C50766">
            <w:pPr>
              <w:spacing w:after="0" w:line="240" w:lineRule="auto"/>
              <w:jc w:val="right"/>
              <w:rPr>
                <w:rFonts w:ascii="Book Antiqua" w:eastAsia="Times New Roman" w:hAnsi="Book Antiqua" w:cs="Calibri"/>
                <w:b/>
                <w:bCs/>
                <w:color w:val="000000"/>
                <w:sz w:val="20"/>
                <w:szCs w:val="20"/>
                <w:lang w:eastAsia="es-CR"/>
              </w:rPr>
            </w:pPr>
            <w:r w:rsidRPr="00AC4FEB">
              <w:rPr>
                <w:rFonts w:ascii="Book Antiqua" w:eastAsia="Times New Roman" w:hAnsi="Book Antiqua" w:cs="Calibri"/>
                <w:b/>
                <w:bCs/>
                <w:color w:val="000000"/>
                <w:sz w:val="20"/>
                <w:szCs w:val="20"/>
                <w:lang w:eastAsia="es-CR"/>
              </w:rPr>
              <w:t>Costo del impacto económico anual por activar disponibilidad en la Jurisdicción Especializada de Familia:</w:t>
            </w:r>
          </w:p>
        </w:tc>
        <w:tc>
          <w:tcPr>
            <w:tcW w:w="1420" w:type="dxa"/>
            <w:tcBorders>
              <w:top w:val="nil"/>
              <w:left w:val="nil"/>
              <w:bottom w:val="single" w:sz="4" w:space="0" w:color="auto"/>
              <w:right w:val="single" w:sz="4" w:space="0" w:color="auto"/>
            </w:tcBorders>
            <w:shd w:val="clear" w:color="000000" w:fill="DDEBF7"/>
            <w:noWrap/>
            <w:vAlign w:val="center"/>
            <w:hideMark/>
          </w:tcPr>
          <w:p w14:paraId="1D50BD77" w14:textId="77777777" w:rsidR="00C50766" w:rsidRPr="00AC4FEB" w:rsidRDefault="00C50766" w:rsidP="00C50766">
            <w:pPr>
              <w:spacing w:after="0" w:line="240" w:lineRule="auto"/>
              <w:jc w:val="right"/>
              <w:rPr>
                <w:rFonts w:ascii="Book Antiqua" w:eastAsia="Times New Roman" w:hAnsi="Book Antiqua" w:cs="Calibri"/>
                <w:b/>
                <w:bCs/>
                <w:color w:val="000000"/>
                <w:sz w:val="20"/>
                <w:szCs w:val="20"/>
                <w:lang w:eastAsia="es-CR"/>
              </w:rPr>
            </w:pPr>
            <w:r w:rsidRPr="00AC4FEB">
              <w:rPr>
                <w:rFonts w:ascii="Times New Roman" w:eastAsia="Times New Roman" w:hAnsi="Times New Roman" w:cs="Times New Roman"/>
                <w:b/>
                <w:bCs/>
                <w:color w:val="000000"/>
                <w:sz w:val="20"/>
                <w:szCs w:val="20"/>
                <w:lang w:eastAsia="es-CR"/>
              </w:rPr>
              <w:t>₡</w:t>
            </w:r>
            <w:r w:rsidRPr="00AC4FEB">
              <w:rPr>
                <w:rFonts w:ascii="Book Antiqua" w:eastAsia="Times New Roman" w:hAnsi="Book Antiqua" w:cs="Calibri"/>
                <w:b/>
                <w:bCs/>
                <w:color w:val="000000"/>
                <w:sz w:val="20"/>
                <w:szCs w:val="20"/>
                <w:lang w:eastAsia="es-CR"/>
              </w:rPr>
              <w:t>10 649 784</w:t>
            </w:r>
          </w:p>
        </w:tc>
      </w:tr>
    </w:tbl>
    <w:p w14:paraId="1706C164" w14:textId="7FDF98D6" w:rsidR="005B3BC9" w:rsidRPr="00C50766" w:rsidRDefault="00D6038D">
      <w:pPr>
        <w:pStyle w:val="Fuentes"/>
      </w:pPr>
      <w:r w:rsidRPr="0080175A">
        <w:rPr>
          <w:b/>
          <w:bCs w:val="0"/>
        </w:rPr>
        <w:t>Fuente:</w:t>
      </w:r>
      <w:r w:rsidRPr="00D6038D">
        <w:t xml:space="preserve"> Dirección de Gestión Humana. Índice Salarial 2021 </w:t>
      </w:r>
      <w:hyperlink r:id="rId32" w:history="1">
        <w:r w:rsidRPr="006F7183">
          <w:rPr>
            <w:rStyle w:val="Hipervnculo"/>
            <w:rFonts w:cstheme="minorBidi"/>
          </w:rPr>
          <w:t>https://gestionhumana.poder-judicial.go.cr/index.php/indice-salarial</w:t>
        </w:r>
      </w:hyperlink>
      <w:r>
        <w:t xml:space="preserve"> </w:t>
      </w:r>
    </w:p>
    <w:p w14:paraId="37D8C45D" w14:textId="77777777" w:rsidR="00D6038D" w:rsidRPr="00C50766" w:rsidRDefault="00D6038D" w:rsidP="00500D68">
      <w:pPr>
        <w:pStyle w:val="Fuentes"/>
      </w:pPr>
    </w:p>
    <w:p w14:paraId="091F6F34" w14:textId="63780812" w:rsidR="00500D68" w:rsidRDefault="00500D68" w:rsidP="00391382">
      <w:pPr>
        <w:spacing w:after="0" w:line="276" w:lineRule="auto"/>
        <w:jc w:val="both"/>
        <w:rPr>
          <w:rFonts w:ascii="Book Antiqua" w:eastAsia="Times New Roman" w:hAnsi="Book Antiqua" w:cs="Calibri"/>
          <w:color w:val="000000"/>
          <w:lang w:eastAsia="es-CR"/>
        </w:rPr>
      </w:pPr>
      <w:r w:rsidRPr="00391382">
        <w:rPr>
          <w:rFonts w:ascii="Book Antiqua" w:eastAsia="Calibri" w:hAnsi="Book Antiqua" w:cs="Arial"/>
          <w:sz w:val="24"/>
          <w:szCs w:val="24"/>
        </w:rPr>
        <w:t xml:space="preserve">Del cuadro anterior, se desprende una estimación anual </w:t>
      </w:r>
      <w:r w:rsidRPr="00220829">
        <w:rPr>
          <w:rFonts w:ascii="Book Antiqua" w:eastAsia="Calibri" w:hAnsi="Book Antiqua" w:cs="Arial"/>
          <w:sz w:val="24"/>
          <w:szCs w:val="24"/>
        </w:rPr>
        <w:t xml:space="preserve">de </w:t>
      </w:r>
      <w:r w:rsidRPr="00220829">
        <w:rPr>
          <w:rFonts w:ascii="Times New Roman" w:eastAsia="Times New Roman" w:hAnsi="Times New Roman" w:cs="Times New Roman"/>
          <w:color w:val="000000"/>
          <w:lang w:eastAsia="es-CR"/>
        </w:rPr>
        <w:t>₡</w:t>
      </w:r>
      <w:r w:rsidRPr="00220829">
        <w:rPr>
          <w:rFonts w:ascii="Book Antiqua" w:eastAsia="Times New Roman" w:hAnsi="Book Antiqua" w:cs="Calibri"/>
          <w:color w:val="000000"/>
          <w:lang w:eastAsia="es-CR"/>
        </w:rPr>
        <w:t>10 649 784</w:t>
      </w:r>
      <w:r w:rsidRPr="00391382">
        <w:rPr>
          <w:rFonts w:ascii="Book Antiqua" w:eastAsia="Times New Roman" w:hAnsi="Book Antiqua" w:cs="Calibri"/>
          <w:color w:val="000000"/>
          <w:lang w:eastAsia="es-CR"/>
        </w:rPr>
        <w:t xml:space="preserve"> para activar el rubro de disponibilidad en los despachos especializados de Familia. Sin embargo, es importante indicar que esta estimación deberá analizarse con posterioridad</w:t>
      </w:r>
      <w:r w:rsidR="0010080A">
        <w:rPr>
          <w:rFonts w:ascii="Book Antiqua" w:eastAsia="Times New Roman" w:hAnsi="Book Antiqua" w:cs="Calibri"/>
          <w:color w:val="000000"/>
          <w:lang w:eastAsia="es-CR"/>
        </w:rPr>
        <w:t xml:space="preserve">, con el propósito de </w:t>
      </w:r>
      <w:r w:rsidRPr="00391382">
        <w:rPr>
          <w:rFonts w:ascii="Book Antiqua" w:eastAsia="Times New Roman" w:hAnsi="Book Antiqua" w:cs="Calibri"/>
          <w:color w:val="000000"/>
          <w:lang w:eastAsia="es-CR"/>
        </w:rPr>
        <w:t>proyectar el gasto que representaría el consumo de horas extras</w:t>
      </w:r>
      <w:r>
        <w:rPr>
          <w:rFonts w:ascii="Book Antiqua" w:eastAsia="Times New Roman" w:hAnsi="Book Antiqua" w:cs="Calibri"/>
          <w:color w:val="000000"/>
          <w:lang w:eastAsia="es-CR"/>
        </w:rPr>
        <w:t xml:space="preserve">, según la cantidad de diligencias </w:t>
      </w:r>
      <w:r w:rsidR="0010080A">
        <w:rPr>
          <w:rFonts w:ascii="Book Antiqua" w:eastAsia="Times New Roman" w:hAnsi="Book Antiqua" w:cs="Calibri"/>
          <w:color w:val="000000"/>
          <w:lang w:eastAsia="es-CR"/>
        </w:rPr>
        <w:t xml:space="preserve">nuevas que serían </w:t>
      </w:r>
      <w:r>
        <w:rPr>
          <w:rFonts w:ascii="Book Antiqua" w:eastAsia="Times New Roman" w:hAnsi="Book Antiqua" w:cs="Calibri"/>
          <w:color w:val="000000"/>
          <w:lang w:eastAsia="es-CR"/>
        </w:rPr>
        <w:t>atendidas en jornada extraordinaria</w:t>
      </w:r>
      <w:r w:rsidRPr="00391382">
        <w:rPr>
          <w:rFonts w:ascii="Book Antiqua" w:eastAsia="Times New Roman" w:hAnsi="Book Antiqua" w:cs="Calibri"/>
          <w:color w:val="000000"/>
          <w:lang w:eastAsia="es-CR"/>
        </w:rPr>
        <w:t>.</w:t>
      </w:r>
    </w:p>
    <w:p w14:paraId="0EDA9640" w14:textId="72C2C474" w:rsidR="00F82E5C" w:rsidRDefault="00F82E5C" w:rsidP="00391382">
      <w:pPr>
        <w:spacing w:after="0" w:line="276" w:lineRule="auto"/>
        <w:jc w:val="both"/>
        <w:rPr>
          <w:rFonts w:ascii="Book Antiqua" w:eastAsia="Times New Roman" w:hAnsi="Book Antiqua" w:cs="Calibri"/>
          <w:color w:val="000000"/>
          <w:lang w:eastAsia="es-CR"/>
        </w:rPr>
      </w:pPr>
    </w:p>
    <w:p w14:paraId="3E93D78A" w14:textId="77777777" w:rsidR="00E2229F" w:rsidRPr="00391382" w:rsidRDefault="00E2229F" w:rsidP="00391382">
      <w:pPr>
        <w:spacing w:after="0" w:line="276" w:lineRule="auto"/>
        <w:jc w:val="both"/>
        <w:rPr>
          <w:rFonts w:eastAsia="Calibri" w:cs="Arial"/>
          <w:szCs w:val="24"/>
        </w:rPr>
      </w:pPr>
    </w:p>
    <w:p w14:paraId="589F17C6" w14:textId="473BD218" w:rsidR="005B3BE1" w:rsidRPr="00C153A4" w:rsidRDefault="005B3BE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Gastos variables programa 927</w:t>
      </w:r>
    </w:p>
    <w:p w14:paraId="6791050A" w14:textId="77777777" w:rsidR="00C153A4" w:rsidRDefault="00C153A4" w:rsidP="005B3BE1">
      <w:pPr>
        <w:spacing w:after="0" w:line="276" w:lineRule="auto"/>
        <w:jc w:val="both"/>
        <w:rPr>
          <w:rFonts w:ascii="Book Antiqua" w:eastAsia="Calibri" w:hAnsi="Book Antiqua" w:cs="Arial"/>
          <w:b/>
          <w:bCs/>
          <w:sz w:val="24"/>
          <w:szCs w:val="24"/>
        </w:rPr>
      </w:pPr>
    </w:p>
    <w:p w14:paraId="70D570E2" w14:textId="32D77D8F" w:rsidR="005B3BE1" w:rsidRDefault="005B3BE1" w:rsidP="006C4B6F">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Capacitación-Programa 927</w:t>
      </w:r>
    </w:p>
    <w:p w14:paraId="3ACC525E" w14:textId="77777777" w:rsidR="00F82E5C" w:rsidRDefault="00F82E5C" w:rsidP="006C4B6F">
      <w:pPr>
        <w:spacing w:after="0" w:line="276" w:lineRule="auto"/>
        <w:jc w:val="both"/>
        <w:rPr>
          <w:rFonts w:ascii="Book Antiqua" w:eastAsia="Calibri" w:hAnsi="Book Antiqua" w:cs="Arial"/>
          <w:b/>
          <w:bCs/>
          <w:sz w:val="24"/>
          <w:szCs w:val="24"/>
          <w:highlight w:val="red"/>
        </w:rPr>
      </w:pPr>
    </w:p>
    <w:p w14:paraId="17D89C9B" w14:textId="04538A91" w:rsidR="006C4B6F" w:rsidRDefault="005B3BE1" w:rsidP="001D0C10">
      <w:pPr>
        <w:spacing w:after="0" w:line="276" w:lineRule="auto"/>
        <w:jc w:val="both"/>
        <w:rPr>
          <w:rFonts w:ascii="Book Antiqua" w:eastAsia="Calibri" w:hAnsi="Book Antiqua" w:cs="Arial"/>
          <w:sz w:val="24"/>
          <w:szCs w:val="24"/>
        </w:rPr>
      </w:pPr>
      <w:r w:rsidRPr="005B3BE1">
        <w:rPr>
          <w:rFonts w:ascii="Book Antiqua" w:eastAsia="Calibri" w:hAnsi="Book Antiqua" w:cs="Arial"/>
          <w:sz w:val="24"/>
          <w:szCs w:val="24"/>
        </w:rPr>
        <w:t>En la partida de suplencias</w:t>
      </w:r>
      <w:r w:rsidR="00533BEB">
        <w:rPr>
          <w:rFonts w:ascii="Book Antiqua" w:eastAsia="Calibri" w:hAnsi="Book Antiqua" w:cs="Arial"/>
          <w:sz w:val="24"/>
          <w:szCs w:val="24"/>
        </w:rPr>
        <w:t>,</w:t>
      </w:r>
      <w:r w:rsidRPr="005B3BE1">
        <w:rPr>
          <w:rFonts w:ascii="Book Antiqua" w:eastAsia="Calibri" w:hAnsi="Book Antiqua" w:cs="Arial"/>
          <w:sz w:val="24"/>
          <w:szCs w:val="24"/>
        </w:rPr>
        <w:t xml:space="preserve"> la Escuela Judicial estimó el costo el </w:t>
      </w:r>
      <w:bookmarkStart w:id="90" w:name="_Hlk130195354"/>
      <w:r w:rsidRPr="001D0C10">
        <w:rPr>
          <w:rFonts w:ascii="Times New Roman" w:eastAsia="Calibri" w:hAnsi="Times New Roman" w:cs="Times New Roman"/>
          <w:sz w:val="24"/>
          <w:szCs w:val="24"/>
        </w:rPr>
        <w:t>₡</w:t>
      </w:r>
      <w:r w:rsidR="00AE4C05">
        <w:rPr>
          <w:rFonts w:ascii="Book Antiqua" w:eastAsia="Calibri" w:hAnsi="Book Antiqua" w:cs="Arial"/>
          <w:sz w:val="24"/>
          <w:szCs w:val="24"/>
        </w:rPr>
        <w:t>79</w:t>
      </w:r>
      <w:r w:rsidR="00914954">
        <w:rPr>
          <w:rFonts w:ascii="Book Antiqua" w:eastAsia="Calibri" w:hAnsi="Book Antiqua" w:cs="Arial"/>
          <w:sz w:val="24"/>
          <w:szCs w:val="24"/>
        </w:rPr>
        <w:t>,</w:t>
      </w:r>
      <w:r w:rsidR="00AE4C05">
        <w:rPr>
          <w:rFonts w:ascii="Book Antiqua" w:eastAsia="Calibri" w:hAnsi="Book Antiqua" w:cs="Arial"/>
          <w:sz w:val="24"/>
          <w:szCs w:val="24"/>
        </w:rPr>
        <w:t>767</w:t>
      </w:r>
      <w:r w:rsidRPr="00C72DFA">
        <w:rPr>
          <w:rFonts w:ascii="Book Antiqua" w:eastAsia="Calibri" w:hAnsi="Book Antiqua" w:cs="Arial"/>
          <w:sz w:val="24"/>
          <w:szCs w:val="24"/>
        </w:rPr>
        <w:t>,</w:t>
      </w:r>
      <w:r w:rsidR="00C72DFA" w:rsidRPr="00C72DFA">
        <w:rPr>
          <w:rFonts w:ascii="Book Antiqua" w:eastAsia="Calibri" w:hAnsi="Book Antiqua" w:cs="Arial"/>
          <w:sz w:val="24"/>
          <w:szCs w:val="24"/>
        </w:rPr>
        <w:t>6</w:t>
      </w:r>
      <w:r w:rsidR="00914954">
        <w:rPr>
          <w:rFonts w:ascii="Book Antiqua" w:eastAsia="Calibri" w:hAnsi="Book Antiqua" w:cs="Arial"/>
          <w:sz w:val="24"/>
          <w:szCs w:val="24"/>
        </w:rPr>
        <w:t>88</w:t>
      </w:r>
      <w:r w:rsidRPr="001D0C10">
        <w:rPr>
          <w:rFonts w:ascii="Book Antiqua" w:eastAsia="Calibri" w:hAnsi="Book Antiqua" w:cs="Arial"/>
          <w:sz w:val="24"/>
          <w:szCs w:val="24"/>
        </w:rPr>
        <w:t>.00</w:t>
      </w:r>
      <w:r w:rsidR="0040692E">
        <w:rPr>
          <w:rFonts w:ascii="Book Antiqua" w:eastAsia="Calibri" w:hAnsi="Book Antiqua" w:cs="Arial"/>
          <w:sz w:val="24"/>
          <w:szCs w:val="24"/>
        </w:rPr>
        <w:t>.</w:t>
      </w:r>
      <w:bookmarkEnd w:id="90"/>
    </w:p>
    <w:p w14:paraId="7543D335" w14:textId="77777777" w:rsidR="008A4A00" w:rsidRDefault="008A4A00" w:rsidP="001D0C10">
      <w:pPr>
        <w:spacing w:after="0" w:line="276" w:lineRule="auto"/>
        <w:jc w:val="both"/>
        <w:rPr>
          <w:rFonts w:ascii="Book Antiqua" w:eastAsia="Calibri" w:hAnsi="Book Antiqua" w:cs="Arial"/>
          <w:sz w:val="24"/>
          <w:szCs w:val="24"/>
        </w:rPr>
      </w:pPr>
    </w:p>
    <w:p w14:paraId="3CD1D80A" w14:textId="2DD38C2C" w:rsidR="008A4A00" w:rsidRDefault="00A71B82" w:rsidP="001D0C1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Dirección Ejecutiva estimó un monto de </w:t>
      </w:r>
      <w:r w:rsidRPr="00A71B82">
        <w:rPr>
          <w:rFonts w:ascii="Times New Roman" w:eastAsia="Calibri" w:hAnsi="Times New Roman" w:cs="Times New Roman"/>
          <w:sz w:val="24"/>
          <w:szCs w:val="24"/>
        </w:rPr>
        <w:t>₡</w:t>
      </w:r>
      <w:r w:rsidR="00D20873">
        <w:rPr>
          <w:rFonts w:ascii="Times New Roman" w:eastAsia="Calibri" w:hAnsi="Times New Roman" w:cs="Times New Roman"/>
          <w:sz w:val="24"/>
          <w:szCs w:val="24"/>
        </w:rPr>
        <w:t>63</w:t>
      </w:r>
      <w:r w:rsidRPr="00A71B82">
        <w:rPr>
          <w:rFonts w:ascii="Book Antiqua" w:eastAsia="Calibri" w:hAnsi="Book Antiqua" w:cs="Arial"/>
          <w:sz w:val="24"/>
          <w:szCs w:val="24"/>
        </w:rPr>
        <w:t>,</w:t>
      </w:r>
      <w:r w:rsidR="00D20873">
        <w:rPr>
          <w:rFonts w:ascii="Book Antiqua" w:eastAsia="Calibri" w:hAnsi="Book Antiqua" w:cs="Arial"/>
          <w:sz w:val="24"/>
          <w:szCs w:val="24"/>
        </w:rPr>
        <w:t>883</w:t>
      </w:r>
      <w:r w:rsidRPr="00A71B82">
        <w:rPr>
          <w:rFonts w:ascii="Book Antiqua" w:eastAsia="Calibri" w:hAnsi="Book Antiqua" w:cs="Arial"/>
          <w:sz w:val="24"/>
          <w:szCs w:val="24"/>
        </w:rPr>
        <w:t>,</w:t>
      </w:r>
      <w:r w:rsidR="00D20873">
        <w:rPr>
          <w:rFonts w:ascii="Book Antiqua" w:eastAsia="Calibri" w:hAnsi="Book Antiqua" w:cs="Arial"/>
          <w:sz w:val="24"/>
          <w:szCs w:val="24"/>
        </w:rPr>
        <w:t>225</w:t>
      </w:r>
      <w:r w:rsidRPr="00A71B82">
        <w:rPr>
          <w:rFonts w:ascii="Book Antiqua" w:eastAsia="Calibri" w:hAnsi="Book Antiqua" w:cs="Arial"/>
          <w:sz w:val="24"/>
          <w:szCs w:val="24"/>
        </w:rPr>
        <w:t>.</w:t>
      </w:r>
      <w:r w:rsidR="00D20873">
        <w:rPr>
          <w:rFonts w:ascii="Book Antiqua" w:eastAsia="Calibri" w:hAnsi="Book Antiqua" w:cs="Arial"/>
          <w:sz w:val="24"/>
          <w:szCs w:val="24"/>
        </w:rPr>
        <w:t>8</w:t>
      </w:r>
      <w:r w:rsidRPr="00A71B82">
        <w:rPr>
          <w:rFonts w:ascii="Book Antiqua" w:eastAsia="Calibri" w:hAnsi="Book Antiqua" w:cs="Arial"/>
          <w:sz w:val="24"/>
          <w:szCs w:val="24"/>
        </w:rPr>
        <w:t>0</w:t>
      </w:r>
      <w:r w:rsidR="002B09FC">
        <w:rPr>
          <w:rFonts w:ascii="Book Antiqua" w:eastAsia="Calibri" w:hAnsi="Book Antiqua" w:cs="Arial"/>
          <w:sz w:val="24"/>
          <w:szCs w:val="24"/>
        </w:rPr>
        <w:t>, para e</w:t>
      </w:r>
      <w:r w:rsidR="008A4A00">
        <w:rPr>
          <w:rFonts w:ascii="Book Antiqua" w:eastAsia="Calibri" w:hAnsi="Book Antiqua" w:cs="Arial"/>
          <w:sz w:val="24"/>
          <w:szCs w:val="24"/>
        </w:rPr>
        <w:t>quipo de</w:t>
      </w:r>
      <w:r>
        <w:rPr>
          <w:rFonts w:ascii="Book Antiqua" w:eastAsia="Calibri" w:hAnsi="Book Antiqua" w:cs="Arial"/>
          <w:sz w:val="24"/>
          <w:szCs w:val="24"/>
        </w:rPr>
        <w:t xml:space="preserve"> comunicación y mobiliario de oficina</w:t>
      </w:r>
      <w:r w:rsidR="002B09FC">
        <w:rPr>
          <w:rFonts w:ascii="Book Antiqua" w:eastAsia="Calibri" w:hAnsi="Book Antiqua" w:cs="Arial"/>
          <w:sz w:val="24"/>
          <w:szCs w:val="24"/>
        </w:rPr>
        <w:t>.</w:t>
      </w:r>
    </w:p>
    <w:p w14:paraId="0334E04C" w14:textId="19847D34" w:rsidR="00CF0E4E" w:rsidRDefault="00CF0E4E" w:rsidP="001D0C10">
      <w:pPr>
        <w:spacing w:after="0" w:line="276" w:lineRule="auto"/>
        <w:jc w:val="both"/>
        <w:rPr>
          <w:rFonts w:ascii="Book Antiqua" w:eastAsia="Calibri" w:hAnsi="Book Antiqua" w:cs="Arial"/>
          <w:sz w:val="24"/>
          <w:szCs w:val="24"/>
        </w:rPr>
      </w:pPr>
    </w:p>
    <w:p w14:paraId="0AC4062A" w14:textId="0541B5D1" w:rsidR="00CF0E4E" w:rsidRDefault="00CF0E4E" w:rsidP="001D0C10">
      <w:pPr>
        <w:spacing w:after="0" w:line="276" w:lineRule="auto"/>
        <w:jc w:val="both"/>
        <w:rPr>
          <w:rFonts w:ascii="Book Antiqua" w:eastAsia="Calibri" w:hAnsi="Book Antiqua" w:cs="Arial"/>
          <w:b/>
          <w:bCs/>
          <w:sz w:val="24"/>
          <w:szCs w:val="24"/>
        </w:rPr>
      </w:pPr>
      <w:r w:rsidRPr="009B71C9">
        <w:rPr>
          <w:rFonts w:ascii="Book Antiqua" w:eastAsia="Calibri" w:hAnsi="Book Antiqua" w:cs="Arial"/>
          <w:b/>
          <w:bCs/>
          <w:sz w:val="24"/>
          <w:szCs w:val="24"/>
        </w:rPr>
        <w:t>Equipos y licencias plazas nuevas + sitio web Comisión</w:t>
      </w:r>
    </w:p>
    <w:p w14:paraId="44E8CBCC" w14:textId="77777777" w:rsidR="00F82E5C" w:rsidRDefault="00F82E5C" w:rsidP="001D0C10">
      <w:pPr>
        <w:spacing w:after="0" w:line="276" w:lineRule="auto"/>
        <w:jc w:val="both"/>
        <w:rPr>
          <w:rFonts w:ascii="Book Antiqua" w:eastAsia="Calibri" w:hAnsi="Book Antiqua" w:cs="Arial"/>
          <w:b/>
          <w:bCs/>
          <w:sz w:val="24"/>
          <w:szCs w:val="24"/>
        </w:rPr>
      </w:pPr>
    </w:p>
    <w:p w14:paraId="50DEC267" w14:textId="7D20C0ED" w:rsidR="00691736" w:rsidRDefault="00CF0E4E" w:rsidP="00A8023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Realizando el cálculo esta Dirección, utilizando los costos de las licencias y equipo de cómputo para las plazas nuevas </w:t>
      </w:r>
      <w:r w:rsidRPr="00B82292">
        <w:rPr>
          <w:rFonts w:ascii="Book Antiqua" w:eastAsia="Calibri" w:hAnsi="Book Antiqua" w:cs="Arial"/>
          <w:sz w:val="24"/>
          <w:szCs w:val="24"/>
        </w:rPr>
        <w:t>más e</w:t>
      </w:r>
      <w:r w:rsidRPr="00FB3D9A">
        <w:rPr>
          <w:rFonts w:ascii="Book Antiqua" w:eastAsia="Calibri" w:hAnsi="Book Antiqua" w:cs="Arial"/>
          <w:sz w:val="24"/>
          <w:szCs w:val="24"/>
        </w:rPr>
        <w:t xml:space="preserve">l costo de construcción </w:t>
      </w:r>
      <w:r w:rsidR="003125A4" w:rsidRPr="00FB3D9A">
        <w:rPr>
          <w:rFonts w:ascii="Book Antiqua" w:eastAsia="Calibri" w:hAnsi="Book Antiqua" w:cs="Arial"/>
          <w:sz w:val="24"/>
          <w:szCs w:val="24"/>
        </w:rPr>
        <w:t xml:space="preserve">del </w:t>
      </w:r>
      <w:r w:rsidRPr="00FB3D9A">
        <w:rPr>
          <w:rFonts w:ascii="Book Antiqua" w:eastAsia="Calibri" w:hAnsi="Book Antiqua" w:cs="Arial"/>
          <w:sz w:val="24"/>
          <w:szCs w:val="24"/>
        </w:rPr>
        <w:t>sitio web de la Comisión de Familia, el presupuesto que requiere la DTI</w:t>
      </w:r>
      <w:r w:rsidR="00F82E5C" w:rsidRPr="00FB3D9A">
        <w:rPr>
          <w:rFonts w:ascii="Book Antiqua" w:eastAsia="Calibri" w:hAnsi="Book Antiqua" w:cs="Arial"/>
          <w:sz w:val="24"/>
          <w:szCs w:val="24"/>
        </w:rPr>
        <w:t>C</w:t>
      </w:r>
      <w:r w:rsidRPr="00FB3D9A">
        <w:rPr>
          <w:rFonts w:ascii="Book Antiqua" w:eastAsia="Calibri" w:hAnsi="Book Antiqua" w:cs="Arial"/>
          <w:sz w:val="24"/>
          <w:szCs w:val="24"/>
        </w:rPr>
        <w:t xml:space="preserve"> es de </w:t>
      </w:r>
      <w:r w:rsidR="00A332FE" w:rsidRPr="00FB3D9A">
        <w:rPr>
          <w:rFonts w:ascii="Times New Roman" w:eastAsia="Calibri" w:hAnsi="Times New Roman" w:cs="Times New Roman"/>
          <w:sz w:val="24"/>
          <w:szCs w:val="24"/>
        </w:rPr>
        <w:t>₡</w:t>
      </w:r>
      <w:r w:rsidR="006E6302">
        <w:rPr>
          <w:rFonts w:ascii="Book Antiqua" w:eastAsia="Calibri" w:hAnsi="Book Antiqua" w:cs="Arial"/>
          <w:sz w:val="24"/>
          <w:szCs w:val="24"/>
        </w:rPr>
        <w:t>84,573,259.04</w:t>
      </w:r>
      <w:r w:rsidR="00A332FE" w:rsidRPr="00FB3D9A">
        <w:rPr>
          <w:rFonts w:ascii="Book Antiqua" w:eastAsia="Calibri" w:hAnsi="Book Antiqua" w:cs="Arial"/>
          <w:sz w:val="24"/>
          <w:szCs w:val="24"/>
        </w:rPr>
        <w:t>.</w:t>
      </w:r>
      <w:r w:rsidR="00BB42AF">
        <w:rPr>
          <w:rFonts w:ascii="Book Antiqua" w:eastAsia="Calibri" w:hAnsi="Book Antiqua" w:cs="Arial"/>
          <w:sz w:val="24"/>
          <w:szCs w:val="24"/>
        </w:rPr>
        <w:t xml:space="preserve"> </w:t>
      </w:r>
    </w:p>
    <w:p w14:paraId="49D5FBF8" w14:textId="77777777" w:rsidR="002B09FC" w:rsidRDefault="002B09FC" w:rsidP="00A80239">
      <w:pPr>
        <w:spacing w:after="0" w:line="276" w:lineRule="auto"/>
        <w:jc w:val="both"/>
        <w:rPr>
          <w:rFonts w:ascii="Book Antiqua" w:eastAsia="Calibri" w:hAnsi="Book Antiqua" w:cs="Arial"/>
          <w:sz w:val="24"/>
          <w:szCs w:val="24"/>
        </w:rPr>
      </w:pPr>
    </w:p>
    <w:p w14:paraId="588D8016" w14:textId="297E6B7C" w:rsidR="00092A37" w:rsidRPr="00A132C7" w:rsidRDefault="00092A37" w:rsidP="006C4B6F">
      <w:pPr>
        <w:spacing w:after="0" w:line="276" w:lineRule="auto"/>
        <w:jc w:val="both"/>
        <w:rPr>
          <w:rFonts w:ascii="Book Antiqua" w:eastAsia="Calibri" w:hAnsi="Book Antiqua" w:cs="Arial"/>
          <w:sz w:val="24"/>
          <w:szCs w:val="24"/>
        </w:rPr>
      </w:pPr>
    </w:p>
    <w:p w14:paraId="5A012F79" w14:textId="252ADF65" w:rsidR="005B3BE1" w:rsidRPr="00C153A4" w:rsidRDefault="005B3BE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Resumen de costos para el 202</w:t>
      </w:r>
      <w:r w:rsidR="00F82E5C">
        <w:rPr>
          <w:rFonts w:ascii="Book Antiqua" w:eastAsiaTheme="majorEastAsia" w:hAnsi="Book Antiqua" w:cstheme="majorBidi"/>
          <w:b/>
          <w:color w:val="1F3864" w:themeColor="accent1" w:themeShade="80"/>
          <w:sz w:val="24"/>
          <w:lang w:val="es-ES"/>
        </w:rPr>
        <w:t>4</w:t>
      </w:r>
      <w:r w:rsidRPr="00C153A4">
        <w:rPr>
          <w:rFonts w:ascii="Book Antiqua" w:eastAsiaTheme="majorEastAsia" w:hAnsi="Book Antiqua" w:cstheme="majorBidi"/>
          <w:b/>
          <w:color w:val="1F3864" w:themeColor="accent1" w:themeShade="80"/>
          <w:sz w:val="24"/>
          <w:lang w:val="es-ES"/>
        </w:rPr>
        <w:t xml:space="preserve"> de la implementación del Código Procesal de Familia</w:t>
      </w:r>
    </w:p>
    <w:p w14:paraId="179E8EB5" w14:textId="77777777" w:rsidR="00C153A4" w:rsidRDefault="00C153A4"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0DCE6E6C" w14:textId="76D38EEC" w:rsidR="005B3BE1" w:rsidRPr="00A132C7" w:rsidRDefault="005B3BE1"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32C7">
        <w:rPr>
          <w:rFonts w:ascii="Book Antiqua" w:eastAsia="Calibri" w:hAnsi="Book Antiqua" w:cs="Arial"/>
          <w:b/>
          <w:bCs/>
          <w:color w:val="1F497D"/>
          <w:szCs w:val="24"/>
          <w:lang w:val="es-ES" w:eastAsia="es-ES"/>
        </w:rPr>
        <w:t xml:space="preserve">Cuadro </w:t>
      </w:r>
      <w:r w:rsidRPr="00A132C7">
        <w:rPr>
          <w:rFonts w:ascii="Book Antiqua" w:eastAsia="Calibri" w:hAnsi="Book Antiqua" w:cs="Arial"/>
          <w:b/>
          <w:bCs/>
          <w:color w:val="1F497D"/>
          <w:szCs w:val="24"/>
          <w:lang w:val="es-ES" w:eastAsia="es-ES"/>
        </w:rPr>
        <w:fldChar w:fldCharType="begin"/>
      </w:r>
      <w:r w:rsidRPr="00A132C7">
        <w:rPr>
          <w:rFonts w:ascii="Book Antiqua" w:eastAsia="Calibri" w:hAnsi="Book Antiqua" w:cs="Arial"/>
          <w:b/>
          <w:bCs/>
          <w:color w:val="1F497D"/>
          <w:szCs w:val="24"/>
          <w:lang w:val="es-ES" w:eastAsia="es-ES"/>
        </w:rPr>
        <w:instrText xml:space="preserve"> SEQ Cuadro \* ARABIC </w:instrText>
      </w:r>
      <w:r w:rsidRPr="00A132C7">
        <w:rPr>
          <w:rFonts w:ascii="Book Antiqua" w:eastAsia="Calibri" w:hAnsi="Book Antiqua" w:cs="Arial"/>
          <w:b/>
          <w:bCs/>
          <w:color w:val="1F497D"/>
          <w:szCs w:val="24"/>
          <w:lang w:val="es-ES" w:eastAsia="es-ES"/>
        </w:rPr>
        <w:fldChar w:fldCharType="separate"/>
      </w:r>
      <w:r w:rsidR="00533BEB">
        <w:rPr>
          <w:rFonts w:ascii="Book Antiqua" w:eastAsia="Calibri" w:hAnsi="Book Antiqua" w:cs="Arial"/>
          <w:b/>
          <w:bCs/>
          <w:noProof/>
          <w:color w:val="1F497D"/>
          <w:szCs w:val="24"/>
          <w:lang w:val="es-ES" w:eastAsia="es-ES"/>
        </w:rPr>
        <w:t>77</w:t>
      </w:r>
      <w:r w:rsidRPr="00A132C7">
        <w:rPr>
          <w:rFonts w:ascii="Book Antiqua" w:eastAsia="Calibri" w:hAnsi="Book Antiqua" w:cs="Arial"/>
          <w:b/>
          <w:bCs/>
          <w:color w:val="1F497D"/>
          <w:szCs w:val="24"/>
          <w:lang w:val="es-ES" w:eastAsia="es-ES"/>
        </w:rPr>
        <w:fldChar w:fldCharType="end"/>
      </w:r>
      <w:r w:rsidRPr="00A132C7">
        <w:rPr>
          <w:rFonts w:ascii="Book Antiqua" w:eastAsia="Calibri" w:hAnsi="Book Antiqua" w:cs="Arial"/>
          <w:b/>
          <w:bCs/>
          <w:color w:val="1F497D"/>
          <w:szCs w:val="24"/>
          <w:lang w:val="es-ES" w:eastAsia="es-ES"/>
        </w:rPr>
        <w:t xml:space="preserve"> </w:t>
      </w:r>
    </w:p>
    <w:p w14:paraId="436EEBAB" w14:textId="7854179F" w:rsidR="005B3BE1" w:rsidRPr="00A132C7" w:rsidRDefault="005B3BE1"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32C7">
        <w:rPr>
          <w:rFonts w:ascii="Book Antiqua" w:eastAsia="Calibri" w:hAnsi="Book Antiqua" w:cs="Arial"/>
          <w:b/>
          <w:bCs/>
          <w:color w:val="1F497D"/>
          <w:szCs w:val="24"/>
          <w:lang w:val="es-ES" w:eastAsia="es-ES"/>
        </w:rPr>
        <w:t>Costos económicos asociados al CPF, 202</w:t>
      </w:r>
      <w:r w:rsidR="00F82E5C">
        <w:rPr>
          <w:rFonts w:ascii="Book Antiqua" w:eastAsia="Calibri" w:hAnsi="Book Antiqua" w:cs="Arial"/>
          <w:b/>
          <w:bCs/>
          <w:color w:val="1F497D"/>
          <w:szCs w:val="24"/>
          <w:lang w:val="es-ES" w:eastAsia="es-ES"/>
        </w:rPr>
        <w:t>4</w:t>
      </w:r>
    </w:p>
    <w:tbl>
      <w:tblPr>
        <w:tblW w:w="10680" w:type="dxa"/>
        <w:jc w:val="center"/>
        <w:tblCellMar>
          <w:left w:w="70" w:type="dxa"/>
          <w:right w:w="70" w:type="dxa"/>
        </w:tblCellMar>
        <w:tblLook w:val="04A0" w:firstRow="1" w:lastRow="0" w:firstColumn="1" w:lastColumn="0" w:noHBand="0" w:noVBand="1"/>
      </w:tblPr>
      <w:tblGrid>
        <w:gridCol w:w="4240"/>
        <w:gridCol w:w="1780"/>
        <w:gridCol w:w="2440"/>
        <w:gridCol w:w="2220"/>
      </w:tblGrid>
      <w:tr w:rsidR="00C400A3" w:rsidRPr="00C400A3" w14:paraId="4F6B5F55" w14:textId="77777777" w:rsidTr="00C400A3">
        <w:trPr>
          <w:trHeight w:val="300"/>
          <w:jc w:val="center"/>
        </w:trPr>
        <w:tc>
          <w:tcPr>
            <w:tcW w:w="4240"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0B7E0697" w14:textId="77777777" w:rsidR="00C400A3" w:rsidRPr="00C400A3" w:rsidRDefault="00C400A3" w:rsidP="00C400A3">
            <w:pPr>
              <w:spacing w:after="0" w:line="240" w:lineRule="auto"/>
              <w:jc w:val="center"/>
              <w:rPr>
                <w:rFonts w:ascii="Book Antiqua" w:eastAsia="Times New Roman" w:hAnsi="Book Antiqua" w:cs="Calibri"/>
                <w:b/>
                <w:bCs/>
                <w:color w:val="FFFFFF"/>
                <w:sz w:val="20"/>
                <w:szCs w:val="20"/>
                <w:lang w:eastAsia="es-CR"/>
              </w:rPr>
            </w:pPr>
            <w:r w:rsidRPr="00C400A3">
              <w:rPr>
                <w:rFonts w:ascii="Book Antiqua" w:eastAsia="Times New Roman" w:hAnsi="Book Antiqua" w:cs="Calibri"/>
                <w:b/>
                <w:bCs/>
                <w:color w:val="FFFFFF"/>
                <w:sz w:val="20"/>
                <w:szCs w:val="20"/>
                <w:lang w:eastAsia="es-CR"/>
              </w:rPr>
              <w:t>Requerimiento</w:t>
            </w:r>
          </w:p>
        </w:tc>
        <w:tc>
          <w:tcPr>
            <w:tcW w:w="1780" w:type="dxa"/>
            <w:tcBorders>
              <w:top w:val="single" w:sz="8" w:space="0" w:color="auto"/>
              <w:left w:val="nil"/>
              <w:bottom w:val="single" w:sz="8" w:space="0" w:color="auto"/>
              <w:right w:val="single" w:sz="8" w:space="0" w:color="auto"/>
            </w:tcBorders>
            <w:shd w:val="clear" w:color="000000" w:fill="0070C0"/>
            <w:vAlign w:val="center"/>
            <w:hideMark/>
          </w:tcPr>
          <w:p w14:paraId="7CCF8267" w14:textId="77777777" w:rsidR="00C400A3" w:rsidRPr="00C400A3" w:rsidRDefault="00C400A3" w:rsidP="00C400A3">
            <w:pPr>
              <w:spacing w:after="0" w:line="240" w:lineRule="auto"/>
              <w:jc w:val="center"/>
              <w:rPr>
                <w:rFonts w:ascii="Book Antiqua" w:eastAsia="Times New Roman" w:hAnsi="Book Antiqua" w:cs="Calibri"/>
                <w:b/>
                <w:bCs/>
                <w:color w:val="FFFFFF"/>
                <w:sz w:val="20"/>
                <w:szCs w:val="20"/>
                <w:lang w:eastAsia="es-CR"/>
              </w:rPr>
            </w:pPr>
            <w:r w:rsidRPr="00C400A3">
              <w:rPr>
                <w:rFonts w:ascii="Book Antiqua" w:eastAsia="Times New Roman" w:hAnsi="Book Antiqua" w:cs="Calibri"/>
                <w:b/>
                <w:bCs/>
                <w:color w:val="FFFFFF"/>
                <w:sz w:val="20"/>
                <w:szCs w:val="20"/>
                <w:lang w:eastAsia="es-CR"/>
              </w:rPr>
              <w:t>Programa 926</w:t>
            </w:r>
          </w:p>
        </w:tc>
        <w:tc>
          <w:tcPr>
            <w:tcW w:w="2440" w:type="dxa"/>
            <w:tcBorders>
              <w:top w:val="single" w:sz="8" w:space="0" w:color="auto"/>
              <w:left w:val="nil"/>
              <w:bottom w:val="single" w:sz="8" w:space="0" w:color="auto"/>
              <w:right w:val="single" w:sz="8" w:space="0" w:color="auto"/>
            </w:tcBorders>
            <w:shd w:val="clear" w:color="000000" w:fill="0070C0"/>
            <w:vAlign w:val="center"/>
            <w:hideMark/>
          </w:tcPr>
          <w:p w14:paraId="3FCAA86C" w14:textId="77777777" w:rsidR="00C400A3" w:rsidRPr="00C400A3" w:rsidRDefault="00C400A3" w:rsidP="00C400A3">
            <w:pPr>
              <w:spacing w:after="0" w:line="240" w:lineRule="auto"/>
              <w:jc w:val="center"/>
              <w:rPr>
                <w:rFonts w:ascii="Book Antiqua" w:eastAsia="Times New Roman" w:hAnsi="Book Antiqua" w:cs="Calibri"/>
                <w:b/>
                <w:bCs/>
                <w:color w:val="FFFFFF"/>
                <w:sz w:val="20"/>
                <w:szCs w:val="20"/>
                <w:lang w:eastAsia="es-CR"/>
              </w:rPr>
            </w:pPr>
            <w:r w:rsidRPr="00C400A3">
              <w:rPr>
                <w:rFonts w:ascii="Book Antiqua" w:eastAsia="Times New Roman" w:hAnsi="Book Antiqua" w:cs="Calibri"/>
                <w:b/>
                <w:bCs/>
                <w:color w:val="FFFFFF"/>
                <w:sz w:val="20"/>
                <w:szCs w:val="20"/>
                <w:lang w:eastAsia="es-CR"/>
              </w:rPr>
              <w:t>Programa 927</w:t>
            </w:r>
          </w:p>
        </w:tc>
        <w:tc>
          <w:tcPr>
            <w:tcW w:w="2220" w:type="dxa"/>
            <w:tcBorders>
              <w:top w:val="single" w:sz="8" w:space="0" w:color="auto"/>
              <w:left w:val="nil"/>
              <w:bottom w:val="single" w:sz="8" w:space="0" w:color="auto"/>
              <w:right w:val="single" w:sz="8" w:space="0" w:color="auto"/>
            </w:tcBorders>
            <w:shd w:val="clear" w:color="000000" w:fill="0070C0"/>
            <w:noWrap/>
            <w:vAlign w:val="center"/>
            <w:hideMark/>
          </w:tcPr>
          <w:p w14:paraId="5CAC0C94" w14:textId="77777777" w:rsidR="00C400A3" w:rsidRPr="00C400A3" w:rsidRDefault="00C400A3" w:rsidP="00C400A3">
            <w:pPr>
              <w:spacing w:after="0" w:line="240" w:lineRule="auto"/>
              <w:jc w:val="center"/>
              <w:rPr>
                <w:rFonts w:ascii="Book Antiqua" w:eastAsia="Times New Roman" w:hAnsi="Book Antiqua" w:cs="Calibri"/>
                <w:b/>
                <w:bCs/>
                <w:color w:val="FFFFFF"/>
                <w:sz w:val="20"/>
                <w:szCs w:val="20"/>
                <w:lang w:eastAsia="es-CR"/>
              </w:rPr>
            </w:pPr>
            <w:r w:rsidRPr="00C400A3">
              <w:rPr>
                <w:rFonts w:ascii="Book Antiqua" w:eastAsia="Times New Roman" w:hAnsi="Book Antiqua" w:cs="Calibri"/>
                <w:b/>
                <w:bCs/>
                <w:color w:val="FFFFFF"/>
                <w:sz w:val="20"/>
                <w:szCs w:val="20"/>
                <w:lang w:eastAsia="es-CR"/>
              </w:rPr>
              <w:t>Subtotal</w:t>
            </w:r>
          </w:p>
        </w:tc>
      </w:tr>
      <w:tr w:rsidR="00C400A3" w:rsidRPr="00C400A3" w14:paraId="308219D6" w14:textId="77777777" w:rsidTr="00C400A3">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65352A5A" w14:textId="5CE863E8" w:rsidR="00C400A3" w:rsidRPr="00C400A3" w:rsidRDefault="00C400A3" w:rsidP="00C400A3">
            <w:pPr>
              <w:spacing w:after="0" w:line="240" w:lineRule="auto"/>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Recurso humano (plazas ordinarias, extraordinarias)</w:t>
            </w:r>
          </w:p>
        </w:tc>
        <w:tc>
          <w:tcPr>
            <w:tcW w:w="1780" w:type="dxa"/>
            <w:tcBorders>
              <w:top w:val="nil"/>
              <w:left w:val="nil"/>
              <w:bottom w:val="single" w:sz="8" w:space="0" w:color="auto"/>
              <w:right w:val="single" w:sz="8" w:space="0" w:color="auto"/>
            </w:tcBorders>
            <w:shd w:val="clear" w:color="auto" w:fill="auto"/>
            <w:noWrap/>
            <w:vAlign w:val="center"/>
            <w:hideMark/>
          </w:tcPr>
          <w:p w14:paraId="43A69CCE"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69DA6A11" w14:textId="15CDCFFB"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003A2509">
              <w:rPr>
                <w:rFonts w:ascii="Times New Roman" w:eastAsia="Times New Roman" w:hAnsi="Times New Roman" w:cs="Times New Roman"/>
                <w:color w:val="000000"/>
                <w:sz w:val="20"/>
                <w:szCs w:val="20"/>
                <w:lang w:eastAsia="es-CR"/>
              </w:rPr>
              <w:t xml:space="preserve">2 </w:t>
            </w:r>
            <w:r w:rsidR="003A2509">
              <w:rPr>
                <w:rFonts w:ascii="Book Antiqua" w:eastAsia="Times New Roman" w:hAnsi="Book Antiqua" w:cs="Calibri"/>
                <w:color w:val="000000"/>
                <w:sz w:val="20"/>
                <w:szCs w:val="20"/>
                <w:lang w:eastAsia="es-CR"/>
              </w:rPr>
              <w:t>590</w:t>
            </w:r>
            <w:r w:rsidR="00FD6097" w:rsidRPr="00C400A3">
              <w:rPr>
                <w:rFonts w:ascii="Book Antiqua" w:eastAsia="Times New Roman" w:hAnsi="Book Antiqua" w:cs="Calibri"/>
                <w:color w:val="000000"/>
                <w:sz w:val="20"/>
                <w:szCs w:val="20"/>
                <w:lang w:eastAsia="es-CR"/>
              </w:rPr>
              <w:t xml:space="preserve"> </w:t>
            </w:r>
            <w:r w:rsidR="003A2509">
              <w:rPr>
                <w:rFonts w:ascii="Book Antiqua" w:eastAsia="Times New Roman" w:hAnsi="Book Antiqua" w:cs="Calibri"/>
                <w:color w:val="000000"/>
                <w:sz w:val="20"/>
                <w:szCs w:val="20"/>
                <w:lang w:eastAsia="es-CR"/>
              </w:rPr>
              <w:t>250</w:t>
            </w:r>
            <w:r w:rsidRPr="00C400A3">
              <w:rPr>
                <w:rFonts w:ascii="Book Antiqua" w:eastAsia="Times New Roman" w:hAnsi="Book Antiqua" w:cs="Calibri"/>
                <w:color w:val="000000"/>
                <w:sz w:val="20"/>
                <w:szCs w:val="20"/>
                <w:lang w:eastAsia="es-CR"/>
              </w:rPr>
              <w:t xml:space="preserve"> 000,00</w:t>
            </w:r>
          </w:p>
        </w:tc>
        <w:tc>
          <w:tcPr>
            <w:tcW w:w="2220" w:type="dxa"/>
            <w:tcBorders>
              <w:top w:val="nil"/>
              <w:left w:val="nil"/>
              <w:bottom w:val="single" w:sz="8" w:space="0" w:color="auto"/>
              <w:right w:val="single" w:sz="8" w:space="0" w:color="auto"/>
            </w:tcBorders>
            <w:shd w:val="clear" w:color="auto" w:fill="auto"/>
            <w:noWrap/>
            <w:vAlign w:val="center"/>
            <w:hideMark/>
          </w:tcPr>
          <w:p w14:paraId="7B240934" w14:textId="04617A2E"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003A2509" w:rsidRPr="003A2509">
              <w:rPr>
                <w:rFonts w:ascii="Book Antiqua" w:eastAsia="Times New Roman" w:hAnsi="Book Antiqua" w:cs="Calibri"/>
                <w:color w:val="000000"/>
                <w:sz w:val="20"/>
                <w:szCs w:val="20"/>
                <w:lang w:eastAsia="es-CR"/>
              </w:rPr>
              <w:t xml:space="preserve">2 590 250 </w:t>
            </w:r>
            <w:r w:rsidRPr="00C400A3">
              <w:rPr>
                <w:rFonts w:ascii="Book Antiqua" w:eastAsia="Times New Roman" w:hAnsi="Book Antiqua" w:cs="Calibri"/>
                <w:color w:val="000000"/>
                <w:sz w:val="20"/>
                <w:szCs w:val="20"/>
                <w:lang w:eastAsia="es-CR"/>
              </w:rPr>
              <w:t>000,00</w:t>
            </w:r>
          </w:p>
        </w:tc>
      </w:tr>
      <w:tr w:rsidR="00D44EC7" w:rsidRPr="00C400A3" w14:paraId="23510C87" w14:textId="77777777" w:rsidTr="00C400A3">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tcPr>
          <w:p w14:paraId="185374B1" w14:textId="69B0B28C" w:rsidR="00D44EC7" w:rsidRPr="00C400A3" w:rsidRDefault="00D44EC7" w:rsidP="00C400A3">
            <w:pPr>
              <w:spacing w:after="0" w:line="240" w:lineRule="auto"/>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Recurso humano (recalificaciones)</w:t>
            </w:r>
          </w:p>
        </w:tc>
        <w:tc>
          <w:tcPr>
            <w:tcW w:w="1780" w:type="dxa"/>
            <w:tcBorders>
              <w:top w:val="nil"/>
              <w:left w:val="nil"/>
              <w:bottom w:val="single" w:sz="8" w:space="0" w:color="auto"/>
              <w:right w:val="single" w:sz="8" w:space="0" w:color="auto"/>
            </w:tcBorders>
            <w:shd w:val="clear" w:color="auto" w:fill="auto"/>
            <w:noWrap/>
            <w:vAlign w:val="center"/>
          </w:tcPr>
          <w:p w14:paraId="54B0595B" w14:textId="77777777" w:rsidR="00D44EC7" w:rsidRPr="00C400A3" w:rsidRDefault="00D44EC7" w:rsidP="00C400A3">
            <w:pPr>
              <w:spacing w:after="0" w:line="240" w:lineRule="auto"/>
              <w:jc w:val="center"/>
              <w:rPr>
                <w:rFonts w:ascii="Book Antiqua" w:eastAsia="Times New Roman" w:hAnsi="Book Antiqua" w:cs="Calibri"/>
                <w:color w:val="000000"/>
                <w:sz w:val="20"/>
                <w:szCs w:val="20"/>
                <w:lang w:eastAsia="es-CR"/>
              </w:rPr>
            </w:pPr>
          </w:p>
        </w:tc>
        <w:tc>
          <w:tcPr>
            <w:tcW w:w="2440" w:type="dxa"/>
            <w:tcBorders>
              <w:top w:val="nil"/>
              <w:left w:val="nil"/>
              <w:bottom w:val="single" w:sz="8" w:space="0" w:color="auto"/>
              <w:right w:val="single" w:sz="8" w:space="0" w:color="auto"/>
            </w:tcBorders>
            <w:shd w:val="clear" w:color="auto" w:fill="auto"/>
            <w:noWrap/>
            <w:vAlign w:val="center"/>
          </w:tcPr>
          <w:p w14:paraId="0C60D499" w14:textId="3375047F" w:rsidR="00D44EC7" w:rsidRPr="00C400A3" w:rsidRDefault="00D11AEB" w:rsidP="00C400A3">
            <w:pPr>
              <w:spacing w:after="0" w:line="240" w:lineRule="auto"/>
              <w:jc w:val="center"/>
              <w:rPr>
                <w:rFonts w:ascii="Times New Roman" w:eastAsia="Times New Roman" w:hAnsi="Times New Roman" w:cs="Times New Roman"/>
                <w:color w:val="000000"/>
                <w:sz w:val="20"/>
                <w:szCs w:val="20"/>
                <w:lang w:eastAsia="es-CR"/>
              </w:rPr>
            </w:pPr>
            <w:r w:rsidRPr="00C400A3">
              <w:rPr>
                <w:rFonts w:ascii="Times New Roman" w:eastAsia="Times New Roman" w:hAnsi="Times New Roman" w:cs="Times New Roman"/>
                <w:color w:val="000000"/>
                <w:sz w:val="20"/>
                <w:szCs w:val="20"/>
                <w:lang w:eastAsia="es-CR"/>
              </w:rPr>
              <w:t>₡</w:t>
            </w:r>
            <w:r>
              <w:rPr>
                <w:rFonts w:ascii="Book Antiqua" w:eastAsia="Times New Roman" w:hAnsi="Book Antiqua" w:cs="Calibri"/>
                <w:color w:val="000000"/>
                <w:sz w:val="20"/>
                <w:szCs w:val="20"/>
                <w:lang w:eastAsia="es-CR"/>
              </w:rPr>
              <w:t>9 812 000</w:t>
            </w:r>
            <w:r w:rsidRPr="00C400A3">
              <w:rPr>
                <w:rFonts w:ascii="Book Antiqua" w:eastAsia="Times New Roman" w:hAnsi="Book Antiqua" w:cs="Calibri"/>
                <w:color w:val="000000"/>
                <w:sz w:val="20"/>
                <w:szCs w:val="20"/>
                <w:lang w:eastAsia="es-CR"/>
              </w:rPr>
              <w:t>,00</w:t>
            </w:r>
          </w:p>
        </w:tc>
        <w:tc>
          <w:tcPr>
            <w:tcW w:w="2220" w:type="dxa"/>
            <w:tcBorders>
              <w:top w:val="nil"/>
              <w:left w:val="nil"/>
              <w:bottom w:val="single" w:sz="8" w:space="0" w:color="auto"/>
              <w:right w:val="single" w:sz="8" w:space="0" w:color="auto"/>
            </w:tcBorders>
            <w:shd w:val="clear" w:color="auto" w:fill="auto"/>
            <w:noWrap/>
            <w:vAlign w:val="center"/>
          </w:tcPr>
          <w:p w14:paraId="79C8B191" w14:textId="2F3E616F" w:rsidR="00D44EC7" w:rsidRPr="00C400A3" w:rsidRDefault="00D11AEB" w:rsidP="00C400A3">
            <w:pPr>
              <w:spacing w:after="0" w:line="240" w:lineRule="auto"/>
              <w:jc w:val="center"/>
              <w:rPr>
                <w:rFonts w:ascii="Times New Roman" w:eastAsia="Times New Roman" w:hAnsi="Times New Roman" w:cs="Times New Roman"/>
                <w:color w:val="000000"/>
                <w:sz w:val="20"/>
                <w:szCs w:val="20"/>
                <w:lang w:eastAsia="es-CR"/>
              </w:rPr>
            </w:pPr>
            <w:r w:rsidRPr="00C400A3">
              <w:rPr>
                <w:rFonts w:ascii="Times New Roman" w:eastAsia="Times New Roman" w:hAnsi="Times New Roman" w:cs="Times New Roman"/>
                <w:color w:val="000000"/>
                <w:sz w:val="20"/>
                <w:szCs w:val="20"/>
                <w:lang w:eastAsia="es-CR"/>
              </w:rPr>
              <w:t>₡</w:t>
            </w:r>
            <w:r>
              <w:rPr>
                <w:rFonts w:ascii="Book Antiqua" w:eastAsia="Times New Roman" w:hAnsi="Book Antiqua" w:cs="Calibri"/>
                <w:color w:val="000000"/>
                <w:sz w:val="20"/>
                <w:szCs w:val="20"/>
                <w:lang w:eastAsia="es-CR"/>
              </w:rPr>
              <w:t>9 812 000</w:t>
            </w:r>
            <w:r w:rsidRPr="00C400A3">
              <w:rPr>
                <w:rFonts w:ascii="Book Antiqua" w:eastAsia="Times New Roman" w:hAnsi="Book Antiqua" w:cs="Calibri"/>
                <w:color w:val="000000"/>
                <w:sz w:val="20"/>
                <w:szCs w:val="20"/>
                <w:lang w:eastAsia="es-CR"/>
              </w:rPr>
              <w:t>,00</w:t>
            </w:r>
          </w:p>
        </w:tc>
      </w:tr>
      <w:tr w:rsidR="00C400A3" w:rsidRPr="00C400A3" w14:paraId="1C782C4E" w14:textId="77777777" w:rsidTr="00C400A3">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0A25E9A8" w14:textId="77777777" w:rsidR="00C400A3" w:rsidRPr="00C400A3" w:rsidRDefault="00C400A3" w:rsidP="00C400A3">
            <w:pPr>
              <w:spacing w:after="0" w:line="240" w:lineRule="auto"/>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Activar Rubro de Disponibilidad Despachos Especializados de Familia</w:t>
            </w:r>
          </w:p>
        </w:tc>
        <w:tc>
          <w:tcPr>
            <w:tcW w:w="1780" w:type="dxa"/>
            <w:tcBorders>
              <w:top w:val="nil"/>
              <w:left w:val="nil"/>
              <w:bottom w:val="single" w:sz="8" w:space="0" w:color="auto"/>
              <w:right w:val="single" w:sz="8" w:space="0" w:color="auto"/>
            </w:tcBorders>
            <w:shd w:val="clear" w:color="auto" w:fill="auto"/>
            <w:noWrap/>
            <w:vAlign w:val="center"/>
            <w:hideMark/>
          </w:tcPr>
          <w:p w14:paraId="6B818D5F"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64197051"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10 649 784,00</w:t>
            </w:r>
          </w:p>
        </w:tc>
        <w:tc>
          <w:tcPr>
            <w:tcW w:w="2220" w:type="dxa"/>
            <w:tcBorders>
              <w:top w:val="nil"/>
              <w:left w:val="nil"/>
              <w:bottom w:val="single" w:sz="8" w:space="0" w:color="auto"/>
              <w:right w:val="single" w:sz="8" w:space="0" w:color="auto"/>
            </w:tcBorders>
            <w:shd w:val="clear" w:color="auto" w:fill="auto"/>
            <w:noWrap/>
            <w:vAlign w:val="center"/>
            <w:hideMark/>
          </w:tcPr>
          <w:p w14:paraId="3EF6C88A"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10 649 784,00</w:t>
            </w:r>
          </w:p>
        </w:tc>
      </w:tr>
      <w:tr w:rsidR="00C400A3" w:rsidRPr="00C400A3" w14:paraId="74894BFA" w14:textId="77777777" w:rsidTr="00C400A3">
        <w:trPr>
          <w:trHeight w:val="30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49485B77" w14:textId="77777777" w:rsidR="00C400A3" w:rsidRPr="00C400A3" w:rsidRDefault="00C400A3" w:rsidP="00C400A3">
            <w:pPr>
              <w:spacing w:after="0" w:line="240" w:lineRule="auto"/>
              <w:jc w:val="both"/>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Suplencias para capacitación-Escuela Judicial</w:t>
            </w:r>
          </w:p>
        </w:tc>
        <w:tc>
          <w:tcPr>
            <w:tcW w:w="1780" w:type="dxa"/>
            <w:tcBorders>
              <w:top w:val="nil"/>
              <w:left w:val="nil"/>
              <w:bottom w:val="single" w:sz="8" w:space="0" w:color="auto"/>
              <w:right w:val="single" w:sz="8" w:space="0" w:color="auto"/>
            </w:tcBorders>
            <w:shd w:val="clear" w:color="auto" w:fill="auto"/>
            <w:vAlign w:val="center"/>
            <w:hideMark/>
          </w:tcPr>
          <w:p w14:paraId="77E9C7BB"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1 430 912,00</w:t>
            </w:r>
          </w:p>
        </w:tc>
        <w:tc>
          <w:tcPr>
            <w:tcW w:w="2440" w:type="dxa"/>
            <w:tcBorders>
              <w:top w:val="nil"/>
              <w:left w:val="nil"/>
              <w:bottom w:val="single" w:sz="8" w:space="0" w:color="auto"/>
              <w:right w:val="single" w:sz="8" w:space="0" w:color="auto"/>
            </w:tcBorders>
            <w:shd w:val="clear" w:color="auto" w:fill="auto"/>
            <w:vAlign w:val="center"/>
            <w:hideMark/>
          </w:tcPr>
          <w:p w14:paraId="5EA05987"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79 767 688,00</w:t>
            </w:r>
          </w:p>
        </w:tc>
        <w:tc>
          <w:tcPr>
            <w:tcW w:w="2220" w:type="dxa"/>
            <w:tcBorders>
              <w:top w:val="nil"/>
              <w:left w:val="nil"/>
              <w:bottom w:val="single" w:sz="8" w:space="0" w:color="auto"/>
              <w:right w:val="single" w:sz="8" w:space="0" w:color="auto"/>
            </w:tcBorders>
            <w:shd w:val="clear" w:color="auto" w:fill="auto"/>
            <w:vAlign w:val="center"/>
            <w:hideMark/>
          </w:tcPr>
          <w:p w14:paraId="48976EFA"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81 198 600,00</w:t>
            </w:r>
          </w:p>
        </w:tc>
      </w:tr>
      <w:tr w:rsidR="00C400A3" w:rsidRPr="00C400A3" w14:paraId="17DD5A19" w14:textId="77777777" w:rsidTr="00C400A3">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5234A9E2" w14:textId="77777777" w:rsidR="00C400A3" w:rsidRPr="00C400A3" w:rsidRDefault="00C400A3" w:rsidP="00C400A3">
            <w:pPr>
              <w:spacing w:after="0" w:line="240" w:lineRule="auto"/>
              <w:jc w:val="both"/>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Viáticos y otros para Capacitación-Escuela Judicial</w:t>
            </w:r>
          </w:p>
        </w:tc>
        <w:tc>
          <w:tcPr>
            <w:tcW w:w="1780" w:type="dxa"/>
            <w:tcBorders>
              <w:top w:val="nil"/>
              <w:left w:val="nil"/>
              <w:bottom w:val="single" w:sz="8" w:space="0" w:color="auto"/>
              <w:right w:val="single" w:sz="8" w:space="0" w:color="auto"/>
            </w:tcBorders>
            <w:shd w:val="clear" w:color="auto" w:fill="auto"/>
            <w:vAlign w:val="center"/>
            <w:hideMark/>
          </w:tcPr>
          <w:p w14:paraId="49662AE1"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16 229 000,00</w:t>
            </w:r>
          </w:p>
        </w:tc>
        <w:tc>
          <w:tcPr>
            <w:tcW w:w="2440" w:type="dxa"/>
            <w:tcBorders>
              <w:top w:val="nil"/>
              <w:left w:val="nil"/>
              <w:bottom w:val="single" w:sz="8" w:space="0" w:color="auto"/>
              <w:right w:val="single" w:sz="8" w:space="0" w:color="auto"/>
            </w:tcBorders>
            <w:shd w:val="clear" w:color="auto" w:fill="auto"/>
            <w:vAlign w:val="center"/>
            <w:hideMark/>
          </w:tcPr>
          <w:p w14:paraId="6F87C32A"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 </w:t>
            </w:r>
          </w:p>
        </w:tc>
        <w:tc>
          <w:tcPr>
            <w:tcW w:w="2220" w:type="dxa"/>
            <w:tcBorders>
              <w:top w:val="nil"/>
              <w:left w:val="nil"/>
              <w:bottom w:val="single" w:sz="8" w:space="0" w:color="auto"/>
              <w:right w:val="single" w:sz="8" w:space="0" w:color="auto"/>
            </w:tcBorders>
            <w:shd w:val="clear" w:color="auto" w:fill="auto"/>
            <w:noWrap/>
            <w:vAlign w:val="center"/>
            <w:hideMark/>
          </w:tcPr>
          <w:p w14:paraId="465722C3"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16 229 000,00</w:t>
            </w:r>
          </w:p>
        </w:tc>
      </w:tr>
      <w:tr w:rsidR="00C400A3" w:rsidRPr="00C400A3" w14:paraId="7A5C894A" w14:textId="77777777" w:rsidTr="00C400A3">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21D640F5" w14:textId="77777777" w:rsidR="00C400A3" w:rsidRPr="00C400A3" w:rsidRDefault="00C400A3" w:rsidP="00C400A3">
            <w:pPr>
              <w:spacing w:after="0" w:line="240" w:lineRule="auto"/>
              <w:jc w:val="both"/>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 xml:space="preserve">Equipo de cómputo y licencias -Dirección de Tecnología de la Información </w:t>
            </w:r>
          </w:p>
        </w:tc>
        <w:tc>
          <w:tcPr>
            <w:tcW w:w="1780" w:type="dxa"/>
            <w:tcBorders>
              <w:top w:val="nil"/>
              <w:left w:val="nil"/>
              <w:bottom w:val="single" w:sz="8" w:space="0" w:color="auto"/>
              <w:right w:val="single" w:sz="8" w:space="0" w:color="auto"/>
            </w:tcBorders>
            <w:shd w:val="clear" w:color="auto" w:fill="auto"/>
            <w:noWrap/>
            <w:vAlign w:val="center"/>
            <w:hideMark/>
          </w:tcPr>
          <w:p w14:paraId="3386C29C"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53E498B6" w14:textId="1A4F3611"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00E37B62">
              <w:rPr>
                <w:rFonts w:ascii="Times New Roman" w:eastAsia="Times New Roman" w:hAnsi="Times New Roman" w:cs="Times New Roman"/>
                <w:color w:val="000000"/>
                <w:sz w:val="20"/>
                <w:szCs w:val="20"/>
                <w:lang w:eastAsia="es-CR"/>
              </w:rPr>
              <w:t>101</w:t>
            </w:r>
            <w:r w:rsidR="006C0A2A">
              <w:rPr>
                <w:rFonts w:ascii="Book Antiqua" w:eastAsia="Times New Roman" w:hAnsi="Book Antiqua" w:cs="Calibri"/>
                <w:color w:val="000000"/>
                <w:sz w:val="20"/>
                <w:szCs w:val="20"/>
                <w:lang w:eastAsia="es-CR"/>
              </w:rPr>
              <w:t> </w:t>
            </w:r>
            <w:r w:rsidR="00E37B62">
              <w:rPr>
                <w:rFonts w:ascii="Book Antiqua" w:eastAsia="Times New Roman" w:hAnsi="Book Antiqua" w:cs="Calibri"/>
                <w:color w:val="000000"/>
                <w:sz w:val="20"/>
                <w:szCs w:val="20"/>
                <w:lang w:eastAsia="es-CR"/>
              </w:rPr>
              <w:t>931</w:t>
            </w:r>
            <w:r w:rsidR="006C0A2A">
              <w:rPr>
                <w:rFonts w:ascii="Book Antiqua" w:eastAsia="Times New Roman" w:hAnsi="Book Antiqua" w:cs="Calibri"/>
                <w:color w:val="000000"/>
                <w:sz w:val="20"/>
                <w:szCs w:val="20"/>
                <w:lang w:eastAsia="es-CR"/>
              </w:rPr>
              <w:t xml:space="preserve"> </w:t>
            </w:r>
            <w:r w:rsidR="00DD3015">
              <w:rPr>
                <w:rFonts w:ascii="Book Antiqua" w:eastAsia="Times New Roman" w:hAnsi="Book Antiqua" w:cs="Calibri"/>
                <w:color w:val="000000"/>
                <w:sz w:val="20"/>
                <w:szCs w:val="20"/>
                <w:lang w:eastAsia="es-CR"/>
              </w:rPr>
              <w:t>112</w:t>
            </w:r>
            <w:r w:rsidRPr="00C400A3">
              <w:rPr>
                <w:rFonts w:ascii="Book Antiqua" w:eastAsia="Times New Roman" w:hAnsi="Book Antiqua" w:cs="Calibri"/>
                <w:color w:val="000000"/>
                <w:sz w:val="20"/>
                <w:szCs w:val="20"/>
                <w:lang w:eastAsia="es-CR"/>
              </w:rPr>
              <w:t>,</w:t>
            </w:r>
            <w:r w:rsidR="00DD3015">
              <w:rPr>
                <w:rFonts w:ascii="Book Antiqua" w:eastAsia="Times New Roman" w:hAnsi="Book Antiqua" w:cs="Calibri"/>
                <w:color w:val="000000"/>
                <w:sz w:val="20"/>
                <w:szCs w:val="20"/>
                <w:lang w:eastAsia="es-CR"/>
              </w:rPr>
              <w:t>56</w:t>
            </w:r>
          </w:p>
        </w:tc>
        <w:tc>
          <w:tcPr>
            <w:tcW w:w="2220" w:type="dxa"/>
            <w:tcBorders>
              <w:top w:val="nil"/>
              <w:left w:val="nil"/>
              <w:bottom w:val="single" w:sz="8" w:space="0" w:color="auto"/>
              <w:right w:val="single" w:sz="8" w:space="0" w:color="auto"/>
            </w:tcBorders>
            <w:shd w:val="clear" w:color="auto" w:fill="auto"/>
            <w:noWrap/>
            <w:vAlign w:val="center"/>
            <w:hideMark/>
          </w:tcPr>
          <w:p w14:paraId="03C3673F" w14:textId="0E7FE53A"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008C27DE" w:rsidRPr="008C27DE">
              <w:rPr>
                <w:rFonts w:ascii="Times New Roman" w:eastAsia="Times New Roman" w:hAnsi="Times New Roman" w:cs="Times New Roman"/>
                <w:color w:val="000000"/>
                <w:sz w:val="20"/>
                <w:szCs w:val="20"/>
                <w:lang w:eastAsia="es-CR"/>
              </w:rPr>
              <w:t>101 931 112,56</w:t>
            </w:r>
          </w:p>
        </w:tc>
      </w:tr>
      <w:tr w:rsidR="00C400A3" w:rsidRPr="00C400A3" w14:paraId="477C1EE2" w14:textId="77777777" w:rsidTr="00C400A3">
        <w:trPr>
          <w:trHeight w:val="79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4B0BDEEF" w14:textId="77777777" w:rsidR="00C400A3" w:rsidRPr="00C400A3" w:rsidRDefault="00C400A3" w:rsidP="00C400A3">
            <w:pPr>
              <w:spacing w:after="0" w:line="240" w:lineRule="auto"/>
              <w:jc w:val="both"/>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Desarrollo página web de la Comisión de Familia -Dirección de Tecnología de la Información</w:t>
            </w:r>
          </w:p>
        </w:tc>
        <w:tc>
          <w:tcPr>
            <w:tcW w:w="1780" w:type="dxa"/>
            <w:tcBorders>
              <w:top w:val="nil"/>
              <w:left w:val="nil"/>
              <w:bottom w:val="single" w:sz="8" w:space="0" w:color="auto"/>
              <w:right w:val="single" w:sz="8" w:space="0" w:color="auto"/>
            </w:tcBorders>
            <w:shd w:val="clear" w:color="auto" w:fill="auto"/>
            <w:noWrap/>
            <w:vAlign w:val="center"/>
            <w:hideMark/>
          </w:tcPr>
          <w:p w14:paraId="217444D4"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04812FDE"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15 000 000,00</w:t>
            </w:r>
          </w:p>
        </w:tc>
        <w:tc>
          <w:tcPr>
            <w:tcW w:w="2220" w:type="dxa"/>
            <w:tcBorders>
              <w:top w:val="nil"/>
              <w:left w:val="nil"/>
              <w:bottom w:val="single" w:sz="8" w:space="0" w:color="auto"/>
              <w:right w:val="single" w:sz="8" w:space="0" w:color="auto"/>
            </w:tcBorders>
            <w:shd w:val="clear" w:color="auto" w:fill="auto"/>
            <w:noWrap/>
            <w:vAlign w:val="center"/>
            <w:hideMark/>
          </w:tcPr>
          <w:p w14:paraId="6B1609A0" w14:textId="77777777" w:rsidR="00C400A3" w:rsidRPr="00C400A3" w:rsidRDefault="00C400A3"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15 000 000,00</w:t>
            </w:r>
          </w:p>
        </w:tc>
      </w:tr>
      <w:tr w:rsidR="003466F3" w:rsidRPr="00C400A3" w14:paraId="18CD7196" w14:textId="77777777" w:rsidTr="00C400A3">
        <w:trPr>
          <w:trHeight w:val="790"/>
          <w:jc w:val="center"/>
        </w:trPr>
        <w:tc>
          <w:tcPr>
            <w:tcW w:w="4240" w:type="dxa"/>
            <w:tcBorders>
              <w:top w:val="nil"/>
              <w:left w:val="single" w:sz="8" w:space="0" w:color="auto"/>
              <w:bottom w:val="single" w:sz="8" w:space="0" w:color="auto"/>
              <w:right w:val="single" w:sz="8" w:space="0" w:color="auto"/>
            </w:tcBorders>
            <w:shd w:val="clear" w:color="auto" w:fill="auto"/>
            <w:vAlign w:val="center"/>
          </w:tcPr>
          <w:p w14:paraId="6508FE80" w14:textId="7989557E" w:rsidR="003466F3" w:rsidRPr="00C400A3" w:rsidRDefault="00207C56" w:rsidP="00C400A3">
            <w:pPr>
              <w:spacing w:after="0" w:line="240" w:lineRule="auto"/>
              <w:jc w:val="both"/>
              <w:rPr>
                <w:rFonts w:ascii="Book Antiqua" w:eastAsia="Times New Roman" w:hAnsi="Book Antiqua" w:cs="Calibri"/>
                <w:color w:val="000000"/>
                <w:sz w:val="20"/>
                <w:szCs w:val="20"/>
                <w:lang w:eastAsia="es-CR"/>
              </w:rPr>
            </w:pPr>
            <w:r w:rsidRPr="00207C56">
              <w:rPr>
                <w:rFonts w:ascii="Book Antiqua" w:eastAsia="Times New Roman" w:hAnsi="Book Antiqua" w:cs="Calibri"/>
                <w:color w:val="000000"/>
                <w:sz w:val="20"/>
                <w:szCs w:val="20"/>
                <w:lang w:eastAsia="es-CR"/>
              </w:rPr>
              <w:t>Productos de papel, cartón, impresos, entre otros- Dirección Ejecutiva</w:t>
            </w:r>
          </w:p>
        </w:tc>
        <w:tc>
          <w:tcPr>
            <w:tcW w:w="1780" w:type="dxa"/>
            <w:tcBorders>
              <w:top w:val="nil"/>
              <w:left w:val="nil"/>
              <w:bottom w:val="single" w:sz="8" w:space="0" w:color="auto"/>
              <w:right w:val="single" w:sz="8" w:space="0" w:color="auto"/>
            </w:tcBorders>
            <w:shd w:val="clear" w:color="auto" w:fill="auto"/>
            <w:noWrap/>
            <w:vAlign w:val="center"/>
          </w:tcPr>
          <w:p w14:paraId="251850AA" w14:textId="56D4E169" w:rsidR="003466F3" w:rsidRPr="00C400A3" w:rsidRDefault="009668B5" w:rsidP="00C400A3">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00D203F7">
              <w:rPr>
                <w:rFonts w:ascii="Times New Roman" w:eastAsia="Times New Roman" w:hAnsi="Times New Roman" w:cs="Times New Roman"/>
                <w:color w:val="000000"/>
                <w:sz w:val="20"/>
                <w:szCs w:val="20"/>
                <w:lang w:eastAsia="es-CR"/>
              </w:rPr>
              <w:t>449</w:t>
            </w:r>
            <w:r w:rsidRPr="00C400A3">
              <w:rPr>
                <w:rFonts w:ascii="Book Antiqua" w:eastAsia="Times New Roman" w:hAnsi="Book Antiqua" w:cs="Calibri"/>
                <w:color w:val="000000"/>
                <w:sz w:val="20"/>
                <w:szCs w:val="20"/>
                <w:lang w:eastAsia="es-CR"/>
              </w:rPr>
              <w:t xml:space="preserve"> </w:t>
            </w:r>
            <w:r w:rsidR="00D203F7">
              <w:rPr>
                <w:rFonts w:ascii="Book Antiqua" w:eastAsia="Times New Roman" w:hAnsi="Book Antiqua" w:cs="Calibri"/>
                <w:color w:val="000000"/>
                <w:sz w:val="20"/>
                <w:szCs w:val="20"/>
                <w:lang w:eastAsia="es-CR"/>
              </w:rPr>
              <w:t>772</w:t>
            </w:r>
            <w:r w:rsidRPr="00C400A3">
              <w:rPr>
                <w:rFonts w:ascii="Book Antiqua" w:eastAsia="Times New Roman" w:hAnsi="Book Antiqua" w:cs="Calibri"/>
                <w:color w:val="000000"/>
                <w:sz w:val="20"/>
                <w:szCs w:val="20"/>
                <w:lang w:eastAsia="es-CR"/>
              </w:rPr>
              <w:t>,</w:t>
            </w:r>
            <w:r w:rsidR="00D203F7">
              <w:rPr>
                <w:rFonts w:ascii="Book Antiqua" w:eastAsia="Times New Roman" w:hAnsi="Book Antiqua" w:cs="Calibri"/>
                <w:color w:val="000000"/>
                <w:sz w:val="20"/>
                <w:szCs w:val="20"/>
                <w:lang w:eastAsia="es-CR"/>
              </w:rPr>
              <w:t>5</w:t>
            </w:r>
            <w:r w:rsidRPr="00C400A3">
              <w:rPr>
                <w:rFonts w:ascii="Book Antiqua" w:eastAsia="Times New Roman" w:hAnsi="Book Antiqua" w:cs="Calibri"/>
                <w:color w:val="000000"/>
                <w:sz w:val="20"/>
                <w:szCs w:val="20"/>
                <w:lang w:eastAsia="es-CR"/>
              </w:rPr>
              <w:t>0</w:t>
            </w:r>
          </w:p>
        </w:tc>
        <w:tc>
          <w:tcPr>
            <w:tcW w:w="2440" w:type="dxa"/>
            <w:tcBorders>
              <w:top w:val="nil"/>
              <w:left w:val="nil"/>
              <w:bottom w:val="single" w:sz="8" w:space="0" w:color="auto"/>
              <w:right w:val="single" w:sz="8" w:space="0" w:color="auto"/>
            </w:tcBorders>
            <w:shd w:val="clear" w:color="auto" w:fill="auto"/>
            <w:noWrap/>
            <w:vAlign w:val="center"/>
          </w:tcPr>
          <w:p w14:paraId="30DB4D45" w14:textId="77777777" w:rsidR="003466F3" w:rsidRPr="00C400A3" w:rsidRDefault="003466F3" w:rsidP="00C400A3">
            <w:pPr>
              <w:spacing w:after="0" w:line="240" w:lineRule="auto"/>
              <w:jc w:val="center"/>
              <w:rPr>
                <w:rFonts w:ascii="Times New Roman" w:eastAsia="Times New Roman" w:hAnsi="Times New Roman" w:cs="Times New Roman"/>
                <w:color w:val="000000"/>
                <w:sz w:val="20"/>
                <w:szCs w:val="20"/>
                <w:lang w:eastAsia="es-CR"/>
              </w:rPr>
            </w:pPr>
          </w:p>
        </w:tc>
        <w:tc>
          <w:tcPr>
            <w:tcW w:w="2220" w:type="dxa"/>
            <w:tcBorders>
              <w:top w:val="nil"/>
              <w:left w:val="nil"/>
              <w:bottom w:val="single" w:sz="8" w:space="0" w:color="auto"/>
              <w:right w:val="single" w:sz="8" w:space="0" w:color="auto"/>
            </w:tcBorders>
            <w:shd w:val="clear" w:color="auto" w:fill="auto"/>
            <w:noWrap/>
            <w:vAlign w:val="center"/>
          </w:tcPr>
          <w:p w14:paraId="68301CCA" w14:textId="3F84B09D" w:rsidR="003466F3" w:rsidRPr="00C400A3" w:rsidRDefault="008C3290" w:rsidP="00C400A3">
            <w:pPr>
              <w:spacing w:after="0" w:line="240" w:lineRule="auto"/>
              <w:jc w:val="center"/>
              <w:rPr>
                <w:rFonts w:ascii="Times New Roman" w:eastAsia="Times New Roman" w:hAnsi="Times New Roman" w:cs="Times New Roman"/>
                <w:color w:val="000000"/>
                <w:sz w:val="20"/>
                <w:szCs w:val="20"/>
                <w:lang w:eastAsia="es-CR"/>
              </w:rPr>
            </w:pPr>
            <w:r w:rsidRPr="008C3290">
              <w:rPr>
                <w:rFonts w:ascii="Times New Roman" w:eastAsia="Times New Roman" w:hAnsi="Times New Roman" w:cs="Times New Roman"/>
                <w:color w:val="000000"/>
                <w:sz w:val="20"/>
                <w:szCs w:val="20"/>
                <w:lang w:eastAsia="es-CR"/>
              </w:rPr>
              <w:t>₡449 772,50</w:t>
            </w:r>
          </w:p>
        </w:tc>
      </w:tr>
      <w:tr w:rsidR="009668B5" w:rsidRPr="00C400A3" w14:paraId="5CF4A1ED" w14:textId="77777777" w:rsidTr="00C400A3">
        <w:trPr>
          <w:trHeight w:val="790"/>
          <w:jc w:val="center"/>
        </w:trPr>
        <w:tc>
          <w:tcPr>
            <w:tcW w:w="4240" w:type="dxa"/>
            <w:tcBorders>
              <w:top w:val="nil"/>
              <w:left w:val="single" w:sz="8" w:space="0" w:color="auto"/>
              <w:bottom w:val="single" w:sz="8" w:space="0" w:color="auto"/>
              <w:right w:val="single" w:sz="8" w:space="0" w:color="auto"/>
            </w:tcBorders>
            <w:shd w:val="clear" w:color="auto" w:fill="auto"/>
            <w:vAlign w:val="center"/>
          </w:tcPr>
          <w:p w14:paraId="39A607A0" w14:textId="392BD94A" w:rsidR="009668B5" w:rsidRPr="00C400A3" w:rsidRDefault="009668B5" w:rsidP="009668B5">
            <w:pPr>
              <w:spacing w:after="0" w:line="240" w:lineRule="auto"/>
              <w:jc w:val="both"/>
              <w:rPr>
                <w:rFonts w:ascii="Book Antiqua" w:eastAsia="Times New Roman" w:hAnsi="Book Antiqua" w:cs="Calibri"/>
                <w:color w:val="000000"/>
                <w:sz w:val="20"/>
                <w:szCs w:val="20"/>
                <w:lang w:eastAsia="es-CR"/>
              </w:rPr>
            </w:pPr>
            <w:r w:rsidRPr="00207C56">
              <w:rPr>
                <w:rFonts w:ascii="Book Antiqua" w:eastAsia="Times New Roman" w:hAnsi="Book Antiqua" w:cs="Calibri"/>
                <w:color w:val="000000"/>
                <w:sz w:val="20"/>
                <w:szCs w:val="20"/>
                <w:lang w:eastAsia="es-CR"/>
              </w:rPr>
              <w:t>Equipo de comunicación y mobiliario de oficina-Direc</w:t>
            </w:r>
            <w:r>
              <w:rPr>
                <w:rFonts w:ascii="Book Antiqua" w:eastAsia="Times New Roman" w:hAnsi="Book Antiqua" w:cs="Calibri"/>
                <w:color w:val="000000"/>
                <w:sz w:val="20"/>
                <w:szCs w:val="20"/>
                <w:lang w:eastAsia="es-CR"/>
              </w:rPr>
              <w:t>c</w:t>
            </w:r>
            <w:r w:rsidRPr="00207C56">
              <w:rPr>
                <w:rFonts w:ascii="Book Antiqua" w:eastAsia="Times New Roman" w:hAnsi="Book Antiqua" w:cs="Calibri"/>
                <w:color w:val="000000"/>
                <w:sz w:val="20"/>
                <w:szCs w:val="20"/>
                <w:lang w:eastAsia="es-CR"/>
              </w:rPr>
              <w:t>ión Ejecutiva</w:t>
            </w:r>
          </w:p>
        </w:tc>
        <w:tc>
          <w:tcPr>
            <w:tcW w:w="1780" w:type="dxa"/>
            <w:tcBorders>
              <w:top w:val="nil"/>
              <w:left w:val="nil"/>
              <w:bottom w:val="single" w:sz="8" w:space="0" w:color="auto"/>
              <w:right w:val="single" w:sz="8" w:space="0" w:color="auto"/>
            </w:tcBorders>
            <w:shd w:val="clear" w:color="auto" w:fill="auto"/>
            <w:noWrap/>
            <w:vAlign w:val="center"/>
          </w:tcPr>
          <w:p w14:paraId="317F5A52" w14:textId="77777777" w:rsidR="009668B5" w:rsidRPr="00C400A3" w:rsidRDefault="009668B5" w:rsidP="009668B5">
            <w:pPr>
              <w:spacing w:after="0" w:line="240" w:lineRule="auto"/>
              <w:jc w:val="center"/>
              <w:rPr>
                <w:rFonts w:ascii="Book Antiqua" w:eastAsia="Times New Roman" w:hAnsi="Book Antiqua" w:cs="Calibri"/>
                <w:color w:val="000000"/>
                <w:sz w:val="20"/>
                <w:szCs w:val="20"/>
                <w:lang w:eastAsia="es-CR"/>
              </w:rPr>
            </w:pPr>
          </w:p>
        </w:tc>
        <w:tc>
          <w:tcPr>
            <w:tcW w:w="2440" w:type="dxa"/>
            <w:tcBorders>
              <w:top w:val="nil"/>
              <w:left w:val="nil"/>
              <w:bottom w:val="single" w:sz="8" w:space="0" w:color="auto"/>
              <w:right w:val="single" w:sz="8" w:space="0" w:color="auto"/>
            </w:tcBorders>
            <w:shd w:val="clear" w:color="auto" w:fill="auto"/>
            <w:noWrap/>
            <w:vAlign w:val="center"/>
          </w:tcPr>
          <w:p w14:paraId="7DB8C36B" w14:textId="4F0E0739" w:rsidR="009668B5" w:rsidRPr="00C400A3" w:rsidRDefault="009668B5" w:rsidP="009668B5">
            <w:pPr>
              <w:spacing w:after="0" w:line="240" w:lineRule="auto"/>
              <w:jc w:val="center"/>
              <w:rPr>
                <w:rFonts w:ascii="Times New Roman" w:eastAsia="Times New Roman" w:hAnsi="Times New Roman" w:cs="Times New Roman"/>
                <w:color w:val="000000"/>
                <w:sz w:val="20"/>
                <w:szCs w:val="20"/>
                <w:lang w:eastAsia="es-CR"/>
              </w:rPr>
            </w:pPr>
            <w:r w:rsidRPr="00C400A3">
              <w:rPr>
                <w:rFonts w:ascii="Times New Roman" w:eastAsia="Times New Roman" w:hAnsi="Times New Roman" w:cs="Times New Roman"/>
                <w:color w:val="000000"/>
                <w:sz w:val="20"/>
                <w:szCs w:val="20"/>
                <w:lang w:eastAsia="es-CR"/>
              </w:rPr>
              <w:t>₡</w:t>
            </w:r>
            <w:r>
              <w:rPr>
                <w:rFonts w:ascii="Times New Roman" w:eastAsia="Times New Roman" w:hAnsi="Times New Roman" w:cs="Times New Roman"/>
                <w:color w:val="000000"/>
                <w:sz w:val="20"/>
                <w:szCs w:val="20"/>
                <w:lang w:eastAsia="es-CR"/>
              </w:rPr>
              <w:t>6</w:t>
            </w:r>
            <w:r w:rsidRPr="00C400A3">
              <w:rPr>
                <w:rFonts w:ascii="Book Antiqua" w:eastAsia="Times New Roman" w:hAnsi="Book Antiqua" w:cs="Calibri"/>
                <w:color w:val="000000"/>
                <w:sz w:val="20"/>
                <w:szCs w:val="20"/>
                <w:lang w:eastAsia="es-CR"/>
              </w:rPr>
              <w:t xml:space="preserve">3 </w:t>
            </w:r>
            <w:r>
              <w:rPr>
                <w:rFonts w:ascii="Book Antiqua" w:eastAsia="Times New Roman" w:hAnsi="Book Antiqua" w:cs="Calibri"/>
                <w:color w:val="000000"/>
                <w:sz w:val="20"/>
                <w:szCs w:val="20"/>
                <w:lang w:eastAsia="es-CR"/>
              </w:rPr>
              <w:t>88</w:t>
            </w:r>
            <w:r w:rsidR="00D203F7">
              <w:rPr>
                <w:rFonts w:ascii="Book Antiqua" w:eastAsia="Times New Roman" w:hAnsi="Book Antiqua" w:cs="Calibri"/>
                <w:color w:val="000000"/>
                <w:sz w:val="20"/>
                <w:szCs w:val="20"/>
                <w:lang w:eastAsia="es-CR"/>
              </w:rPr>
              <w:t>3</w:t>
            </w:r>
            <w:r w:rsidRPr="00C400A3">
              <w:rPr>
                <w:rFonts w:ascii="Book Antiqua" w:eastAsia="Times New Roman" w:hAnsi="Book Antiqua" w:cs="Calibri"/>
                <w:color w:val="000000"/>
                <w:sz w:val="20"/>
                <w:szCs w:val="20"/>
                <w:lang w:eastAsia="es-CR"/>
              </w:rPr>
              <w:t xml:space="preserve"> </w:t>
            </w:r>
            <w:r w:rsidR="00D203F7">
              <w:rPr>
                <w:rFonts w:ascii="Book Antiqua" w:eastAsia="Times New Roman" w:hAnsi="Book Antiqua" w:cs="Calibri"/>
                <w:color w:val="000000"/>
                <w:sz w:val="20"/>
                <w:szCs w:val="20"/>
                <w:lang w:eastAsia="es-CR"/>
              </w:rPr>
              <w:t>225</w:t>
            </w:r>
            <w:r w:rsidRPr="00C400A3">
              <w:rPr>
                <w:rFonts w:ascii="Book Antiqua" w:eastAsia="Times New Roman" w:hAnsi="Book Antiqua" w:cs="Calibri"/>
                <w:color w:val="000000"/>
                <w:sz w:val="20"/>
                <w:szCs w:val="20"/>
                <w:lang w:eastAsia="es-CR"/>
              </w:rPr>
              <w:t>,</w:t>
            </w:r>
            <w:r w:rsidR="00D203F7">
              <w:rPr>
                <w:rFonts w:ascii="Book Antiqua" w:eastAsia="Times New Roman" w:hAnsi="Book Antiqua" w:cs="Calibri"/>
                <w:color w:val="000000"/>
                <w:sz w:val="20"/>
                <w:szCs w:val="20"/>
                <w:lang w:eastAsia="es-CR"/>
              </w:rPr>
              <w:t>8</w:t>
            </w:r>
            <w:r w:rsidRPr="00C400A3">
              <w:rPr>
                <w:rFonts w:ascii="Book Antiqua" w:eastAsia="Times New Roman" w:hAnsi="Book Antiqua" w:cs="Calibri"/>
                <w:color w:val="000000"/>
                <w:sz w:val="20"/>
                <w:szCs w:val="20"/>
                <w:lang w:eastAsia="es-CR"/>
              </w:rPr>
              <w:t>0</w:t>
            </w:r>
          </w:p>
        </w:tc>
        <w:tc>
          <w:tcPr>
            <w:tcW w:w="2220" w:type="dxa"/>
            <w:tcBorders>
              <w:top w:val="nil"/>
              <w:left w:val="nil"/>
              <w:bottom w:val="single" w:sz="8" w:space="0" w:color="auto"/>
              <w:right w:val="single" w:sz="8" w:space="0" w:color="auto"/>
            </w:tcBorders>
            <w:shd w:val="clear" w:color="auto" w:fill="auto"/>
            <w:noWrap/>
            <w:vAlign w:val="center"/>
          </w:tcPr>
          <w:p w14:paraId="342DD296" w14:textId="42E45BB9" w:rsidR="009668B5" w:rsidRPr="00C400A3" w:rsidRDefault="00F60D96" w:rsidP="009668B5">
            <w:pPr>
              <w:spacing w:after="0" w:line="240" w:lineRule="auto"/>
              <w:jc w:val="center"/>
              <w:rPr>
                <w:rFonts w:ascii="Times New Roman" w:eastAsia="Times New Roman" w:hAnsi="Times New Roman" w:cs="Times New Roman"/>
                <w:color w:val="000000"/>
                <w:sz w:val="20"/>
                <w:szCs w:val="20"/>
                <w:lang w:eastAsia="es-CR"/>
              </w:rPr>
            </w:pPr>
            <w:r w:rsidRPr="00C400A3">
              <w:rPr>
                <w:rFonts w:ascii="Times New Roman" w:eastAsia="Times New Roman" w:hAnsi="Times New Roman" w:cs="Times New Roman"/>
                <w:color w:val="000000"/>
                <w:sz w:val="20"/>
                <w:szCs w:val="20"/>
                <w:lang w:eastAsia="es-CR"/>
              </w:rPr>
              <w:t>₡</w:t>
            </w:r>
            <w:r>
              <w:rPr>
                <w:rFonts w:ascii="Times New Roman" w:eastAsia="Times New Roman" w:hAnsi="Times New Roman" w:cs="Times New Roman"/>
                <w:color w:val="000000"/>
                <w:sz w:val="20"/>
                <w:szCs w:val="20"/>
                <w:lang w:eastAsia="es-CR"/>
              </w:rPr>
              <w:t>6</w:t>
            </w:r>
            <w:r w:rsidRPr="00C400A3">
              <w:rPr>
                <w:rFonts w:ascii="Book Antiqua" w:eastAsia="Times New Roman" w:hAnsi="Book Antiqua" w:cs="Calibri"/>
                <w:color w:val="000000"/>
                <w:sz w:val="20"/>
                <w:szCs w:val="20"/>
                <w:lang w:eastAsia="es-CR"/>
              </w:rPr>
              <w:t xml:space="preserve">3 </w:t>
            </w:r>
            <w:r>
              <w:rPr>
                <w:rFonts w:ascii="Book Antiqua" w:eastAsia="Times New Roman" w:hAnsi="Book Antiqua" w:cs="Calibri"/>
                <w:color w:val="000000"/>
                <w:sz w:val="20"/>
                <w:szCs w:val="20"/>
                <w:lang w:eastAsia="es-CR"/>
              </w:rPr>
              <w:t>883</w:t>
            </w:r>
            <w:r w:rsidRPr="00C400A3">
              <w:rPr>
                <w:rFonts w:ascii="Book Antiqua" w:eastAsia="Times New Roman" w:hAnsi="Book Antiqua" w:cs="Calibri"/>
                <w:color w:val="000000"/>
                <w:sz w:val="20"/>
                <w:szCs w:val="20"/>
                <w:lang w:eastAsia="es-CR"/>
              </w:rPr>
              <w:t xml:space="preserve"> </w:t>
            </w:r>
            <w:r>
              <w:rPr>
                <w:rFonts w:ascii="Book Antiqua" w:eastAsia="Times New Roman" w:hAnsi="Book Antiqua" w:cs="Calibri"/>
                <w:color w:val="000000"/>
                <w:sz w:val="20"/>
                <w:szCs w:val="20"/>
                <w:lang w:eastAsia="es-CR"/>
              </w:rPr>
              <w:t>225</w:t>
            </w:r>
            <w:r w:rsidRPr="00C400A3">
              <w:rPr>
                <w:rFonts w:ascii="Book Antiqua" w:eastAsia="Times New Roman" w:hAnsi="Book Antiqua" w:cs="Calibri"/>
                <w:color w:val="000000"/>
                <w:sz w:val="20"/>
                <w:szCs w:val="20"/>
                <w:lang w:eastAsia="es-CR"/>
              </w:rPr>
              <w:t>,</w:t>
            </w:r>
            <w:r>
              <w:rPr>
                <w:rFonts w:ascii="Book Antiqua" w:eastAsia="Times New Roman" w:hAnsi="Book Antiqua" w:cs="Calibri"/>
                <w:color w:val="000000"/>
                <w:sz w:val="20"/>
                <w:szCs w:val="20"/>
                <w:lang w:eastAsia="es-CR"/>
              </w:rPr>
              <w:t>8</w:t>
            </w:r>
            <w:r w:rsidRPr="00C400A3">
              <w:rPr>
                <w:rFonts w:ascii="Book Antiqua" w:eastAsia="Times New Roman" w:hAnsi="Book Antiqua" w:cs="Calibri"/>
                <w:color w:val="000000"/>
                <w:sz w:val="20"/>
                <w:szCs w:val="20"/>
                <w:lang w:eastAsia="es-CR"/>
              </w:rPr>
              <w:t>0</w:t>
            </w:r>
          </w:p>
        </w:tc>
      </w:tr>
      <w:tr w:rsidR="009668B5" w:rsidRPr="00C400A3" w14:paraId="1DD39DCE" w14:textId="77777777" w:rsidTr="00C400A3">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7FB9A355" w14:textId="77777777" w:rsidR="009668B5" w:rsidRPr="00C400A3" w:rsidRDefault="009668B5" w:rsidP="009668B5">
            <w:pPr>
              <w:spacing w:after="0" w:line="240" w:lineRule="auto"/>
              <w:jc w:val="both"/>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Pago de peritajes-Familia Departamento de Trabajo Social y Psicología</w:t>
            </w:r>
          </w:p>
        </w:tc>
        <w:tc>
          <w:tcPr>
            <w:tcW w:w="1780" w:type="dxa"/>
            <w:tcBorders>
              <w:top w:val="nil"/>
              <w:left w:val="nil"/>
              <w:bottom w:val="single" w:sz="8" w:space="0" w:color="auto"/>
              <w:right w:val="single" w:sz="8" w:space="0" w:color="auto"/>
            </w:tcBorders>
            <w:shd w:val="clear" w:color="auto" w:fill="auto"/>
            <w:vAlign w:val="center"/>
            <w:hideMark/>
          </w:tcPr>
          <w:p w14:paraId="0FBBEEEA" w14:textId="77777777" w:rsidR="009668B5" w:rsidRPr="00C400A3" w:rsidRDefault="009668B5" w:rsidP="009668B5">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30 000 000,00</w:t>
            </w:r>
          </w:p>
        </w:tc>
        <w:tc>
          <w:tcPr>
            <w:tcW w:w="2440" w:type="dxa"/>
            <w:tcBorders>
              <w:top w:val="nil"/>
              <w:left w:val="nil"/>
              <w:bottom w:val="single" w:sz="8" w:space="0" w:color="auto"/>
              <w:right w:val="single" w:sz="8" w:space="0" w:color="auto"/>
            </w:tcBorders>
            <w:shd w:val="clear" w:color="auto" w:fill="auto"/>
            <w:noWrap/>
            <w:vAlign w:val="center"/>
            <w:hideMark/>
          </w:tcPr>
          <w:p w14:paraId="37C94460" w14:textId="77777777" w:rsidR="009668B5" w:rsidRPr="00C400A3" w:rsidRDefault="009668B5" w:rsidP="009668B5">
            <w:pPr>
              <w:spacing w:after="0" w:line="240" w:lineRule="auto"/>
              <w:jc w:val="center"/>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 </w:t>
            </w:r>
          </w:p>
        </w:tc>
        <w:tc>
          <w:tcPr>
            <w:tcW w:w="2220" w:type="dxa"/>
            <w:tcBorders>
              <w:top w:val="nil"/>
              <w:left w:val="nil"/>
              <w:bottom w:val="single" w:sz="8" w:space="0" w:color="auto"/>
              <w:right w:val="single" w:sz="8" w:space="0" w:color="auto"/>
            </w:tcBorders>
            <w:shd w:val="clear" w:color="auto" w:fill="auto"/>
            <w:noWrap/>
            <w:vAlign w:val="center"/>
            <w:hideMark/>
          </w:tcPr>
          <w:p w14:paraId="3F50E7A6" w14:textId="77777777" w:rsidR="009668B5" w:rsidRPr="00C400A3" w:rsidRDefault="009668B5" w:rsidP="009668B5">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30 000 000,00</w:t>
            </w:r>
          </w:p>
        </w:tc>
      </w:tr>
      <w:tr w:rsidR="009668B5" w:rsidRPr="00C400A3" w14:paraId="5493676D" w14:textId="77777777" w:rsidTr="00C400A3">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5A599AC9" w14:textId="77777777" w:rsidR="009668B5" w:rsidRPr="00C400A3" w:rsidRDefault="009668B5" w:rsidP="009668B5">
            <w:pPr>
              <w:spacing w:after="0" w:line="240" w:lineRule="auto"/>
              <w:jc w:val="both"/>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Pago de peritajes-Violencia Doméstica-Departamento de Trabajo Social y Psicología</w:t>
            </w:r>
          </w:p>
        </w:tc>
        <w:tc>
          <w:tcPr>
            <w:tcW w:w="1780" w:type="dxa"/>
            <w:tcBorders>
              <w:top w:val="nil"/>
              <w:left w:val="nil"/>
              <w:bottom w:val="single" w:sz="8" w:space="0" w:color="auto"/>
              <w:right w:val="single" w:sz="8" w:space="0" w:color="auto"/>
            </w:tcBorders>
            <w:shd w:val="clear" w:color="auto" w:fill="auto"/>
            <w:vAlign w:val="center"/>
            <w:hideMark/>
          </w:tcPr>
          <w:p w14:paraId="3A93FEA4" w14:textId="77777777" w:rsidR="009668B5" w:rsidRPr="00C400A3" w:rsidRDefault="009668B5" w:rsidP="009668B5">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30 000 000,00</w:t>
            </w:r>
          </w:p>
        </w:tc>
        <w:tc>
          <w:tcPr>
            <w:tcW w:w="2440" w:type="dxa"/>
            <w:tcBorders>
              <w:top w:val="nil"/>
              <w:left w:val="nil"/>
              <w:bottom w:val="single" w:sz="8" w:space="0" w:color="auto"/>
              <w:right w:val="single" w:sz="8" w:space="0" w:color="auto"/>
            </w:tcBorders>
            <w:shd w:val="clear" w:color="auto" w:fill="auto"/>
            <w:noWrap/>
            <w:vAlign w:val="center"/>
            <w:hideMark/>
          </w:tcPr>
          <w:p w14:paraId="5A9CA973" w14:textId="77777777" w:rsidR="009668B5" w:rsidRPr="00C400A3" w:rsidRDefault="009668B5" w:rsidP="009668B5">
            <w:pPr>
              <w:spacing w:after="0" w:line="240" w:lineRule="auto"/>
              <w:jc w:val="center"/>
              <w:rPr>
                <w:rFonts w:ascii="Book Antiqua" w:eastAsia="Times New Roman" w:hAnsi="Book Antiqua" w:cs="Calibri"/>
                <w:color w:val="000000"/>
                <w:sz w:val="20"/>
                <w:szCs w:val="20"/>
                <w:lang w:eastAsia="es-CR"/>
              </w:rPr>
            </w:pPr>
            <w:r w:rsidRPr="00C400A3">
              <w:rPr>
                <w:rFonts w:ascii="Book Antiqua" w:eastAsia="Times New Roman" w:hAnsi="Book Antiqua" w:cs="Calibri"/>
                <w:color w:val="000000"/>
                <w:sz w:val="20"/>
                <w:szCs w:val="20"/>
                <w:lang w:eastAsia="es-CR"/>
              </w:rPr>
              <w:t> </w:t>
            </w:r>
          </w:p>
        </w:tc>
        <w:tc>
          <w:tcPr>
            <w:tcW w:w="2220" w:type="dxa"/>
            <w:tcBorders>
              <w:top w:val="nil"/>
              <w:left w:val="nil"/>
              <w:bottom w:val="single" w:sz="8" w:space="0" w:color="auto"/>
              <w:right w:val="single" w:sz="8" w:space="0" w:color="auto"/>
            </w:tcBorders>
            <w:shd w:val="clear" w:color="auto" w:fill="auto"/>
            <w:noWrap/>
            <w:vAlign w:val="center"/>
            <w:hideMark/>
          </w:tcPr>
          <w:p w14:paraId="471D92BE" w14:textId="77777777" w:rsidR="009668B5" w:rsidRPr="00C400A3" w:rsidRDefault="009668B5" w:rsidP="009668B5">
            <w:pPr>
              <w:spacing w:after="0" w:line="240" w:lineRule="auto"/>
              <w:jc w:val="center"/>
              <w:rPr>
                <w:rFonts w:ascii="Book Antiqua" w:eastAsia="Times New Roman" w:hAnsi="Book Antiqua" w:cs="Calibri"/>
                <w:color w:val="000000"/>
                <w:sz w:val="20"/>
                <w:szCs w:val="20"/>
                <w:lang w:eastAsia="es-CR"/>
              </w:rPr>
            </w:pPr>
            <w:r w:rsidRPr="00C400A3">
              <w:rPr>
                <w:rFonts w:ascii="Times New Roman" w:eastAsia="Times New Roman" w:hAnsi="Times New Roman" w:cs="Times New Roman"/>
                <w:color w:val="000000"/>
                <w:sz w:val="20"/>
                <w:szCs w:val="20"/>
                <w:lang w:eastAsia="es-CR"/>
              </w:rPr>
              <w:t>₡</w:t>
            </w:r>
            <w:r w:rsidRPr="00C400A3">
              <w:rPr>
                <w:rFonts w:ascii="Book Antiqua" w:eastAsia="Times New Roman" w:hAnsi="Book Antiqua" w:cs="Calibri"/>
                <w:color w:val="000000"/>
                <w:sz w:val="20"/>
                <w:szCs w:val="20"/>
                <w:lang w:eastAsia="es-CR"/>
              </w:rPr>
              <w:t>30 000 000,00</w:t>
            </w:r>
          </w:p>
        </w:tc>
      </w:tr>
      <w:tr w:rsidR="009668B5" w:rsidRPr="00C400A3" w14:paraId="7D841368" w14:textId="77777777" w:rsidTr="00C400A3">
        <w:trPr>
          <w:trHeight w:val="300"/>
          <w:jc w:val="center"/>
        </w:trPr>
        <w:tc>
          <w:tcPr>
            <w:tcW w:w="4240" w:type="dxa"/>
            <w:tcBorders>
              <w:top w:val="nil"/>
              <w:left w:val="single" w:sz="8" w:space="0" w:color="auto"/>
              <w:bottom w:val="single" w:sz="8" w:space="0" w:color="auto"/>
              <w:right w:val="single" w:sz="8" w:space="0" w:color="auto"/>
            </w:tcBorders>
            <w:shd w:val="clear" w:color="000000" w:fill="DDEBF7"/>
            <w:vAlign w:val="center"/>
            <w:hideMark/>
          </w:tcPr>
          <w:p w14:paraId="35F3A9B9" w14:textId="77777777" w:rsidR="009668B5" w:rsidRPr="00C400A3" w:rsidRDefault="009668B5" w:rsidP="009668B5">
            <w:pPr>
              <w:spacing w:after="0" w:line="240" w:lineRule="auto"/>
              <w:jc w:val="center"/>
              <w:rPr>
                <w:rFonts w:ascii="Book Antiqua" w:eastAsia="Times New Roman" w:hAnsi="Book Antiqua" w:cs="Calibri"/>
                <w:b/>
                <w:bCs/>
                <w:color w:val="000000"/>
                <w:sz w:val="20"/>
                <w:szCs w:val="20"/>
                <w:lang w:eastAsia="es-CR"/>
              </w:rPr>
            </w:pPr>
            <w:r w:rsidRPr="00C400A3">
              <w:rPr>
                <w:rFonts w:ascii="Book Antiqua" w:eastAsia="Times New Roman" w:hAnsi="Book Antiqua" w:cs="Calibri"/>
                <w:b/>
                <w:bCs/>
                <w:color w:val="000000"/>
                <w:sz w:val="20"/>
                <w:szCs w:val="20"/>
                <w:lang w:eastAsia="es-CR"/>
              </w:rPr>
              <w:t>Total</w:t>
            </w:r>
          </w:p>
        </w:tc>
        <w:tc>
          <w:tcPr>
            <w:tcW w:w="1780" w:type="dxa"/>
            <w:tcBorders>
              <w:top w:val="nil"/>
              <w:left w:val="nil"/>
              <w:bottom w:val="single" w:sz="8" w:space="0" w:color="auto"/>
              <w:right w:val="single" w:sz="8" w:space="0" w:color="auto"/>
            </w:tcBorders>
            <w:shd w:val="clear" w:color="000000" w:fill="DDEBF7"/>
            <w:vAlign w:val="center"/>
            <w:hideMark/>
          </w:tcPr>
          <w:p w14:paraId="5FC2F1FA" w14:textId="5C001C43" w:rsidR="009668B5" w:rsidRPr="00C400A3" w:rsidRDefault="009668B5" w:rsidP="009668B5">
            <w:pPr>
              <w:spacing w:after="0" w:line="240" w:lineRule="auto"/>
              <w:jc w:val="center"/>
              <w:rPr>
                <w:rFonts w:ascii="Book Antiqua" w:eastAsia="Times New Roman" w:hAnsi="Book Antiqua" w:cs="Calibri"/>
                <w:b/>
                <w:bCs/>
                <w:color w:val="000000"/>
                <w:sz w:val="20"/>
                <w:szCs w:val="20"/>
                <w:lang w:eastAsia="es-CR"/>
              </w:rPr>
            </w:pPr>
            <w:r w:rsidRPr="00C400A3">
              <w:rPr>
                <w:rFonts w:ascii="Times New Roman" w:eastAsia="Times New Roman" w:hAnsi="Times New Roman" w:cs="Times New Roman"/>
                <w:b/>
                <w:bCs/>
                <w:color w:val="000000"/>
                <w:sz w:val="20"/>
                <w:szCs w:val="20"/>
                <w:lang w:eastAsia="es-CR"/>
              </w:rPr>
              <w:t>₡</w:t>
            </w:r>
            <w:r w:rsidR="00F60D96">
              <w:rPr>
                <w:rFonts w:ascii="Book Antiqua" w:eastAsia="Times New Roman" w:hAnsi="Book Antiqua" w:cs="Calibri"/>
                <w:b/>
                <w:bCs/>
                <w:color w:val="000000"/>
                <w:sz w:val="20"/>
                <w:szCs w:val="20"/>
                <w:lang w:eastAsia="es-CR"/>
              </w:rPr>
              <w:t>78</w:t>
            </w:r>
            <w:r w:rsidR="001743B9">
              <w:rPr>
                <w:rFonts w:ascii="Book Antiqua" w:eastAsia="Times New Roman" w:hAnsi="Book Antiqua" w:cs="Calibri"/>
                <w:b/>
                <w:bCs/>
                <w:color w:val="000000"/>
                <w:sz w:val="20"/>
                <w:szCs w:val="20"/>
                <w:lang w:eastAsia="es-CR"/>
              </w:rPr>
              <w:t> 109 684</w:t>
            </w:r>
            <w:r w:rsidRPr="00C400A3">
              <w:rPr>
                <w:rFonts w:ascii="Book Antiqua" w:eastAsia="Times New Roman" w:hAnsi="Book Antiqua" w:cs="Calibri"/>
                <w:b/>
                <w:bCs/>
                <w:color w:val="000000"/>
                <w:sz w:val="20"/>
                <w:szCs w:val="20"/>
                <w:lang w:eastAsia="es-CR"/>
              </w:rPr>
              <w:t>,</w:t>
            </w:r>
            <w:r w:rsidR="001743B9">
              <w:rPr>
                <w:rFonts w:ascii="Book Antiqua" w:eastAsia="Times New Roman" w:hAnsi="Book Antiqua" w:cs="Calibri"/>
                <w:b/>
                <w:bCs/>
                <w:color w:val="000000"/>
                <w:sz w:val="20"/>
                <w:szCs w:val="20"/>
                <w:lang w:eastAsia="es-CR"/>
              </w:rPr>
              <w:t>5</w:t>
            </w:r>
            <w:r w:rsidRPr="00C400A3">
              <w:rPr>
                <w:rFonts w:ascii="Book Antiqua" w:eastAsia="Times New Roman" w:hAnsi="Book Antiqua" w:cs="Calibri"/>
                <w:b/>
                <w:bCs/>
                <w:color w:val="000000"/>
                <w:sz w:val="20"/>
                <w:szCs w:val="20"/>
                <w:lang w:eastAsia="es-CR"/>
              </w:rPr>
              <w:t>0</w:t>
            </w:r>
          </w:p>
        </w:tc>
        <w:tc>
          <w:tcPr>
            <w:tcW w:w="2440" w:type="dxa"/>
            <w:tcBorders>
              <w:top w:val="nil"/>
              <w:left w:val="nil"/>
              <w:bottom w:val="single" w:sz="8" w:space="0" w:color="auto"/>
              <w:right w:val="single" w:sz="8" w:space="0" w:color="auto"/>
            </w:tcBorders>
            <w:shd w:val="clear" w:color="000000" w:fill="DDEBF7"/>
            <w:vAlign w:val="center"/>
            <w:hideMark/>
          </w:tcPr>
          <w:p w14:paraId="54C9E081" w14:textId="33B62A80" w:rsidR="009668B5" w:rsidRPr="00C400A3" w:rsidRDefault="009668B5" w:rsidP="009668B5">
            <w:pPr>
              <w:spacing w:after="0" w:line="240" w:lineRule="auto"/>
              <w:jc w:val="center"/>
              <w:rPr>
                <w:rFonts w:ascii="Book Antiqua" w:eastAsia="Times New Roman" w:hAnsi="Book Antiqua" w:cs="Calibri"/>
                <w:b/>
                <w:bCs/>
                <w:color w:val="000000"/>
                <w:sz w:val="20"/>
                <w:szCs w:val="20"/>
                <w:lang w:eastAsia="es-CR"/>
              </w:rPr>
            </w:pPr>
            <w:r w:rsidRPr="00C400A3">
              <w:rPr>
                <w:rFonts w:ascii="Times New Roman" w:eastAsia="Times New Roman" w:hAnsi="Times New Roman" w:cs="Times New Roman"/>
                <w:b/>
                <w:bCs/>
                <w:color w:val="000000"/>
                <w:sz w:val="20"/>
                <w:szCs w:val="20"/>
                <w:lang w:eastAsia="es-CR"/>
              </w:rPr>
              <w:t>₡</w:t>
            </w:r>
            <w:r w:rsidR="001743B9">
              <w:rPr>
                <w:rFonts w:ascii="Book Antiqua" w:eastAsia="Times New Roman" w:hAnsi="Book Antiqua" w:cs="Calibri"/>
                <w:b/>
                <w:bCs/>
                <w:color w:val="000000"/>
                <w:sz w:val="20"/>
                <w:szCs w:val="20"/>
                <w:lang w:eastAsia="es-CR"/>
              </w:rPr>
              <w:t>2 </w:t>
            </w:r>
            <w:r w:rsidR="00015E9B">
              <w:rPr>
                <w:rFonts w:ascii="Book Antiqua" w:eastAsia="Times New Roman" w:hAnsi="Book Antiqua" w:cs="Calibri"/>
                <w:b/>
                <w:bCs/>
                <w:color w:val="000000"/>
                <w:sz w:val="20"/>
                <w:szCs w:val="20"/>
                <w:lang w:eastAsia="es-CR"/>
              </w:rPr>
              <w:t>871 339</w:t>
            </w:r>
            <w:r w:rsidR="00D924B7">
              <w:rPr>
                <w:rFonts w:ascii="Book Antiqua" w:eastAsia="Times New Roman" w:hAnsi="Book Antiqua" w:cs="Calibri"/>
                <w:b/>
                <w:bCs/>
                <w:color w:val="000000"/>
                <w:sz w:val="20"/>
                <w:szCs w:val="20"/>
                <w:lang w:eastAsia="es-CR"/>
              </w:rPr>
              <w:t xml:space="preserve"> </w:t>
            </w:r>
            <w:r w:rsidR="00015E9B">
              <w:rPr>
                <w:rFonts w:ascii="Book Antiqua" w:eastAsia="Times New Roman" w:hAnsi="Book Antiqua" w:cs="Calibri"/>
                <w:b/>
                <w:bCs/>
                <w:color w:val="000000"/>
                <w:sz w:val="20"/>
                <w:szCs w:val="20"/>
                <w:lang w:eastAsia="es-CR"/>
              </w:rPr>
              <w:t>0</w:t>
            </w:r>
            <w:r w:rsidR="00D924B7">
              <w:rPr>
                <w:rFonts w:ascii="Book Antiqua" w:eastAsia="Times New Roman" w:hAnsi="Book Antiqua" w:cs="Calibri"/>
                <w:b/>
                <w:bCs/>
                <w:color w:val="000000"/>
                <w:sz w:val="20"/>
                <w:szCs w:val="20"/>
                <w:lang w:eastAsia="es-CR"/>
              </w:rPr>
              <w:t>6</w:t>
            </w:r>
            <w:r w:rsidR="00015E9B">
              <w:rPr>
                <w:rFonts w:ascii="Book Antiqua" w:eastAsia="Times New Roman" w:hAnsi="Book Antiqua" w:cs="Calibri"/>
                <w:b/>
                <w:bCs/>
                <w:color w:val="000000"/>
                <w:sz w:val="20"/>
                <w:szCs w:val="20"/>
                <w:lang w:eastAsia="es-CR"/>
              </w:rPr>
              <w:t>0</w:t>
            </w:r>
            <w:r w:rsidRPr="00C400A3">
              <w:rPr>
                <w:rFonts w:ascii="Book Antiqua" w:eastAsia="Times New Roman" w:hAnsi="Book Antiqua" w:cs="Calibri"/>
                <w:b/>
                <w:bCs/>
                <w:color w:val="000000"/>
                <w:sz w:val="20"/>
                <w:szCs w:val="20"/>
                <w:lang w:eastAsia="es-CR"/>
              </w:rPr>
              <w:t>,</w:t>
            </w:r>
            <w:r w:rsidR="00015E9B">
              <w:rPr>
                <w:rFonts w:ascii="Book Antiqua" w:eastAsia="Times New Roman" w:hAnsi="Book Antiqua" w:cs="Calibri"/>
                <w:b/>
                <w:bCs/>
                <w:color w:val="000000"/>
                <w:sz w:val="20"/>
                <w:szCs w:val="20"/>
                <w:lang w:eastAsia="es-CR"/>
              </w:rPr>
              <w:t>36</w:t>
            </w:r>
          </w:p>
        </w:tc>
        <w:tc>
          <w:tcPr>
            <w:tcW w:w="2220" w:type="dxa"/>
            <w:tcBorders>
              <w:top w:val="nil"/>
              <w:left w:val="nil"/>
              <w:bottom w:val="single" w:sz="8" w:space="0" w:color="auto"/>
              <w:right w:val="single" w:sz="8" w:space="0" w:color="auto"/>
            </w:tcBorders>
            <w:shd w:val="clear" w:color="000000" w:fill="DDEBF7"/>
            <w:vAlign w:val="center"/>
            <w:hideMark/>
          </w:tcPr>
          <w:p w14:paraId="5FB6A926" w14:textId="56139A8E" w:rsidR="009668B5" w:rsidRPr="00C400A3" w:rsidRDefault="009668B5" w:rsidP="009668B5">
            <w:pPr>
              <w:spacing w:after="0" w:line="240" w:lineRule="auto"/>
              <w:jc w:val="center"/>
              <w:rPr>
                <w:rFonts w:ascii="Book Antiqua" w:eastAsia="Times New Roman" w:hAnsi="Book Antiqua" w:cs="Calibri"/>
                <w:b/>
                <w:bCs/>
                <w:color w:val="000000"/>
                <w:sz w:val="20"/>
                <w:szCs w:val="20"/>
                <w:lang w:eastAsia="es-CR"/>
              </w:rPr>
            </w:pPr>
            <w:r w:rsidRPr="00C400A3">
              <w:rPr>
                <w:rFonts w:ascii="Times New Roman" w:eastAsia="Times New Roman" w:hAnsi="Times New Roman" w:cs="Times New Roman"/>
                <w:b/>
                <w:bCs/>
                <w:color w:val="000000"/>
                <w:sz w:val="20"/>
                <w:szCs w:val="20"/>
                <w:lang w:eastAsia="es-CR"/>
              </w:rPr>
              <w:t>₡</w:t>
            </w:r>
            <w:r w:rsidR="001743B9">
              <w:rPr>
                <w:rFonts w:ascii="Book Antiqua" w:eastAsia="Times New Roman" w:hAnsi="Book Antiqua" w:cs="Calibri"/>
                <w:b/>
                <w:bCs/>
                <w:color w:val="000000"/>
                <w:sz w:val="20"/>
                <w:szCs w:val="20"/>
                <w:lang w:eastAsia="es-CR"/>
              </w:rPr>
              <w:t>2 </w:t>
            </w:r>
            <w:r w:rsidR="00017480">
              <w:rPr>
                <w:rFonts w:ascii="Book Antiqua" w:eastAsia="Times New Roman" w:hAnsi="Book Antiqua" w:cs="Calibri"/>
                <w:b/>
                <w:bCs/>
                <w:color w:val="000000"/>
                <w:sz w:val="20"/>
                <w:szCs w:val="20"/>
                <w:lang w:eastAsia="es-CR"/>
              </w:rPr>
              <w:t>949</w:t>
            </w:r>
            <w:r w:rsidR="001743B9">
              <w:rPr>
                <w:rFonts w:ascii="Book Antiqua" w:eastAsia="Times New Roman" w:hAnsi="Book Antiqua" w:cs="Calibri"/>
                <w:b/>
                <w:bCs/>
                <w:color w:val="000000"/>
                <w:sz w:val="20"/>
                <w:szCs w:val="20"/>
                <w:lang w:eastAsia="es-CR"/>
              </w:rPr>
              <w:t> </w:t>
            </w:r>
            <w:r w:rsidR="00017480">
              <w:rPr>
                <w:rFonts w:ascii="Book Antiqua" w:eastAsia="Times New Roman" w:hAnsi="Book Antiqua" w:cs="Calibri"/>
                <w:b/>
                <w:bCs/>
                <w:color w:val="000000"/>
                <w:sz w:val="20"/>
                <w:szCs w:val="20"/>
                <w:lang w:eastAsia="es-CR"/>
              </w:rPr>
              <w:t>448</w:t>
            </w:r>
            <w:r w:rsidR="001743B9">
              <w:rPr>
                <w:rFonts w:ascii="Book Antiqua" w:eastAsia="Times New Roman" w:hAnsi="Book Antiqua" w:cs="Calibri"/>
                <w:b/>
                <w:bCs/>
                <w:color w:val="000000"/>
                <w:sz w:val="20"/>
                <w:szCs w:val="20"/>
                <w:lang w:eastAsia="es-CR"/>
              </w:rPr>
              <w:t xml:space="preserve"> </w:t>
            </w:r>
            <w:r w:rsidR="00017480">
              <w:rPr>
                <w:rFonts w:ascii="Book Antiqua" w:eastAsia="Times New Roman" w:hAnsi="Book Antiqua" w:cs="Calibri"/>
                <w:b/>
                <w:bCs/>
                <w:color w:val="000000"/>
                <w:sz w:val="20"/>
                <w:szCs w:val="20"/>
                <w:lang w:eastAsia="es-CR"/>
              </w:rPr>
              <w:t>744</w:t>
            </w:r>
            <w:r w:rsidRPr="00C400A3">
              <w:rPr>
                <w:rFonts w:ascii="Book Antiqua" w:eastAsia="Times New Roman" w:hAnsi="Book Antiqua" w:cs="Calibri"/>
                <w:b/>
                <w:bCs/>
                <w:color w:val="000000"/>
                <w:sz w:val="20"/>
                <w:szCs w:val="20"/>
                <w:lang w:eastAsia="es-CR"/>
              </w:rPr>
              <w:t>,</w:t>
            </w:r>
            <w:r w:rsidR="00252996">
              <w:rPr>
                <w:rFonts w:ascii="Book Antiqua" w:eastAsia="Times New Roman" w:hAnsi="Book Antiqua" w:cs="Calibri"/>
                <w:b/>
                <w:bCs/>
                <w:color w:val="000000"/>
                <w:sz w:val="20"/>
                <w:szCs w:val="20"/>
                <w:lang w:eastAsia="es-CR"/>
              </w:rPr>
              <w:t>86</w:t>
            </w:r>
          </w:p>
        </w:tc>
      </w:tr>
    </w:tbl>
    <w:p w14:paraId="580AD1D0" w14:textId="322006A2" w:rsidR="005B3BE1" w:rsidRPr="00A132C7" w:rsidRDefault="005B3BE1" w:rsidP="009E73B0">
      <w:pPr>
        <w:pStyle w:val="Ttulo"/>
        <w:spacing w:line="276" w:lineRule="auto"/>
        <w:jc w:val="left"/>
        <w:rPr>
          <w:szCs w:val="24"/>
          <w:lang w:val="es-CR"/>
        </w:rPr>
      </w:pPr>
    </w:p>
    <w:p w14:paraId="35D7E1CA" w14:textId="0C0D3FD1" w:rsidR="005B3BE1" w:rsidRPr="005B3BE1" w:rsidRDefault="005B3BE1" w:rsidP="005B3BE1">
      <w:pPr>
        <w:spacing w:after="0" w:line="276" w:lineRule="auto"/>
        <w:jc w:val="both"/>
        <w:rPr>
          <w:rFonts w:ascii="Book Antiqua" w:eastAsia="Calibri" w:hAnsi="Book Antiqua" w:cs="Arial"/>
          <w:sz w:val="24"/>
          <w:szCs w:val="24"/>
        </w:rPr>
      </w:pPr>
      <w:r w:rsidRPr="007316D8">
        <w:rPr>
          <w:rFonts w:ascii="Book Antiqua" w:eastAsia="Calibri" w:hAnsi="Book Antiqua" w:cs="Arial"/>
          <w:sz w:val="24"/>
          <w:szCs w:val="24"/>
        </w:rPr>
        <w:t>Como</w:t>
      </w:r>
      <w:r w:rsidRPr="00A132C7">
        <w:rPr>
          <w:rFonts w:ascii="Book Antiqua" w:eastAsia="Calibri" w:hAnsi="Book Antiqua" w:cs="Arial"/>
          <w:sz w:val="24"/>
          <w:szCs w:val="24"/>
        </w:rPr>
        <w:t xml:space="preserve"> se observa del cuadro anterior, el costo total para el 202</w:t>
      </w:r>
      <w:r w:rsidR="00402BF4">
        <w:rPr>
          <w:rFonts w:ascii="Book Antiqua" w:eastAsia="Calibri" w:hAnsi="Book Antiqua" w:cs="Arial"/>
          <w:sz w:val="24"/>
          <w:szCs w:val="24"/>
        </w:rPr>
        <w:t>4</w:t>
      </w:r>
      <w:r w:rsidRPr="00A132C7">
        <w:rPr>
          <w:rFonts w:ascii="Book Antiqua" w:eastAsia="Calibri" w:hAnsi="Book Antiqua" w:cs="Arial"/>
          <w:sz w:val="24"/>
          <w:szCs w:val="24"/>
        </w:rPr>
        <w:t xml:space="preserve"> </w:t>
      </w:r>
      <w:r w:rsidR="00E50AC2" w:rsidRPr="00A132C7">
        <w:rPr>
          <w:rFonts w:ascii="Book Antiqua" w:eastAsia="Calibri" w:hAnsi="Book Antiqua" w:cs="Arial"/>
          <w:sz w:val="24"/>
          <w:szCs w:val="24"/>
        </w:rPr>
        <w:t>con motivo de la</w:t>
      </w:r>
      <w:r w:rsidRPr="00A132C7">
        <w:rPr>
          <w:rFonts w:ascii="Book Antiqua" w:eastAsia="Calibri" w:hAnsi="Book Antiqua" w:cs="Arial"/>
          <w:sz w:val="24"/>
          <w:szCs w:val="24"/>
        </w:rPr>
        <w:t xml:space="preserve"> implementa</w:t>
      </w:r>
      <w:r w:rsidR="00E50AC2" w:rsidRPr="00A132C7">
        <w:rPr>
          <w:rFonts w:ascii="Book Antiqua" w:eastAsia="Calibri" w:hAnsi="Book Antiqua" w:cs="Arial"/>
          <w:sz w:val="24"/>
          <w:szCs w:val="24"/>
        </w:rPr>
        <w:t>ción de</w:t>
      </w:r>
      <w:r w:rsidRPr="00A132C7">
        <w:rPr>
          <w:rFonts w:ascii="Book Antiqua" w:eastAsia="Calibri" w:hAnsi="Book Antiqua" w:cs="Arial"/>
          <w:sz w:val="24"/>
          <w:szCs w:val="24"/>
        </w:rPr>
        <w:t xml:space="preserve"> la Ley 9747 es de </w:t>
      </w:r>
      <w:r w:rsidR="006723BB" w:rsidRPr="00C400A3">
        <w:rPr>
          <w:rFonts w:ascii="Times New Roman" w:eastAsia="Calibri" w:hAnsi="Times New Roman" w:cs="Times New Roman"/>
          <w:b/>
          <w:bCs/>
          <w:sz w:val="24"/>
          <w:szCs w:val="24"/>
        </w:rPr>
        <w:t>₡</w:t>
      </w:r>
      <w:r w:rsidR="00C400A3" w:rsidRPr="00C400A3">
        <w:rPr>
          <w:rFonts w:ascii="Times New Roman" w:eastAsia="Calibri" w:hAnsi="Times New Roman" w:cs="Times New Roman"/>
          <w:b/>
          <w:bCs/>
          <w:sz w:val="24"/>
          <w:szCs w:val="24"/>
        </w:rPr>
        <w:t>2</w:t>
      </w:r>
      <w:r w:rsidR="004B0664">
        <w:rPr>
          <w:rFonts w:ascii="Times New Roman" w:eastAsia="Calibri" w:hAnsi="Times New Roman" w:cs="Times New Roman"/>
          <w:b/>
          <w:bCs/>
          <w:sz w:val="24"/>
          <w:szCs w:val="24"/>
        </w:rPr>
        <w:t> 949 448 744</w:t>
      </w:r>
      <w:r w:rsidR="00C400A3" w:rsidRPr="00C400A3">
        <w:rPr>
          <w:rFonts w:ascii="Book Antiqua" w:eastAsia="Calibri" w:hAnsi="Book Antiqua" w:cs="Arial"/>
          <w:b/>
          <w:bCs/>
          <w:sz w:val="24"/>
          <w:szCs w:val="24"/>
        </w:rPr>
        <w:t>,</w:t>
      </w:r>
      <w:r w:rsidR="004B0664">
        <w:rPr>
          <w:rFonts w:ascii="Book Antiqua" w:eastAsia="Calibri" w:hAnsi="Book Antiqua" w:cs="Arial"/>
          <w:b/>
          <w:bCs/>
          <w:sz w:val="24"/>
          <w:szCs w:val="24"/>
        </w:rPr>
        <w:t>86</w:t>
      </w:r>
      <w:r w:rsidR="006723BB" w:rsidRPr="00C400A3">
        <w:rPr>
          <w:rFonts w:ascii="Book Antiqua" w:eastAsia="Calibri" w:hAnsi="Book Antiqua" w:cs="Arial"/>
          <w:b/>
          <w:bCs/>
          <w:sz w:val="24"/>
          <w:szCs w:val="24"/>
        </w:rPr>
        <w:t>.</w:t>
      </w:r>
    </w:p>
    <w:p w14:paraId="1E84C044" w14:textId="77628F79" w:rsidR="003B52A8" w:rsidRPr="00770255" w:rsidRDefault="004069D9" w:rsidP="004069D9">
      <w:pPr>
        <w:pStyle w:val="Ttulo1"/>
        <w:numPr>
          <w:ilvl w:val="0"/>
          <w:numId w:val="0"/>
        </w:numPr>
        <w:spacing w:line="276" w:lineRule="auto"/>
        <w:rPr>
          <w:lang w:eastAsia="es-CR"/>
        </w:rPr>
      </w:pPr>
      <w:r>
        <w:rPr>
          <w:lang w:eastAsia="es-CR"/>
        </w:rPr>
        <w:t xml:space="preserve">10 </w:t>
      </w:r>
      <w:r w:rsidR="003B52A8">
        <w:rPr>
          <w:lang w:eastAsia="es-CR"/>
        </w:rPr>
        <w:t>Limitaciones</w:t>
      </w:r>
    </w:p>
    <w:p w14:paraId="250DFC22" w14:textId="10E3A44E" w:rsidR="003B52A8" w:rsidRDefault="003B52A8" w:rsidP="003B52A8">
      <w:pPr>
        <w:spacing w:after="0" w:line="276" w:lineRule="auto"/>
        <w:jc w:val="both"/>
        <w:rPr>
          <w:rFonts w:ascii="Book Antiqua" w:eastAsia="Calibri" w:hAnsi="Book Antiqua" w:cs="Arial"/>
          <w:sz w:val="24"/>
          <w:szCs w:val="24"/>
        </w:rPr>
      </w:pPr>
      <w:r w:rsidRPr="003B52A8">
        <w:rPr>
          <w:rFonts w:ascii="Book Antiqua" w:eastAsia="Calibri" w:hAnsi="Book Antiqua" w:cs="Arial"/>
          <w:sz w:val="24"/>
          <w:szCs w:val="24"/>
        </w:rPr>
        <w:t>A continuación, se presentan las principales limitaciones identificadas durante el estudio del impacto del Código Procesal de Familia:</w:t>
      </w:r>
    </w:p>
    <w:p w14:paraId="0822FBDD" w14:textId="77777777" w:rsidR="00124AC1" w:rsidRDefault="00124AC1" w:rsidP="003B52A8">
      <w:pPr>
        <w:spacing w:after="0" w:line="276" w:lineRule="auto"/>
        <w:jc w:val="both"/>
        <w:rPr>
          <w:rFonts w:ascii="Book Antiqua" w:eastAsia="Calibri" w:hAnsi="Book Antiqua" w:cs="Arial"/>
          <w:sz w:val="24"/>
          <w:szCs w:val="24"/>
        </w:rPr>
      </w:pPr>
    </w:p>
    <w:p w14:paraId="5298A4A2" w14:textId="77777777" w:rsidR="004069D9" w:rsidRDefault="003B52A8" w:rsidP="004069D9">
      <w:pPr>
        <w:pStyle w:val="Prrafodelista"/>
        <w:numPr>
          <w:ilvl w:val="1"/>
          <w:numId w:val="50"/>
        </w:numPr>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 xml:space="preserve">Aunque se estima el posible impacto de la desjudicialización de procesos con el CPF sobre los despachos judiciales competentes en la materia, actualmente no se cuentan con datos exactos a nivel estadístico para determinar la cantidad de casos de los divorcios o separaciones judiciales por mutuo consentimiento (para aquellos casos donde no existan hijos o hijas menores de edad y no existiera referencia a </w:t>
      </w:r>
      <w:r w:rsidR="006C46B1" w:rsidRPr="004069D9">
        <w:rPr>
          <w:rFonts w:ascii="Book Antiqua" w:eastAsia="Calibri" w:hAnsi="Book Antiqua" w:cs="Arial"/>
          <w:sz w:val="24"/>
          <w:szCs w:val="24"/>
          <w:lang w:eastAsia="es-CR"/>
        </w:rPr>
        <w:t>b</w:t>
      </w:r>
      <w:r w:rsidR="00110E4A" w:rsidRPr="004069D9">
        <w:rPr>
          <w:rFonts w:ascii="Book Antiqua" w:eastAsia="Calibri" w:hAnsi="Book Antiqua" w:cs="Arial"/>
          <w:sz w:val="24"/>
          <w:szCs w:val="24"/>
          <w:lang w:eastAsia="es-CR"/>
        </w:rPr>
        <w:t>iene</w:t>
      </w:r>
      <w:r w:rsidRPr="004069D9">
        <w:rPr>
          <w:rFonts w:ascii="Book Antiqua" w:eastAsia="Calibri" w:hAnsi="Book Antiqua" w:cs="Arial"/>
          <w:sz w:val="24"/>
          <w:szCs w:val="24"/>
          <w:lang w:eastAsia="es-CR"/>
        </w:rPr>
        <w:t>s), de igual forma, las adopciones registradas en los datos estadísticos no especifican el tipo de persona involucrada (mayor o menor de edad).</w:t>
      </w:r>
      <w:r w:rsidR="008C697C" w:rsidRPr="004069D9">
        <w:rPr>
          <w:rFonts w:ascii="Book Antiqua" w:eastAsia="Calibri" w:hAnsi="Book Antiqua" w:cs="Arial"/>
          <w:sz w:val="24"/>
          <w:szCs w:val="24"/>
          <w:lang w:eastAsia="es-CR"/>
        </w:rPr>
        <w:t xml:space="preserve"> Se requiere estimación del impacto de la eliminación en segunda instancia de</w:t>
      </w:r>
      <w:r w:rsidR="00AE6A4B" w:rsidRPr="004069D9">
        <w:rPr>
          <w:rFonts w:ascii="Book Antiqua" w:eastAsia="Calibri" w:hAnsi="Book Antiqua" w:cs="Arial"/>
          <w:sz w:val="24"/>
          <w:szCs w:val="24"/>
          <w:lang w:eastAsia="es-CR"/>
        </w:rPr>
        <w:t xml:space="preserve"> </w:t>
      </w:r>
      <w:r w:rsidR="008C697C" w:rsidRPr="004069D9">
        <w:rPr>
          <w:rFonts w:ascii="Book Antiqua" w:eastAsia="Calibri" w:hAnsi="Book Antiqua" w:cs="Arial"/>
          <w:sz w:val="24"/>
          <w:szCs w:val="24"/>
          <w:lang w:eastAsia="es-CR"/>
        </w:rPr>
        <w:t xml:space="preserve">las apelaciones contra sentencias de Pensiones Alimentarias provisionales y la factibilidad de creación de un juzgado que solamente conozca de la segunda instancia en PA. </w:t>
      </w:r>
    </w:p>
    <w:p w14:paraId="34DB8E89" w14:textId="77777777" w:rsidR="004069D9" w:rsidRDefault="003B52A8" w:rsidP="004069D9">
      <w:pPr>
        <w:pStyle w:val="Prrafodelista"/>
        <w:numPr>
          <w:ilvl w:val="1"/>
          <w:numId w:val="50"/>
        </w:numPr>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La recalificación de plazas de Auxiliar de Servicios Generales a Técnica o Técnico Judicial es una limitante, ya que, según criterio de la Dirección Ejecutiva, para poder realizar esto se debe considerar la contratación de Servicios de Limpieza, de la subpartida 1.04.06 “Servicios Generales”, la cual de momento se encuentra restringida por el aumento del Impuesto al Valor Agregado (IVA) en estos servicio</w:t>
      </w:r>
      <w:r w:rsidR="002B50D1" w:rsidRPr="004069D9">
        <w:rPr>
          <w:rFonts w:ascii="Book Antiqua" w:eastAsia="Calibri" w:hAnsi="Book Antiqua" w:cs="Arial"/>
          <w:sz w:val="24"/>
          <w:szCs w:val="24"/>
          <w:lang w:eastAsia="es-CR"/>
        </w:rPr>
        <w:t>s.</w:t>
      </w:r>
    </w:p>
    <w:p w14:paraId="43077F74" w14:textId="77777777" w:rsidR="004069D9" w:rsidRDefault="003B52A8" w:rsidP="004069D9">
      <w:pPr>
        <w:pStyle w:val="Prrafodelista"/>
        <w:numPr>
          <w:ilvl w:val="1"/>
          <w:numId w:val="50"/>
        </w:numPr>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Se prevé que con la entrada del nuevo Código Procesal de Familia se reduzca la intervención en el trámite de los expedientes que actualmente tiene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w:t>
      </w:r>
      <w:r w:rsidR="002B50D1" w:rsidRPr="004069D9">
        <w:rPr>
          <w:rFonts w:ascii="Book Antiqua" w:eastAsia="Calibri" w:hAnsi="Book Antiqua" w:cs="Arial"/>
          <w:sz w:val="24"/>
          <w:szCs w:val="24"/>
          <w:lang w:eastAsia="es-CR"/>
        </w:rPr>
        <w:t>.</w:t>
      </w:r>
      <w:r w:rsidR="00AE6A4B" w:rsidRPr="004069D9">
        <w:rPr>
          <w:rFonts w:ascii="Book Antiqua" w:eastAsia="Calibri" w:hAnsi="Book Antiqua" w:cs="Arial"/>
          <w:sz w:val="24"/>
          <w:szCs w:val="24"/>
          <w:lang w:eastAsia="es-CR"/>
        </w:rPr>
        <w:t xml:space="preserve"> </w:t>
      </w:r>
      <w:r w:rsidR="008C697C" w:rsidRPr="004069D9">
        <w:rPr>
          <w:rFonts w:ascii="Book Antiqua" w:eastAsia="Calibri" w:hAnsi="Book Antiqua" w:cs="Arial"/>
          <w:sz w:val="24"/>
          <w:szCs w:val="24"/>
          <w:lang w:eastAsia="es-CR"/>
        </w:rPr>
        <w:t xml:space="preserve">Por lo que se requiere que el órgano superior competente autorice que en materia de Familia, </w:t>
      </w:r>
      <w:r w:rsidR="00AE6A4B" w:rsidRPr="004069D9">
        <w:rPr>
          <w:rFonts w:ascii="Book Antiqua" w:eastAsia="Calibri" w:hAnsi="Book Antiqua" w:cs="Arial"/>
          <w:sz w:val="24"/>
          <w:szCs w:val="24"/>
          <w:lang w:eastAsia="es-CR"/>
        </w:rPr>
        <w:t>Pensiones</w:t>
      </w:r>
      <w:r w:rsidR="008C697C" w:rsidRPr="004069D9">
        <w:rPr>
          <w:rFonts w:ascii="Book Antiqua" w:eastAsia="Calibri" w:hAnsi="Book Antiqua" w:cs="Arial"/>
          <w:sz w:val="24"/>
          <w:szCs w:val="24"/>
          <w:lang w:eastAsia="es-CR"/>
        </w:rPr>
        <w:t xml:space="preserve"> y Violencia, en primer y segunda instancia, no se saquen concursos para </w:t>
      </w:r>
      <w:r w:rsidR="00AE6A4B" w:rsidRPr="004069D9">
        <w:rPr>
          <w:rFonts w:ascii="Book Antiqua" w:eastAsia="Calibri" w:hAnsi="Book Antiqua" w:cs="Arial"/>
          <w:sz w:val="24"/>
          <w:szCs w:val="24"/>
          <w:lang w:eastAsia="es-CR"/>
        </w:rPr>
        <w:t>nombrar</w:t>
      </w:r>
      <w:r w:rsidR="008C697C" w:rsidRPr="004069D9">
        <w:rPr>
          <w:rFonts w:ascii="Book Antiqua" w:eastAsia="Calibri" w:hAnsi="Book Antiqua" w:cs="Arial"/>
          <w:sz w:val="24"/>
          <w:szCs w:val="24"/>
          <w:lang w:eastAsia="es-CR"/>
        </w:rPr>
        <w:t xml:space="preserve"> personas en propiedad, sea juzgador o técnico, o si se </w:t>
      </w:r>
      <w:r w:rsidR="00AE6A4B" w:rsidRPr="004069D9">
        <w:rPr>
          <w:rFonts w:ascii="Book Antiqua" w:eastAsia="Calibri" w:hAnsi="Book Antiqua" w:cs="Arial"/>
          <w:sz w:val="24"/>
          <w:szCs w:val="24"/>
          <w:lang w:eastAsia="es-CR"/>
        </w:rPr>
        <w:t>nombra</w:t>
      </w:r>
      <w:r w:rsidR="008C697C" w:rsidRPr="004069D9">
        <w:rPr>
          <w:rFonts w:ascii="Book Antiqua" w:eastAsia="Calibri" w:hAnsi="Book Antiqua" w:cs="Arial"/>
          <w:sz w:val="24"/>
          <w:szCs w:val="24"/>
          <w:lang w:eastAsia="es-CR"/>
        </w:rPr>
        <w:t>, que se haga a observación de que esas plazas por temas de carga de trabajo</w:t>
      </w:r>
      <w:r w:rsidR="00E549EE" w:rsidRPr="004069D9">
        <w:rPr>
          <w:rFonts w:ascii="Book Antiqua" w:eastAsia="Calibri" w:hAnsi="Book Antiqua" w:cs="Arial"/>
          <w:sz w:val="24"/>
          <w:szCs w:val="24"/>
          <w:lang w:eastAsia="es-CR"/>
        </w:rPr>
        <w:t xml:space="preserve">, interés institucional, maximización de recursos </w:t>
      </w:r>
      <w:r w:rsidR="008C697C" w:rsidRPr="004069D9">
        <w:rPr>
          <w:rFonts w:ascii="Book Antiqua" w:eastAsia="Calibri" w:hAnsi="Book Antiqua" w:cs="Arial"/>
          <w:sz w:val="24"/>
          <w:szCs w:val="24"/>
          <w:lang w:eastAsia="es-CR"/>
        </w:rPr>
        <w:t>pueden ser trasladadas a otras oficinas</w:t>
      </w:r>
      <w:r w:rsidR="00E549EE" w:rsidRPr="004069D9">
        <w:rPr>
          <w:rFonts w:ascii="Book Antiqua" w:eastAsia="Calibri" w:hAnsi="Book Antiqua" w:cs="Arial"/>
          <w:sz w:val="24"/>
          <w:szCs w:val="24"/>
          <w:lang w:eastAsia="es-CR"/>
        </w:rPr>
        <w:t xml:space="preserve"> incluso con posibilidad de reasignarse a otras categorías de puestos según recomiende la Dirección de </w:t>
      </w:r>
      <w:r w:rsidR="00124AC1" w:rsidRPr="004069D9">
        <w:rPr>
          <w:rFonts w:ascii="Book Antiqua" w:eastAsia="Calibri" w:hAnsi="Book Antiqua" w:cs="Arial"/>
          <w:sz w:val="24"/>
          <w:szCs w:val="24"/>
          <w:lang w:eastAsia="es-CR"/>
        </w:rPr>
        <w:t>G</w:t>
      </w:r>
      <w:r w:rsidR="00E549EE" w:rsidRPr="004069D9">
        <w:rPr>
          <w:rFonts w:ascii="Book Antiqua" w:eastAsia="Calibri" w:hAnsi="Book Antiqua" w:cs="Arial"/>
          <w:sz w:val="24"/>
          <w:szCs w:val="24"/>
          <w:lang w:eastAsia="es-CR"/>
        </w:rPr>
        <w:t xml:space="preserve">estión Humana según </w:t>
      </w:r>
      <w:r w:rsidR="00A30CBC" w:rsidRPr="004069D9">
        <w:rPr>
          <w:rFonts w:ascii="Book Antiqua" w:eastAsia="Calibri" w:hAnsi="Book Antiqua" w:cs="Arial"/>
          <w:sz w:val="24"/>
          <w:szCs w:val="24"/>
          <w:lang w:eastAsia="es-CR"/>
        </w:rPr>
        <w:t>la estructura de cada oficina</w:t>
      </w:r>
      <w:r w:rsidR="008C697C" w:rsidRPr="004069D9">
        <w:rPr>
          <w:rFonts w:ascii="Book Antiqua" w:eastAsia="Calibri" w:hAnsi="Book Antiqua" w:cs="Arial"/>
          <w:sz w:val="24"/>
          <w:szCs w:val="24"/>
          <w:lang w:eastAsia="es-CR"/>
        </w:rPr>
        <w:t>.</w:t>
      </w:r>
    </w:p>
    <w:p w14:paraId="3C09E99D" w14:textId="189263B3" w:rsidR="008A3B19" w:rsidRPr="004069D9" w:rsidRDefault="008A3B19" w:rsidP="004069D9">
      <w:pPr>
        <w:pStyle w:val="Prrafodelista"/>
        <w:numPr>
          <w:ilvl w:val="1"/>
          <w:numId w:val="50"/>
        </w:numPr>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Dentro de los costos identificados del Código Procesal de Familia, no se incluye ninguna suma para la creación de plazas de asistencia letrada de la Defensa Pública ya que dan cobertura nacional a la atención en Pensión Alimentaria a la parte beneficiaria que no cuente con recursos económicos para contratar patrocinio letrado conforme lo establece el artículo 56 del Código Procesal de Familia, salvo que así lo apruebe Corte Plena.</w:t>
      </w:r>
    </w:p>
    <w:p w14:paraId="2D6C1EA1" w14:textId="7A414AA0" w:rsidR="00DC6BBB" w:rsidRPr="00770255" w:rsidRDefault="00DC6BBB" w:rsidP="004069D9">
      <w:pPr>
        <w:pStyle w:val="Ttulo1"/>
        <w:numPr>
          <w:ilvl w:val="0"/>
          <w:numId w:val="50"/>
        </w:numPr>
        <w:spacing w:line="276" w:lineRule="auto"/>
        <w:rPr>
          <w:lang w:eastAsia="es-CR"/>
        </w:rPr>
      </w:pPr>
      <w:bookmarkStart w:id="91" w:name="_Hlk97234454"/>
      <w:bookmarkStart w:id="92" w:name="_Hlk97234500"/>
      <w:r>
        <w:rPr>
          <w:lang w:eastAsia="es-CR"/>
        </w:rPr>
        <w:t>Conclusiones</w:t>
      </w:r>
      <w:bookmarkEnd w:id="91"/>
    </w:p>
    <w:bookmarkEnd w:id="92"/>
    <w:p w14:paraId="47486908" w14:textId="77777777" w:rsidR="004069D9" w:rsidRDefault="006F6088" w:rsidP="004069D9">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 xml:space="preserve">A nivel institucional dentro del Proyecto 1374-CF-P01 </w:t>
      </w:r>
      <w:r w:rsidRPr="004069D9">
        <w:rPr>
          <w:rFonts w:ascii="Book Antiqua" w:eastAsia="Calibri" w:hAnsi="Book Antiqua" w:cs="Arial"/>
          <w:i/>
          <w:iCs/>
          <w:sz w:val="24"/>
          <w:szCs w:val="24"/>
          <w:lang w:eastAsia="es-CR"/>
        </w:rPr>
        <w:t>“Implementación del Código Procesal de Familia”</w:t>
      </w:r>
      <w:r w:rsidRPr="004069D9">
        <w:rPr>
          <w:rFonts w:ascii="Book Antiqua" w:eastAsia="Calibri" w:hAnsi="Book Antiqua" w:cs="Arial"/>
          <w:sz w:val="24"/>
          <w:szCs w:val="24"/>
          <w:lang w:eastAsia="es-CR"/>
        </w:rPr>
        <w:t xml:space="preserve"> se incorporó la atención de las recomendaciones emitidas por la Contraloría General de la República (CGR) número DFOE-PG-0098 (2683)-2020, relacionado con el informe DFOE-PG-IF-00002-2020 </w:t>
      </w:r>
      <w:r w:rsidRPr="004069D9">
        <w:rPr>
          <w:rFonts w:ascii="Book Antiqua" w:eastAsia="Calibri" w:hAnsi="Book Antiqua" w:cs="Arial"/>
          <w:i/>
          <w:iCs/>
          <w:sz w:val="24"/>
          <w:szCs w:val="24"/>
          <w:lang w:eastAsia="es-CR"/>
        </w:rPr>
        <w:t xml:space="preserve">“Informe de Auditoría Operativa sobre la gestión del Poder Judicial en cuanto a la oportunidad de la prestación del servicio público de administración de la justicia de los juzgados de Familia y de Pensiones alimentarias” </w:t>
      </w:r>
      <w:r w:rsidRPr="004069D9">
        <w:rPr>
          <w:rFonts w:ascii="Book Antiqua" w:eastAsia="Calibri" w:hAnsi="Book Antiqua" w:cs="Arial"/>
          <w:sz w:val="24"/>
          <w:szCs w:val="24"/>
          <w:lang w:eastAsia="es-CR"/>
        </w:rPr>
        <w:t xml:space="preserve">de conformidad con el acuerdo del Consejo Superior en sesión 19-2020 celebrada el 10 de marzo del 2020, artículo LI así como las distintas labores asociadas a la preparación de la Jurisdicción de Familia (incluida materias de Pensiones Alimentarias y Violencias Doméstica) para la entrada en vigencia de la Ley 9747 </w:t>
      </w:r>
      <w:r w:rsidR="0009415F" w:rsidRPr="004069D9">
        <w:rPr>
          <w:rFonts w:ascii="Book Antiqua" w:eastAsia="Calibri" w:hAnsi="Book Antiqua" w:cs="Arial"/>
          <w:sz w:val="24"/>
          <w:szCs w:val="24"/>
          <w:lang w:eastAsia="es-CR"/>
        </w:rPr>
        <w:t xml:space="preserve">prevista para </w:t>
      </w:r>
      <w:r w:rsidRPr="004069D9">
        <w:rPr>
          <w:rFonts w:ascii="Book Antiqua" w:eastAsia="Calibri" w:hAnsi="Book Antiqua" w:cs="Arial"/>
          <w:sz w:val="24"/>
          <w:szCs w:val="24"/>
          <w:lang w:eastAsia="es-CR"/>
        </w:rPr>
        <w:t>el 1 de octubre 202</w:t>
      </w:r>
      <w:r w:rsidR="0009415F" w:rsidRPr="004069D9">
        <w:rPr>
          <w:rFonts w:ascii="Book Antiqua" w:eastAsia="Calibri" w:hAnsi="Book Antiqua" w:cs="Arial"/>
          <w:sz w:val="24"/>
          <w:szCs w:val="24"/>
          <w:lang w:eastAsia="es-CR"/>
        </w:rPr>
        <w:t>2</w:t>
      </w:r>
      <w:r w:rsidR="008163AB" w:rsidRPr="004069D9">
        <w:rPr>
          <w:rFonts w:ascii="Book Antiqua" w:eastAsia="Calibri" w:hAnsi="Book Antiqua" w:cs="Arial"/>
          <w:sz w:val="24"/>
          <w:szCs w:val="24"/>
          <w:lang w:eastAsia="es-CR"/>
        </w:rPr>
        <w:t xml:space="preserve">, limitó el análisis que se pudo realizar en esas oficinas que no consistió en un rediseño como tal, sino que solamente abarco algunas tareas con la visión de atender lo solicitado por la Contraloría. </w:t>
      </w:r>
    </w:p>
    <w:p w14:paraId="0C55F7B5" w14:textId="635ECF6D" w:rsidR="00B83D28" w:rsidRPr="004069D9" w:rsidRDefault="00B83D28" w:rsidP="004069D9">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 xml:space="preserve">Al finalizar el 2020 se </w:t>
      </w:r>
      <w:r w:rsidR="008C697C" w:rsidRPr="004069D9">
        <w:rPr>
          <w:rFonts w:ascii="Book Antiqua" w:eastAsia="Calibri" w:hAnsi="Book Antiqua" w:cs="Arial"/>
          <w:sz w:val="24"/>
          <w:szCs w:val="24"/>
          <w:lang w:eastAsia="es-CR"/>
        </w:rPr>
        <w:t>contó</w:t>
      </w:r>
      <w:r w:rsidRPr="004069D9">
        <w:rPr>
          <w:rFonts w:ascii="Book Antiqua" w:eastAsia="Calibri" w:hAnsi="Book Antiqua" w:cs="Arial"/>
          <w:sz w:val="24"/>
          <w:szCs w:val="24"/>
          <w:lang w:eastAsia="es-CR"/>
        </w:rPr>
        <w:t xml:space="preserve"> con un análisis por parte de la Dirección de Planificación de las estructuras funcionales y organizativas de los 106 despachos competentes en materia de Familia y Pensiones a nivel nacional los cuales cuentan con estandarización en lo referente a:</w:t>
      </w:r>
    </w:p>
    <w:p w14:paraId="1A512FA2" w14:textId="77777777" w:rsidR="00B83D28" w:rsidRDefault="00B83D28" w:rsidP="00B83D28">
      <w:pPr>
        <w:tabs>
          <w:tab w:val="left" w:pos="426"/>
        </w:tabs>
        <w:spacing w:after="0" w:line="276" w:lineRule="auto"/>
        <w:ind w:left="780"/>
        <w:contextualSpacing/>
        <w:jc w:val="both"/>
        <w:rPr>
          <w:rFonts w:ascii="Book Antiqua" w:eastAsia="Calibri" w:hAnsi="Book Antiqua" w:cs="Arial"/>
          <w:sz w:val="24"/>
          <w:szCs w:val="24"/>
          <w:lang w:eastAsia="es-CR"/>
        </w:rPr>
      </w:pPr>
    </w:p>
    <w:p w14:paraId="5CB4558A" w14:textId="6B042D77" w:rsidR="006F6088" w:rsidRPr="006F6088" w:rsidRDefault="006F6088">
      <w:pPr>
        <w:numPr>
          <w:ilvl w:val="0"/>
          <w:numId w:val="29"/>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Tareas y ubicaciones.</w:t>
      </w:r>
    </w:p>
    <w:p w14:paraId="0D4281A0" w14:textId="77777777" w:rsidR="006F6088" w:rsidRPr="006F6088" w:rsidRDefault="006F6088">
      <w:pPr>
        <w:numPr>
          <w:ilvl w:val="0"/>
          <w:numId w:val="29"/>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Libros de control.</w:t>
      </w:r>
    </w:p>
    <w:p w14:paraId="4B739F95" w14:textId="77777777" w:rsidR="006F6088" w:rsidRPr="006F6088" w:rsidRDefault="006F6088">
      <w:pPr>
        <w:numPr>
          <w:ilvl w:val="0"/>
          <w:numId w:val="29"/>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Sistemas informáticos (Escritorio Virtual, módulo de pase a fallo, y mejoras asociadas).</w:t>
      </w:r>
    </w:p>
    <w:p w14:paraId="2DBDE368" w14:textId="77777777" w:rsidR="006F6088" w:rsidRPr="006F6088" w:rsidRDefault="006F6088">
      <w:pPr>
        <w:numPr>
          <w:ilvl w:val="0"/>
          <w:numId w:val="29"/>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Modelo de sostenibilidad y seguimiento (equipo de mejora, indicadores de gestión, entre otros).</w:t>
      </w:r>
    </w:p>
    <w:p w14:paraId="5ADC844E" w14:textId="77777777" w:rsidR="004069D9" w:rsidRDefault="006F6088" w:rsidP="004069D9">
      <w:pPr>
        <w:numPr>
          <w:ilvl w:val="0"/>
          <w:numId w:val="29"/>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Cargas de trabajo equitativas </w:t>
      </w:r>
      <w:r w:rsidR="008163AB">
        <w:rPr>
          <w:rFonts w:ascii="Book Antiqua" w:eastAsia="Calibri" w:hAnsi="Book Antiqua" w:cs="Arial"/>
          <w:sz w:val="24"/>
          <w:szCs w:val="24"/>
          <w:lang w:eastAsia="es-CR"/>
        </w:rPr>
        <w:t xml:space="preserve">entre el personal existente en ese momento en las oficinas </w:t>
      </w:r>
      <w:r w:rsidRPr="00275211">
        <w:rPr>
          <w:rFonts w:ascii="Book Antiqua" w:eastAsia="Calibri" w:hAnsi="Book Antiqua" w:cs="Arial"/>
          <w:sz w:val="24"/>
          <w:szCs w:val="24"/>
          <w:lang w:eastAsia="es-CR"/>
        </w:rPr>
        <w:t xml:space="preserve">(las oficinas de Familia </w:t>
      </w:r>
      <w:r w:rsidR="008163AB">
        <w:rPr>
          <w:rFonts w:ascii="Book Antiqua" w:eastAsia="Calibri" w:hAnsi="Book Antiqua" w:cs="Arial"/>
          <w:sz w:val="24"/>
          <w:szCs w:val="24"/>
          <w:lang w:eastAsia="es-CR"/>
        </w:rPr>
        <w:t>se encargaron de</w:t>
      </w:r>
      <w:r w:rsidR="008163AB" w:rsidRPr="00275211">
        <w:rPr>
          <w:rFonts w:ascii="Book Antiqua" w:eastAsia="Calibri" w:hAnsi="Book Antiqua" w:cs="Arial"/>
          <w:sz w:val="24"/>
          <w:szCs w:val="24"/>
          <w:lang w:eastAsia="es-CR"/>
        </w:rPr>
        <w:t xml:space="preserve"> </w:t>
      </w:r>
      <w:r w:rsidRPr="00275211">
        <w:rPr>
          <w:rFonts w:ascii="Book Antiqua" w:eastAsia="Calibri" w:hAnsi="Book Antiqua" w:cs="Arial"/>
          <w:sz w:val="24"/>
          <w:szCs w:val="24"/>
          <w:lang w:eastAsia="es-CR"/>
        </w:rPr>
        <w:t>realizar la distribución equitativa de sus circulantes conforme a la estructura de oficina aprobada</w:t>
      </w:r>
      <w:r w:rsidR="008163AB">
        <w:rPr>
          <w:rFonts w:ascii="Book Antiqua" w:eastAsia="Calibri" w:hAnsi="Book Antiqua" w:cs="Arial"/>
          <w:sz w:val="24"/>
          <w:szCs w:val="24"/>
          <w:lang w:eastAsia="es-CR"/>
        </w:rPr>
        <w:t xml:space="preserve"> y</w:t>
      </w:r>
      <w:r w:rsidRPr="00275211">
        <w:rPr>
          <w:rFonts w:ascii="Book Antiqua" w:eastAsia="Calibri" w:hAnsi="Book Antiqua" w:cs="Arial"/>
          <w:sz w:val="24"/>
          <w:szCs w:val="24"/>
          <w:lang w:eastAsia="es-CR"/>
        </w:rPr>
        <w:t xml:space="preserve"> la Dirección de Tecnología de la </w:t>
      </w:r>
      <w:r w:rsidR="00A20C08">
        <w:rPr>
          <w:rFonts w:ascii="Book Antiqua" w:eastAsia="Calibri" w:hAnsi="Book Antiqua" w:cs="Arial"/>
          <w:sz w:val="24"/>
          <w:szCs w:val="24"/>
          <w:lang w:eastAsia="es-CR"/>
        </w:rPr>
        <w:t>I</w:t>
      </w:r>
      <w:r w:rsidRPr="00275211">
        <w:rPr>
          <w:rFonts w:ascii="Book Antiqua" w:eastAsia="Calibri" w:hAnsi="Book Antiqua" w:cs="Arial"/>
          <w:sz w:val="24"/>
          <w:szCs w:val="24"/>
          <w:lang w:eastAsia="es-CR"/>
        </w:rPr>
        <w:t xml:space="preserve">nformación </w:t>
      </w:r>
      <w:r w:rsidR="0009415F">
        <w:rPr>
          <w:rFonts w:ascii="Book Antiqua" w:eastAsia="Calibri" w:hAnsi="Book Antiqua" w:cs="Arial"/>
          <w:sz w:val="24"/>
          <w:szCs w:val="24"/>
          <w:lang w:eastAsia="es-CR"/>
        </w:rPr>
        <w:t xml:space="preserve">y Comunicaciones </w:t>
      </w:r>
      <w:r w:rsidRPr="00275211">
        <w:rPr>
          <w:rFonts w:ascii="Book Antiqua" w:eastAsia="Calibri" w:hAnsi="Book Antiqua" w:cs="Arial"/>
          <w:sz w:val="24"/>
          <w:szCs w:val="24"/>
          <w:lang w:eastAsia="es-CR"/>
        </w:rPr>
        <w:t xml:space="preserve">el reparto por </w:t>
      </w:r>
      <w:r w:rsidRPr="00275211">
        <w:rPr>
          <w:rFonts w:ascii="Book Antiqua" w:eastAsia="Calibri" w:hAnsi="Book Antiqua" w:cs="Arial"/>
          <w:i/>
          <w:iCs/>
          <w:sz w:val="24"/>
          <w:szCs w:val="24"/>
          <w:lang w:eastAsia="es-CR"/>
        </w:rPr>
        <w:t xml:space="preserve">“clase de asunto” </w:t>
      </w:r>
      <w:r w:rsidRPr="00275211">
        <w:rPr>
          <w:rFonts w:ascii="Book Antiqua" w:eastAsia="Calibri" w:hAnsi="Book Antiqua" w:cs="Arial"/>
          <w:sz w:val="24"/>
          <w:szCs w:val="24"/>
          <w:lang w:eastAsia="es-CR"/>
        </w:rPr>
        <w:t>en las oficinas de Familia</w:t>
      </w:r>
      <w:r w:rsidR="00A20C08">
        <w:rPr>
          <w:rFonts w:ascii="Book Antiqua" w:eastAsia="Calibri" w:hAnsi="Book Antiqua" w:cs="Arial"/>
          <w:sz w:val="24"/>
          <w:szCs w:val="24"/>
          <w:lang w:eastAsia="es-CR"/>
        </w:rPr>
        <w:t xml:space="preserve">, </w:t>
      </w:r>
      <w:r w:rsidRPr="00275211">
        <w:rPr>
          <w:rFonts w:ascii="Book Antiqua" w:eastAsia="Calibri" w:hAnsi="Book Antiqua" w:cs="Arial"/>
          <w:sz w:val="24"/>
          <w:szCs w:val="24"/>
          <w:lang w:eastAsia="es-CR"/>
        </w:rPr>
        <w:t>Pensiones Alimentarias</w:t>
      </w:r>
      <w:r w:rsidR="00A20C08">
        <w:rPr>
          <w:rFonts w:ascii="Book Antiqua" w:eastAsia="Calibri" w:hAnsi="Book Antiqua" w:cs="Arial"/>
          <w:sz w:val="24"/>
          <w:szCs w:val="24"/>
          <w:lang w:eastAsia="es-CR"/>
        </w:rPr>
        <w:t xml:space="preserve"> y Violencia Doméstica</w:t>
      </w:r>
      <w:r w:rsidRPr="00275211">
        <w:rPr>
          <w:rFonts w:ascii="Book Antiqua" w:eastAsia="Calibri" w:hAnsi="Book Antiqua" w:cs="Arial"/>
          <w:sz w:val="24"/>
          <w:szCs w:val="24"/>
          <w:lang w:eastAsia="es-CR"/>
        </w:rPr>
        <w:t xml:space="preserve"> a nivel nacional para garantizar también la distribución por igual de los asuntos nuevos</w:t>
      </w:r>
      <w:r w:rsidR="00A20C08">
        <w:rPr>
          <w:rFonts w:ascii="Book Antiqua" w:eastAsia="Calibri" w:hAnsi="Book Antiqua" w:cs="Arial"/>
          <w:sz w:val="24"/>
          <w:szCs w:val="24"/>
          <w:lang w:eastAsia="es-CR"/>
        </w:rPr>
        <w:t>).</w:t>
      </w:r>
      <w:r w:rsidRPr="00275211">
        <w:rPr>
          <w:rFonts w:ascii="Book Antiqua" w:eastAsia="Calibri" w:hAnsi="Book Antiqua" w:cs="Arial"/>
          <w:sz w:val="24"/>
          <w:szCs w:val="24"/>
          <w:lang w:eastAsia="es-CR"/>
        </w:rPr>
        <w:t xml:space="preserve"> </w:t>
      </w:r>
    </w:p>
    <w:p w14:paraId="055421FC" w14:textId="77777777" w:rsidR="004069D9" w:rsidRDefault="006F6088" w:rsidP="004069D9">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En 2020 se realiz</w:t>
      </w:r>
      <w:r w:rsidR="008C697C" w:rsidRPr="004069D9">
        <w:rPr>
          <w:rFonts w:ascii="Book Antiqua" w:eastAsia="Calibri" w:hAnsi="Book Antiqua" w:cs="Arial"/>
          <w:sz w:val="24"/>
          <w:szCs w:val="24"/>
          <w:lang w:eastAsia="es-CR"/>
        </w:rPr>
        <w:t>ó</w:t>
      </w:r>
      <w:r w:rsidRPr="004069D9">
        <w:rPr>
          <w:rFonts w:ascii="Book Antiqua" w:eastAsia="Calibri" w:hAnsi="Book Antiqua" w:cs="Arial"/>
          <w:sz w:val="24"/>
          <w:szCs w:val="24"/>
          <w:lang w:eastAsia="es-CR"/>
        </w:rPr>
        <w:t xml:space="preserve"> una depuración de la información en los sistemas mediante inventario en materia de Familia que incluyó la revisión por parte de las oficinas de las carpetas principales, incidentes y legajos por primera vez. Además, se </w:t>
      </w:r>
      <w:r w:rsidR="008C697C" w:rsidRPr="004069D9">
        <w:rPr>
          <w:rFonts w:ascii="Book Antiqua" w:eastAsia="Calibri" w:hAnsi="Book Antiqua" w:cs="Arial"/>
          <w:sz w:val="24"/>
          <w:szCs w:val="24"/>
          <w:lang w:eastAsia="es-CR"/>
        </w:rPr>
        <w:t>realizó</w:t>
      </w:r>
      <w:r w:rsidRPr="004069D9">
        <w:rPr>
          <w:rFonts w:ascii="Book Antiqua" w:eastAsia="Calibri" w:hAnsi="Book Antiqua" w:cs="Arial"/>
          <w:sz w:val="24"/>
          <w:szCs w:val="24"/>
          <w:lang w:eastAsia="es-CR"/>
        </w:rPr>
        <w:t xml:space="preserve"> el inventario en Pensiones Alimentarias a nivel nacional </w:t>
      </w:r>
      <w:r w:rsidR="00A20C08" w:rsidRPr="004069D9">
        <w:rPr>
          <w:rFonts w:ascii="Book Antiqua" w:eastAsia="Calibri" w:hAnsi="Book Antiqua" w:cs="Arial"/>
          <w:sz w:val="24"/>
          <w:szCs w:val="24"/>
          <w:lang w:eastAsia="es-CR"/>
        </w:rPr>
        <w:t>que inició en</w:t>
      </w:r>
      <w:r w:rsidR="008C697C" w:rsidRPr="004069D9">
        <w:rPr>
          <w:rFonts w:ascii="Book Antiqua" w:eastAsia="Calibri" w:hAnsi="Book Antiqua" w:cs="Arial"/>
          <w:sz w:val="24"/>
          <w:szCs w:val="24"/>
          <w:lang w:eastAsia="es-CR"/>
        </w:rPr>
        <w:t xml:space="preserve"> 2020 </w:t>
      </w:r>
      <w:r w:rsidR="00A20C08" w:rsidRPr="004069D9">
        <w:rPr>
          <w:rFonts w:ascii="Book Antiqua" w:eastAsia="Calibri" w:hAnsi="Book Antiqua" w:cs="Arial"/>
          <w:sz w:val="24"/>
          <w:szCs w:val="24"/>
          <w:lang w:eastAsia="es-CR"/>
        </w:rPr>
        <w:t xml:space="preserve">y finalizó a principios de </w:t>
      </w:r>
      <w:r w:rsidR="008C697C" w:rsidRPr="004069D9">
        <w:rPr>
          <w:rFonts w:ascii="Book Antiqua" w:eastAsia="Calibri" w:hAnsi="Book Antiqua" w:cs="Arial"/>
          <w:sz w:val="24"/>
          <w:szCs w:val="24"/>
          <w:lang w:eastAsia="es-CR"/>
        </w:rPr>
        <w:t>2021.</w:t>
      </w:r>
      <w:r w:rsidRPr="004069D9">
        <w:rPr>
          <w:rFonts w:ascii="Book Antiqua" w:eastAsia="Calibri" w:hAnsi="Book Antiqua" w:cs="Arial"/>
          <w:sz w:val="24"/>
          <w:szCs w:val="24"/>
          <w:lang w:eastAsia="es-CR"/>
        </w:rPr>
        <w:t xml:space="preserve"> </w:t>
      </w:r>
    </w:p>
    <w:p w14:paraId="6C0A4705" w14:textId="77777777" w:rsidR="004069D9" w:rsidRDefault="00C92AC5" w:rsidP="004069D9">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 xml:space="preserve">Las </w:t>
      </w:r>
      <w:r w:rsidR="008C697C" w:rsidRPr="004069D9">
        <w:rPr>
          <w:rFonts w:ascii="Book Antiqua" w:eastAsia="Calibri" w:hAnsi="Book Antiqua" w:cs="Arial"/>
          <w:sz w:val="24"/>
          <w:szCs w:val="24"/>
          <w:lang w:eastAsia="es-CR"/>
        </w:rPr>
        <w:t xml:space="preserve">materias </w:t>
      </w:r>
      <w:r w:rsidRPr="004069D9">
        <w:rPr>
          <w:rFonts w:ascii="Book Antiqua" w:eastAsia="Calibri" w:hAnsi="Book Antiqua" w:cs="Arial"/>
          <w:sz w:val="24"/>
          <w:szCs w:val="24"/>
          <w:lang w:eastAsia="es-CR"/>
        </w:rPr>
        <w:t>de Familia y Pensiones Alimentarias cuentan con un reporte en la Plataforma SIGMA que les permite monitorear la duración de los procesos por fase, y con ello dar prioridad a la resolución de aquellos asuntos que sobrepasen el rango legal de plazos o el criterio experto</w:t>
      </w:r>
      <w:r w:rsidR="00A20C08" w:rsidRPr="004069D9">
        <w:rPr>
          <w:rFonts w:ascii="Book Antiqua" w:eastAsia="Calibri" w:hAnsi="Book Antiqua" w:cs="Arial"/>
          <w:sz w:val="24"/>
          <w:szCs w:val="24"/>
          <w:lang w:eastAsia="es-CR"/>
        </w:rPr>
        <w:t>, incluso deben hacer una revisión trimestral y certificar al Subproceso de Estadística de la Dirección de Planificación que revisaron y dieron tramite a los asuntos de mayor duración. Circular 213-21.</w:t>
      </w:r>
    </w:p>
    <w:p w14:paraId="39481318" w14:textId="77777777" w:rsidR="009D2B4A" w:rsidRDefault="00C92AC5" w:rsidP="004069D9">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Respecto al Modelo Sostenibilidad y Seguimiento y a fin de mantener los logros obtenidos en la Jurisdicción, es fundamental el cumplimiento de responsabilidades de cada uno de los partícipes del proceso de mejora continua de las oficinas (Juzgados, Equipo de mejora, Administración Regional, Consejo de Administración, Centro de Apoyo, Coordinación y Mejoramiento de la Función Jurisdiccional, Dirección de Planificación, Consejo Superior).</w:t>
      </w:r>
      <w:r w:rsidR="00A20C08" w:rsidRPr="004069D9">
        <w:rPr>
          <w:rFonts w:ascii="Book Antiqua" w:eastAsia="Calibri" w:hAnsi="Book Antiqua" w:cs="Arial"/>
          <w:sz w:val="24"/>
          <w:szCs w:val="24"/>
          <w:lang w:eastAsia="es-CR"/>
        </w:rPr>
        <w:t xml:space="preserve"> Se emitió para reiterar </w:t>
      </w:r>
      <w:r w:rsidR="0009415F" w:rsidRPr="004069D9">
        <w:rPr>
          <w:rFonts w:ascii="Book Antiqua" w:eastAsia="Calibri" w:hAnsi="Book Antiqua" w:cs="Arial"/>
          <w:sz w:val="24"/>
          <w:szCs w:val="24"/>
          <w:lang w:eastAsia="es-CR"/>
        </w:rPr>
        <w:t>sus</w:t>
      </w:r>
      <w:r w:rsidR="00A20C08" w:rsidRPr="004069D9">
        <w:rPr>
          <w:rFonts w:ascii="Book Antiqua" w:eastAsia="Calibri" w:hAnsi="Book Antiqua" w:cs="Arial"/>
          <w:sz w:val="24"/>
          <w:szCs w:val="24"/>
          <w:lang w:eastAsia="es-CR"/>
        </w:rPr>
        <w:t xml:space="preserve"> obligaciones las circulares 193 y 230-20.</w:t>
      </w:r>
    </w:p>
    <w:p w14:paraId="256AE0E7" w14:textId="6210CAFC" w:rsidR="00C92AC5" w:rsidRPr="004069D9" w:rsidRDefault="00C92AC5" w:rsidP="004069D9">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4069D9">
        <w:rPr>
          <w:rFonts w:ascii="Book Antiqua" w:eastAsia="Calibri" w:hAnsi="Book Antiqua" w:cs="Arial"/>
          <w:sz w:val="24"/>
          <w:szCs w:val="24"/>
          <w:lang w:eastAsia="es-CR"/>
        </w:rPr>
        <w:t>Sobre el análisis estadístico se concluye que:</w:t>
      </w:r>
    </w:p>
    <w:p w14:paraId="0989D0C6" w14:textId="644EDDEB" w:rsidR="006F6088" w:rsidRPr="009D2B4A" w:rsidRDefault="006F6088" w:rsidP="009D2B4A">
      <w:pPr>
        <w:pStyle w:val="Prrafodelista"/>
        <w:numPr>
          <w:ilvl w:val="0"/>
          <w:numId w:val="51"/>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 xml:space="preserve">El promedio de ingreso por persona juzgadora de Familia es de </w:t>
      </w:r>
      <w:r w:rsidR="003969BA" w:rsidRPr="009D2B4A">
        <w:rPr>
          <w:rFonts w:ascii="Book Antiqua" w:eastAsia="Calibri" w:hAnsi="Book Antiqua" w:cs="Arial"/>
          <w:sz w:val="24"/>
          <w:szCs w:val="24"/>
          <w:lang w:eastAsia="es-CR"/>
        </w:rPr>
        <w:t>7</w:t>
      </w:r>
      <w:r w:rsidR="00235373" w:rsidRPr="009D2B4A">
        <w:rPr>
          <w:rFonts w:ascii="Book Antiqua" w:eastAsia="Calibri" w:hAnsi="Book Antiqua" w:cs="Arial"/>
          <w:sz w:val="24"/>
          <w:szCs w:val="24"/>
          <w:lang w:eastAsia="es-CR"/>
        </w:rPr>
        <w:t>3</w:t>
      </w:r>
      <w:r w:rsidRPr="009D2B4A">
        <w:rPr>
          <w:rFonts w:ascii="Book Antiqua" w:eastAsia="Calibri" w:hAnsi="Book Antiqua" w:cs="Arial"/>
          <w:sz w:val="24"/>
          <w:szCs w:val="24"/>
          <w:lang w:eastAsia="es-CR"/>
        </w:rPr>
        <w:t xml:space="preserve"> expedientes por mes y 4</w:t>
      </w:r>
      <w:r w:rsidR="00DA0F31" w:rsidRPr="009D2B4A">
        <w:rPr>
          <w:rFonts w:ascii="Book Antiqua" w:eastAsia="Calibri" w:hAnsi="Book Antiqua" w:cs="Arial"/>
          <w:sz w:val="24"/>
          <w:szCs w:val="24"/>
          <w:lang w:eastAsia="es-CR"/>
        </w:rPr>
        <w:t>5</w:t>
      </w:r>
      <w:r w:rsidRPr="009D2B4A">
        <w:rPr>
          <w:rFonts w:ascii="Book Antiqua" w:eastAsia="Calibri" w:hAnsi="Book Antiqua" w:cs="Arial"/>
          <w:sz w:val="24"/>
          <w:szCs w:val="24"/>
          <w:lang w:eastAsia="es-CR"/>
        </w:rPr>
        <w:t xml:space="preserve"> por plaza de persona técnica Judicial. </w:t>
      </w:r>
    </w:p>
    <w:p w14:paraId="6C518D78"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El tipo de proceso con mayor ingreso durante el periodo del 201</w:t>
      </w:r>
      <w:r w:rsidR="003969BA"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xml:space="preserve"> al 20</w:t>
      </w:r>
      <w:r w:rsidR="003969BA" w:rsidRPr="009D2B4A">
        <w:rPr>
          <w:rFonts w:ascii="Book Antiqua" w:eastAsia="Calibri" w:hAnsi="Book Antiqua" w:cs="Arial"/>
          <w:sz w:val="24"/>
          <w:szCs w:val="24"/>
          <w:lang w:eastAsia="es-CR"/>
        </w:rPr>
        <w:t>2</w:t>
      </w:r>
      <w:r w:rsidR="0009415F"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es el Divorcio por mutuo acuerdo con 8</w:t>
      </w:r>
      <w:r w:rsidR="00275211" w:rsidRPr="009D2B4A">
        <w:rPr>
          <w:rFonts w:ascii="Book Antiqua" w:eastAsia="Calibri" w:hAnsi="Book Antiqua" w:cs="Arial"/>
          <w:sz w:val="24"/>
          <w:szCs w:val="24"/>
          <w:lang w:eastAsia="es-CR"/>
        </w:rPr>
        <w:t xml:space="preserve"> </w:t>
      </w:r>
      <w:r w:rsidR="005E503B" w:rsidRPr="009D2B4A">
        <w:rPr>
          <w:rFonts w:ascii="Book Antiqua" w:eastAsia="Calibri" w:hAnsi="Book Antiqua" w:cs="Arial"/>
          <w:sz w:val="24"/>
          <w:szCs w:val="24"/>
          <w:lang w:eastAsia="es-CR"/>
        </w:rPr>
        <w:t>55</w:t>
      </w:r>
      <w:r w:rsidR="00DA0F31"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xml:space="preserve"> lo que representa un 3</w:t>
      </w:r>
      <w:r w:rsidR="00DA0F31" w:rsidRPr="009D2B4A">
        <w:rPr>
          <w:rFonts w:ascii="Book Antiqua" w:eastAsia="Calibri" w:hAnsi="Book Antiqua" w:cs="Arial"/>
          <w:sz w:val="24"/>
          <w:szCs w:val="24"/>
          <w:lang w:eastAsia="es-CR"/>
        </w:rPr>
        <w:t>4,88</w:t>
      </w:r>
      <w:r w:rsidR="00275211" w:rsidRPr="009D2B4A">
        <w:rPr>
          <w:rFonts w:ascii="Book Antiqua" w:eastAsia="Calibri" w:hAnsi="Book Antiqua" w:cs="Arial"/>
          <w:sz w:val="24"/>
          <w:szCs w:val="24"/>
          <w:lang w:eastAsia="es-CR"/>
        </w:rPr>
        <w:t>%</w:t>
      </w:r>
      <w:r w:rsidRPr="009D2B4A">
        <w:rPr>
          <w:rFonts w:ascii="Book Antiqua" w:eastAsia="Calibri" w:hAnsi="Book Antiqua" w:cs="Arial"/>
          <w:sz w:val="24"/>
          <w:szCs w:val="24"/>
          <w:lang w:eastAsia="es-CR"/>
        </w:rPr>
        <w:t xml:space="preserve"> del ingreso total en las oficinas especializadas, seguido del Divorcio con 2</w:t>
      </w:r>
      <w:r w:rsidR="00275211" w:rsidRPr="009D2B4A">
        <w:rPr>
          <w:rFonts w:ascii="Book Antiqua" w:eastAsia="Calibri" w:hAnsi="Book Antiqua" w:cs="Arial"/>
          <w:sz w:val="24"/>
          <w:szCs w:val="24"/>
          <w:lang w:eastAsia="es-CR"/>
        </w:rPr>
        <w:t xml:space="preserve"> </w:t>
      </w:r>
      <w:r w:rsidR="005E503B" w:rsidRPr="009D2B4A">
        <w:rPr>
          <w:rFonts w:ascii="Book Antiqua" w:eastAsia="Calibri" w:hAnsi="Book Antiqua" w:cs="Arial"/>
          <w:sz w:val="24"/>
          <w:szCs w:val="24"/>
          <w:lang w:eastAsia="es-CR"/>
        </w:rPr>
        <w:t>52</w:t>
      </w:r>
      <w:r w:rsidR="00DA0F31" w:rsidRPr="009D2B4A">
        <w:rPr>
          <w:rFonts w:ascii="Book Antiqua" w:eastAsia="Calibri" w:hAnsi="Book Antiqua" w:cs="Arial"/>
          <w:sz w:val="24"/>
          <w:szCs w:val="24"/>
          <w:lang w:eastAsia="es-CR"/>
        </w:rPr>
        <w:t>9</w:t>
      </w:r>
      <w:r w:rsidRPr="009D2B4A">
        <w:rPr>
          <w:rFonts w:ascii="Book Antiqua" w:eastAsia="Calibri" w:hAnsi="Book Antiqua" w:cs="Arial"/>
          <w:sz w:val="24"/>
          <w:szCs w:val="24"/>
          <w:lang w:eastAsia="es-CR"/>
        </w:rPr>
        <w:t xml:space="preserve"> expedientes equivalentes a un </w:t>
      </w:r>
      <w:r w:rsidR="00CF5E19" w:rsidRPr="009D2B4A">
        <w:rPr>
          <w:rFonts w:ascii="Book Antiqua" w:eastAsia="Calibri" w:hAnsi="Book Antiqua" w:cs="Arial"/>
          <w:sz w:val="24"/>
          <w:szCs w:val="24"/>
          <w:lang w:eastAsia="es-CR"/>
        </w:rPr>
        <w:t>10</w:t>
      </w:r>
      <w:r w:rsidRPr="009D2B4A">
        <w:rPr>
          <w:rFonts w:ascii="Book Antiqua" w:eastAsia="Calibri" w:hAnsi="Book Antiqua" w:cs="Arial"/>
          <w:sz w:val="24"/>
          <w:szCs w:val="24"/>
          <w:lang w:eastAsia="es-CR"/>
        </w:rPr>
        <w:t>,</w:t>
      </w:r>
      <w:r w:rsidR="00CF5E19" w:rsidRPr="009D2B4A">
        <w:rPr>
          <w:rFonts w:ascii="Book Antiqua" w:eastAsia="Calibri" w:hAnsi="Book Antiqua" w:cs="Arial"/>
          <w:sz w:val="24"/>
          <w:szCs w:val="24"/>
          <w:lang w:eastAsia="es-CR"/>
        </w:rPr>
        <w:t>3</w:t>
      </w:r>
      <w:r w:rsidR="00DA0F31" w:rsidRPr="009D2B4A">
        <w:rPr>
          <w:rFonts w:ascii="Book Antiqua" w:eastAsia="Calibri" w:hAnsi="Book Antiqua" w:cs="Arial"/>
          <w:sz w:val="24"/>
          <w:szCs w:val="24"/>
          <w:lang w:eastAsia="es-CR"/>
        </w:rPr>
        <w:t>1</w:t>
      </w:r>
      <w:r w:rsidRPr="009D2B4A">
        <w:rPr>
          <w:rFonts w:ascii="Book Antiqua" w:eastAsia="Calibri" w:hAnsi="Book Antiqua" w:cs="Arial"/>
          <w:sz w:val="24"/>
          <w:szCs w:val="24"/>
          <w:lang w:eastAsia="es-CR"/>
        </w:rPr>
        <w:t>% los cuales en alguna proporción dejaran de ser competencia de los Juzgados de Familia a partir del 1 de octubre del 202</w:t>
      </w:r>
      <w:r w:rsidR="0009415F" w:rsidRPr="009D2B4A">
        <w:rPr>
          <w:rFonts w:ascii="Book Antiqua" w:eastAsia="Calibri" w:hAnsi="Book Antiqua" w:cs="Arial"/>
          <w:sz w:val="24"/>
          <w:szCs w:val="24"/>
          <w:lang w:eastAsia="es-CR"/>
        </w:rPr>
        <w:t>4</w:t>
      </w:r>
      <w:r w:rsidRPr="009D2B4A">
        <w:rPr>
          <w:rFonts w:ascii="Book Antiqua" w:eastAsia="Calibri" w:hAnsi="Book Antiqua" w:cs="Arial"/>
          <w:sz w:val="24"/>
          <w:szCs w:val="24"/>
          <w:lang w:eastAsia="es-CR"/>
        </w:rPr>
        <w:t>. En tercer lugar, están los asuntos de Interrelación familiar (régimen de visitas) con 1</w:t>
      </w:r>
      <w:r w:rsidR="008B3F81" w:rsidRPr="009D2B4A">
        <w:rPr>
          <w:rFonts w:ascii="Book Antiqua" w:eastAsia="Calibri" w:hAnsi="Book Antiqua" w:cs="Arial"/>
          <w:sz w:val="24"/>
          <w:szCs w:val="24"/>
          <w:lang w:eastAsia="es-CR"/>
        </w:rPr>
        <w:t xml:space="preserve"> 6</w:t>
      </w:r>
      <w:r w:rsidR="00DA0F31" w:rsidRPr="009D2B4A">
        <w:rPr>
          <w:rFonts w:ascii="Book Antiqua" w:eastAsia="Calibri" w:hAnsi="Book Antiqua" w:cs="Arial"/>
          <w:sz w:val="24"/>
          <w:szCs w:val="24"/>
          <w:lang w:eastAsia="es-CR"/>
        </w:rPr>
        <w:t>78</w:t>
      </w:r>
      <w:r w:rsidRPr="009D2B4A">
        <w:rPr>
          <w:rFonts w:ascii="Book Antiqua" w:eastAsia="Calibri" w:hAnsi="Book Antiqua" w:cs="Arial"/>
          <w:sz w:val="24"/>
          <w:szCs w:val="24"/>
          <w:lang w:eastAsia="es-CR"/>
        </w:rPr>
        <w:t xml:space="preserve"> expedientes para un </w:t>
      </w:r>
      <w:r w:rsidR="008B3F81" w:rsidRPr="009D2B4A">
        <w:rPr>
          <w:rFonts w:ascii="Book Antiqua" w:eastAsia="Calibri" w:hAnsi="Book Antiqua" w:cs="Arial"/>
          <w:sz w:val="24"/>
          <w:szCs w:val="24"/>
          <w:lang w:eastAsia="es-CR"/>
        </w:rPr>
        <w:t>6</w:t>
      </w:r>
      <w:r w:rsidRPr="009D2B4A">
        <w:rPr>
          <w:rFonts w:ascii="Book Antiqua" w:eastAsia="Calibri" w:hAnsi="Book Antiqua" w:cs="Arial"/>
          <w:sz w:val="24"/>
          <w:szCs w:val="24"/>
          <w:lang w:eastAsia="es-CR"/>
        </w:rPr>
        <w:t>,</w:t>
      </w:r>
      <w:r w:rsidR="008B3F81" w:rsidRPr="009D2B4A">
        <w:rPr>
          <w:rFonts w:ascii="Book Antiqua" w:eastAsia="Calibri" w:hAnsi="Book Antiqua" w:cs="Arial"/>
          <w:sz w:val="24"/>
          <w:szCs w:val="24"/>
          <w:lang w:eastAsia="es-CR"/>
        </w:rPr>
        <w:t>8</w:t>
      </w:r>
      <w:r w:rsidR="00DA0F31" w:rsidRPr="009D2B4A">
        <w:rPr>
          <w:rFonts w:ascii="Book Antiqua" w:eastAsia="Calibri" w:hAnsi="Book Antiqua" w:cs="Arial"/>
          <w:sz w:val="24"/>
          <w:szCs w:val="24"/>
          <w:lang w:eastAsia="es-CR"/>
        </w:rPr>
        <w:t>4</w:t>
      </w:r>
      <w:r w:rsidRPr="009D2B4A">
        <w:rPr>
          <w:rFonts w:ascii="Book Antiqua" w:eastAsia="Calibri" w:hAnsi="Book Antiqua" w:cs="Arial"/>
          <w:sz w:val="24"/>
          <w:szCs w:val="24"/>
          <w:lang w:eastAsia="es-CR"/>
        </w:rPr>
        <w:t>%, proceso sumario que será objeto de modificaciones a</w:t>
      </w:r>
      <w:r w:rsidR="00110E4A" w:rsidRPr="009D2B4A">
        <w:rPr>
          <w:rFonts w:ascii="Book Antiqua" w:eastAsia="Calibri" w:hAnsi="Book Antiqua" w:cs="Arial"/>
          <w:sz w:val="24"/>
          <w:szCs w:val="24"/>
          <w:lang w:eastAsia="es-CR"/>
        </w:rPr>
        <w:t xml:space="preserve"> </w:t>
      </w:r>
      <w:r w:rsidRPr="009D2B4A">
        <w:rPr>
          <w:rFonts w:ascii="Book Antiqua" w:eastAsia="Calibri" w:hAnsi="Book Antiqua" w:cs="Arial"/>
          <w:sz w:val="24"/>
          <w:szCs w:val="24"/>
          <w:lang w:eastAsia="es-CR"/>
        </w:rPr>
        <w:t xml:space="preserve">nivel de competencia conforme la propuesta que se presente por parte de la Dirección de Planificación a Corte Plena. </w:t>
      </w:r>
    </w:p>
    <w:p w14:paraId="48020649"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Es importante indicar que con la desjudicialización que prevé el código de Familia, se estima una disminución de un 12,5</w:t>
      </w:r>
      <w:r w:rsidR="00DA0F31" w:rsidRPr="009D2B4A">
        <w:rPr>
          <w:rFonts w:ascii="Book Antiqua" w:eastAsia="Calibri" w:hAnsi="Book Antiqua" w:cs="Arial"/>
          <w:sz w:val="24"/>
          <w:szCs w:val="24"/>
          <w:lang w:eastAsia="es-CR"/>
        </w:rPr>
        <w:t>8</w:t>
      </w:r>
      <w:r w:rsidRPr="009D2B4A">
        <w:rPr>
          <w:rFonts w:ascii="Book Antiqua" w:eastAsia="Calibri" w:hAnsi="Book Antiqua" w:cs="Arial"/>
          <w:sz w:val="24"/>
          <w:szCs w:val="24"/>
          <w:lang w:eastAsia="es-CR"/>
        </w:rPr>
        <w:t>% en la entrada de asuntos nuevos, según las estimaciones realizadas, por ejemplo, en los procesos de Divorcio, solicitud de matrimonio, adopción, entre otros.</w:t>
      </w:r>
      <w:r w:rsidR="008C697C" w:rsidRPr="009D2B4A">
        <w:rPr>
          <w:rFonts w:ascii="Book Antiqua" w:eastAsia="Calibri" w:hAnsi="Book Antiqua" w:cs="Arial"/>
          <w:sz w:val="24"/>
          <w:szCs w:val="24"/>
          <w:lang w:eastAsia="es-CR"/>
        </w:rPr>
        <w:t xml:space="preserve"> Más asuntos en segunda instancia que puedan perder por el cambio procesal en Pensiones Alimentarias (dejan de existir las pensiones provisionales o definitivas).</w:t>
      </w:r>
    </w:p>
    <w:p w14:paraId="2D493058"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 xml:space="preserve">La salida de asuntos de los juzgados de la materia de Familia, durante los últimos años, está conformada por un </w:t>
      </w:r>
      <w:r w:rsidR="00C02DC3"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de casos inactivos y un 9</w:t>
      </w:r>
      <w:r w:rsidR="00C02DC3" w:rsidRPr="009D2B4A">
        <w:rPr>
          <w:rFonts w:ascii="Book Antiqua" w:eastAsia="Calibri" w:hAnsi="Book Antiqua" w:cs="Arial"/>
          <w:sz w:val="24"/>
          <w:szCs w:val="24"/>
          <w:lang w:eastAsia="es-CR"/>
        </w:rPr>
        <w:t>3</w:t>
      </w:r>
      <w:r w:rsidRPr="009D2B4A">
        <w:rPr>
          <w:rFonts w:ascii="Book Antiqua" w:eastAsia="Calibri" w:hAnsi="Book Antiqua" w:cs="Arial"/>
          <w:sz w:val="24"/>
          <w:szCs w:val="24"/>
          <w:lang w:eastAsia="es-CR"/>
        </w:rPr>
        <w:t>% de asuntos terminados, siendo el 20</w:t>
      </w:r>
      <w:r w:rsidR="008B3F81"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xml:space="preserve">1 el año en que se finalizaron más expedientes 24 </w:t>
      </w:r>
      <w:r w:rsidR="008B3F81" w:rsidRPr="009D2B4A">
        <w:rPr>
          <w:rFonts w:ascii="Book Antiqua" w:eastAsia="Calibri" w:hAnsi="Book Antiqua" w:cs="Arial"/>
          <w:sz w:val="24"/>
          <w:szCs w:val="24"/>
          <w:lang w:eastAsia="es-CR"/>
        </w:rPr>
        <w:t>29</w:t>
      </w:r>
      <w:r w:rsidRPr="009D2B4A">
        <w:rPr>
          <w:rFonts w:ascii="Book Antiqua" w:eastAsia="Calibri" w:hAnsi="Book Antiqua" w:cs="Arial"/>
          <w:sz w:val="24"/>
          <w:szCs w:val="24"/>
          <w:lang w:eastAsia="es-CR"/>
        </w:rPr>
        <w:t>9 y el menor el 20</w:t>
      </w:r>
      <w:r w:rsidR="001F28AF" w:rsidRPr="009D2B4A">
        <w:rPr>
          <w:rFonts w:ascii="Book Antiqua" w:eastAsia="Calibri" w:hAnsi="Book Antiqua" w:cs="Arial"/>
          <w:sz w:val="24"/>
          <w:szCs w:val="24"/>
          <w:lang w:eastAsia="es-CR"/>
        </w:rPr>
        <w:t>20</w:t>
      </w:r>
      <w:r w:rsidR="008B3F81" w:rsidRPr="009D2B4A">
        <w:rPr>
          <w:rFonts w:ascii="Book Antiqua" w:eastAsia="Calibri" w:hAnsi="Book Antiqua" w:cs="Arial"/>
          <w:sz w:val="24"/>
          <w:szCs w:val="24"/>
          <w:lang w:eastAsia="es-CR"/>
        </w:rPr>
        <w:t xml:space="preserve"> </w:t>
      </w:r>
      <w:r w:rsidRPr="009D2B4A">
        <w:rPr>
          <w:rFonts w:ascii="Book Antiqua" w:eastAsia="Calibri" w:hAnsi="Book Antiqua" w:cs="Arial"/>
          <w:sz w:val="24"/>
          <w:szCs w:val="24"/>
          <w:lang w:eastAsia="es-CR"/>
        </w:rPr>
        <w:t>con 1</w:t>
      </w:r>
      <w:r w:rsidR="008B3F81" w:rsidRPr="009D2B4A">
        <w:rPr>
          <w:rFonts w:ascii="Book Antiqua" w:eastAsia="Calibri" w:hAnsi="Book Antiqua" w:cs="Arial"/>
          <w:sz w:val="24"/>
          <w:szCs w:val="24"/>
          <w:lang w:eastAsia="es-CR"/>
        </w:rPr>
        <w:t>9 90</w:t>
      </w:r>
      <w:r w:rsidRPr="009D2B4A">
        <w:rPr>
          <w:rFonts w:ascii="Book Antiqua" w:eastAsia="Calibri" w:hAnsi="Book Antiqua" w:cs="Arial"/>
          <w:sz w:val="24"/>
          <w:szCs w:val="24"/>
          <w:lang w:eastAsia="es-CR"/>
        </w:rPr>
        <w:t>3 asuntos.</w:t>
      </w:r>
    </w:p>
    <w:p w14:paraId="4DEAB2CB"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En cuanto a los inactivos el 201</w:t>
      </w:r>
      <w:r w:rsidR="008B3F81"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xml:space="preserve"> fue el año donde se inactivaron más asuntos </w:t>
      </w:r>
      <w:r w:rsidR="008B3F81" w:rsidRPr="009D2B4A">
        <w:rPr>
          <w:rFonts w:ascii="Book Antiqua" w:eastAsia="Calibri" w:hAnsi="Book Antiqua" w:cs="Arial"/>
          <w:sz w:val="24"/>
          <w:szCs w:val="24"/>
          <w:lang w:eastAsia="es-CR"/>
        </w:rPr>
        <w:t>1 858</w:t>
      </w:r>
      <w:r w:rsidRPr="009D2B4A">
        <w:rPr>
          <w:rFonts w:ascii="Book Antiqua" w:eastAsia="Calibri" w:hAnsi="Book Antiqua" w:cs="Arial"/>
          <w:sz w:val="24"/>
          <w:szCs w:val="24"/>
          <w:lang w:eastAsia="es-CR"/>
        </w:rPr>
        <w:t xml:space="preserve"> y el menor fue el 20</w:t>
      </w:r>
      <w:r w:rsidR="008B3F81" w:rsidRPr="009D2B4A">
        <w:rPr>
          <w:rFonts w:ascii="Book Antiqua" w:eastAsia="Calibri" w:hAnsi="Book Antiqua" w:cs="Arial"/>
          <w:sz w:val="24"/>
          <w:szCs w:val="24"/>
          <w:lang w:eastAsia="es-CR"/>
        </w:rPr>
        <w:t>2</w:t>
      </w:r>
      <w:r w:rsidR="003D7398"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xml:space="preserve"> con 1 </w:t>
      </w:r>
      <w:r w:rsidR="008B3F81" w:rsidRPr="009D2B4A">
        <w:rPr>
          <w:rFonts w:ascii="Book Antiqua" w:eastAsia="Calibri" w:hAnsi="Book Antiqua" w:cs="Arial"/>
          <w:sz w:val="24"/>
          <w:szCs w:val="24"/>
          <w:lang w:eastAsia="es-CR"/>
        </w:rPr>
        <w:t>6</w:t>
      </w:r>
      <w:r w:rsidR="003D7398" w:rsidRPr="009D2B4A">
        <w:rPr>
          <w:rFonts w:ascii="Book Antiqua" w:eastAsia="Calibri" w:hAnsi="Book Antiqua" w:cs="Arial"/>
          <w:sz w:val="24"/>
          <w:szCs w:val="24"/>
          <w:lang w:eastAsia="es-CR"/>
        </w:rPr>
        <w:t>15</w:t>
      </w:r>
      <w:r w:rsidRPr="009D2B4A">
        <w:rPr>
          <w:rFonts w:ascii="Book Antiqua" w:eastAsia="Calibri" w:hAnsi="Book Antiqua" w:cs="Arial"/>
          <w:sz w:val="24"/>
          <w:szCs w:val="24"/>
          <w:lang w:eastAsia="es-CR"/>
        </w:rPr>
        <w:t xml:space="preserve"> expedientes, lo que refleja que los despachos durante este año inactivaron menos casos en las depuraciones de expedientes; es importante realizar la revisión de los expedientes que tienen más de 6 meses sin movimiento ya que la inactivación contribuye en la disminución del circulante activo.</w:t>
      </w:r>
    </w:p>
    <w:p w14:paraId="77214D41"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La cantidad de asuntos finalizados en segunda instancia para el periodo</w:t>
      </w:r>
      <w:r w:rsidR="008B3F81" w:rsidRPr="009D2B4A">
        <w:rPr>
          <w:rFonts w:ascii="Book Antiqua" w:eastAsia="Calibri" w:hAnsi="Book Antiqua" w:cs="Arial"/>
          <w:sz w:val="24"/>
          <w:szCs w:val="24"/>
          <w:lang w:eastAsia="es-CR"/>
        </w:rPr>
        <w:t xml:space="preserve"> </w:t>
      </w:r>
      <w:r w:rsidRPr="009D2B4A">
        <w:rPr>
          <w:rFonts w:ascii="Book Antiqua" w:eastAsia="Calibri" w:hAnsi="Book Antiqua" w:cs="Arial"/>
          <w:sz w:val="24"/>
          <w:szCs w:val="24"/>
          <w:lang w:eastAsia="es-CR"/>
        </w:rPr>
        <w:t>20</w:t>
      </w:r>
      <w:r w:rsidR="008B3F81"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18 al 20</w:t>
      </w:r>
      <w:r w:rsidR="008B3F81" w:rsidRPr="009D2B4A">
        <w:rPr>
          <w:rFonts w:ascii="Book Antiqua" w:eastAsia="Calibri" w:hAnsi="Book Antiqua" w:cs="Arial"/>
          <w:sz w:val="24"/>
          <w:szCs w:val="24"/>
          <w:lang w:eastAsia="es-CR"/>
        </w:rPr>
        <w:t>2</w:t>
      </w:r>
      <w:r w:rsidR="006807D0"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xml:space="preserve"> </w:t>
      </w:r>
      <w:r w:rsidR="00BE690B" w:rsidRPr="009D2B4A">
        <w:rPr>
          <w:rFonts w:ascii="Book Antiqua" w:eastAsia="Calibri" w:hAnsi="Book Antiqua" w:cs="Arial"/>
          <w:sz w:val="24"/>
          <w:szCs w:val="24"/>
          <w:lang w:eastAsia="es-CR"/>
        </w:rPr>
        <w:t>se tiene una disminución d</w:t>
      </w:r>
      <w:r w:rsidRPr="009D2B4A">
        <w:rPr>
          <w:rFonts w:ascii="Book Antiqua" w:eastAsia="Calibri" w:hAnsi="Book Antiqua" w:cs="Arial"/>
          <w:sz w:val="24"/>
          <w:szCs w:val="24"/>
          <w:lang w:eastAsia="es-CR"/>
        </w:rPr>
        <w:t>e</w:t>
      </w:r>
      <w:r w:rsidR="0084274C" w:rsidRPr="009D2B4A">
        <w:rPr>
          <w:rFonts w:ascii="Book Antiqua" w:eastAsia="Calibri" w:hAnsi="Book Antiqua" w:cs="Arial"/>
          <w:sz w:val="24"/>
          <w:szCs w:val="24"/>
          <w:lang w:eastAsia="es-CR"/>
        </w:rPr>
        <w:t xml:space="preserve"> </w:t>
      </w:r>
      <w:r w:rsidR="00C02DC3" w:rsidRPr="009D2B4A">
        <w:rPr>
          <w:rFonts w:ascii="Book Antiqua" w:eastAsia="Calibri" w:hAnsi="Book Antiqua" w:cs="Arial"/>
          <w:sz w:val="24"/>
          <w:szCs w:val="24"/>
          <w:lang w:eastAsia="es-CR"/>
        </w:rPr>
        <w:t>864</w:t>
      </w:r>
      <w:r w:rsidRPr="009D2B4A">
        <w:rPr>
          <w:rFonts w:ascii="Book Antiqua" w:eastAsia="Calibri" w:hAnsi="Book Antiqua" w:cs="Arial"/>
          <w:sz w:val="24"/>
          <w:szCs w:val="24"/>
          <w:lang w:eastAsia="es-CR"/>
        </w:rPr>
        <w:t xml:space="preserve"> </w:t>
      </w:r>
      <w:r w:rsidR="0084274C" w:rsidRPr="009D2B4A">
        <w:rPr>
          <w:rFonts w:ascii="Book Antiqua" w:eastAsia="Calibri" w:hAnsi="Book Antiqua" w:cs="Arial"/>
          <w:sz w:val="24"/>
          <w:szCs w:val="24"/>
          <w:lang w:eastAsia="es-CR"/>
        </w:rPr>
        <w:t>(</w:t>
      </w:r>
      <w:r w:rsidR="00C02DC3" w:rsidRPr="009D2B4A">
        <w:rPr>
          <w:rFonts w:ascii="Book Antiqua" w:eastAsia="Calibri" w:hAnsi="Book Antiqua" w:cs="Arial"/>
          <w:sz w:val="24"/>
          <w:szCs w:val="24"/>
          <w:lang w:eastAsia="es-CR"/>
        </w:rPr>
        <w:t>1</w:t>
      </w:r>
      <w:r w:rsidR="0084274C" w:rsidRPr="009D2B4A">
        <w:rPr>
          <w:rFonts w:ascii="Book Antiqua" w:eastAsia="Calibri" w:hAnsi="Book Antiqua" w:cs="Arial"/>
          <w:sz w:val="24"/>
          <w:szCs w:val="24"/>
          <w:lang w:eastAsia="es-CR"/>
        </w:rPr>
        <w:t xml:space="preserve">6%) para el </w:t>
      </w:r>
      <w:r w:rsidR="002C2A54" w:rsidRPr="009D2B4A">
        <w:rPr>
          <w:rFonts w:ascii="Book Antiqua" w:eastAsia="Calibri" w:hAnsi="Book Antiqua" w:cs="Arial"/>
          <w:sz w:val="24"/>
          <w:szCs w:val="24"/>
          <w:lang w:eastAsia="es-CR"/>
        </w:rPr>
        <w:t>20</w:t>
      </w:r>
      <w:r w:rsidR="0084274C" w:rsidRPr="009D2B4A">
        <w:rPr>
          <w:rFonts w:ascii="Book Antiqua" w:eastAsia="Calibri" w:hAnsi="Book Antiqua" w:cs="Arial"/>
          <w:sz w:val="24"/>
          <w:szCs w:val="24"/>
          <w:lang w:eastAsia="es-CR"/>
        </w:rPr>
        <w:t>22</w:t>
      </w:r>
      <w:r w:rsidRPr="009D2B4A">
        <w:rPr>
          <w:rFonts w:ascii="Book Antiqua" w:eastAsia="Calibri" w:hAnsi="Book Antiqua" w:cs="Arial"/>
          <w:sz w:val="24"/>
          <w:szCs w:val="24"/>
          <w:lang w:eastAsia="es-CR"/>
        </w:rPr>
        <w:t xml:space="preserve">, y en cuanto a los casos fenecidos de incidentes se </w:t>
      </w:r>
      <w:r w:rsidR="00732931" w:rsidRPr="009D2B4A">
        <w:rPr>
          <w:rFonts w:ascii="Book Antiqua" w:eastAsia="Calibri" w:hAnsi="Book Antiqua" w:cs="Arial"/>
          <w:sz w:val="24"/>
          <w:szCs w:val="24"/>
          <w:lang w:eastAsia="es-CR"/>
        </w:rPr>
        <w:t>tiene un aumento de</w:t>
      </w:r>
      <w:r w:rsidR="00ED4D5F" w:rsidRPr="009D2B4A">
        <w:rPr>
          <w:rFonts w:ascii="Book Antiqua" w:eastAsia="Calibri" w:hAnsi="Book Antiqua" w:cs="Arial"/>
          <w:sz w:val="24"/>
          <w:szCs w:val="24"/>
          <w:lang w:eastAsia="es-CR"/>
        </w:rPr>
        <w:t>l</w:t>
      </w:r>
      <w:r w:rsidRPr="009D2B4A">
        <w:rPr>
          <w:rFonts w:ascii="Book Antiqua" w:eastAsia="Calibri" w:hAnsi="Book Antiqua" w:cs="Arial"/>
          <w:sz w:val="24"/>
          <w:szCs w:val="24"/>
          <w:lang w:eastAsia="es-CR"/>
        </w:rPr>
        <w:t xml:space="preserve"> </w:t>
      </w:r>
      <w:r w:rsidR="00C02DC3"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en el 20</w:t>
      </w:r>
      <w:r w:rsidR="002C2A54" w:rsidRPr="009D2B4A">
        <w:rPr>
          <w:rFonts w:ascii="Book Antiqua" w:eastAsia="Calibri" w:hAnsi="Book Antiqua" w:cs="Arial"/>
          <w:sz w:val="24"/>
          <w:szCs w:val="24"/>
          <w:lang w:eastAsia="es-CR"/>
        </w:rPr>
        <w:t>2</w:t>
      </w:r>
      <w:r w:rsidR="00732931"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xml:space="preserve"> en comparación con el 20</w:t>
      </w:r>
      <w:r w:rsidR="002C2A54" w:rsidRPr="009D2B4A">
        <w:rPr>
          <w:rFonts w:ascii="Book Antiqua" w:eastAsia="Calibri" w:hAnsi="Book Antiqua" w:cs="Arial"/>
          <w:sz w:val="24"/>
          <w:szCs w:val="24"/>
          <w:lang w:eastAsia="es-CR"/>
        </w:rPr>
        <w:t>2</w:t>
      </w:r>
      <w:r w:rsidR="00ED4D5F" w:rsidRPr="009D2B4A">
        <w:rPr>
          <w:rFonts w:ascii="Book Antiqua" w:eastAsia="Calibri" w:hAnsi="Book Antiqua" w:cs="Arial"/>
          <w:sz w:val="24"/>
          <w:szCs w:val="24"/>
          <w:lang w:eastAsia="es-CR"/>
        </w:rPr>
        <w:t>1</w:t>
      </w:r>
      <w:r w:rsidRPr="009D2B4A">
        <w:rPr>
          <w:rFonts w:ascii="Book Antiqua" w:eastAsia="Calibri" w:hAnsi="Book Antiqua" w:cs="Arial"/>
          <w:sz w:val="24"/>
          <w:szCs w:val="24"/>
          <w:lang w:eastAsia="es-CR"/>
        </w:rPr>
        <w:t>.</w:t>
      </w:r>
    </w:p>
    <w:p w14:paraId="32DA0803" w14:textId="77777777" w:rsidR="009D2B4A" w:rsidRDefault="00C02DC3"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Para el periodo 2017-2022, en</w:t>
      </w:r>
      <w:r w:rsidR="006F6088" w:rsidRPr="009D2B4A">
        <w:rPr>
          <w:rFonts w:ascii="Book Antiqua" w:eastAsia="Calibri" w:hAnsi="Book Antiqua" w:cs="Arial"/>
          <w:sz w:val="24"/>
          <w:szCs w:val="24"/>
          <w:lang w:eastAsia="es-CR"/>
        </w:rPr>
        <w:t xml:space="preserve"> promedio una persona juzgadora finaliza </w:t>
      </w:r>
      <w:r w:rsidR="00F437E0" w:rsidRPr="009D2B4A">
        <w:rPr>
          <w:rFonts w:ascii="Book Antiqua" w:eastAsia="Calibri" w:hAnsi="Book Antiqua" w:cs="Arial"/>
          <w:sz w:val="24"/>
          <w:szCs w:val="24"/>
          <w:lang w:eastAsia="es-CR"/>
        </w:rPr>
        <w:t>5</w:t>
      </w:r>
      <w:r w:rsidRPr="009D2B4A">
        <w:rPr>
          <w:rFonts w:ascii="Book Antiqua" w:eastAsia="Calibri" w:hAnsi="Book Antiqua" w:cs="Arial"/>
          <w:sz w:val="24"/>
          <w:szCs w:val="24"/>
          <w:lang w:eastAsia="es-CR"/>
        </w:rPr>
        <w:t>9</w:t>
      </w:r>
      <w:r w:rsidR="006F6088" w:rsidRPr="009D2B4A">
        <w:rPr>
          <w:rFonts w:ascii="Book Antiqua" w:eastAsia="Calibri" w:hAnsi="Book Antiqua" w:cs="Arial"/>
          <w:sz w:val="24"/>
          <w:szCs w:val="24"/>
          <w:lang w:eastAsia="es-CR"/>
        </w:rPr>
        <w:t xml:space="preserve"> expedientes mensuales, con una entrada promedio por mes de </w:t>
      </w:r>
      <w:r w:rsidR="002805D3" w:rsidRPr="009D2B4A">
        <w:rPr>
          <w:rFonts w:ascii="Book Antiqua" w:eastAsia="Calibri" w:hAnsi="Book Antiqua" w:cs="Arial"/>
          <w:sz w:val="24"/>
          <w:szCs w:val="24"/>
          <w:lang w:eastAsia="es-CR"/>
        </w:rPr>
        <w:t>8</w:t>
      </w:r>
      <w:r w:rsidRPr="009D2B4A">
        <w:rPr>
          <w:rFonts w:ascii="Book Antiqua" w:eastAsia="Calibri" w:hAnsi="Book Antiqua" w:cs="Arial"/>
          <w:sz w:val="24"/>
          <w:szCs w:val="24"/>
          <w:lang w:eastAsia="es-CR"/>
        </w:rPr>
        <w:t>1</w:t>
      </w:r>
      <w:r w:rsidR="006F6088" w:rsidRPr="009D2B4A">
        <w:rPr>
          <w:rFonts w:ascii="Book Antiqua" w:eastAsia="Calibri" w:hAnsi="Book Antiqua" w:cs="Arial"/>
          <w:sz w:val="24"/>
          <w:szCs w:val="24"/>
          <w:lang w:eastAsia="es-CR"/>
        </w:rPr>
        <w:t xml:space="preserve"> asuntos, </w:t>
      </w:r>
      <w:r w:rsidRPr="009D2B4A">
        <w:rPr>
          <w:rFonts w:ascii="Book Antiqua" w:eastAsia="Calibri" w:hAnsi="Book Antiqua" w:cs="Arial"/>
          <w:sz w:val="24"/>
          <w:szCs w:val="24"/>
          <w:lang w:eastAsia="es-CR"/>
        </w:rPr>
        <w:t xml:space="preserve">por lo tanto, para este periodo </w:t>
      </w:r>
      <w:r w:rsidR="002C2A54" w:rsidRPr="009D2B4A">
        <w:rPr>
          <w:rFonts w:ascii="Book Antiqua" w:eastAsia="Calibri" w:hAnsi="Book Antiqua" w:cs="Arial"/>
          <w:sz w:val="24"/>
          <w:szCs w:val="24"/>
          <w:lang w:eastAsia="es-CR"/>
        </w:rPr>
        <w:t>no</w:t>
      </w:r>
      <w:r w:rsidR="006F6088" w:rsidRPr="009D2B4A">
        <w:rPr>
          <w:rFonts w:ascii="Book Antiqua" w:eastAsia="Calibri" w:hAnsi="Book Antiqua" w:cs="Arial"/>
          <w:sz w:val="24"/>
          <w:szCs w:val="24"/>
          <w:lang w:eastAsia="es-CR"/>
        </w:rPr>
        <w:t xml:space="preserve"> se está logrando terminar lo que ingresa</w:t>
      </w:r>
      <w:r w:rsidRPr="009D2B4A">
        <w:rPr>
          <w:rFonts w:ascii="Book Antiqua" w:eastAsia="Calibri" w:hAnsi="Book Antiqua" w:cs="Arial"/>
          <w:sz w:val="24"/>
          <w:szCs w:val="24"/>
          <w:lang w:eastAsia="es-CR"/>
        </w:rPr>
        <w:t>, sin embargo, para el 2022, se logró finalizar más de lo que ingresó, lo que contribuyó a disminuir el circulante en 5%, respecto al 2021</w:t>
      </w:r>
      <w:r w:rsidR="006F6088" w:rsidRPr="009D2B4A">
        <w:rPr>
          <w:rFonts w:ascii="Book Antiqua" w:eastAsia="Calibri" w:hAnsi="Book Antiqua" w:cs="Arial"/>
          <w:sz w:val="24"/>
          <w:szCs w:val="24"/>
          <w:lang w:eastAsia="es-CR"/>
        </w:rPr>
        <w:t>.</w:t>
      </w:r>
    </w:p>
    <w:p w14:paraId="31F4F6D5"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 xml:space="preserve">Durante los años </w:t>
      </w:r>
      <w:r w:rsidR="00645DAD" w:rsidRPr="009D2B4A">
        <w:rPr>
          <w:rFonts w:ascii="Book Antiqua" w:eastAsia="Calibri" w:hAnsi="Book Antiqua" w:cs="Arial"/>
          <w:sz w:val="24"/>
          <w:szCs w:val="24"/>
          <w:lang w:eastAsia="es-CR"/>
        </w:rPr>
        <w:t>del 2017 al 202</w:t>
      </w:r>
      <w:r w:rsidR="00873925" w:rsidRPr="009D2B4A">
        <w:rPr>
          <w:rFonts w:ascii="Book Antiqua" w:eastAsia="Calibri" w:hAnsi="Book Antiqua" w:cs="Arial"/>
          <w:sz w:val="24"/>
          <w:szCs w:val="24"/>
          <w:lang w:eastAsia="es-CR"/>
        </w:rPr>
        <w:t>0</w:t>
      </w:r>
      <w:r w:rsidR="00645DAD" w:rsidRPr="009D2B4A">
        <w:rPr>
          <w:rFonts w:ascii="Book Antiqua" w:eastAsia="Calibri" w:hAnsi="Book Antiqua" w:cs="Arial"/>
          <w:sz w:val="24"/>
          <w:szCs w:val="24"/>
          <w:lang w:eastAsia="es-CR"/>
        </w:rPr>
        <w:t xml:space="preserve"> </w:t>
      </w:r>
      <w:r w:rsidRPr="009D2B4A">
        <w:rPr>
          <w:rFonts w:ascii="Book Antiqua" w:eastAsia="Calibri" w:hAnsi="Book Antiqua" w:cs="Arial"/>
          <w:sz w:val="24"/>
          <w:szCs w:val="24"/>
          <w:lang w:eastAsia="es-CR"/>
        </w:rPr>
        <w:t xml:space="preserve">se ha dado un crecimiento en el circulante de las oficinas especializadas en materia de Familia, pasando de 13 </w:t>
      </w:r>
      <w:r w:rsidR="00645DAD" w:rsidRPr="009D2B4A">
        <w:rPr>
          <w:rFonts w:ascii="Book Antiqua" w:eastAsia="Calibri" w:hAnsi="Book Antiqua" w:cs="Arial"/>
          <w:sz w:val="24"/>
          <w:szCs w:val="24"/>
          <w:lang w:eastAsia="es-CR"/>
        </w:rPr>
        <w:t>69</w:t>
      </w:r>
      <w:r w:rsidRPr="009D2B4A">
        <w:rPr>
          <w:rFonts w:ascii="Book Antiqua" w:eastAsia="Calibri" w:hAnsi="Book Antiqua" w:cs="Arial"/>
          <w:sz w:val="24"/>
          <w:szCs w:val="24"/>
          <w:lang w:eastAsia="es-CR"/>
        </w:rPr>
        <w:t>8 casos activos al finalizar el 201</w:t>
      </w:r>
      <w:r w:rsidR="00645DAD"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xml:space="preserve"> a 1</w:t>
      </w:r>
      <w:r w:rsidR="00645DAD" w:rsidRPr="009D2B4A">
        <w:rPr>
          <w:rFonts w:ascii="Book Antiqua" w:eastAsia="Calibri" w:hAnsi="Book Antiqua" w:cs="Arial"/>
          <w:sz w:val="24"/>
          <w:szCs w:val="24"/>
          <w:lang w:eastAsia="es-CR"/>
        </w:rPr>
        <w:t>4</w:t>
      </w:r>
      <w:r w:rsidRPr="009D2B4A">
        <w:rPr>
          <w:rFonts w:ascii="Book Antiqua" w:eastAsia="Calibri" w:hAnsi="Book Antiqua" w:cs="Arial"/>
          <w:sz w:val="24"/>
          <w:szCs w:val="24"/>
          <w:lang w:eastAsia="es-CR"/>
        </w:rPr>
        <w:t xml:space="preserve"> 4</w:t>
      </w:r>
      <w:r w:rsidR="00645DAD" w:rsidRPr="009D2B4A">
        <w:rPr>
          <w:rFonts w:ascii="Book Antiqua" w:eastAsia="Calibri" w:hAnsi="Book Antiqua" w:cs="Arial"/>
          <w:sz w:val="24"/>
          <w:szCs w:val="24"/>
          <w:lang w:eastAsia="es-CR"/>
        </w:rPr>
        <w:t>4</w:t>
      </w:r>
      <w:r w:rsidR="004C1F37"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xml:space="preserve"> en 20</w:t>
      </w:r>
      <w:r w:rsidR="00645DAD" w:rsidRPr="009D2B4A">
        <w:rPr>
          <w:rFonts w:ascii="Book Antiqua" w:eastAsia="Calibri" w:hAnsi="Book Antiqua" w:cs="Arial"/>
          <w:sz w:val="24"/>
          <w:szCs w:val="24"/>
          <w:lang w:eastAsia="es-CR"/>
        </w:rPr>
        <w:t>20</w:t>
      </w:r>
      <w:r w:rsidR="004C1F37" w:rsidRPr="009D2B4A">
        <w:rPr>
          <w:rFonts w:ascii="Book Antiqua" w:eastAsia="Calibri" w:hAnsi="Book Antiqua" w:cs="Arial"/>
          <w:sz w:val="24"/>
          <w:szCs w:val="24"/>
          <w:lang w:eastAsia="es-CR"/>
        </w:rPr>
        <w:t xml:space="preserve">, pero para el periodo 2021-2022, </w:t>
      </w:r>
      <w:r w:rsidRPr="009D2B4A">
        <w:rPr>
          <w:rFonts w:ascii="Book Antiqua" w:eastAsia="Calibri" w:hAnsi="Book Antiqua" w:cs="Arial"/>
          <w:sz w:val="24"/>
          <w:szCs w:val="24"/>
          <w:lang w:eastAsia="es-CR"/>
        </w:rPr>
        <w:t xml:space="preserve">se reportan en los Juzgados Especializados </w:t>
      </w:r>
      <w:r w:rsidR="002474BB" w:rsidRPr="009D2B4A">
        <w:rPr>
          <w:rFonts w:ascii="Book Antiqua" w:eastAsia="Calibri" w:hAnsi="Book Antiqua" w:cs="Arial"/>
          <w:sz w:val="24"/>
          <w:szCs w:val="24"/>
          <w:lang w:eastAsia="es-CR"/>
        </w:rPr>
        <w:t xml:space="preserve">una disminución en el </w:t>
      </w:r>
      <w:r w:rsidRPr="009D2B4A">
        <w:rPr>
          <w:rFonts w:ascii="Book Antiqua" w:eastAsia="Calibri" w:hAnsi="Book Antiqua" w:cs="Arial"/>
          <w:sz w:val="24"/>
          <w:szCs w:val="24"/>
          <w:lang w:eastAsia="es-CR"/>
        </w:rPr>
        <w:t>circulante</w:t>
      </w:r>
      <w:r w:rsidR="006659BC" w:rsidRPr="009D2B4A">
        <w:rPr>
          <w:rFonts w:ascii="Book Antiqua" w:eastAsia="Calibri" w:hAnsi="Book Antiqua" w:cs="Arial"/>
          <w:sz w:val="24"/>
          <w:szCs w:val="24"/>
          <w:lang w:eastAsia="es-CR"/>
        </w:rPr>
        <w:t xml:space="preserve">, cerrando el 2022 con </w:t>
      </w:r>
      <w:r w:rsidRPr="009D2B4A">
        <w:rPr>
          <w:rFonts w:ascii="Book Antiqua" w:eastAsia="Calibri" w:hAnsi="Book Antiqua" w:cs="Arial"/>
          <w:sz w:val="24"/>
          <w:szCs w:val="24"/>
          <w:lang w:eastAsia="es-CR"/>
        </w:rPr>
        <w:t>1</w:t>
      </w:r>
      <w:r w:rsidR="006659BC" w:rsidRPr="009D2B4A">
        <w:rPr>
          <w:rFonts w:ascii="Book Antiqua" w:eastAsia="Calibri" w:hAnsi="Book Antiqua" w:cs="Arial"/>
          <w:sz w:val="24"/>
          <w:szCs w:val="24"/>
          <w:lang w:eastAsia="es-CR"/>
        </w:rPr>
        <w:t>2 829 asuntos</w:t>
      </w:r>
      <w:r w:rsidRPr="009D2B4A">
        <w:rPr>
          <w:rFonts w:ascii="Book Antiqua" w:eastAsia="Calibri" w:hAnsi="Book Antiqua" w:cs="Arial"/>
          <w:sz w:val="24"/>
          <w:szCs w:val="24"/>
          <w:lang w:eastAsia="es-CR"/>
        </w:rPr>
        <w:t>.</w:t>
      </w:r>
    </w:p>
    <w:p w14:paraId="442B6D4C" w14:textId="77777777" w:rsidR="009D2B4A" w:rsidRDefault="00C02DC3"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 xml:space="preserve">La duración de los procesos en los juzgados especializados de familia para el 2022 es de 8 meses, 2 semanas, siendo el </w:t>
      </w:r>
      <w:r w:rsidR="00C73274" w:rsidRPr="009D2B4A">
        <w:rPr>
          <w:rFonts w:ascii="Book Antiqua" w:eastAsia="Calibri" w:hAnsi="Book Antiqua" w:cs="Arial"/>
          <w:sz w:val="24"/>
          <w:szCs w:val="24"/>
          <w:lang w:eastAsia="es-CR"/>
        </w:rPr>
        <w:t xml:space="preserve">de menor duración, el </w:t>
      </w:r>
      <w:r w:rsidRPr="009D2B4A">
        <w:rPr>
          <w:rFonts w:ascii="Book Antiqua" w:eastAsia="Calibri" w:hAnsi="Book Antiqua" w:cs="Arial"/>
          <w:sz w:val="24"/>
          <w:szCs w:val="24"/>
          <w:lang w:eastAsia="es-CR"/>
        </w:rPr>
        <w:t xml:space="preserve">proceso </w:t>
      </w:r>
      <w:r w:rsidR="00C73274" w:rsidRPr="009D2B4A">
        <w:rPr>
          <w:rFonts w:ascii="Book Antiqua" w:eastAsia="Calibri" w:hAnsi="Book Antiqua" w:cs="Arial"/>
          <w:sz w:val="24"/>
          <w:szCs w:val="24"/>
          <w:lang w:eastAsia="es-CR"/>
        </w:rPr>
        <w:t>de arreglo extrajudicial sin homologación con una duración de un mes, y el de mayor tiempo, el de muerte de algunas de las partes 17 meses, una semana.</w:t>
      </w:r>
    </w:p>
    <w:p w14:paraId="519EEB49"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 xml:space="preserve">Un </w:t>
      </w:r>
      <w:r w:rsidR="00C34202" w:rsidRPr="009D2B4A">
        <w:rPr>
          <w:rFonts w:ascii="Book Antiqua" w:eastAsia="Calibri" w:hAnsi="Book Antiqua" w:cs="Arial"/>
          <w:sz w:val="24"/>
          <w:szCs w:val="24"/>
          <w:lang w:eastAsia="es-CR"/>
        </w:rPr>
        <w:t>6</w:t>
      </w:r>
      <w:r w:rsidR="00C73274" w:rsidRPr="009D2B4A">
        <w:rPr>
          <w:rFonts w:ascii="Book Antiqua" w:eastAsia="Calibri" w:hAnsi="Book Antiqua" w:cs="Arial"/>
          <w:sz w:val="24"/>
          <w:szCs w:val="24"/>
          <w:lang w:eastAsia="es-CR"/>
        </w:rPr>
        <w:t>6</w:t>
      </w:r>
      <w:r w:rsidRPr="009D2B4A">
        <w:rPr>
          <w:rFonts w:ascii="Book Antiqua" w:eastAsia="Calibri" w:hAnsi="Book Antiqua" w:cs="Arial"/>
          <w:sz w:val="24"/>
          <w:szCs w:val="24"/>
          <w:lang w:eastAsia="es-CR"/>
        </w:rPr>
        <w:t xml:space="preserve">% de los expedientes están en fase de Demanda, </w:t>
      </w:r>
      <w:r w:rsidR="00C73274" w:rsidRPr="009D2B4A">
        <w:rPr>
          <w:rFonts w:ascii="Book Antiqua" w:eastAsia="Calibri" w:hAnsi="Book Antiqua" w:cs="Arial"/>
          <w:sz w:val="24"/>
          <w:szCs w:val="24"/>
          <w:lang w:eastAsia="es-CR"/>
        </w:rPr>
        <w:t>24</w:t>
      </w:r>
      <w:r w:rsidRPr="009D2B4A">
        <w:rPr>
          <w:rFonts w:ascii="Book Antiqua" w:eastAsia="Calibri" w:hAnsi="Book Antiqua" w:cs="Arial"/>
          <w:sz w:val="24"/>
          <w:szCs w:val="24"/>
          <w:lang w:eastAsia="es-CR"/>
        </w:rPr>
        <w:t xml:space="preserve">% en </w:t>
      </w:r>
      <w:r w:rsidR="00FD1CDD" w:rsidRPr="009D2B4A">
        <w:rPr>
          <w:rFonts w:ascii="Book Antiqua" w:eastAsia="Calibri" w:hAnsi="Book Antiqua" w:cs="Arial"/>
          <w:sz w:val="24"/>
          <w:szCs w:val="24"/>
          <w:lang w:eastAsia="es-CR"/>
        </w:rPr>
        <w:t xml:space="preserve">Demostrativa, 9% en </w:t>
      </w:r>
      <w:r w:rsidRPr="009D2B4A">
        <w:rPr>
          <w:rFonts w:ascii="Book Antiqua" w:eastAsia="Calibri" w:hAnsi="Book Antiqua" w:cs="Arial"/>
          <w:sz w:val="24"/>
          <w:szCs w:val="24"/>
          <w:lang w:eastAsia="es-CR"/>
        </w:rPr>
        <w:t xml:space="preserve">Conclusiva y </w:t>
      </w:r>
      <w:r w:rsidR="00C73274" w:rsidRPr="009D2B4A">
        <w:rPr>
          <w:rFonts w:ascii="Book Antiqua" w:eastAsia="Calibri" w:hAnsi="Book Antiqua" w:cs="Arial"/>
          <w:sz w:val="24"/>
          <w:szCs w:val="24"/>
          <w:lang w:eastAsia="es-CR"/>
        </w:rPr>
        <w:t>1</w:t>
      </w:r>
      <w:r w:rsidRPr="009D2B4A">
        <w:rPr>
          <w:rFonts w:ascii="Book Antiqua" w:eastAsia="Calibri" w:hAnsi="Book Antiqua" w:cs="Arial"/>
          <w:sz w:val="24"/>
          <w:szCs w:val="24"/>
          <w:lang w:eastAsia="es-CR"/>
        </w:rPr>
        <w:t>% en Ejecución; además, para el periodo del 201</w:t>
      </w:r>
      <w:r w:rsidR="008E1533"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xml:space="preserve"> al 20</w:t>
      </w:r>
      <w:r w:rsidR="008E1533" w:rsidRPr="009D2B4A">
        <w:rPr>
          <w:rFonts w:ascii="Book Antiqua" w:eastAsia="Calibri" w:hAnsi="Book Antiqua" w:cs="Arial"/>
          <w:sz w:val="24"/>
          <w:szCs w:val="24"/>
          <w:lang w:eastAsia="es-CR"/>
        </w:rPr>
        <w:t>2</w:t>
      </w:r>
      <w:r w:rsidR="0009415F"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se identific</w:t>
      </w:r>
      <w:r w:rsidR="00EC38FB" w:rsidRPr="009D2B4A">
        <w:rPr>
          <w:rFonts w:ascii="Book Antiqua" w:eastAsia="Calibri" w:hAnsi="Book Antiqua" w:cs="Arial"/>
          <w:sz w:val="24"/>
          <w:szCs w:val="24"/>
          <w:lang w:eastAsia="es-CR"/>
        </w:rPr>
        <w:t xml:space="preserve">aron </w:t>
      </w:r>
      <w:r w:rsidR="00C73274" w:rsidRPr="009D2B4A">
        <w:rPr>
          <w:rFonts w:ascii="Book Antiqua" w:eastAsia="Calibri" w:hAnsi="Book Antiqua" w:cs="Arial"/>
          <w:sz w:val="24"/>
          <w:szCs w:val="24"/>
          <w:lang w:eastAsia="es-CR"/>
        </w:rPr>
        <w:t>102</w:t>
      </w:r>
      <w:r w:rsidR="00EC38FB" w:rsidRPr="009D2B4A">
        <w:rPr>
          <w:rFonts w:ascii="Book Antiqua" w:eastAsia="Calibri" w:hAnsi="Book Antiqua" w:cs="Arial"/>
          <w:sz w:val="24"/>
          <w:szCs w:val="24"/>
          <w:lang w:eastAsia="es-CR"/>
        </w:rPr>
        <w:t xml:space="preserve"> </w:t>
      </w:r>
      <w:r w:rsidRPr="009D2B4A">
        <w:rPr>
          <w:rFonts w:ascii="Book Antiqua" w:eastAsia="Calibri" w:hAnsi="Book Antiqua" w:cs="Arial"/>
          <w:sz w:val="24"/>
          <w:szCs w:val="24"/>
          <w:lang w:eastAsia="es-CR"/>
        </w:rPr>
        <w:t>expedientes que no tenían fase, es importante mantener la información actualizada de los expedientes porque es insumo para la toma de decisiones por lo que debe ser veraz y confiable.</w:t>
      </w:r>
    </w:p>
    <w:p w14:paraId="42329437"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Según el periodo analizado del 201</w:t>
      </w:r>
      <w:r w:rsidR="00C34202"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xml:space="preserve"> al 20</w:t>
      </w:r>
      <w:r w:rsidR="00C34202" w:rsidRPr="009D2B4A">
        <w:rPr>
          <w:rFonts w:ascii="Book Antiqua" w:eastAsia="Calibri" w:hAnsi="Book Antiqua" w:cs="Arial"/>
          <w:sz w:val="24"/>
          <w:szCs w:val="24"/>
          <w:lang w:eastAsia="es-CR"/>
        </w:rPr>
        <w:t>2</w:t>
      </w:r>
      <w:r w:rsidR="0009415F"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a nivel nacional para el 20</w:t>
      </w:r>
      <w:r w:rsidR="00C34202" w:rsidRPr="009D2B4A">
        <w:rPr>
          <w:rFonts w:ascii="Book Antiqua" w:eastAsia="Calibri" w:hAnsi="Book Antiqua" w:cs="Arial"/>
          <w:sz w:val="24"/>
          <w:szCs w:val="24"/>
          <w:lang w:eastAsia="es-CR"/>
        </w:rPr>
        <w:t>2</w:t>
      </w:r>
      <w:r w:rsidR="00C22974"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xml:space="preserve"> se registra un promedio mensual de efectividad en los señalamientos de las audiencias de un </w:t>
      </w:r>
      <w:r w:rsidR="00C73274" w:rsidRPr="009D2B4A">
        <w:rPr>
          <w:rFonts w:ascii="Book Antiqua" w:eastAsia="Calibri" w:hAnsi="Book Antiqua" w:cs="Arial"/>
          <w:sz w:val="24"/>
          <w:szCs w:val="24"/>
          <w:lang w:eastAsia="es-CR"/>
        </w:rPr>
        <w:t>58</w:t>
      </w:r>
      <w:r w:rsidRPr="009D2B4A">
        <w:rPr>
          <w:rFonts w:ascii="Book Antiqua" w:eastAsia="Calibri" w:hAnsi="Book Antiqua" w:cs="Arial"/>
          <w:sz w:val="24"/>
          <w:szCs w:val="24"/>
          <w:lang w:eastAsia="es-CR"/>
        </w:rPr>
        <w:t>%</w:t>
      </w:r>
      <w:r w:rsidR="00C73274" w:rsidRPr="009D2B4A">
        <w:rPr>
          <w:rFonts w:ascii="Book Antiqua" w:eastAsia="Calibri" w:hAnsi="Book Antiqua" w:cs="Arial"/>
          <w:sz w:val="24"/>
          <w:szCs w:val="24"/>
          <w:lang w:eastAsia="es-CR"/>
        </w:rPr>
        <w:t>, el 2021 registro el mayor porcentaje con un 67%</w:t>
      </w:r>
      <w:r w:rsidRPr="009D2B4A">
        <w:rPr>
          <w:rFonts w:ascii="Book Antiqua" w:eastAsia="Calibri" w:hAnsi="Book Antiqua" w:cs="Arial"/>
          <w:sz w:val="24"/>
          <w:szCs w:val="24"/>
          <w:lang w:eastAsia="es-CR"/>
        </w:rPr>
        <w:t xml:space="preserve"> y el menor en el 20</w:t>
      </w:r>
      <w:r w:rsidR="00C34202" w:rsidRPr="009D2B4A">
        <w:rPr>
          <w:rFonts w:ascii="Book Antiqua" w:eastAsia="Calibri" w:hAnsi="Book Antiqua" w:cs="Arial"/>
          <w:sz w:val="24"/>
          <w:szCs w:val="24"/>
          <w:lang w:eastAsia="es-CR"/>
        </w:rPr>
        <w:t>20</w:t>
      </w:r>
      <w:r w:rsidRPr="009D2B4A">
        <w:rPr>
          <w:rFonts w:ascii="Book Antiqua" w:eastAsia="Calibri" w:hAnsi="Book Antiqua" w:cs="Arial"/>
          <w:sz w:val="24"/>
          <w:szCs w:val="24"/>
          <w:lang w:eastAsia="es-CR"/>
        </w:rPr>
        <w:t xml:space="preserve"> con un </w:t>
      </w:r>
      <w:r w:rsidR="00C34202" w:rsidRPr="009D2B4A">
        <w:rPr>
          <w:rFonts w:ascii="Book Antiqua" w:eastAsia="Calibri" w:hAnsi="Book Antiqua" w:cs="Arial"/>
          <w:sz w:val="24"/>
          <w:szCs w:val="24"/>
          <w:lang w:eastAsia="es-CR"/>
        </w:rPr>
        <w:t>46</w:t>
      </w:r>
      <w:r w:rsidRPr="009D2B4A">
        <w:rPr>
          <w:rFonts w:ascii="Book Antiqua" w:eastAsia="Calibri" w:hAnsi="Book Antiqua" w:cs="Arial"/>
          <w:sz w:val="24"/>
          <w:szCs w:val="24"/>
          <w:lang w:eastAsia="es-CR"/>
        </w:rPr>
        <w:t xml:space="preserve">%, lo que refleja un aumento del </w:t>
      </w:r>
      <w:r w:rsidR="00C73274" w:rsidRPr="009D2B4A">
        <w:rPr>
          <w:rFonts w:ascii="Book Antiqua" w:eastAsia="Calibri" w:hAnsi="Book Antiqua" w:cs="Arial"/>
          <w:sz w:val="24"/>
          <w:szCs w:val="24"/>
          <w:lang w:eastAsia="es-CR"/>
        </w:rPr>
        <w:t>2</w:t>
      </w:r>
      <w:r w:rsidR="0024077A" w:rsidRPr="009D2B4A">
        <w:rPr>
          <w:rFonts w:ascii="Book Antiqua" w:eastAsia="Calibri" w:hAnsi="Book Antiqua" w:cs="Arial"/>
          <w:sz w:val="24"/>
          <w:szCs w:val="24"/>
          <w:lang w:eastAsia="es-CR"/>
        </w:rPr>
        <w:t>1</w:t>
      </w:r>
      <w:r w:rsidRPr="009D2B4A">
        <w:rPr>
          <w:rFonts w:ascii="Book Antiqua" w:eastAsia="Calibri" w:hAnsi="Book Antiqua" w:cs="Arial"/>
          <w:sz w:val="24"/>
          <w:szCs w:val="24"/>
          <w:lang w:eastAsia="es-CR"/>
        </w:rPr>
        <w:t xml:space="preserve">%; por otra parte, existen más de </w:t>
      </w:r>
      <w:r w:rsidR="0024077A"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000 señalamientos en estado “Pendiente” lo que evidencia que los despachos no están actualizando la información en la Agenda Cronos.</w:t>
      </w:r>
    </w:p>
    <w:p w14:paraId="3689E279" w14:textId="77777777" w:rsid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 xml:space="preserve">El Tribunal de Familia conoció en total </w:t>
      </w:r>
      <w:r w:rsidR="0024077A" w:rsidRPr="009D2B4A">
        <w:rPr>
          <w:rFonts w:ascii="Book Antiqua" w:eastAsia="Calibri" w:hAnsi="Book Antiqua" w:cs="Arial"/>
          <w:sz w:val="24"/>
          <w:szCs w:val="24"/>
          <w:lang w:eastAsia="es-CR"/>
        </w:rPr>
        <w:t xml:space="preserve">1 </w:t>
      </w:r>
      <w:r w:rsidR="00164786" w:rsidRPr="009D2B4A">
        <w:rPr>
          <w:rFonts w:ascii="Book Antiqua" w:eastAsia="Calibri" w:hAnsi="Book Antiqua" w:cs="Arial"/>
          <w:sz w:val="24"/>
          <w:szCs w:val="24"/>
          <w:lang w:eastAsia="es-CR"/>
        </w:rPr>
        <w:t>528</w:t>
      </w:r>
      <w:r w:rsidRPr="009D2B4A">
        <w:rPr>
          <w:rFonts w:ascii="Book Antiqua" w:eastAsia="Calibri" w:hAnsi="Book Antiqua" w:cs="Arial"/>
          <w:sz w:val="24"/>
          <w:szCs w:val="24"/>
          <w:lang w:eastAsia="es-CR"/>
        </w:rPr>
        <w:t xml:space="preserve"> apelaciones durante el periodo 201</w:t>
      </w:r>
      <w:r w:rsidR="0024077A"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xml:space="preserve"> a 20</w:t>
      </w:r>
      <w:r w:rsidR="0024077A" w:rsidRPr="009D2B4A">
        <w:rPr>
          <w:rFonts w:ascii="Book Antiqua" w:eastAsia="Calibri" w:hAnsi="Book Antiqua" w:cs="Arial"/>
          <w:sz w:val="24"/>
          <w:szCs w:val="24"/>
          <w:lang w:eastAsia="es-CR"/>
        </w:rPr>
        <w:t>2</w:t>
      </w:r>
      <w:r w:rsidR="00164786"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xml:space="preserve">, procedente de los Juzgados Especializados en Familia, siendo el Juzgado de Familia de II Circuito Judicial de San José el que mayor cantidad de apelaciones remite a este Tribunal, con </w:t>
      </w:r>
      <w:r w:rsidR="0024077A" w:rsidRPr="009D2B4A">
        <w:rPr>
          <w:rFonts w:ascii="Book Antiqua" w:eastAsia="Calibri" w:hAnsi="Book Antiqua" w:cs="Arial"/>
          <w:sz w:val="24"/>
          <w:szCs w:val="24"/>
          <w:lang w:eastAsia="es-CR"/>
        </w:rPr>
        <w:t>26</w:t>
      </w:r>
      <w:r w:rsidR="00164786" w:rsidRPr="009D2B4A">
        <w:rPr>
          <w:rFonts w:ascii="Book Antiqua" w:eastAsia="Calibri" w:hAnsi="Book Antiqua" w:cs="Arial"/>
          <w:sz w:val="24"/>
          <w:szCs w:val="24"/>
          <w:lang w:eastAsia="es-CR"/>
        </w:rPr>
        <w:t>1</w:t>
      </w:r>
      <w:r w:rsidRPr="009D2B4A">
        <w:rPr>
          <w:rFonts w:ascii="Book Antiqua" w:eastAsia="Calibri" w:hAnsi="Book Antiqua" w:cs="Arial"/>
          <w:sz w:val="24"/>
          <w:szCs w:val="24"/>
          <w:lang w:eastAsia="es-CR"/>
        </w:rPr>
        <w:t xml:space="preserve"> asuntos el 1</w:t>
      </w:r>
      <w:r w:rsidR="0024077A" w:rsidRPr="009D2B4A">
        <w:rPr>
          <w:rFonts w:ascii="Book Antiqua" w:eastAsia="Calibri" w:hAnsi="Book Antiqua" w:cs="Arial"/>
          <w:sz w:val="24"/>
          <w:szCs w:val="24"/>
          <w:lang w:eastAsia="es-CR"/>
        </w:rPr>
        <w:t>7</w:t>
      </w:r>
      <w:r w:rsidRPr="009D2B4A">
        <w:rPr>
          <w:rFonts w:ascii="Book Antiqua" w:eastAsia="Calibri" w:hAnsi="Book Antiqua" w:cs="Arial"/>
          <w:sz w:val="24"/>
          <w:szCs w:val="24"/>
          <w:lang w:eastAsia="es-CR"/>
        </w:rPr>
        <w:t>% del total recibido procedente de los Juzgados Especializados en Familia</w:t>
      </w:r>
      <w:r w:rsidR="0091425F" w:rsidRPr="009D2B4A">
        <w:rPr>
          <w:rFonts w:ascii="Book Antiqua" w:eastAsia="Calibri" w:hAnsi="Book Antiqua" w:cs="Arial"/>
          <w:sz w:val="24"/>
          <w:szCs w:val="24"/>
          <w:lang w:eastAsia="es-CR"/>
        </w:rPr>
        <w:t>, además, se tiene un promedio en la duración de los procesos para el 202</w:t>
      </w:r>
      <w:r w:rsidR="003E110D" w:rsidRPr="009D2B4A">
        <w:rPr>
          <w:rFonts w:ascii="Book Antiqua" w:eastAsia="Calibri" w:hAnsi="Book Antiqua" w:cs="Arial"/>
          <w:sz w:val="24"/>
          <w:szCs w:val="24"/>
          <w:lang w:eastAsia="es-CR"/>
        </w:rPr>
        <w:t>2</w:t>
      </w:r>
      <w:r w:rsidR="0091425F" w:rsidRPr="009D2B4A">
        <w:rPr>
          <w:rFonts w:ascii="Book Antiqua" w:eastAsia="Calibri" w:hAnsi="Book Antiqua" w:cs="Arial"/>
          <w:sz w:val="24"/>
          <w:szCs w:val="24"/>
          <w:lang w:eastAsia="es-CR"/>
        </w:rPr>
        <w:t xml:space="preserve"> de 3 meses</w:t>
      </w:r>
      <w:r w:rsidR="00A20C08" w:rsidRPr="009D2B4A">
        <w:rPr>
          <w:rFonts w:ascii="Book Antiqua" w:eastAsia="Calibri" w:hAnsi="Book Antiqua" w:cs="Arial"/>
          <w:sz w:val="24"/>
          <w:szCs w:val="24"/>
          <w:lang w:eastAsia="es-CR"/>
        </w:rPr>
        <w:t>.</w:t>
      </w:r>
    </w:p>
    <w:p w14:paraId="5B9B0323" w14:textId="77777777" w:rsidR="009D2B4A" w:rsidRDefault="0091425F"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 xml:space="preserve">La duración </w:t>
      </w:r>
      <w:r w:rsidR="002B4F1E" w:rsidRPr="009D2B4A">
        <w:rPr>
          <w:rFonts w:ascii="Book Antiqua" w:eastAsia="Calibri" w:hAnsi="Book Antiqua" w:cs="Arial"/>
          <w:sz w:val="24"/>
          <w:szCs w:val="24"/>
          <w:lang w:eastAsia="es-CR"/>
        </w:rPr>
        <w:t xml:space="preserve">promedio </w:t>
      </w:r>
      <w:r w:rsidRPr="009D2B4A">
        <w:rPr>
          <w:rFonts w:ascii="Book Antiqua" w:eastAsia="Calibri" w:hAnsi="Book Antiqua" w:cs="Arial"/>
          <w:sz w:val="24"/>
          <w:szCs w:val="24"/>
          <w:lang w:eastAsia="es-CR"/>
        </w:rPr>
        <w:t>de los Procesos en la Sala Segunda para el periodo 202</w:t>
      </w:r>
      <w:r w:rsidR="003E110D" w:rsidRPr="009D2B4A">
        <w:rPr>
          <w:rFonts w:ascii="Book Antiqua" w:eastAsia="Calibri" w:hAnsi="Book Antiqua" w:cs="Arial"/>
          <w:sz w:val="24"/>
          <w:szCs w:val="24"/>
          <w:lang w:eastAsia="es-CR"/>
        </w:rPr>
        <w:t>2</w:t>
      </w:r>
      <w:r w:rsidRPr="009D2B4A">
        <w:rPr>
          <w:rFonts w:ascii="Book Antiqua" w:eastAsia="Calibri" w:hAnsi="Book Antiqua" w:cs="Arial"/>
          <w:sz w:val="24"/>
          <w:szCs w:val="24"/>
          <w:lang w:eastAsia="es-CR"/>
        </w:rPr>
        <w:t xml:space="preserve"> es de </w:t>
      </w:r>
      <w:r w:rsidR="003E110D" w:rsidRPr="009D2B4A">
        <w:rPr>
          <w:rFonts w:ascii="Book Antiqua" w:eastAsia="Calibri" w:hAnsi="Book Antiqua" w:cs="Arial"/>
          <w:sz w:val="24"/>
          <w:szCs w:val="24"/>
          <w:lang w:eastAsia="es-CR"/>
        </w:rPr>
        <w:t>9</w:t>
      </w:r>
      <w:r w:rsidR="002B4F1E" w:rsidRPr="009D2B4A">
        <w:rPr>
          <w:rFonts w:ascii="Book Antiqua" w:eastAsia="Calibri" w:hAnsi="Book Antiqua" w:cs="Arial"/>
          <w:sz w:val="24"/>
          <w:szCs w:val="24"/>
          <w:lang w:eastAsia="es-CR"/>
        </w:rPr>
        <w:t xml:space="preserve"> meses</w:t>
      </w:r>
      <w:r w:rsidR="003E110D" w:rsidRPr="009D2B4A">
        <w:rPr>
          <w:rFonts w:ascii="Book Antiqua" w:eastAsia="Calibri" w:hAnsi="Book Antiqua" w:cs="Arial"/>
          <w:sz w:val="24"/>
          <w:szCs w:val="24"/>
          <w:lang w:eastAsia="es-CR"/>
        </w:rPr>
        <w:t>,</w:t>
      </w:r>
      <w:r w:rsidR="002B4F1E" w:rsidRPr="009D2B4A">
        <w:rPr>
          <w:rFonts w:ascii="Book Antiqua" w:eastAsia="Calibri" w:hAnsi="Book Antiqua" w:cs="Arial"/>
          <w:sz w:val="24"/>
          <w:szCs w:val="24"/>
          <w:lang w:eastAsia="es-CR"/>
        </w:rPr>
        <w:t xml:space="preserve"> </w:t>
      </w:r>
      <w:r w:rsidR="003E110D" w:rsidRPr="009D2B4A">
        <w:rPr>
          <w:rFonts w:ascii="Book Antiqua" w:eastAsia="Calibri" w:hAnsi="Book Antiqua" w:cs="Arial"/>
          <w:sz w:val="24"/>
          <w:szCs w:val="24"/>
          <w:lang w:eastAsia="es-CR"/>
        </w:rPr>
        <w:t>2</w:t>
      </w:r>
      <w:r w:rsidR="002B4F1E" w:rsidRPr="009D2B4A">
        <w:rPr>
          <w:rFonts w:ascii="Book Antiqua" w:eastAsia="Calibri" w:hAnsi="Book Antiqua" w:cs="Arial"/>
          <w:sz w:val="24"/>
          <w:szCs w:val="24"/>
          <w:lang w:eastAsia="es-CR"/>
        </w:rPr>
        <w:t xml:space="preserve"> semana</w:t>
      </w:r>
      <w:r w:rsidR="003E110D" w:rsidRPr="009D2B4A">
        <w:rPr>
          <w:rFonts w:ascii="Book Antiqua" w:eastAsia="Calibri" w:hAnsi="Book Antiqua" w:cs="Arial"/>
          <w:sz w:val="24"/>
          <w:szCs w:val="24"/>
          <w:lang w:eastAsia="es-CR"/>
        </w:rPr>
        <w:t>s</w:t>
      </w:r>
      <w:r w:rsidR="002B4F1E" w:rsidRPr="009D2B4A">
        <w:rPr>
          <w:rFonts w:ascii="Book Antiqua" w:eastAsia="Calibri" w:hAnsi="Book Antiqua" w:cs="Arial"/>
          <w:sz w:val="24"/>
          <w:szCs w:val="24"/>
          <w:lang w:eastAsia="es-CR"/>
        </w:rPr>
        <w:t>, por lo que es necesario reducir los tiempos de proceso, en miras de mejorar la respuesta a las personas usuarias.</w:t>
      </w:r>
    </w:p>
    <w:p w14:paraId="312D06BC" w14:textId="25341F21" w:rsidR="006F6088" w:rsidRPr="009D2B4A" w:rsidRDefault="006F6088" w:rsidP="009D2B4A">
      <w:pPr>
        <w:pStyle w:val="Prrafodelista"/>
        <w:numPr>
          <w:ilvl w:val="1"/>
          <w:numId w:val="50"/>
        </w:numPr>
        <w:tabs>
          <w:tab w:val="left" w:pos="426"/>
        </w:tabs>
        <w:spacing w:after="0" w:line="276" w:lineRule="auto"/>
        <w:jc w:val="both"/>
        <w:rPr>
          <w:rFonts w:ascii="Book Antiqua" w:eastAsia="Calibri" w:hAnsi="Book Antiqua" w:cs="Arial"/>
          <w:sz w:val="24"/>
          <w:szCs w:val="24"/>
          <w:lang w:eastAsia="es-CR"/>
        </w:rPr>
      </w:pPr>
      <w:r w:rsidRPr="009D2B4A">
        <w:rPr>
          <w:rFonts w:ascii="Book Antiqua" w:eastAsia="Calibri" w:hAnsi="Book Antiqua" w:cs="Arial"/>
          <w:sz w:val="24"/>
          <w:szCs w:val="24"/>
          <w:lang w:eastAsia="es-CR"/>
        </w:rPr>
        <w:t xml:space="preserve">A nivel de los sistemas se identifica la necesidad de que la Dirección de Tecnología de Información </w:t>
      </w:r>
      <w:r w:rsidR="0009415F" w:rsidRPr="009D2B4A">
        <w:rPr>
          <w:rFonts w:ascii="Book Antiqua" w:eastAsia="Calibri" w:hAnsi="Book Antiqua" w:cs="Arial"/>
          <w:sz w:val="24"/>
          <w:szCs w:val="24"/>
          <w:lang w:eastAsia="es-CR"/>
        </w:rPr>
        <w:t xml:space="preserve">y Comunicaciones </w:t>
      </w:r>
      <w:r w:rsidRPr="009D2B4A">
        <w:rPr>
          <w:rFonts w:ascii="Book Antiqua" w:eastAsia="Calibri" w:hAnsi="Book Antiqua" w:cs="Arial"/>
          <w:sz w:val="24"/>
          <w:szCs w:val="24"/>
          <w:lang w:eastAsia="es-CR"/>
        </w:rPr>
        <w:t>trabaje con carácter urgente en las siguientes mejoras:</w:t>
      </w:r>
    </w:p>
    <w:p w14:paraId="6365B73B" w14:textId="015C64AA" w:rsidR="006F6088" w:rsidRPr="00885C6F" w:rsidRDefault="006F6088">
      <w:pPr>
        <w:numPr>
          <w:ilvl w:val="0"/>
          <w:numId w:val="30"/>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885C6F">
        <w:rPr>
          <w:rFonts w:ascii="Book Antiqua" w:eastAsia="Calibri" w:hAnsi="Book Antiqua" w:cs="Book Antiqua"/>
          <w:iCs/>
          <w:color w:val="000000"/>
          <w:spacing w:val="-3"/>
          <w:sz w:val="24"/>
          <w:szCs w:val="24"/>
        </w:rPr>
        <w:t xml:space="preserve">Mejora en </w:t>
      </w:r>
      <w:r w:rsidRPr="00885C6F">
        <w:rPr>
          <w:rFonts w:ascii="Book Antiqua" w:eastAsia="Calibri" w:hAnsi="Book Antiqua" w:cs="Book Antiqua"/>
          <w:color w:val="000000"/>
          <w:sz w:val="24"/>
          <w:szCs w:val="24"/>
        </w:rPr>
        <w:t xml:space="preserve">el reparto por procedimiento, de forma que se puedan excluir los asuntos reentrados del rol de reparto conforme al requerimiento realizado el 15 de diciembre </w:t>
      </w:r>
      <w:r w:rsidRPr="00885C6F">
        <w:rPr>
          <w:rFonts w:ascii="Book Antiqua" w:eastAsia="Calibri" w:hAnsi="Book Antiqua" w:cs="Book Antiqua"/>
          <w:sz w:val="24"/>
          <w:szCs w:val="24"/>
        </w:rPr>
        <w:t xml:space="preserve">2020 </w:t>
      </w:r>
      <w:r w:rsidRPr="005E4603">
        <w:rPr>
          <w:rFonts w:ascii="Book Antiqua" w:eastAsia="Calibri" w:hAnsi="Book Antiqua" w:cs="Book Antiqua"/>
          <w:sz w:val="24"/>
          <w:szCs w:val="24"/>
        </w:rPr>
        <w:t>(</w:t>
      </w:r>
      <w:r w:rsidRPr="005E4603">
        <w:rPr>
          <w:rFonts w:ascii="Book Antiqua" w:eastAsia="Calibri" w:hAnsi="Book Antiqua" w:cs="Book Antiqua"/>
          <w:b/>
          <w:bCs/>
          <w:sz w:val="24"/>
          <w:szCs w:val="24"/>
        </w:rPr>
        <w:t xml:space="preserve">anexo </w:t>
      </w:r>
      <w:r w:rsidR="00D405E9" w:rsidRPr="005E4603">
        <w:rPr>
          <w:rFonts w:ascii="Book Antiqua" w:eastAsia="Calibri" w:hAnsi="Book Antiqua" w:cs="Book Antiqua"/>
          <w:b/>
          <w:bCs/>
          <w:sz w:val="24"/>
          <w:szCs w:val="24"/>
        </w:rPr>
        <w:t>4</w:t>
      </w:r>
      <w:r w:rsidRPr="00885C6F">
        <w:rPr>
          <w:rFonts w:ascii="Book Antiqua" w:eastAsia="Calibri" w:hAnsi="Book Antiqua" w:cs="Book Antiqua"/>
          <w:sz w:val="24"/>
          <w:szCs w:val="24"/>
        </w:rPr>
        <w:t>).</w:t>
      </w:r>
      <w:r w:rsidRPr="00885C6F">
        <w:rPr>
          <w:rFonts w:ascii="Book Antiqua" w:eastAsia="Calibri" w:hAnsi="Book Antiqua" w:cs="Book Antiqua"/>
          <w:iCs/>
          <w:sz w:val="24"/>
          <w:szCs w:val="24"/>
        </w:rPr>
        <w:t xml:space="preserve"> </w:t>
      </w:r>
    </w:p>
    <w:p w14:paraId="55B31A8A" w14:textId="20656EE7" w:rsidR="00D405E9" w:rsidRPr="00885C6F" w:rsidRDefault="00D405E9">
      <w:pPr>
        <w:numPr>
          <w:ilvl w:val="0"/>
          <w:numId w:val="30"/>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885C6F">
        <w:rPr>
          <w:rFonts w:ascii="Book Antiqua" w:eastAsia="Calibri" w:hAnsi="Book Antiqua" w:cs="Book Antiqua"/>
          <w:iCs/>
          <w:sz w:val="24"/>
          <w:szCs w:val="24"/>
        </w:rPr>
        <w:t xml:space="preserve">Mejora solicitada </w:t>
      </w:r>
      <w:r w:rsidRPr="00885C6F">
        <w:rPr>
          <w:rFonts w:ascii="Book Antiqua" w:eastAsia="Calibri" w:hAnsi="Book Antiqua" w:cs="Book Antiqua"/>
          <w:iCs/>
          <w:color w:val="000000"/>
          <w:sz w:val="24"/>
          <w:szCs w:val="24"/>
        </w:rPr>
        <w:t>(reporte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p>
    <w:p w14:paraId="4B47D9DC" w14:textId="77777777" w:rsidR="009D2B4A" w:rsidRDefault="006F6088" w:rsidP="009D2B4A">
      <w:pPr>
        <w:pStyle w:val="Prrafodelista"/>
        <w:numPr>
          <w:ilvl w:val="1"/>
          <w:numId w:val="50"/>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9D2B4A">
        <w:rPr>
          <w:rFonts w:ascii="Book Antiqua" w:eastAsia="Calibri" w:hAnsi="Book Antiqua" w:cs="Book Antiqua"/>
          <w:iCs/>
          <w:color w:val="000000"/>
          <w:spacing w:val="-3"/>
          <w:sz w:val="24"/>
          <w:szCs w:val="24"/>
        </w:rPr>
        <w:t xml:space="preserve">Con el fin de elaborar una propuesta para Corte Plena de creación de Juzgados de Familia por Ministerio de Ley, se </w:t>
      </w:r>
      <w:r w:rsidR="008C697C" w:rsidRPr="009D2B4A">
        <w:rPr>
          <w:rFonts w:ascii="Book Antiqua" w:eastAsia="Calibri" w:hAnsi="Book Antiqua" w:cs="Book Antiqua"/>
          <w:iCs/>
          <w:color w:val="000000"/>
          <w:spacing w:val="-3"/>
          <w:sz w:val="24"/>
          <w:szCs w:val="24"/>
        </w:rPr>
        <w:t xml:space="preserve">utilizará </w:t>
      </w:r>
      <w:r w:rsidRPr="009D2B4A">
        <w:rPr>
          <w:rFonts w:ascii="Book Antiqua" w:eastAsia="Calibri" w:hAnsi="Book Antiqua" w:cs="Book Antiqua"/>
          <w:iCs/>
          <w:color w:val="000000"/>
          <w:spacing w:val="-3"/>
          <w:sz w:val="24"/>
          <w:szCs w:val="24"/>
        </w:rPr>
        <w:t xml:space="preserve">como </w:t>
      </w:r>
      <w:r w:rsidR="00784FA0" w:rsidRPr="009D2B4A">
        <w:rPr>
          <w:rFonts w:ascii="Book Antiqua" w:eastAsia="Calibri" w:hAnsi="Book Antiqua" w:cs="Book Antiqua"/>
          <w:iCs/>
          <w:color w:val="000000"/>
          <w:spacing w:val="-3"/>
          <w:sz w:val="24"/>
          <w:szCs w:val="24"/>
        </w:rPr>
        <w:t>insumo la información aportada por los</w:t>
      </w:r>
      <w:r w:rsidRPr="009D2B4A">
        <w:rPr>
          <w:rFonts w:ascii="Book Antiqua" w:eastAsia="Calibri" w:hAnsi="Book Antiqua" w:cs="Book Antiqua"/>
          <w:iCs/>
          <w:color w:val="000000"/>
          <w:spacing w:val="-3"/>
          <w:sz w:val="24"/>
          <w:szCs w:val="24"/>
        </w:rPr>
        <w:t xml:space="preserve"> Juzgados de Familia en el inventario 2021, y el criterio experto del Juez Gestor en la materia</w:t>
      </w:r>
      <w:r w:rsidR="008C697C" w:rsidRPr="009D2B4A">
        <w:rPr>
          <w:rFonts w:ascii="Book Antiqua" w:eastAsia="Calibri" w:hAnsi="Book Antiqua" w:cs="Book Antiqua"/>
          <w:iCs/>
          <w:color w:val="000000"/>
          <w:spacing w:val="-3"/>
          <w:sz w:val="24"/>
          <w:szCs w:val="24"/>
        </w:rPr>
        <w:t>, distintos jueces de Familia a nivel nacional</w:t>
      </w:r>
      <w:r w:rsidRPr="009D2B4A">
        <w:rPr>
          <w:rFonts w:ascii="Book Antiqua" w:eastAsia="Calibri" w:hAnsi="Book Antiqua" w:cs="Book Antiqua"/>
          <w:iCs/>
          <w:color w:val="000000"/>
          <w:spacing w:val="-3"/>
          <w:sz w:val="24"/>
          <w:szCs w:val="24"/>
        </w:rPr>
        <w:t xml:space="preserve"> y</w:t>
      </w:r>
      <w:r w:rsidR="008C697C" w:rsidRPr="009D2B4A">
        <w:rPr>
          <w:rFonts w:ascii="Book Antiqua" w:eastAsia="Calibri" w:hAnsi="Book Antiqua" w:cs="Book Antiqua"/>
          <w:iCs/>
          <w:color w:val="000000"/>
          <w:spacing w:val="-3"/>
          <w:sz w:val="24"/>
          <w:szCs w:val="24"/>
        </w:rPr>
        <w:t xml:space="preserve"> de</w:t>
      </w:r>
      <w:r w:rsidRPr="009D2B4A">
        <w:rPr>
          <w:rFonts w:ascii="Book Antiqua" w:eastAsia="Calibri" w:hAnsi="Book Antiqua" w:cs="Book Antiqua"/>
          <w:iCs/>
          <w:color w:val="000000"/>
          <w:spacing w:val="-3"/>
          <w:sz w:val="24"/>
          <w:szCs w:val="24"/>
        </w:rPr>
        <w:t xml:space="preserve"> la Comisión de Familia, Niñez y Adolescencia sobre la cantidad de asuntos que puede conocer mensualmente una plaza que solo conozca asuntos sumarios de este tipo, lo anterior para efectos de proyecciones de traslado de cargas de trabajo. </w:t>
      </w:r>
      <w:r w:rsidR="008C697C" w:rsidRPr="009D2B4A">
        <w:rPr>
          <w:rFonts w:ascii="Book Antiqua" w:eastAsia="Calibri" w:hAnsi="Book Antiqua" w:cs="Book Antiqua"/>
          <w:iCs/>
          <w:color w:val="000000"/>
          <w:spacing w:val="-3"/>
          <w:sz w:val="24"/>
          <w:szCs w:val="24"/>
        </w:rPr>
        <w:t>Este informe está pendiente por parte de la Dirección de Planificación y se entregara a la Corte previo a octubre 202</w:t>
      </w:r>
      <w:r w:rsidR="002416CD" w:rsidRPr="009D2B4A">
        <w:rPr>
          <w:rFonts w:ascii="Book Antiqua" w:eastAsia="Calibri" w:hAnsi="Book Antiqua" w:cs="Book Antiqua"/>
          <w:iCs/>
          <w:color w:val="000000"/>
          <w:spacing w:val="-3"/>
          <w:sz w:val="24"/>
          <w:szCs w:val="24"/>
        </w:rPr>
        <w:t>3</w:t>
      </w:r>
      <w:r w:rsidR="008C697C" w:rsidRPr="009D2B4A">
        <w:rPr>
          <w:rFonts w:ascii="Book Antiqua" w:eastAsia="Calibri" w:hAnsi="Book Antiqua" w:cs="Book Antiqua"/>
          <w:iCs/>
          <w:color w:val="000000"/>
          <w:spacing w:val="-3"/>
          <w:sz w:val="24"/>
          <w:szCs w:val="24"/>
        </w:rPr>
        <w:t xml:space="preserve">. </w:t>
      </w:r>
    </w:p>
    <w:p w14:paraId="04924E4E" w14:textId="77777777" w:rsidR="009D2B4A" w:rsidRDefault="00C87C87" w:rsidP="009D2B4A">
      <w:pPr>
        <w:pStyle w:val="Prrafodelista"/>
        <w:numPr>
          <w:ilvl w:val="1"/>
          <w:numId w:val="50"/>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9D2B4A">
        <w:rPr>
          <w:rFonts w:ascii="Book Antiqua" w:eastAsia="Calibri" w:hAnsi="Book Antiqua" w:cs="Book Antiqua"/>
          <w:iCs/>
          <w:color w:val="000000"/>
          <w:spacing w:val="-3"/>
          <w:sz w:val="24"/>
          <w:szCs w:val="24"/>
        </w:rPr>
        <w:t>Para el 2021</w:t>
      </w:r>
      <w:r w:rsidR="002416CD" w:rsidRPr="009D2B4A">
        <w:rPr>
          <w:rFonts w:ascii="Book Antiqua" w:eastAsia="Calibri" w:hAnsi="Book Antiqua" w:cs="Book Antiqua"/>
          <w:iCs/>
          <w:color w:val="000000"/>
          <w:spacing w:val="-3"/>
          <w:sz w:val="24"/>
          <w:szCs w:val="24"/>
        </w:rPr>
        <w:t>,</w:t>
      </w:r>
      <w:r w:rsidRPr="009D2B4A">
        <w:rPr>
          <w:rFonts w:ascii="Book Antiqua" w:eastAsia="Calibri" w:hAnsi="Book Antiqua" w:cs="Book Antiqua"/>
          <w:iCs/>
          <w:color w:val="000000"/>
          <w:spacing w:val="-3"/>
          <w:sz w:val="24"/>
          <w:szCs w:val="24"/>
        </w:rPr>
        <w:t xml:space="preserve"> 2022</w:t>
      </w:r>
      <w:r w:rsidR="008F21DC" w:rsidRPr="009D2B4A">
        <w:rPr>
          <w:rFonts w:ascii="Book Antiqua" w:eastAsia="Calibri" w:hAnsi="Book Antiqua" w:cs="Book Antiqua"/>
          <w:iCs/>
          <w:color w:val="000000"/>
          <w:spacing w:val="-3"/>
          <w:sz w:val="24"/>
          <w:szCs w:val="24"/>
        </w:rPr>
        <w:t xml:space="preserve"> y 2023</w:t>
      </w:r>
      <w:r w:rsidR="005E4603" w:rsidRPr="009D2B4A">
        <w:rPr>
          <w:rFonts w:ascii="Book Antiqua" w:eastAsia="Calibri" w:hAnsi="Book Antiqua" w:cs="Book Antiqua"/>
          <w:iCs/>
          <w:color w:val="000000"/>
          <w:spacing w:val="-3"/>
          <w:sz w:val="24"/>
          <w:szCs w:val="24"/>
        </w:rPr>
        <w:t xml:space="preserve">, </w:t>
      </w:r>
      <w:r w:rsidRPr="009D2B4A">
        <w:rPr>
          <w:rFonts w:ascii="Book Antiqua" w:eastAsia="Calibri" w:hAnsi="Book Antiqua" w:cs="Book Antiqua"/>
          <w:iCs/>
          <w:color w:val="000000"/>
          <w:spacing w:val="-3"/>
          <w:sz w:val="24"/>
          <w:szCs w:val="24"/>
        </w:rPr>
        <w:t xml:space="preserve">se incluyó en el presupuesto ordinario de la Institución un monto de 30 millones de colones a fin de que el Departamento </w:t>
      </w:r>
      <w:r w:rsidR="00AE6A4B" w:rsidRPr="009D2B4A">
        <w:rPr>
          <w:rFonts w:ascii="Book Antiqua" w:eastAsia="Calibri" w:hAnsi="Book Antiqua" w:cs="Book Antiqua"/>
          <w:iCs/>
          <w:color w:val="000000"/>
          <w:spacing w:val="-3"/>
          <w:sz w:val="24"/>
          <w:szCs w:val="24"/>
        </w:rPr>
        <w:t>d</w:t>
      </w:r>
      <w:r w:rsidRPr="009D2B4A">
        <w:rPr>
          <w:rFonts w:ascii="Book Antiqua" w:eastAsia="Calibri" w:hAnsi="Book Antiqua" w:cs="Book Antiqua"/>
          <w:iCs/>
          <w:color w:val="000000"/>
          <w:spacing w:val="-3"/>
          <w:sz w:val="24"/>
          <w:szCs w:val="24"/>
        </w:rPr>
        <w:t>e Trabajo Social y Psicología, gestion</w:t>
      </w:r>
      <w:r w:rsidR="008C697C" w:rsidRPr="009D2B4A">
        <w:rPr>
          <w:rFonts w:ascii="Book Antiqua" w:eastAsia="Calibri" w:hAnsi="Book Antiqua" w:cs="Book Antiqua"/>
          <w:iCs/>
          <w:color w:val="000000"/>
          <w:spacing w:val="-3"/>
          <w:sz w:val="24"/>
          <w:szCs w:val="24"/>
        </w:rPr>
        <w:t>ara</w:t>
      </w:r>
      <w:r w:rsidRPr="009D2B4A">
        <w:rPr>
          <w:rFonts w:ascii="Book Antiqua" w:eastAsia="Calibri" w:hAnsi="Book Antiqua" w:cs="Book Antiqua"/>
          <w:iCs/>
          <w:color w:val="000000"/>
          <w:spacing w:val="-3"/>
          <w:sz w:val="24"/>
          <w:szCs w:val="24"/>
        </w:rPr>
        <w:t xml:space="preserve"> el plan de trabajo necesario para que distintas pericias sean asumidas por peritos externos al departamento y contratados con el presupuesto disponible para esos efectos</w:t>
      </w:r>
      <w:r w:rsidR="008C697C" w:rsidRPr="009D2B4A">
        <w:rPr>
          <w:rFonts w:ascii="Book Antiqua" w:eastAsia="Calibri" w:hAnsi="Book Antiqua" w:cs="Book Antiqua"/>
          <w:iCs/>
          <w:color w:val="000000"/>
          <w:spacing w:val="-3"/>
          <w:sz w:val="24"/>
          <w:szCs w:val="24"/>
        </w:rPr>
        <w:t>, sin embargo en ninguno de</w:t>
      </w:r>
      <w:r w:rsidR="00AE6A4B" w:rsidRPr="009D2B4A">
        <w:rPr>
          <w:rFonts w:ascii="Book Antiqua" w:eastAsia="Calibri" w:hAnsi="Book Antiqua" w:cs="Book Antiqua"/>
          <w:iCs/>
          <w:color w:val="000000"/>
          <w:spacing w:val="-3"/>
          <w:sz w:val="24"/>
          <w:szCs w:val="24"/>
        </w:rPr>
        <w:t xml:space="preserve"> </w:t>
      </w:r>
      <w:r w:rsidR="008C697C" w:rsidRPr="009D2B4A">
        <w:rPr>
          <w:rFonts w:ascii="Book Antiqua" w:eastAsia="Calibri" w:hAnsi="Book Antiqua" w:cs="Book Antiqua"/>
          <w:iCs/>
          <w:color w:val="000000"/>
          <w:spacing w:val="-3"/>
          <w:sz w:val="24"/>
          <w:szCs w:val="24"/>
        </w:rPr>
        <w:t xml:space="preserve">los años se ejecutó. </w:t>
      </w:r>
    </w:p>
    <w:p w14:paraId="7CB85017" w14:textId="77777777" w:rsidR="009D2B4A" w:rsidRPr="009D2B4A" w:rsidRDefault="00C87C87" w:rsidP="009D2B4A">
      <w:pPr>
        <w:pStyle w:val="Prrafodelista"/>
        <w:numPr>
          <w:ilvl w:val="1"/>
          <w:numId w:val="50"/>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9D2B4A">
        <w:rPr>
          <w:rFonts w:ascii="Book Antiqua" w:eastAsia="Calibri" w:hAnsi="Book Antiqua" w:cs="Book Antiqua"/>
          <w:iCs/>
          <w:color w:val="000000"/>
          <w:spacing w:val="-3"/>
          <w:sz w:val="24"/>
          <w:szCs w:val="24"/>
        </w:rPr>
        <w:t>Para 202</w:t>
      </w:r>
      <w:r w:rsidR="003B21FD" w:rsidRPr="009D2B4A">
        <w:rPr>
          <w:rFonts w:ascii="Book Antiqua" w:eastAsia="Calibri" w:hAnsi="Book Antiqua" w:cs="Book Antiqua"/>
          <w:iCs/>
          <w:color w:val="000000"/>
          <w:spacing w:val="-3"/>
          <w:sz w:val="24"/>
          <w:szCs w:val="24"/>
        </w:rPr>
        <w:t>4</w:t>
      </w:r>
      <w:r w:rsidRPr="009D2B4A">
        <w:rPr>
          <w:rFonts w:ascii="Book Antiqua" w:eastAsia="Calibri" w:hAnsi="Book Antiqua" w:cs="Book Antiqua"/>
          <w:iCs/>
          <w:color w:val="000000"/>
          <w:spacing w:val="-3"/>
          <w:sz w:val="24"/>
          <w:szCs w:val="24"/>
        </w:rPr>
        <w:t xml:space="preserve">, se </w:t>
      </w:r>
      <w:r w:rsidR="008C697C" w:rsidRPr="009D2B4A">
        <w:rPr>
          <w:rFonts w:ascii="Book Antiqua" w:eastAsia="Calibri" w:hAnsi="Book Antiqua" w:cs="Book Antiqua"/>
          <w:iCs/>
          <w:color w:val="000000"/>
          <w:spacing w:val="-3"/>
          <w:sz w:val="24"/>
          <w:szCs w:val="24"/>
        </w:rPr>
        <w:t>incorpora</w:t>
      </w:r>
      <w:r w:rsidRPr="009D2B4A">
        <w:rPr>
          <w:rFonts w:ascii="Book Antiqua" w:eastAsia="Calibri" w:hAnsi="Book Antiqua" w:cs="Book Antiqua"/>
          <w:iCs/>
          <w:color w:val="000000"/>
          <w:spacing w:val="-3"/>
          <w:sz w:val="24"/>
          <w:szCs w:val="24"/>
        </w:rPr>
        <w:t xml:space="preserve"> en el presupuesto un monto de </w:t>
      </w:r>
      <w:r w:rsidR="008C697C" w:rsidRPr="009D2B4A">
        <w:rPr>
          <w:rFonts w:ascii="Book Antiqua" w:eastAsia="Calibri" w:hAnsi="Book Antiqua" w:cs="Book Antiqua"/>
          <w:iCs/>
          <w:color w:val="000000"/>
          <w:spacing w:val="-3"/>
          <w:sz w:val="24"/>
          <w:szCs w:val="24"/>
        </w:rPr>
        <w:t>6</w:t>
      </w:r>
      <w:r w:rsidRPr="009D2B4A">
        <w:rPr>
          <w:rFonts w:ascii="Book Antiqua" w:eastAsia="Calibri" w:hAnsi="Book Antiqua" w:cs="Book Antiqua"/>
          <w:iCs/>
          <w:color w:val="000000"/>
          <w:spacing w:val="-3"/>
          <w:sz w:val="24"/>
          <w:szCs w:val="24"/>
        </w:rPr>
        <w:t xml:space="preserve">0 millones de colones para garantizar la atención célere de los dictámenes solicitados por los distintos juzgados de </w:t>
      </w:r>
      <w:r w:rsidR="008C697C" w:rsidRPr="009D2B4A">
        <w:rPr>
          <w:rFonts w:ascii="Book Antiqua" w:eastAsia="Calibri" w:hAnsi="Book Antiqua" w:cs="Book Antiqua"/>
          <w:iCs/>
          <w:color w:val="000000"/>
          <w:spacing w:val="-3"/>
          <w:sz w:val="24"/>
          <w:szCs w:val="24"/>
        </w:rPr>
        <w:t>F</w:t>
      </w:r>
      <w:r w:rsidRPr="009D2B4A">
        <w:rPr>
          <w:rFonts w:ascii="Book Antiqua" w:eastAsia="Calibri" w:hAnsi="Book Antiqua" w:cs="Book Antiqua"/>
          <w:iCs/>
          <w:color w:val="000000"/>
          <w:spacing w:val="-3"/>
          <w:sz w:val="24"/>
          <w:szCs w:val="24"/>
        </w:rPr>
        <w:t>amilia</w:t>
      </w:r>
      <w:r w:rsidR="008C697C" w:rsidRPr="009D2B4A">
        <w:rPr>
          <w:rFonts w:ascii="Book Antiqua" w:eastAsia="Calibri" w:hAnsi="Book Antiqua" w:cs="Book Antiqua"/>
          <w:iCs/>
          <w:color w:val="000000"/>
          <w:spacing w:val="-3"/>
          <w:sz w:val="24"/>
          <w:szCs w:val="24"/>
        </w:rPr>
        <w:t xml:space="preserve"> y de Violencia</w:t>
      </w:r>
      <w:r w:rsidRPr="009D2B4A">
        <w:rPr>
          <w:rFonts w:ascii="Book Antiqua" w:eastAsia="Calibri" w:hAnsi="Book Antiqua" w:cs="Book Antiqua"/>
          <w:iCs/>
          <w:color w:val="000000"/>
          <w:spacing w:val="-3"/>
          <w:sz w:val="24"/>
          <w:szCs w:val="24"/>
        </w:rPr>
        <w:t xml:space="preserve"> a nivel nacional y permitir que el Departamento de Trabajo Social y Psicología pueda reducir al mínimo los plazos de respuesta para la realización de las valoraciones solicitadas en adelante.</w:t>
      </w:r>
      <w:r w:rsidR="008C697C" w:rsidRPr="009D2B4A">
        <w:rPr>
          <w:rFonts w:ascii="Book Antiqua" w:eastAsia="Calibri" w:hAnsi="Book Antiqua" w:cs="Book Antiqua"/>
          <w:iCs/>
          <w:color w:val="000000"/>
          <w:spacing w:val="-3"/>
          <w:sz w:val="24"/>
          <w:szCs w:val="24"/>
        </w:rPr>
        <w:t xml:space="preserve"> </w:t>
      </w:r>
      <w:r w:rsidR="006F6088" w:rsidRPr="009D2B4A">
        <w:rPr>
          <w:rFonts w:ascii="Book Antiqua" w:eastAsia="Calibri" w:hAnsi="Book Antiqua" w:cs="Book Antiqua"/>
          <w:color w:val="000000"/>
          <w:sz w:val="24"/>
          <w:szCs w:val="24"/>
        </w:rPr>
        <w:t xml:space="preserve">  </w:t>
      </w:r>
    </w:p>
    <w:p w14:paraId="7EBC9C71" w14:textId="77777777" w:rsidR="009D2B4A" w:rsidRDefault="008C697C" w:rsidP="009D2B4A">
      <w:pPr>
        <w:pStyle w:val="Prrafodelista"/>
        <w:numPr>
          <w:ilvl w:val="1"/>
          <w:numId w:val="50"/>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9D2B4A">
        <w:rPr>
          <w:rFonts w:ascii="Book Antiqua" w:eastAsia="Calibri" w:hAnsi="Book Antiqua" w:cs="Book Antiqua"/>
          <w:iCs/>
          <w:color w:val="000000"/>
          <w:spacing w:val="-3"/>
          <w:sz w:val="24"/>
          <w:szCs w:val="24"/>
        </w:rPr>
        <w:t>Se encuentra pendiente</w:t>
      </w:r>
      <w:r w:rsidR="00484D38" w:rsidRPr="009D2B4A">
        <w:rPr>
          <w:rFonts w:ascii="Book Antiqua" w:eastAsia="Calibri" w:hAnsi="Book Antiqua" w:cs="Book Antiqua"/>
          <w:iCs/>
          <w:color w:val="000000"/>
          <w:spacing w:val="-3"/>
          <w:sz w:val="24"/>
          <w:szCs w:val="24"/>
        </w:rPr>
        <w:t xml:space="preserve"> por parte de la Dirección de Planificación la comunicación del estudio que analiza </w:t>
      </w:r>
      <w:r w:rsidRPr="009D2B4A">
        <w:rPr>
          <w:rFonts w:ascii="Book Antiqua" w:eastAsia="Calibri" w:hAnsi="Book Antiqua" w:cs="Book Antiqua"/>
          <w:iCs/>
          <w:color w:val="000000"/>
          <w:spacing w:val="-3"/>
          <w:sz w:val="24"/>
          <w:szCs w:val="24"/>
        </w:rPr>
        <w:t>la</w:t>
      </w:r>
      <w:r w:rsidR="00484D38" w:rsidRPr="009D2B4A">
        <w:rPr>
          <w:rFonts w:ascii="Book Antiqua" w:eastAsia="Calibri" w:hAnsi="Book Antiqua" w:cs="Book Antiqua"/>
          <w:iCs/>
          <w:color w:val="000000"/>
          <w:spacing w:val="-3"/>
          <w:sz w:val="24"/>
          <w:szCs w:val="24"/>
        </w:rPr>
        <w:t>s</w:t>
      </w:r>
      <w:r w:rsidRPr="009D2B4A">
        <w:rPr>
          <w:rFonts w:ascii="Book Antiqua" w:eastAsia="Calibri" w:hAnsi="Book Antiqua" w:cs="Book Antiqua"/>
          <w:iCs/>
          <w:color w:val="000000"/>
          <w:spacing w:val="-3"/>
          <w:sz w:val="24"/>
          <w:szCs w:val="24"/>
        </w:rPr>
        <w:t xml:space="preserve"> carga de algunos </w:t>
      </w:r>
      <w:r w:rsidR="00324317" w:rsidRPr="009D2B4A">
        <w:rPr>
          <w:rFonts w:ascii="Book Antiqua" w:eastAsia="Calibri" w:hAnsi="Book Antiqua" w:cs="Book Antiqua"/>
          <w:iCs/>
          <w:color w:val="000000"/>
          <w:spacing w:val="-3"/>
          <w:sz w:val="24"/>
          <w:szCs w:val="24"/>
        </w:rPr>
        <w:t>Juzgados</w:t>
      </w:r>
      <w:r w:rsidRPr="009D2B4A">
        <w:rPr>
          <w:rFonts w:ascii="Book Antiqua" w:eastAsia="Calibri" w:hAnsi="Book Antiqua" w:cs="Book Antiqua"/>
          <w:iCs/>
          <w:color w:val="000000"/>
          <w:spacing w:val="-3"/>
          <w:sz w:val="24"/>
          <w:szCs w:val="24"/>
        </w:rPr>
        <w:t xml:space="preserve"> Contravencionales a </w:t>
      </w:r>
      <w:r w:rsidR="00484D38" w:rsidRPr="009D2B4A">
        <w:rPr>
          <w:rFonts w:ascii="Book Antiqua" w:eastAsia="Calibri" w:hAnsi="Book Antiqua" w:cs="Book Antiqua"/>
          <w:iCs/>
          <w:color w:val="000000"/>
          <w:spacing w:val="-3"/>
          <w:sz w:val="24"/>
          <w:szCs w:val="24"/>
        </w:rPr>
        <w:t>(</w:t>
      </w:r>
      <w:r w:rsidRPr="009D2B4A">
        <w:rPr>
          <w:rFonts w:ascii="Book Antiqua" w:eastAsia="Calibri" w:hAnsi="Book Antiqua" w:cs="Book Antiqua"/>
          <w:b/>
          <w:bCs/>
          <w:i/>
          <w:color w:val="000000"/>
          <w:spacing w:val="-3"/>
          <w:sz w:val="24"/>
          <w:szCs w:val="24"/>
        </w:rPr>
        <w:t>referencia interna 1688-2021</w:t>
      </w:r>
      <w:r w:rsidR="00484D38" w:rsidRPr="009D2B4A">
        <w:rPr>
          <w:rFonts w:ascii="Book Antiqua" w:eastAsia="Calibri" w:hAnsi="Book Antiqua" w:cs="Book Antiqua"/>
          <w:iCs/>
          <w:color w:val="000000"/>
          <w:spacing w:val="-3"/>
          <w:sz w:val="24"/>
          <w:szCs w:val="24"/>
        </w:rPr>
        <w:t>) y la propuesta de creación de Juzgados de Familia por Ministerio de Ley (</w:t>
      </w:r>
      <w:r w:rsidR="00484D38" w:rsidRPr="009D2B4A">
        <w:rPr>
          <w:rFonts w:ascii="Book Antiqua" w:eastAsia="Calibri" w:hAnsi="Book Antiqua" w:cs="Book Antiqua"/>
          <w:b/>
          <w:bCs/>
          <w:i/>
          <w:color w:val="000000"/>
          <w:spacing w:val="-3"/>
          <w:sz w:val="24"/>
          <w:szCs w:val="24"/>
        </w:rPr>
        <w:t>referencia interna 1681-21</w:t>
      </w:r>
      <w:r w:rsidR="00484D38" w:rsidRPr="009D2B4A">
        <w:rPr>
          <w:rFonts w:ascii="Book Antiqua" w:eastAsia="Calibri" w:hAnsi="Book Antiqua" w:cs="Book Antiqua"/>
          <w:iCs/>
          <w:color w:val="000000"/>
          <w:spacing w:val="-3"/>
          <w:sz w:val="24"/>
          <w:szCs w:val="24"/>
        </w:rPr>
        <w:t>)</w:t>
      </w:r>
      <w:r w:rsidRPr="009D2B4A">
        <w:rPr>
          <w:rFonts w:ascii="Book Antiqua" w:eastAsia="Calibri" w:hAnsi="Book Antiqua" w:cs="Book Antiqua"/>
          <w:iCs/>
          <w:color w:val="000000"/>
          <w:spacing w:val="-3"/>
          <w:sz w:val="24"/>
          <w:szCs w:val="24"/>
        </w:rPr>
        <w:t>.</w:t>
      </w:r>
    </w:p>
    <w:p w14:paraId="5DA1D851" w14:textId="77777777" w:rsidR="009D2B4A" w:rsidRDefault="008C697C" w:rsidP="009D2B4A">
      <w:pPr>
        <w:pStyle w:val="Prrafodelista"/>
        <w:numPr>
          <w:ilvl w:val="1"/>
          <w:numId w:val="50"/>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9D2B4A">
        <w:rPr>
          <w:rFonts w:ascii="Book Antiqua" w:eastAsia="Calibri" w:hAnsi="Book Antiqua" w:cs="Book Antiqua"/>
          <w:iCs/>
          <w:color w:val="000000"/>
          <w:spacing w:val="-3"/>
          <w:sz w:val="24"/>
          <w:szCs w:val="24"/>
        </w:rPr>
        <w:t>Se requiere por parte de la</w:t>
      </w:r>
      <w:r w:rsidR="00484D38" w:rsidRPr="009D2B4A">
        <w:rPr>
          <w:rFonts w:ascii="Book Antiqua" w:eastAsia="Calibri" w:hAnsi="Book Antiqua" w:cs="Book Antiqua"/>
          <w:iCs/>
          <w:color w:val="000000"/>
          <w:spacing w:val="-3"/>
          <w:sz w:val="24"/>
          <w:szCs w:val="24"/>
        </w:rPr>
        <w:t>s</w:t>
      </w:r>
      <w:r w:rsidRPr="009D2B4A">
        <w:rPr>
          <w:rFonts w:ascii="Book Antiqua" w:eastAsia="Calibri" w:hAnsi="Book Antiqua" w:cs="Book Antiqua"/>
          <w:iCs/>
          <w:color w:val="000000"/>
          <w:spacing w:val="-3"/>
          <w:sz w:val="24"/>
          <w:szCs w:val="24"/>
        </w:rPr>
        <w:t xml:space="preserve"> </w:t>
      </w:r>
      <w:r w:rsidR="00484D38" w:rsidRPr="009D2B4A">
        <w:rPr>
          <w:rFonts w:ascii="Book Antiqua" w:eastAsia="Calibri" w:hAnsi="Book Antiqua" w:cs="Book Antiqua"/>
          <w:iCs/>
          <w:color w:val="000000"/>
          <w:spacing w:val="-3"/>
          <w:sz w:val="24"/>
          <w:szCs w:val="24"/>
        </w:rPr>
        <w:t>Comisiones</w:t>
      </w:r>
      <w:r w:rsidRPr="009D2B4A">
        <w:rPr>
          <w:rFonts w:ascii="Book Antiqua" w:eastAsia="Calibri" w:hAnsi="Book Antiqua" w:cs="Book Antiqua"/>
          <w:iCs/>
          <w:color w:val="000000"/>
          <w:spacing w:val="-3"/>
          <w:sz w:val="24"/>
          <w:szCs w:val="24"/>
        </w:rPr>
        <w:t xml:space="preserve"> de Familia</w:t>
      </w:r>
      <w:r w:rsidR="00484D38" w:rsidRPr="009D2B4A">
        <w:rPr>
          <w:rFonts w:ascii="Book Antiqua" w:eastAsia="Calibri" w:hAnsi="Book Antiqua" w:cs="Book Antiqua"/>
          <w:iCs/>
          <w:color w:val="000000"/>
          <w:spacing w:val="-3"/>
          <w:sz w:val="24"/>
          <w:szCs w:val="24"/>
        </w:rPr>
        <w:t xml:space="preserve"> y Contra la Violencia Doméstica y la gestoría</w:t>
      </w:r>
      <w:r w:rsidRPr="009D2B4A">
        <w:rPr>
          <w:rFonts w:ascii="Book Antiqua" w:eastAsia="Calibri" w:hAnsi="Book Antiqua" w:cs="Book Antiqua"/>
          <w:iCs/>
          <w:color w:val="000000"/>
          <w:spacing w:val="-3"/>
          <w:sz w:val="24"/>
          <w:szCs w:val="24"/>
        </w:rPr>
        <w:t>, el cumplimiento de las tareas pendientes a su cargo previo a la entrada en vigencia de la Ley 9747</w:t>
      </w:r>
      <w:r w:rsidR="00484D38" w:rsidRPr="009D2B4A">
        <w:rPr>
          <w:rFonts w:ascii="Book Antiqua" w:eastAsia="Calibri" w:hAnsi="Book Antiqua" w:cs="Book Antiqua"/>
          <w:iCs/>
          <w:color w:val="000000"/>
          <w:spacing w:val="-3"/>
          <w:sz w:val="24"/>
          <w:szCs w:val="24"/>
        </w:rPr>
        <w:t xml:space="preserve">; principalmente en lo que corresponde a la revisión de las propuestas de reforma Legal que ya le fueron comunicadas para su análisis y redacción de propuestas de reforma para aprobación de Corte Plena y eventual envío a corriente legislativa. </w:t>
      </w:r>
    </w:p>
    <w:p w14:paraId="6A051631" w14:textId="5C6D0691" w:rsidR="006F6088" w:rsidRPr="009D2B4A" w:rsidRDefault="00C87C87" w:rsidP="009D2B4A">
      <w:pPr>
        <w:pStyle w:val="Prrafodelista"/>
        <w:numPr>
          <w:ilvl w:val="1"/>
          <w:numId w:val="50"/>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9D2B4A">
        <w:rPr>
          <w:rFonts w:ascii="Book Antiqua" w:eastAsia="Calibri" w:hAnsi="Book Antiqua" w:cs="Book Antiqua"/>
          <w:color w:val="000000"/>
          <w:sz w:val="24"/>
          <w:szCs w:val="24"/>
        </w:rPr>
        <w:t>Costos presupuestarios asociados con el Código Procesal de Famil</w:t>
      </w:r>
      <w:r w:rsidR="006F6088" w:rsidRPr="009D2B4A">
        <w:rPr>
          <w:rFonts w:ascii="Book Antiqua" w:eastAsia="Calibri" w:hAnsi="Book Antiqua" w:cs="Book Antiqua"/>
          <w:color w:val="000000"/>
          <w:sz w:val="24"/>
          <w:szCs w:val="24"/>
        </w:rPr>
        <w:t>ia</w:t>
      </w:r>
      <w:r w:rsidR="0027515B" w:rsidRPr="009D2B4A">
        <w:rPr>
          <w:rFonts w:ascii="Book Antiqua" w:eastAsia="Calibri" w:hAnsi="Book Antiqua" w:cs="Book Antiqua"/>
          <w:color w:val="000000"/>
          <w:sz w:val="24"/>
          <w:szCs w:val="24"/>
        </w:rPr>
        <w:t>:</w:t>
      </w:r>
    </w:p>
    <w:p w14:paraId="60314EE2" w14:textId="77777777" w:rsidR="006F6088" w:rsidRPr="006F6088" w:rsidRDefault="006F6088" w:rsidP="006F6088">
      <w:pPr>
        <w:spacing w:after="0" w:line="276" w:lineRule="auto"/>
        <w:jc w:val="both"/>
        <w:rPr>
          <w:rFonts w:ascii="Book Antiqua" w:eastAsia="Calibri" w:hAnsi="Book Antiqua" w:cs="Arial"/>
          <w:sz w:val="24"/>
          <w:szCs w:val="24"/>
        </w:rPr>
      </w:pPr>
    </w:p>
    <w:p w14:paraId="6CBFDA37" w14:textId="5E99502C" w:rsidR="002B073F" w:rsidRDefault="006F6088" w:rsidP="006F6088">
      <w:pPr>
        <w:spacing w:after="0" w:line="276" w:lineRule="auto"/>
        <w:jc w:val="both"/>
        <w:rPr>
          <w:rFonts w:ascii="Book Antiqua" w:eastAsia="Calibri" w:hAnsi="Book Antiqua" w:cs="Arial"/>
          <w:sz w:val="24"/>
          <w:szCs w:val="24"/>
        </w:rPr>
      </w:pPr>
      <w:r w:rsidRPr="004C2467">
        <w:rPr>
          <w:rFonts w:ascii="Book Antiqua" w:eastAsia="Calibri" w:hAnsi="Book Antiqua" w:cs="Arial"/>
          <w:sz w:val="24"/>
          <w:szCs w:val="24"/>
        </w:rPr>
        <w:t>Para el 202</w:t>
      </w:r>
      <w:r w:rsidR="002416CD">
        <w:rPr>
          <w:rFonts w:ascii="Book Antiqua" w:eastAsia="Calibri" w:hAnsi="Book Antiqua" w:cs="Arial"/>
          <w:sz w:val="24"/>
          <w:szCs w:val="24"/>
        </w:rPr>
        <w:t>4</w:t>
      </w:r>
      <w:r w:rsidRPr="004C2467">
        <w:rPr>
          <w:rFonts w:ascii="Book Antiqua" w:eastAsia="Calibri" w:hAnsi="Book Antiqua" w:cs="Arial"/>
          <w:sz w:val="24"/>
          <w:szCs w:val="24"/>
        </w:rPr>
        <w:t xml:space="preserve">, </w:t>
      </w:r>
      <w:r w:rsidR="00A05342" w:rsidRPr="004C2467">
        <w:rPr>
          <w:rFonts w:ascii="Book Antiqua" w:eastAsia="Calibri" w:hAnsi="Book Antiqua" w:cs="Arial"/>
          <w:sz w:val="24"/>
          <w:szCs w:val="24"/>
        </w:rPr>
        <w:t>se requieren</w:t>
      </w:r>
      <w:r w:rsidR="000A073C" w:rsidRPr="004C2467">
        <w:rPr>
          <w:rFonts w:ascii="Book Antiqua" w:eastAsia="Calibri" w:hAnsi="Book Antiqua" w:cs="Arial"/>
          <w:sz w:val="24"/>
          <w:szCs w:val="24"/>
        </w:rPr>
        <w:t xml:space="preserve"> </w:t>
      </w:r>
      <w:r w:rsidR="001818B9">
        <w:rPr>
          <w:rFonts w:ascii="Book Antiqua" w:eastAsia="Calibri" w:hAnsi="Book Antiqua" w:cs="Arial"/>
          <w:sz w:val="24"/>
          <w:szCs w:val="24"/>
        </w:rPr>
        <w:t>71</w:t>
      </w:r>
      <w:r w:rsidR="001818B9" w:rsidRPr="004C2467">
        <w:rPr>
          <w:rFonts w:ascii="Book Antiqua" w:eastAsia="Calibri" w:hAnsi="Book Antiqua" w:cs="Arial"/>
          <w:sz w:val="24"/>
          <w:szCs w:val="24"/>
        </w:rPr>
        <w:t xml:space="preserve"> </w:t>
      </w:r>
      <w:r w:rsidR="00A623A1">
        <w:rPr>
          <w:rFonts w:ascii="Book Antiqua" w:eastAsia="Calibri" w:hAnsi="Book Antiqua" w:cs="Arial"/>
          <w:sz w:val="24"/>
          <w:szCs w:val="24"/>
        </w:rPr>
        <w:t>plazas nuevas</w:t>
      </w:r>
      <w:r w:rsidR="002B073F" w:rsidRPr="004C2467">
        <w:rPr>
          <w:rFonts w:ascii="Book Antiqua" w:eastAsia="Calibri" w:hAnsi="Book Antiqua" w:cs="Arial"/>
          <w:sz w:val="24"/>
          <w:szCs w:val="24"/>
        </w:rPr>
        <w:t>:</w:t>
      </w:r>
    </w:p>
    <w:p w14:paraId="29CD4904" w14:textId="77777777" w:rsidR="005C5C7F" w:rsidRPr="00A132C7" w:rsidRDefault="005C5C7F" w:rsidP="006F6088">
      <w:pPr>
        <w:spacing w:after="0" w:line="276" w:lineRule="auto"/>
        <w:jc w:val="both"/>
        <w:rPr>
          <w:rFonts w:ascii="Book Antiqua" w:eastAsia="Calibri" w:hAnsi="Book Antiqua" w:cs="Arial"/>
          <w:sz w:val="24"/>
          <w:szCs w:val="24"/>
        </w:rPr>
      </w:pPr>
    </w:p>
    <w:p w14:paraId="2332DA5B" w14:textId="19B599A0" w:rsidR="008C20AB" w:rsidRPr="00A132C7" w:rsidRDefault="008C20AB">
      <w:pPr>
        <w:pStyle w:val="Prrafodelista"/>
        <w:numPr>
          <w:ilvl w:val="0"/>
          <w:numId w:val="42"/>
        </w:num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A nivel de Juzgados y Sala Segunda para completar estructuras: 1 plaza de Técnico Judicial 2 extraordinaria, 1 plaza de Técnica o Técnico Judicial 2 ordinaria, 1 plaza de Técnico Judicial 1 ordinaria, </w:t>
      </w:r>
      <w:r w:rsidR="00E830F5" w:rsidRPr="00A132C7">
        <w:rPr>
          <w:rFonts w:ascii="Book Antiqua" w:eastAsia="Calibri" w:hAnsi="Book Antiqua" w:cs="Arial"/>
          <w:sz w:val="24"/>
          <w:szCs w:val="24"/>
        </w:rPr>
        <w:t xml:space="preserve">1 plaza de Juez 1 ordinaria </w:t>
      </w:r>
      <w:r w:rsidRPr="00A132C7">
        <w:rPr>
          <w:rFonts w:ascii="Book Antiqua" w:eastAsia="Calibri" w:hAnsi="Book Antiqua" w:cs="Arial"/>
          <w:sz w:val="24"/>
          <w:szCs w:val="24"/>
        </w:rPr>
        <w:t xml:space="preserve">y en la Sala Segunda: </w:t>
      </w:r>
      <w:r w:rsidR="00D77F2E">
        <w:rPr>
          <w:rFonts w:ascii="Book Antiqua" w:eastAsia="Calibri" w:hAnsi="Book Antiqua" w:cs="Arial"/>
          <w:sz w:val="24"/>
          <w:szCs w:val="24"/>
        </w:rPr>
        <w:t>1</w:t>
      </w:r>
      <w:r w:rsidRPr="00A132C7">
        <w:rPr>
          <w:rFonts w:ascii="Book Antiqua" w:eastAsia="Calibri" w:hAnsi="Book Antiqua" w:cs="Arial"/>
          <w:sz w:val="24"/>
          <w:szCs w:val="24"/>
        </w:rPr>
        <w:t xml:space="preserve"> plaza nueva de Profesional en Derecho 3B, 2 Técnico</w:t>
      </w:r>
      <w:r w:rsidR="00021A44">
        <w:rPr>
          <w:rFonts w:ascii="Book Antiqua" w:eastAsia="Calibri" w:hAnsi="Book Antiqua" w:cs="Arial"/>
          <w:sz w:val="24"/>
          <w:szCs w:val="24"/>
        </w:rPr>
        <w:t>s</w:t>
      </w:r>
      <w:r w:rsidRPr="00A132C7">
        <w:rPr>
          <w:rFonts w:ascii="Book Antiqua" w:eastAsia="Calibri" w:hAnsi="Book Antiqua" w:cs="Arial"/>
          <w:sz w:val="24"/>
          <w:szCs w:val="24"/>
        </w:rPr>
        <w:t xml:space="preserve"> Sala de la Corte y 2 Técnico</w:t>
      </w:r>
      <w:r w:rsidR="00021A44">
        <w:rPr>
          <w:rFonts w:ascii="Book Antiqua" w:eastAsia="Calibri" w:hAnsi="Book Antiqua" w:cs="Arial"/>
          <w:sz w:val="24"/>
          <w:szCs w:val="24"/>
        </w:rPr>
        <w:t>s</w:t>
      </w:r>
      <w:r w:rsidRPr="00A132C7">
        <w:rPr>
          <w:rFonts w:ascii="Book Antiqua" w:eastAsia="Calibri" w:hAnsi="Book Antiqua" w:cs="Arial"/>
          <w:sz w:val="24"/>
          <w:szCs w:val="24"/>
        </w:rPr>
        <w:t xml:space="preserve"> Judicial 3, todas ordinarias </w:t>
      </w:r>
      <w:r w:rsidR="00D77F2E">
        <w:rPr>
          <w:rFonts w:ascii="Book Antiqua" w:eastAsia="Calibri" w:hAnsi="Book Antiqua" w:cs="Arial"/>
          <w:sz w:val="24"/>
          <w:szCs w:val="24"/>
        </w:rPr>
        <w:t xml:space="preserve">y 10 plazas Juez 1 </w:t>
      </w:r>
      <w:r w:rsidR="00345D7D">
        <w:rPr>
          <w:rFonts w:ascii="Book Antiqua" w:eastAsia="Calibri" w:hAnsi="Book Antiqua" w:cs="Arial"/>
          <w:sz w:val="24"/>
          <w:szCs w:val="24"/>
        </w:rPr>
        <w:t xml:space="preserve">(5 ordinarias y 5 extraordinarias) </w:t>
      </w:r>
      <w:r w:rsidR="00D77F2E">
        <w:rPr>
          <w:rFonts w:ascii="Book Antiqua" w:eastAsia="Calibri" w:hAnsi="Book Antiqua" w:cs="Arial"/>
          <w:sz w:val="24"/>
          <w:szCs w:val="24"/>
        </w:rPr>
        <w:t xml:space="preserve">para la atención de la Segunda Instancia en PA, </w:t>
      </w:r>
      <w:r w:rsidR="00F3580B">
        <w:rPr>
          <w:rFonts w:ascii="Book Antiqua" w:eastAsia="Calibri" w:hAnsi="Book Antiqua" w:cs="Arial"/>
          <w:sz w:val="24"/>
          <w:szCs w:val="24"/>
        </w:rPr>
        <w:t xml:space="preserve">con </w:t>
      </w:r>
      <w:r w:rsidRPr="00A132C7">
        <w:rPr>
          <w:rFonts w:ascii="Book Antiqua" w:eastAsia="Calibri" w:hAnsi="Book Antiqua" w:cs="Arial"/>
          <w:sz w:val="24"/>
          <w:szCs w:val="24"/>
        </w:rPr>
        <w:t xml:space="preserve">un costo estimado </w:t>
      </w:r>
      <w:bookmarkStart w:id="93" w:name="_Hlk128110049"/>
      <w:r w:rsidRPr="00BB5B48">
        <w:rPr>
          <w:rFonts w:ascii="Times New Roman" w:eastAsia="Calibri" w:hAnsi="Times New Roman" w:cs="Times New Roman"/>
          <w:sz w:val="24"/>
          <w:szCs w:val="24"/>
        </w:rPr>
        <w:t>₡</w:t>
      </w:r>
      <w:r w:rsidR="00BB5B48" w:rsidRPr="00BB5B48">
        <w:rPr>
          <w:rFonts w:ascii="Book Antiqua" w:eastAsia="Calibri" w:hAnsi="Book Antiqua" w:cs="Times New Roman"/>
          <w:sz w:val="24"/>
          <w:szCs w:val="24"/>
        </w:rPr>
        <w:t>801</w:t>
      </w:r>
      <w:r w:rsidRPr="00BB5B48">
        <w:rPr>
          <w:rFonts w:ascii="Book Antiqua" w:eastAsia="Calibri" w:hAnsi="Book Antiqua" w:cs="Arial"/>
          <w:sz w:val="24"/>
          <w:szCs w:val="24"/>
        </w:rPr>
        <w:t>,</w:t>
      </w:r>
      <w:r w:rsidR="00BB5B48" w:rsidRPr="00BB5B48">
        <w:rPr>
          <w:rFonts w:ascii="Book Antiqua" w:eastAsia="Calibri" w:hAnsi="Book Antiqua" w:cs="Arial"/>
          <w:sz w:val="24"/>
          <w:szCs w:val="24"/>
        </w:rPr>
        <w:t>595</w:t>
      </w:r>
      <w:r w:rsidRPr="00BB5B48">
        <w:rPr>
          <w:rFonts w:ascii="Book Antiqua" w:eastAsia="Calibri" w:hAnsi="Book Antiqua" w:cs="Arial"/>
          <w:sz w:val="24"/>
          <w:szCs w:val="24"/>
        </w:rPr>
        <w:t>,000.00</w:t>
      </w:r>
      <w:bookmarkEnd w:id="93"/>
      <w:r w:rsidRPr="00BB5B48">
        <w:rPr>
          <w:rFonts w:ascii="Book Antiqua" w:eastAsia="Calibri" w:hAnsi="Book Antiqua" w:cs="Arial"/>
          <w:sz w:val="24"/>
          <w:szCs w:val="24"/>
        </w:rPr>
        <w:t>.</w:t>
      </w:r>
    </w:p>
    <w:p w14:paraId="13E5083A" w14:textId="3C3A3BCD" w:rsidR="00DF1498" w:rsidRDefault="008C20AB">
      <w:pPr>
        <w:pStyle w:val="Prrafodelista"/>
        <w:numPr>
          <w:ilvl w:val="0"/>
          <w:numId w:val="42"/>
        </w:numPr>
        <w:jc w:val="both"/>
        <w:rPr>
          <w:rFonts w:ascii="Book Antiqua" w:eastAsia="Calibri" w:hAnsi="Book Antiqua" w:cs="Arial"/>
          <w:sz w:val="24"/>
          <w:szCs w:val="24"/>
        </w:rPr>
      </w:pPr>
      <w:r w:rsidRPr="00DF1498">
        <w:rPr>
          <w:rFonts w:ascii="Book Antiqua" w:eastAsia="Calibri" w:hAnsi="Book Antiqua" w:cs="Arial"/>
          <w:sz w:val="24"/>
          <w:szCs w:val="24"/>
        </w:rPr>
        <w:t>Para el CACMFJ y planes de trabajo: 1 Jueza o Juez 4 Gestor</w:t>
      </w:r>
      <w:r w:rsidR="0024326F">
        <w:rPr>
          <w:rFonts w:ascii="Book Antiqua" w:eastAsia="Calibri" w:hAnsi="Book Antiqua" w:cs="Arial"/>
          <w:sz w:val="24"/>
          <w:szCs w:val="24"/>
        </w:rPr>
        <w:t xml:space="preserve"> y</w:t>
      </w:r>
      <w:r w:rsidRPr="00DF1498">
        <w:rPr>
          <w:rFonts w:ascii="Book Antiqua" w:eastAsia="Calibri" w:hAnsi="Book Antiqua" w:cs="Arial"/>
          <w:sz w:val="24"/>
          <w:szCs w:val="24"/>
        </w:rPr>
        <w:t xml:space="preserve"> 1 </w:t>
      </w:r>
      <w:r w:rsidR="00021A44" w:rsidRPr="00DF1498">
        <w:rPr>
          <w:rFonts w:ascii="Book Antiqua" w:eastAsia="Calibri" w:hAnsi="Book Antiqua" w:cs="Arial"/>
          <w:sz w:val="24"/>
          <w:szCs w:val="24"/>
        </w:rPr>
        <w:t>P</w:t>
      </w:r>
      <w:r w:rsidRPr="00DF1498">
        <w:rPr>
          <w:rFonts w:ascii="Book Antiqua" w:eastAsia="Calibri" w:hAnsi="Book Antiqua" w:cs="Arial"/>
          <w:sz w:val="24"/>
          <w:szCs w:val="24"/>
        </w:rPr>
        <w:t xml:space="preserve">rofesional 2 </w:t>
      </w:r>
      <w:r w:rsidR="0024326F">
        <w:rPr>
          <w:rFonts w:ascii="Book Antiqua" w:eastAsia="Calibri" w:hAnsi="Book Antiqua" w:cs="Arial"/>
          <w:sz w:val="24"/>
          <w:szCs w:val="24"/>
        </w:rPr>
        <w:t xml:space="preserve">ambas </w:t>
      </w:r>
      <w:r w:rsidR="00DF0A7E">
        <w:rPr>
          <w:rFonts w:ascii="Book Antiqua" w:eastAsia="Calibri" w:hAnsi="Book Antiqua" w:cs="Arial"/>
          <w:sz w:val="24"/>
          <w:szCs w:val="24"/>
        </w:rPr>
        <w:t xml:space="preserve">plazas </w:t>
      </w:r>
      <w:r w:rsidRPr="00DF1498">
        <w:rPr>
          <w:rFonts w:ascii="Book Antiqua" w:eastAsia="Calibri" w:hAnsi="Book Antiqua" w:cs="Arial"/>
          <w:sz w:val="24"/>
          <w:szCs w:val="24"/>
        </w:rPr>
        <w:t>ordinaria</w:t>
      </w:r>
      <w:r w:rsidR="0024326F">
        <w:rPr>
          <w:rFonts w:ascii="Book Antiqua" w:eastAsia="Calibri" w:hAnsi="Book Antiqua" w:cs="Arial"/>
          <w:sz w:val="24"/>
          <w:szCs w:val="24"/>
        </w:rPr>
        <w:t>s</w:t>
      </w:r>
      <w:r w:rsidRPr="00DF1498">
        <w:rPr>
          <w:rFonts w:ascii="Book Antiqua" w:eastAsia="Calibri" w:hAnsi="Book Antiqua" w:cs="Arial"/>
          <w:sz w:val="24"/>
          <w:szCs w:val="24"/>
        </w:rPr>
        <w:t xml:space="preserve"> y de forma extraordinarias: </w:t>
      </w:r>
      <w:r w:rsidR="0024326F">
        <w:rPr>
          <w:rFonts w:ascii="Book Antiqua" w:eastAsia="Calibri" w:hAnsi="Book Antiqua" w:cs="Arial"/>
          <w:sz w:val="24"/>
          <w:szCs w:val="24"/>
        </w:rPr>
        <w:t>1 Profesional 2, 1 Coordinador Judicial 2</w:t>
      </w:r>
      <w:r w:rsidR="0023528D">
        <w:rPr>
          <w:rFonts w:ascii="Book Antiqua" w:eastAsia="Calibri" w:hAnsi="Book Antiqua" w:cs="Arial"/>
          <w:sz w:val="24"/>
          <w:szCs w:val="24"/>
        </w:rPr>
        <w:t xml:space="preserve">, </w:t>
      </w:r>
      <w:r w:rsidRPr="00DF1498">
        <w:rPr>
          <w:rFonts w:ascii="Book Antiqua" w:eastAsia="Calibri" w:hAnsi="Book Antiqua" w:cs="Arial"/>
          <w:sz w:val="24"/>
          <w:szCs w:val="24"/>
        </w:rPr>
        <w:t xml:space="preserve">2 </w:t>
      </w:r>
      <w:r w:rsidR="00021A44" w:rsidRPr="00DF1498">
        <w:rPr>
          <w:rFonts w:ascii="Book Antiqua" w:eastAsia="Calibri" w:hAnsi="Book Antiqua" w:cs="Arial"/>
          <w:sz w:val="24"/>
          <w:szCs w:val="24"/>
        </w:rPr>
        <w:t>T</w:t>
      </w:r>
      <w:r w:rsidRPr="00DF1498">
        <w:rPr>
          <w:rFonts w:ascii="Book Antiqua" w:eastAsia="Calibri" w:hAnsi="Book Antiqua" w:cs="Arial"/>
          <w:sz w:val="24"/>
          <w:szCs w:val="24"/>
        </w:rPr>
        <w:t xml:space="preserve">écnicos </w:t>
      </w:r>
      <w:r w:rsidR="0023528D">
        <w:rPr>
          <w:rFonts w:ascii="Book Antiqua" w:eastAsia="Calibri" w:hAnsi="Book Antiqua" w:cs="Arial"/>
          <w:sz w:val="24"/>
          <w:szCs w:val="24"/>
        </w:rPr>
        <w:t>Supernumerarios</w:t>
      </w:r>
      <w:r w:rsidR="00422F8C">
        <w:rPr>
          <w:rFonts w:ascii="Book Antiqua" w:eastAsia="Calibri" w:hAnsi="Book Antiqua" w:cs="Arial"/>
          <w:sz w:val="24"/>
          <w:szCs w:val="24"/>
        </w:rPr>
        <w:t xml:space="preserve"> y</w:t>
      </w:r>
      <w:r w:rsidR="0023528D">
        <w:rPr>
          <w:rFonts w:ascii="Book Antiqua" w:eastAsia="Calibri" w:hAnsi="Book Antiqua" w:cs="Arial"/>
          <w:sz w:val="24"/>
          <w:szCs w:val="24"/>
        </w:rPr>
        <w:t xml:space="preserve"> 4 Técnicos </w:t>
      </w:r>
      <w:r w:rsidRPr="00DF1498">
        <w:rPr>
          <w:rFonts w:ascii="Book Antiqua" w:eastAsia="Calibri" w:hAnsi="Book Antiqua" w:cs="Arial"/>
          <w:sz w:val="24"/>
          <w:szCs w:val="24"/>
        </w:rPr>
        <w:t>Judiciales 2</w:t>
      </w:r>
      <w:r w:rsidR="00DF0A7E">
        <w:rPr>
          <w:rFonts w:ascii="Book Antiqua" w:eastAsia="Calibri" w:hAnsi="Book Antiqua" w:cs="Arial"/>
          <w:sz w:val="24"/>
          <w:szCs w:val="24"/>
        </w:rPr>
        <w:t xml:space="preserve"> para atender escritos y demandas nuevas</w:t>
      </w:r>
      <w:r w:rsidRPr="00DF1498">
        <w:rPr>
          <w:rFonts w:ascii="Book Antiqua" w:eastAsia="Calibri" w:hAnsi="Book Antiqua" w:cs="Arial"/>
          <w:sz w:val="24"/>
          <w:szCs w:val="24"/>
        </w:rPr>
        <w:t xml:space="preserve">. </w:t>
      </w:r>
      <w:r w:rsidR="00F26624" w:rsidRPr="00DF1498">
        <w:rPr>
          <w:rFonts w:ascii="Book Antiqua" w:eastAsia="Calibri" w:hAnsi="Book Antiqua" w:cs="Arial"/>
          <w:sz w:val="24"/>
          <w:szCs w:val="24"/>
        </w:rPr>
        <w:t xml:space="preserve">Para el plan de Trabajo en Pensiones </w:t>
      </w:r>
      <w:r w:rsidR="0013620C">
        <w:rPr>
          <w:rFonts w:ascii="Book Antiqua" w:eastAsia="Calibri" w:hAnsi="Book Antiqua" w:cs="Arial"/>
          <w:sz w:val="24"/>
          <w:szCs w:val="24"/>
        </w:rPr>
        <w:t>12</w:t>
      </w:r>
      <w:r w:rsidR="0013620C" w:rsidRPr="00DF1498">
        <w:rPr>
          <w:rFonts w:ascii="Book Antiqua" w:eastAsia="Calibri" w:hAnsi="Book Antiqua" w:cs="Arial"/>
          <w:sz w:val="24"/>
          <w:szCs w:val="24"/>
        </w:rPr>
        <w:t xml:space="preserve"> </w:t>
      </w:r>
      <w:r w:rsidR="00F26624" w:rsidRPr="00DF1498">
        <w:rPr>
          <w:rFonts w:ascii="Book Antiqua" w:eastAsia="Calibri" w:hAnsi="Book Antiqua" w:cs="Arial"/>
          <w:sz w:val="24"/>
          <w:szCs w:val="24"/>
        </w:rPr>
        <w:t xml:space="preserve">personas </w:t>
      </w:r>
      <w:r w:rsidR="00021A44" w:rsidRPr="00DF1498">
        <w:rPr>
          <w:rFonts w:ascii="Book Antiqua" w:eastAsia="Calibri" w:hAnsi="Book Antiqua" w:cs="Arial"/>
          <w:sz w:val="24"/>
          <w:szCs w:val="24"/>
        </w:rPr>
        <w:t>J</w:t>
      </w:r>
      <w:r w:rsidR="00F26624" w:rsidRPr="00DF1498">
        <w:rPr>
          <w:rFonts w:ascii="Book Antiqua" w:eastAsia="Calibri" w:hAnsi="Book Antiqua" w:cs="Arial"/>
          <w:sz w:val="24"/>
          <w:szCs w:val="24"/>
        </w:rPr>
        <w:t xml:space="preserve">uzgadoras </w:t>
      </w:r>
      <w:r w:rsidR="00FB7C22">
        <w:rPr>
          <w:rFonts w:ascii="Book Antiqua" w:eastAsia="Calibri" w:hAnsi="Book Antiqua" w:cs="Arial"/>
          <w:sz w:val="24"/>
          <w:szCs w:val="24"/>
        </w:rPr>
        <w:t>Supernumerarias</w:t>
      </w:r>
      <w:r w:rsidR="00F26624" w:rsidRPr="00DF1498">
        <w:rPr>
          <w:rFonts w:ascii="Book Antiqua" w:eastAsia="Calibri" w:hAnsi="Book Antiqua" w:cs="Arial"/>
          <w:sz w:val="24"/>
          <w:szCs w:val="24"/>
        </w:rPr>
        <w:t xml:space="preserve">, para el plan en Familia </w:t>
      </w:r>
      <w:r w:rsidR="0091109C">
        <w:rPr>
          <w:rFonts w:ascii="Book Antiqua" w:eastAsia="Calibri" w:hAnsi="Book Antiqua" w:cs="Arial"/>
          <w:sz w:val="24"/>
          <w:szCs w:val="24"/>
        </w:rPr>
        <w:t>8</w:t>
      </w:r>
      <w:r w:rsidR="0091109C" w:rsidRPr="00DF1498">
        <w:rPr>
          <w:rFonts w:ascii="Book Antiqua" w:eastAsia="Calibri" w:hAnsi="Book Antiqua" w:cs="Arial"/>
          <w:sz w:val="24"/>
          <w:szCs w:val="24"/>
        </w:rPr>
        <w:t xml:space="preserve"> </w:t>
      </w:r>
      <w:r w:rsidR="00F26624" w:rsidRPr="00DF1498">
        <w:rPr>
          <w:rFonts w:ascii="Book Antiqua" w:eastAsia="Calibri" w:hAnsi="Book Antiqua" w:cs="Arial"/>
          <w:sz w:val="24"/>
          <w:szCs w:val="24"/>
        </w:rPr>
        <w:t xml:space="preserve">personas </w:t>
      </w:r>
      <w:r w:rsidR="00021A44" w:rsidRPr="00DF1498">
        <w:rPr>
          <w:rFonts w:ascii="Book Antiqua" w:eastAsia="Calibri" w:hAnsi="Book Antiqua" w:cs="Arial"/>
          <w:sz w:val="24"/>
          <w:szCs w:val="24"/>
        </w:rPr>
        <w:t>J</w:t>
      </w:r>
      <w:r w:rsidR="00F26624" w:rsidRPr="00DF1498">
        <w:rPr>
          <w:rFonts w:ascii="Book Antiqua" w:eastAsia="Calibri" w:hAnsi="Book Antiqua" w:cs="Arial"/>
          <w:sz w:val="24"/>
          <w:szCs w:val="24"/>
        </w:rPr>
        <w:t>uzgadoras 3</w:t>
      </w:r>
      <w:r w:rsidR="00153B31">
        <w:rPr>
          <w:rFonts w:ascii="Book Antiqua" w:eastAsia="Calibri" w:hAnsi="Book Antiqua" w:cs="Arial"/>
          <w:sz w:val="24"/>
          <w:szCs w:val="24"/>
        </w:rPr>
        <w:t xml:space="preserve">, </w:t>
      </w:r>
      <w:r w:rsidR="00F26624" w:rsidRPr="00DF1498">
        <w:rPr>
          <w:rFonts w:ascii="Book Antiqua" w:eastAsia="Calibri" w:hAnsi="Book Antiqua" w:cs="Arial"/>
          <w:sz w:val="24"/>
          <w:szCs w:val="24"/>
        </w:rPr>
        <w:t xml:space="preserve"> </w:t>
      </w:r>
      <w:r w:rsidR="00314E1D">
        <w:rPr>
          <w:rFonts w:ascii="Book Antiqua" w:eastAsia="Calibri" w:hAnsi="Book Antiqua" w:cs="Arial"/>
          <w:sz w:val="24"/>
          <w:szCs w:val="24"/>
        </w:rPr>
        <w:t xml:space="preserve">3 jueces </w:t>
      </w:r>
      <w:r w:rsidR="009C09FB">
        <w:rPr>
          <w:rFonts w:ascii="Book Antiqua" w:eastAsia="Calibri" w:hAnsi="Book Antiqua" w:cs="Arial"/>
          <w:sz w:val="24"/>
          <w:szCs w:val="24"/>
        </w:rPr>
        <w:t xml:space="preserve">4 </w:t>
      </w:r>
      <w:r w:rsidR="00314E1D">
        <w:rPr>
          <w:rFonts w:ascii="Book Antiqua" w:eastAsia="Calibri" w:hAnsi="Book Antiqua" w:cs="Arial"/>
          <w:sz w:val="24"/>
          <w:szCs w:val="24"/>
        </w:rPr>
        <w:t xml:space="preserve">para Segunda Instancia </w:t>
      </w:r>
      <w:r w:rsidR="00F26624" w:rsidRPr="00DF1498">
        <w:rPr>
          <w:rFonts w:ascii="Book Antiqua" w:eastAsia="Calibri" w:hAnsi="Book Antiqua" w:cs="Arial"/>
          <w:sz w:val="24"/>
          <w:szCs w:val="24"/>
        </w:rPr>
        <w:t xml:space="preserve">y </w:t>
      </w:r>
      <w:bookmarkStart w:id="94" w:name="_Hlk129783010"/>
      <w:r w:rsidR="00F26624" w:rsidRPr="00DF1498">
        <w:rPr>
          <w:rFonts w:ascii="Book Antiqua" w:eastAsia="Calibri" w:hAnsi="Book Antiqua" w:cs="Arial"/>
          <w:sz w:val="24"/>
          <w:szCs w:val="24"/>
        </w:rPr>
        <w:t>para el modelo de tramitación de Violencia Doméstica se necesitan</w:t>
      </w:r>
      <w:bookmarkEnd w:id="94"/>
      <w:r w:rsidR="00F26624" w:rsidRPr="00DF1498">
        <w:rPr>
          <w:rFonts w:ascii="Book Antiqua" w:eastAsia="Calibri" w:hAnsi="Book Antiqua" w:cs="Arial"/>
          <w:sz w:val="24"/>
          <w:szCs w:val="24"/>
        </w:rPr>
        <w:t xml:space="preserve"> 2 personas </w:t>
      </w:r>
      <w:r w:rsidR="00021A44" w:rsidRPr="00DF1498">
        <w:rPr>
          <w:rFonts w:ascii="Book Antiqua" w:eastAsia="Calibri" w:hAnsi="Book Antiqua" w:cs="Arial"/>
          <w:sz w:val="24"/>
          <w:szCs w:val="24"/>
        </w:rPr>
        <w:t>J</w:t>
      </w:r>
      <w:r w:rsidR="00F26624" w:rsidRPr="00DF1498">
        <w:rPr>
          <w:rFonts w:ascii="Book Antiqua" w:eastAsia="Calibri" w:hAnsi="Book Antiqua" w:cs="Arial"/>
          <w:sz w:val="24"/>
          <w:szCs w:val="24"/>
        </w:rPr>
        <w:t xml:space="preserve">uzgadoras 3 con 17 personas </w:t>
      </w:r>
      <w:r w:rsidR="00021A44" w:rsidRPr="00DF1498">
        <w:rPr>
          <w:rFonts w:ascii="Book Antiqua" w:eastAsia="Calibri" w:hAnsi="Book Antiqua" w:cs="Arial"/>
          <w:sz w:val="24"/>
          <w:szCs w:val="24"/>
        </w:rPr>
        <w:t>T</w:t>
      </w:r>
      <w:r w:rsidR="00F26624" w:rsidRPr="00DF1498">
        <w:rPr>
          <w:rFonts w:ascii="Book Antiqua" w:eastAsia="Calibri" w:hAnsi="Book Antiqua" w:cs="Arial"/>
          <w:sz w:val="24"/>
          <w:szCs w:val="24"/>
        </w:rPr>
        <w:t xml:space="preserve">écnicas </w:t>
      </w:r>
      <w:r w:rsidR="00021A44" w:rsidRPr="00DF1498">
        <w:rPr>
          <w:rFonts w:ascii="Book Antiqua" w:eastAsia="Calibri" w:hAnsi="Book Antiqua" w:cs="Arial"/>
          <w:sz w:val="24"/>
          <w:szCs w:val="24"/>
        </w:rPr>
        <w:t>J</w:t>
      </w:r>
      <w:r w:rsidR="00F26624" w:rsidRPr="00DF1498">
        <w:rPr>
          <w:rFonts w:ascii="Book Antiqua" w:eastAsia="Calibri" w:hAnsi="Book Antiqua" w:cs="Arial"/>
          <w:sz w:val="24"/>
          <w:szCs w:val="24"/>
        </w:rPr>
        <w:t xml:space="preserve">udiciales 2; haciéndose la observación que </w:t>
      </w:r>
      <w:r w:rsidR="00DF1498" w:rsidRPr="00DF1498">
        <w:rPr>
          <w:rFonts w:ascii="Book Antiqua" w:eastAsia="Calibri" w:hAnsi="Book Antiqua" w:cs="Arial"/>
          <w:sz w:val="24"/>
          <w:szCs w:val="24"/>
        </w:rPr>
        <w:t xml:space="preserve">de quedar la plaza de Auxiliar de Servicios Generales adscrita al Juzgado de Niñez y </w:t>
      </w:r>
      <w:r w:rsidR="00DF1498">
        <w:rPr>
          <w:rFonts w:ascii="Book Antiqua" w:eastAsia="Calibri" w:hAnsi="Book Antiqua" w:cs="Arial"/>
          <w:sz w:val="24"/>
          <w:szCs w:val="24"/>
        </w:rPr>
        <w:t>A</w:t>
      </w:r>
      <w:r w:rsidR="00DF1498" w:rsidRPr="00DF1498">
        <w:rPr>
          <w:rFonts w:ascii="Book Antiqua" w:eastAsia="Calibri" w:hAnsi="Book Antiqua" w:cs="Arial"/>
          <w:sz w:val="24"/>
          <w:szCs w:val="24"/>
        </w:rPr>
        <w:t>dolescencia, sería necesario crear una plaza adicional de Técnico Judicial para el Juzgado contra la Violencia Doméstica y restar una recalificación</w:t>
      </w:r>
      <w:r w:rsidR="00DF1498">
        <w:rPr>
          <w:rFonts w:ascii="Book Antiqua" w:eastAsia="Calibri" w:hAnsi="Book Antiqua" w:cs="Arial"/>
          <w:sz w:val="24"/>
          <w:szCs w:val="24"/>
        </w:rPr>
        <w:t xml:space="preserve">, para un costo de </w:t>
      </w:r>
      <w:bookmarkStart w:id="95" w:name="_Hlk129783068"/>
      <w:r w:rsidR="00DF1498" w:rsidRPr="001C230A">
        <w:rPr>
          <w:rFonts w:ascii="Times New Roman" w:eastAsia="Calibri" w:hAnsi="Times New Roman" w:cs="Times New Roman"/>
          <w:sz w:val="24"/>
          <w:szCs w:val="24"/>
        </w:rPr>
        <w:t>₡</w:t>
      </w:r>
      <w:r w:rsidR="00404BA3">
        <w:rPr>
          <w:rFonts w:ascii="Book Antiqua" w:eastAsia="Calibri" w:hAnsi="Book Antiqua" w:cs="Arial"/>
          <w:sz w:val="24"/>
          <w:szCs w:val="24"/>
        </w:rPr>
        <w:t>1 788 700 250</w:t>
      </w:r>
      <w:r w:rsidR="00DF1498" w:rsidRPr="001C230A">
        <w:rPr>
          <w:rFonts w:ascii="Book Antiqua" w:eastAsia="Calibri" w:hAnsi="Book Antiqua" w:cs="Arial"/>
          <w:sz w:val="24"/>
          <w:szCs w:val="24"/>
        </w:rPr>
        <w:t>.00.</w:t>
      </w:r>
      <w:bookmarkEnd w:id="95"/>
    </w:p>
    <w:p w14:paraId="55B79ECE" w14:textId="54C0F762" w:rsidR="00726A87" w:rsidRPr="00DF1498" w:rsidRDefault="00766F7E">
      <w:pPr>
        <w:pStyle w:val="Prrafodelista"/>
        <w:numPr>
          <w:ilvl w:val="0"/>
          <w:numId w:val="42"/>
        </w:numPr>
        <w:jc w:val="both"/>
        <w:rPr>
          <w:rFonts w:ascii="Book Antiqua" w:eastAsia="Calibri" w:hAnsi="Book Antiqua" w:cs="Arial"/>
          <w:sz w:val="24"/>
          <w:szCs w:val="24"/>
        </w:rPr>
      </w:pPr>
      <w:r>
        <w:rPr>
          <w:rFonts w:ascii="Book Antiqua" w:eastAsia="Calibri" w:hAnsi="Book Antiqua" w:cs="Arial"/>
          <w:sz w:val="24"/>
          <w:szCs w:val="24"/>
        </w:rPr>
        <w:t>P</w:t>
      </w:r>
      <w:r w:rsidRPr="00766F7E">
        <w:rPr>
          <w:rFonts w:ascii="Book Antiqua" w:eastAsia="Calibri" w:hAnsi="Book Antiqua" w:cs="Arial"/>
          <w:sz w:val="24"/>
          <w:szCs w:val="24"/>
        </w:rPr>
        <w:t xml:space="preserve">ara el modelo de tramitación de Violencia Doméstica se necesitan </w:t>
      </w:r>
      <w:r>
        <w:rPr>
          <w:rFonts w:ascii="Book Antiqua" w:eastAsia="Calibri" w:hAnsi="Book Antiqua" w:cs="Arial"/>
          <w:sz w:val="24"/>
          <w:szCs w:val="24"/>
        </w:rPr>
        <w:t xml:space="preserve">recalificar 4 </w:t>
      </w:r>
      <w:r w:rsidR="006271E9">
        <w:rPr>
          <w:rFonts w:ascii="Book Antiqua" w:eastAsia="Calibri" w:hAnsi="Book Antiqua" w:cs="Arial"/>
          <w:sz w:val="24"/>
          <w:szCs w:val="24"/>
        </w:rPr>
        <w:t xml:space="preserve">plazas de Auxiliar de Servicios Generales a Técnico Judicial 2, para un costo de </w:t>
      </w:r>
      <w:r w:rsidR="006271E9" w:rsidRPr="006271E9">
        <w:rPr>
          <w:rFonts w:ascii="Times New Roman" w:eastAsia="Calibri" w:hAnsi="Times New Roman" w:cs="Times New Roman"/>
          <w:sz w:val="24"/>
          <w:szCs w:val="24"/>
        </w:rPr>
        <w:t>₡</w:t>
      </w:r>
      <w:r w:rsidR="006271E9" w:rsidRPr="006271E9">
        <w:rPr>
          <w:rFonts w:ascii="Book Antiqua" w:eastAsia="Calibri" w:hAnsi="Book Antiqua" w:cs="Arial"/>
          <w:sz w:val="24"/>
          <w:szCs w:val="24"/>
        </w:rPr>
        <w:t>9,</w:t>
      </w:r>
      <w:r w:rsidR="007F2284">
        <w:rPr>
          <w:rFonts w:ascii="Book Antiqua" w:eastAsia="Calibri" w:hAnsi="Book Antiqua" w:cs="Arial"/>
          <w:sz w:val="24"/>
          <w:szCs w:val="24"/>
        </w:rPr>
        <w:t>812</w:t>
      </w:r>
      <w:r w:rsidR="006271E9" w:rsidRPr="006271E9">
        <w:rPr>
          <w:rFonts w:ascii="Book Antiqua" w:eastAsia="Calibri" w:hAnsi="Book Antiqua" w:cs="Arial"/>
          <w:sz w:val="24"/>
          <w:szCs w:val="24"/>
        </w:rPr>
        <w:t>,000.00.</w:t>
      </w:r>
    </w:p>
    <w:p w14:paraId="424CC675" w14:textId="547942F4" w:rsidR="00DF1498" w:rsidRDefault="00DF1498" w:rsidP="00DF1498">
      <w:pPr>
        <w:pStyle w:val="Prrafodelista"/>
        <w:spacing w:after="0" w:line="276" w:lineRule="auto"/>
        <w:jc w:val="both"/>
        <w:rPr>
          <w:rFonts w:ascii="Book Antiqua" w:eastAsia="Calibri" w:hAnsi="Book Antiqua" w:cs="Arial"/>
          <w:sz w:val="24"/>
          <w:szCs w:val="24"/>
        </w:rPr>
      </w:pPr>
    </w:p>
    <w:p w14:paraId="5EAC2252" w14:textId="10A2FD2D" w:rsidR="006F6088" w:rsidRDefault="00D76695" w:rsidP="00D7669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un total </w:t>
      </w:r>
      <w:r w:rsidR="006F6088" w:rsidRPr="009B71C9">
        <w:rPr>
          <w:rFonts w:ascii="Book Antiqua" w:eastAsia="Calibri" w:hAnsi="Book Antiqua" w:cs="Arial"/>
          <w:sz w:val="24"/>
          <w:szCs w:val="24"/>
        </w:rPr>
        <w:t xml:space="preserve">por </w:t>
      </w:r>
      <w:r w:rsidR="006F6088" w:rsidRPr="00A132C7">
        <w:rPr>
          <w:rFonts w:ascii="Book Antiqua" w:eastAsia="Calibri" w:hAnsi="Book Antiqua" w:cs="Arial"/>
          <w:sz w:val="24"/>
          <w:szCs w:val="24"/>
        </w:rPr>
        <w:t>concepto de recurso humano necesario para la entrada en vigencia del C</w:t>
      </w:r>
      <w:r w:rsidR="006F6088" w:rsidRPr="00A132C7">
        <w:rPr>
          <w:rFonts w:ascii="Book Antiqua" w:eastAsia="Calibri" w:hAnsi="Book Antiqua" w:cs="Book Antiqua"/>
          <w:sz w:val="24"/>
          <w:szCs w:val="24"/>
        </w:rPr>
        <w:t>ó</w:t>
      </w:r>
      <w:r w:rsidR="006F6088" w:rsidRPr="00A132C7">
        <w:rPr>
          <w:rFonts w:ascii="Book Antiqua" w:eastAsia="Calibri" w:hAnsi="Book Antiqua" w:cs="Arial"/>
          <w:sz w:val="24"/>
          <w:szCs w:val="24"/>
        </w:rPr>
        <w:t xml:space="preserve">digo Procesal </w:t>
      </w:r>
      <w:r w:rsidR="006F6088" w:rsidRPr="002435EC">
        <w:rPr>
          <w:rFonts w:ascii="Book Antiqua" w:eastAsia="Calibri" w:hAnsi="Book Antiqua" w:cs="Arial"/>
          <w:sz w:val="24"/>
          <w:szCs w:val="24"/>
        </w:rPr>
        <w:t>Familia</w:t>
      </w:r>
      <w:r w:rsidRPr="002435EC">
        <w:rPr>
          <w:rFonts w:ascii="Book Antiqua" w:eastAsia="Calibri" w:hAnsi="Book Antiqua" w:cs="Arial"/>
          <w:sz w:val="24"/>
          <w:szCs w:val="24"/>
        </w:rPr>
        <w:t xml:space="preserve"> </w:t>
      </w:r>
      <w:r w:rsidRPr="002F459D">
        <w:rPr>
          <w:rFonts w:ascii="Book Antiqua" w:eastAsia="Calibri" w:hAnsi="Book Antiqua" w:cs="Arial"/>
          <w:sz w:val="24"/>
          <w:szCs w:val="24"/>
        </w:rPr>
        <w:t xml:space="preserve">de </w:t>
      </w:r>
      <w:r w:rsidRPr="002F459D">
        <w:rPr>
          <w:rFonts w:ascii="Times New Roman" w:eastAsia="Calibri" w:hAnsi="Times New Roman" w:cs="Times New Roman"/>
          <w:sz w:val="24"/>
          <w:szCs w:val="24"/>
        </w:rPr>
        <w:t>₡</w:t>
      </w:r>
      <w:r w:rsidR="000E61CB" w:rsidRPr="002F459D">
        <w:rPr>
          <w:rFonts w:ascii="Book Antiqua" w:eastAsia="Calibri" w:hAnsi="Book Antiqua" w:cs="Times New Roman"/>
          <w:sz w:val="24"/>
          <w:szCs w:val="24"/>
        </w:rPr>
        <w:t>2</w:t>
      </w:r>
      <w:r w:rsidR="00B04FF5" w:rsidRPr="002F459D">
        <w:rPr>
          <w:rFonts w:ascii="Book Antiqua" w:eastAsia="Calibri" w:hAnsi="Book Antiqua" w:cs="Times New Roman"/>
          <w:sz w:val="24"/>
          <w:szCs w:val="24"/>
        </w:rPr>
        <w:t>,</w:t>
      </w:r>
      <w:r w:rsidR="000E61CB" w:rsidRPr="002F459D">
        <w:rPr>
          <w:rFonts w:ascii="Book Antiqua" w:eastAsia="Calibri" w:hAnsi="Book Antiqua" w:cs="Times New Roman"/>
          <w:sz w:val="24"/>
          <w:szCs w:val="24"/>
        </w:rPr>
        <w:t>600</w:t>
      </w:r>
      <w:r w:rsidR="00D804EF" w:rsidRPr="002F459D">
        <w:rPr>
          <w:rFonts w:ascii="Book Antiqua" w:eastAsia="Calibri" w:hAnsi="Book Antiqua" w:cs="Arial"/>
          <w:sz w:val="24"/>
          <w:szCs w:val="24"/>
        </w:rPr>
        <w:t>,</w:t>
      </w:r>
      <w:r w:rsidR="000E4015" w:rsidRPr="002F459D">
        <w:rPr>
          <w:rFonts w:ascii="Book Antiqua" w:eastAsia="Calibri" w:hAnsi="Book Antiqua" w:cs="Arial"/>
          <w:sz w:val="24"/>
          <w:szCs w:val="24"/>
        </w:rPr>
        <w:t>107</w:t>
      </w:r>
      <w:r w:rsidR="00D804EF" w:rsidRPr="002F459D">
        <w:rPr>
          <w:rFonts w:ascii="Book Antiqua" w:eastAsia="Calibri" w:hAnsi="Book Antiqua" w:cs="Arial"/>
          <w:sz w:val="24"/>
          <w:szCs w:val="24"/>
        </w:rPr>
        <w:t>,</w:t>
      </w:r>
      <w:r w:rsidR="000E4015" w:rsidRPr="002F459D">
        <w:rPr>
          <w:rFonts w:ascii="Book Antiqua" w:eastAsia="Calibri" w:hAnsi="Book Antiqua" w:cs="Arial"/>
          <w:sz w:val="24"/>
          <w:szCs w:val="24"/>
        </w:rPr>
        <w:t>250</w:t>
      </w:r>
      <w:r w:rsidR="00D804EF" w:rsidRPr="002F459D">
        <w:rPr>
          <w:rFonts w:ascii="Book Antiqua" w:eastAsia="Calibri" w:hAnsi="Book Antiqua" w:cs="Arial"/>
          <w:sz w:val="24"/>
          <w:szCs w:val="24"/>
        </w:rPr>
        <w:t>.00</w:t>
      </w:r>
      <w:r w:rsidRPr="00BB5B48">
        <w:rPr>
          <w:rFonts w:ascii="Book Antiqua" w:eastAsia="Calibri" w:hAnsi="Book Antiqua" w:cs="Arial"/>
          <w:sz w:val="24"/>
          <w:szCs w:val="24"/>
        </w:rPr>
        <w:t>.</w:t>
      </w:r>
    </w:p>
    <w:p w14:paraId="63E9982E" w14:textId="77777777" w:rsidR="00DF1498" w:rsidRPr="00A132C7" w:rsidRDefault="00DF1498" w:rsidP="00D76695">
      <w:pPr>
        <w:spacing w:after="0" w:line="276" w:lineRule="auto"/>
        <w:jc w:val="both"/>
        <w:rPr>
          <w:rFonts w:ascii="Book Antiqua" w:eastAsia="Calibri" w:hAnsi="Book Antiqua" w:cs="Arial"/>
          <w:sz w:val="24"/>
          <w:szCs w:val="24"/>
        </w:rPr>
      </w:pPr>
    </w:p>
    <w:p w14:paraId="7DEC7BD1" w14:textId="6D4315D3" w:rsidR="006F6088" w:rsidRPr="00A132C7" w:rsidRDefault="006F6088" w:rsidP="006F6088">
      <w:pPr>
        <w:spacing w:after="0" w:line="276" w:lineRule="auto"/>
        <w:jc w:val="both"/>
        <w:rPr>
          <w:rFonts w:ascii="Book Antiqua" w:eastAsia="Calibri" w:hAnsi="Book Antiqua" w:cs="Arial"/>
          <w:sz w:val="24"/>
          <w:szCs w:val="24"/>
        </w:rPr>
      </w:pPr>
      <w:r w:rsidRPr="00EF621E">
        <w:rPr>
          <w:rFonts w:ascii="Book Antiqua" w:eastAsia="Calibri" w:hAnsi="Book Antiqua" w:cs="Arial"/>
          <w:sz w:val="24"/>
          <w:szCs w:val="24"/>
        </w:rPr>
        <w:t>El detalle del presupuesto requerido p</w:t>
      </w:r>
      <w:r w:rsidR="002435EC" w:rsidRPr="00EF621E">
        <w:rPr>
          <w:rFonts w:ascii="Book Antiqua" w:eastAsia="Calibri" w:hAnsi="Book Antiqua" w:cs="Arial"/>
          <w:sz w:val="24"/>
          <w:szCs w:val="24"/>
        </w:rPr>
        <w:t>ara</w:t>
      </w:r>
      <w:r w:rsidRPr="00EF621E">
        <w:rPr>
          <w:rFonts w:ascii="Book Antiqua" w:eastAsia="Calibri" w:hAnsi="Book Antiqua" w:cs="Arial"/>
          <w:sz w:val="24"/>
          <w:szCs w:val="24"/>
        </w:rPr>
        <w:t xml:space="preserve"> la Dirección de Tecnología de la Información </w:t>
      </w:r>
      <w:r w:rsidR="002435EC" w:rsidRPr="00EF621E">
        <w:rPr>
          <w:rFonts w:ascii="Book Antiqua" w:eastAsia="Calibri" w:hAnsi="Book Antiqua" w:cs="Arial"/>
          <w:sz w:val="24"/>
          <w:szCs w:val="24"/>
        </w:rPr>
        <w:t xml:space="preserve">y Comunicaciones </w:t>
      </w:r>
      <w:r w:rsidRPr="00EF621E">
        <w:rPr>
          <w:rFonts w:ascii="Book Antiqua" w:eastAsia="Calibri" w:hAnsi="Book Antiqua" w:cs="Arial"/>
          <w:sz w:val="24"/>
          <w:szCs w:val="24"/>
        </w:rPr>
        <w:t xml:space="preserve">para la adquisición equipo de cómputo de las plazas nuevas, licencias y diseño sitio web de la Comisión de Familia asciende a </w:t>
      </w:r>
      <w:r w:rsidR="00D76695" w:rsidRPr="00BB5B48">
        <w:rPr>
          <w:rFonts w:ascii="Times New Roman" w:eastAsia="Calibri" w:hAnsi="Times New Roman" w:cs="Times New Roman"/>
          <w:sz w:val="24"/>
          <w:szCs w:val="24"/>
        </w:rPr>
        <w:t>₡</w:t>
      </w:r>
      <w:r w:rsidR="000B025E">
        <w:rPr>
          <w:rFonts w:ascii="Book Antiqua" w:eastAsia="Calibri" w:hAnsi="Book Antiqua" w:cs="Times New Roman"/>
          <w:sz w:val="24"/>
          <w:szCs w:val="24"/>
        </w:rPr>
        <w:t>116</w:t>
      </w:r>
      <w:r w:rsidR="00D804EF" w:rsidRPr="00BB5B48">
        <w:rPr>
          <w:rFonts w:ascii="Book Antiqua" w:eastAsia="Calibri" w:hAnsi="Book Antiqua" w:cs="Arial"/>
          <w:sz w:val="24"/>
          <w:szCs w:val="24"/>
        </w:rPr>
        <w:t>,</w:t>
      </w:r>
      <w:r w:rsidR="000B025E">
        <w:rPr>
          <w:rFonts w:ascii="Book Antiqua" w:eastAsia="Calibri" w:hAnsi="Book Antiqua" w:cs="Arial"/>
          <w:sz w:val="24"/>
          <w:szCs w:val="24"/>
        </w:rPr>
        <w:t>931</w:t>
      </w:r>
      <w:r w:rsidR="00D804EF" w:rsidRPr="00BB5B48">
        <w:rPr>
          <w:rFonts w:ascii="Book Antiqua" w:eastAsia="Calibri" w:hAnsi="Book Antiqua" w:cs="Arial"/>
          <w:sz w:val="24"/>
          <w:szCs w:val="24"/>
        </w:rPr>
        <w:t>,</w:t>
      </w:r>
      <w:r w:rsidR="000B025E">
        <w:rPr>
          <w:rFonts w:ascii="Book Antiqua" w:eastAsia="Calibri" w:hAnsi="Book Antiqua" w:cs="Arial"/>
          <w:sz w:val="24"/>
          <w:szCs w:val="24"/>
        </w:rPr>
        <w:t>112</w:t>
      </w:r>
      <w:r w:rsidR="000D1FD6">
        <w:rPr>
          <w:rFonts w:ascii="Book Antiqua" w:eastAsia="Calibri" w:hAnsi="Book Antiqua" w:cs="Arial"/>
          <w:sz w:val="24"/>
          <w:szCs w:val="24"/>
        </w:rPr>
        <w:t>.</w:t>
      </w:r>
      <w:r w:rsidR="000B025E">
        <w:rPr>
          <w:rFonts w:ascii="Book Antiqua" w:eastAsia="Calibri" w:hAnsi="Book Antiqua" w:cs="Arial"/>
          <w:sz w:val="24"/>
          <w:szCs w:val="24"/>
        </w:rPr>
        <w:t>56</w:t>
      </w:r>
      <w:r w:rsidR="00D76695" w:rsidRPr="00BB5B48">
        <w:rPr>
          <w:rFonts w:ascii="Book Antiqua" w:eastAsia="Calibri" w:hAnsi="Book Antiqua" w:cs="Arial"/>
          <w:sz w:val="24"/>
          <w:szCs w:val="24"/>
        </w:rPr>
        <w:t>.</w:t>
      </w:r>
      <w:r w:rsidR="00D76695" w:rsidRPr="00A132C7">
        <w:rPr>
          <w:rFonts w:ascii="Book Antiqua" w:eastAsia="Calibri" w:hAnsi="Book Antiqua" w:cs="Arial"/>
          <w:sz w:val="24"/>
          <w:szCs w:val="24"/>
        </w:rPr>
        <w:t xml:space="preserve"> </w:t>
      </w:r>
    </w:p>
    <w:p w14:paraId="7456EFAB" w14:textId="77777777" w:rsidR="006F6088" w:rsidRPr="00A132C7" w:rsidRDefault="006F6088" w:rsidP="006F6088">
      <w:pPr>
        <w:spacing w:after="0" w:line="276" w:lineRule="auto"/>
        <w:jc w:val="both"/>
        <w:rPr>
          <w:rFonts w:ascii="Book Antiqua" w:eastAsia="Calibri" w:hAnsi="Book Antiqua" w:cs="Arial"/>
          <w:sz w:val="24"/>
          <w:szCs w:val="24"/>
        </w:rPr>
      </w:pPr>
    </w:p>
    <w:p w14:paraId="46355EF1" w14:textId="4912C86A" w:rsidR="006F6088" w:rsidRPr="006F6088" w:rsidRDefault="006F6088" w:rsidP="006F6088">
      <w:pPr>
        <w:spacing w:after="0" w:line="276" w:lineRule="auto"/>
        <w:jc w:val="both"/>
        <w:rPr>
          <w:rFonts w:ascii="Book Antiqua" w:eastAsia="Calibri" w:hAnsi="Book Antiqua" w:cs="Arial"/>
          <w:sz w:val="24"/>
          <w:szCs w:val="24"/>
        </w:rPr>
      </w:pPr>
      <w:r w:rsidRPr="00750AEB">
        <w:rPr>
          <w:rFonts w:ascii="Book Antiqua" w:eastAsia="Calibri" w:hAnsi="Book Antiqua" w:cs="Arial"/>
          <w:sz w:val="24"/>
          <w:szCs w:val="24"/>
        </w:rPr>
        <w:t xml:space="preserve">El proceso de capacitación, implementación y seguimiento de la aplicación de la nueva ley por parte de la Escuela Judicial </w:t>
      </w:r>
      <w:r w:rsidR="00423197" w:rsidRPr="00750AEB">
        <w:rPr>
          <w:rFonts w:ascii="Book Antiqua" w:eastAsia="Calibri" w:hAnsi="Book Antiqua" w:cs="Arial"/>
          <w:sz w:val="24"/>
          <w:szCs w:val="24"/>
        </w:rPr>
        <w:t xml:space="preserve">se estima en </w:t>
      </w:r>
      <w:r w:rsidR="00283F15" w:rsidRPr="00750AEB">
        <w:rPr>
          <w:rFonts w:ascii="Times New Roman" w:eastAsia="Calibri" w:hAnsi="Times New Roman" w:cs="Times New Roman"/>
          <w:sz w:val="24"/>
          <w:szCs w:val="24"/>
        </w:rPr>
        <w:t>₡</w:t>
      </w:r>
      <w:r w:rsidR="00C73DCF" w:rsidRPr="00750AEB">
        <w:rPr>
          <w:rFonts w:ascii="Book Antiqua" w:eastAsia="Calibri" w:hAnsi="Book Antiqua" w:cs="Arial"/>
          <w:sz w:val="24"/>
          <w:szCs w:val="24"/>
        </w:rPr>
        <w:t>81</w:t>
      </w:r>
      <w:r w:rsidR="00283F15" w:rsidRPr="00750AEB">
        <w:rPr>
          <w:rFonts w:ascii="Book Antiqua" w:eastAsia="Calibri" w:hAnsi="Book Antiqua" w:cs="Arial"/>
          <w:sz w:val="24"/>
          <w:szCs w:val="24"/>
        </w:rPr>
        <w:t xml:space="preserve">,198,600 </w:t>
      </w:r>
      <w:r w:rsidR="00151F1D" w:rsidRPr="00750AEB">
        <w:rPr>
          <w:rFonts w:ascii="Book Antiqua" w:eastAsia="Calibri" w:hAnsi="Book Antiqua" w:cs="Arial"/>
          <w:sz w:val="24"/>
          <w:szCs w:val="24"/>
        </w:rPr>
        <w:t xml:space="preserve">y </w:t>
      </w:r>
      <w:r w:rsidR="0018031F" w:rsidRPr="00750AEB">
        <w:rPr>
          <w:rFonts w:ascii="Book Antiqua" w:eastAsia="Calibri" w:hAnsi="Book Antiqua" w:cs="Arial"/>
          <w:sz w:val="24"/>
          <w:szCs w:val="24"/>
        </w:rPr>
        <w:t xml:space="preserve">por </w:t>
      </w:r>
      <w:r w:rsidR="00151F1D" w:rsidRPr="00750AEB">
        <w:rPr>
          <w:rFonts w:ascii="Book Antiqua" w:eastAsia="Calibri" w:hAnsi="Book Antiqua" w:cs="Arial"/>
          <w:sz w:val="24"/>
          <w:szCs w:val="24"/>
        </w:rPr>
        <w:t xml:space="preserve">viáticos </w:t>
      </w:r>
      <w:r w:rsidR="00283F15" w:rsidRPr="00750AEB">
        <w:rPr>
          <w:rFonts w:ascii="Book Antiqua" w:eastAsia="Calibri" w:hAnsi="Book Antiqua" w:cs="Arial"/>
          <w:sz w:val="24"/>
          <w:szCs w:val="24"/>
        </w:rPr>
        <w:t xml:space="preserve">y otros </w:t>
      </w:r>
      <w:r w:rsidRPr="00750AEB">
        <w:rPr>
          <w:rFonts w:ascii="Times New Roman" w:eastAsia="Calibri" w:hAnsi="Times New Roman" w:cs="Times New Roman"/>
          <w:sz w:val="24"/>
          <w:szCs w:val="24"/>
        </w:rPr>
        <w:t>₡</w:t>
      </w:r>
      <w:r w:rsidR="009369F5" w:rsidRPr="00750AEB">
        <w:rPr>
          <w:rFonts w:ascii="Book Antiqua" w:eastAsia="Calibri" w:hAnsi="Book Antiqua" w:cs="Arial"/>
          <w:sz w:val="24"/>
          <w:szCs w:val="24"/>
        </w:rPr>
        <w:t xml:space="preserve"> 1</w:t>
      </w:r>
      <w:r w:rsidR="004E7F8C" w:rsidRPr="00750AEB">
        <w:rPr>
          <w:rFonts w:ascii="Book Antiqua" w:eastAsia="Calibri" w:hAnsi="Book Antiqua" w:cs="Arial"/>
          <w:sz w:val="24"/>
          <w:szCs w:val="24"/>
        </w:rPr>
        <w:t xml:space="preserve">6 </w:t>
      </w:r>
      <w:r w:rsidR="004F4985" w:rsidRPr="00750AEB">
        <w:rPr>
          <w:rFonts w:ascii="Book Antiqua" w:eastAsia="Calibri" w:hAnsi="Book Antiqua" w:cs="Arial"/>
          <w:sz w:val="24"/>
          <w:szCs w:val="24"/>
        </w:rPr>
        <w:t>229</w:t>
      </w:r>
      <w:r w:rsidR="009369F5" w:rsidRPr="00750AEB">
        <w:rPr>
          <w:rFonts w:ascii="Book Antiqua" w:eastAsia="Calibri" w:hAnsi="Book Antiqua" w:cs="Arial"/>
          <w:sz w:val="24"/>
          <w:szCs w:val="24"/>
        </w:rPr>
        <w:t xml:space="preserve"> </w:t>
      </w:r>
      <w:r w:rsidR="004F4985" w:rsidRPr="00750AEB">
        <w:rPr>
          <w:rFonts w:ascii="Book Antiqua" w:eastAsia="Calibri" w:hAnsi="Book Antiqua" w:cs="Arial"/>
          <w:sz w:val="24"/>
          <w:szCs w:val="24"/>
        </w:rPr>
        <w:t>00</w:t>
      </w:r>
      <w:r w:rsidR="009369F5" w:rsidRPr="00750AEB">
        <w:rPr>
          <w:rFonts w:ascii="Book Antiqua" w:eastAsia="Calibri" w:hAnsi="Book Antiqua" w:cs="Arial"/>
          <w:sz w:val="24"/>
          <w:szCs w:val="24"/>
        </w:rPr>
        <w:t>0</w:t>
      </w:r>
      <w:r w:rsidRPr="00750AEB">
        <w:rPr>
          <w:rFonts w:ascii="Book Antiqua" w:eastAsia="Calibri" w:hAnsi="Book Antiqua" w:cs="Arial"/>
          <w:sz w:val="24"/>
          <w:szCs w:val="24"/>
        </w:rPr>
        <w:t>.00</w:t>
      </w:r>
      <w:r w:rsidR="00225927" w:rsidRPr="00750AEB">
        <w:rPr>
          <w:rFonts w:ascii="Book Antiqua" w:eastAsia="Calibri" w:hAnsi="Book Antiqua" w:cs="Arial"/>
          <w:sz w:val="24"/>
          <w:szCs w:val="24"/>
        </w:rPr>
        <w:t>,</w:t>
      </w:r>
      <w:r w:rsidRPr="00750AEB">
        <w:rPr>
          <w:rFonts w:ascii="Book Antiqua" w:eastAsia="Calibri" w:hAnsi="Book Antiqua" w:cs="Arial"/>
          <w:sz w:val="24"/>
          <w:szCs w:val="24"/>
        </w:rPr>
        <w:t xml:space="preserve"> según el requerimiento y plan de capacitación de la Escuela Judicial para 202</w:t>
      </w:r>
      <w:r w:rsidR="00750AEB" w:rsidRPr="00750AEB">
        <w:rPr>
          <w:rFonts w:ascii="Book Antiqua" w:eastAsia="Calibri" w:hAnsi="Book Antiqua" w:cs="Arial"/>
          <w:sz w:val="24"/>
          <w:szCs w:val="24"/>
        </w:rPr>
        <w:t>4</w:t>
      </w:r>
      <w:r w:rsidRPr="00750AEB">
        <w:rPr>
          <w:rFonts w:ascii="Book Antiqua" w:eastAsia="Calibri" w:hAnsi="Book Antiqua" w:cs="Arial"/>
          <w:sz w:val="24"/>
          <w:szCs w:val="24"/>
        </w:rPr>
        <w:t>.</w:t>
      </w:r>
    </w:p>
    <w:p w14:paraId="08882C14" w14:textId="77777777" w:rsidR="006F6088" w:rsidRPr="006F6088" w:rsidRDefault="006F6088" w:rsidP="006F6088">
      <w:pPr>
        <w:spacing w:after="0" w:line="276" w:lineRule="auto"/>
        <w:jc w:val="both"/>
        <w:rPr>
          <w:rFonts w:ascii="Book Antiqua" w:eastAsia="Calibri" w:hAnsi="Book Antiqua" w:cs="Arial"/>
          <w:sz w:val="24"/>
          <w:szCs w:val="24"/>
        </w:rPr>
      </w:pPr>
    </w:p>
    <w:p w14:paraId="47A5565F" w14:textId="7022E2E9" w:rsidR="006F6088" w:rsidRPr="006F6088" w:rsidRDefault="006F6088" w:rsidP="006F6088">
      <w:pPr>
        <w:spacing w:after="0" w:line="276" w:lineRule="auto"/>
        <w:jc w:val="both"/>
        <w:rPr>
          <w:rFonts w:ascii="Book Antiqua" w:eastAsia="Calibri" w:hAnsi="Book Antiqua" w:cs="Arial"/>
          <w:sz w:val="24"/>
          <w:szCs w:val="24"/>
        </w:rPr>
      </w:pPr>
      <w:r w:rsidRPr="006F6088">
        <w:rPr>
          <w:rFonts w:ascii="Book Antiqua" w:eastAsia="Calibri" w:hAnsi="Book Antiqua" w:cs="Arial"/>
          <w:sz w:val="24"/>
          <w:szCs w:val="24"/>
        </w:rPr>
        <w:t xml:space="preserve">Se incorporan adicionalmente </w:t>
      </w:r>
      <w:bookmarkStart w:id="96" w:name="_Hlk130196323"/>
      <w:r w:rsidRPr="006F6088">
        <w:rPr>
          <w:rFonts w:ascii="Times New Roman" w:eastAsia="Calibri" w:hAnsi="Times New Roman" w:cs="Times New Roman"/>
          <w:sz w:val="24"/>
          <w:szCs w:val="24"/>
        </w:rPr>
        <w:t>₡</w:t>
      </w:r>
      <w:r w:rsidR="00EF18AB">
        <w:rPr>
          <w:rFonts w:ascii="Times New Roman" w:eastAsia="Calibri" w:hAnsi="Times New Roman" w:cs="Times New Roman"/>
          <w:sz w:val="24"/>
          <w:szCs w:val="24"/>
        </w:rPr>
        <w:t xml:space="preserve"> </w:t>
      </w:r>
      <w:r w:rsidR="00200489">
        <w:rPr>
          <w:rFonts w:ascii="Book Antiqua" w:eastAsia="Calibri" w:hAnsi="Book Antiqua" w:cs="Arial"/>
          <w:sz w:val="24"/>
          <w:szCs w:val="24"/>
        </w:rPr>
        <w:t>6</w:t>
      </w:r>
      <w:r w:rsidR="00200489" w:rsidRPr="006F6088">
        <w:rPr>
          <w:rFonts w:ascii="Book Antiqua" w:eastAsia="Calibri" w:hAnsi="Book Antiqua" w:cs="Arial"/>
          <w:sz w:val="24"/>
          <w:szCs w:val="24"/>
        </w:rPr>
        <w:t>0</w:t>
      </w:r>
      <w:r w:rsidRPr="006F6088">
        <w:rPr>
          <w:rFonts w:ascii="Book Antiqua" w:eastAsia="Calibri" w:hAnsi="Book Antiqua" w:cs="Arial"/>
          <w:sz w:val="24"/>
          <w:szCs w:val="24"/>
        </w:rPr>
        <w:t xml:space="preserve">,000,000.00 </w:t>
      </w:r>
      <w:bookmarkEnd w:id="96"/>
      <w:r w:rsidRPr="006F6088">
        <w:rPr>
          <w:rFonts w:ascii="Book Antiqua" w:eastAsia="Calibri" w:hAnsi="Book Antiqua" w:cs="Arial"/>
          <w:sz w:val="24"/>
          <w:szCs w:val="24"/>
        </w:rPr>
        <w:t xml:space="preserve">para el pago de peritajes por parte del </w:t>
      </w:r>
      <w:r w:rsidRPr="00980DBE">
        <w:rPr>
          <w:rFonts w:ascii="Book Antiqua" w:eastAsia="Calibri" w:hAnsi="Book Antiqua" w:cs="Arial"/>
          <w:sz w:val="24"/>
          <w:szCs w:val="24"/>
        </w:rPr>
        <w:t>Departamento de Trabajo Social y Psicología</w:t>
      </w:r>
      <w:r w:rsidR="00151F1D">
        <w:rPr>
          <w:rFonts w:ascii="Book Antiqua" w:eastAsia="Calibri" w:hAnsi="Book Antiqua" w:cs="Arial"/>
          <w:sz w:val="24"/>
          <w:szCs w:val="24"/>
        </w:rPr>
        <w:t xml:space="preserve"> que corresponden </w:t>
      </w:r>
      <w:r w:rsidR="00E929EF">
        <w:rPr>
          <w:rFonts w:ascii="Book Antiqua" w:eastAsia="Calibri" w:hAnsi="Book Antiqua" w:cs="Arial"/>
          <w:sz w:val="24"/>
          <w:szCs w:val="24"/>
        </w:rPr>
        <w:t xml:space="preserve">a </w:t>
      </w:r>
      <w:r w:rsidR="00151F1D">
        <w:rPr>
          <w:rFonts w:ascii="Book Antiqua" w:eastAsia="Calibri" w:hAnsi="Book Antiqua" w:cs="Arial"/>
          <w:sz w:val="24"/>
          <w:szCs w:val="24"/>
        </w:rPr>
        <w:t>30 millones para la materia de Familia y 30 millones para Violencia Doméstica</w:t>
      </w:r>
      <w:r w:rsidRPr="00980DBE">
        <w:rPr>
          <w:rFonts w:ascii="Book Antiqua" w:eastAsia="Calibri" w:hAnsi="Book Antiqua" w:cs="Arial"/>
          <w:sz w:val="24"/>
          <w:szCs w:val="24"/>
        </w:rPr>
        <w:t>.</w:t>
      </w:r>
      <w:r w:rsidRPr="006F6088">
        <w:rPr>
          <w:rFonts w:ascii="Book Antiqua" w:eastAsia="Calibri" w:hAnsi="Book Antiqua" w:cs="Arial"/>
          <w:sz w:val="24"/>
          <w:szCs w:val="24"/>
        </w:rPr>
        <w:t xml:space="preserve"> </w:t>
      </w:r>
    </w:p>
    <w:p w14:paraId="2CEF4D89" w14:textId="17326DC8" w:rsidR="006F6088" w:rsidRDefault="006F6088" w:rsidP="006F6088">
      <w:pPr>
        <w:spacing w:after="0" w:line="276" w:lineRule="auto"/>
        <w:jc w:val="both"/>
        <w:rPr>
          <w:rFonts w:ascii="Book Antiqua" w:eastAsia="Calibri" w:hAnsi="Book Antiqua" w:cs="Arial"/>
          <w:sz w:val="24"/>
          <w:szCs w:val="24"/>
        </w:rPr>
      </w:pPr>
    </w:p>
    <w:p w14:paraId="04AA5E03" w14:textId="7BC7D093" w:rsidR="003F7369" w:rsidRDefault="00C43016" w:rsidP="006F6088">
      <w:pPr>
        <w:spacing w:after="0" w:line="276" w:lineRule="auto"/>
        <w:jc w:val="both"/>
        <w:rPr>
          <w:rFonts w:ascii="Book Antiqua" w:eastAsia="Calibri" w:hAnsi="Book Antiqua" w:cs="Arial"/>
          <w:sz w:val="24"/>
          <w:szCs w:val="24"/>
        </w:rPr>
      </w:pPr>
      <w:r w:rsidRPr="00E929EF">
        <w:rPr>
          <w:rFonts w:ascii="Book Antiqua" w:eastAsia="Calibri" w:hAnsi="Book Antiqua" w:cs="Arial"/>
          <w:sz w:val="24"/>
          <w:szCs w:val="24"/>
        </w:rPr>
        <w:t xml:space="preserve">Los costos </w:t>
      </w:r>
      <w:r w:rsidRPr="00E929EF">
        <w:rPr>
          <w:rFonts w:ascii="Book Antiqua" w:eastAsia="Calibri" w:hAnsi="Book Antiqua" w:cs="Arial"/>
          <w:bCs/>
          <w:sz w:val="24"/>
          <w:szCs w:val="24"/>
        </w:rPr>
        <w:t xml:space="preserve">que representaría la activación del rubro de disponibilidad en la Jurisdicción Especializada de Familia se estiman </w:t>
      </w:r>
      <w:r w:rsidR="003F7369" w:rsidRPr="00E929EF">
        <w:rPr>
          <w:rFonts w:ascii="Book Antiqua" w:eastAsia="Calibri" w:hAnsi="Book Antiqua" w:cs="Arial"/>
          <w:sz w:val="24"/>
          <w:szCs w:val="24"/>
        </w:rPr>
        <w:t xml:space="preserve">en </w:t>
      </w:r>
      <w:r w:rsidR="003F7369" w:rsidRPr="00E929EF">
        <w:rPr>
          <w:rFonts w:ascii="Times New Roman" w:eastAsia="Calibri" w:hAnsi="Times New Roman" w:cs="Times New Roman"/>
          <w:sz w:val="24"/>
          <w:szCs w:val="24"/>
        </w:rPr>
        <w:t>₡</w:t>
      </w:r>
      <w:r w:rsidRPr="00E929EF">
        <w:rPr>
          <w:rFonts w:ascii="Times New Roman" w:eastAsia="Calibri" w:hAnsi="Times New Roman" w:cs="Times New Roman"/>
          <w:sz w:val="24"/>
          <w:szCs w:val="24"/>
        </w:rPr>
        <w:t>1</w:t>
      </w:r>
      <w:r w:rsidR="003F7369" w:rsidRPr="00E929EF">
        <w:rPr>
          <w:rFonts w:ascii="Book Antiqua" w:eastAsia="Calibri" w:hAnsi="Book Antiqua" w:cs="Arial"/>
          <w:sz w:val="24"/>
          <w:szCs w:val="24"/>
        </w:rPr>
        <w:t>0,</w:t>
      </w:r>
      <w:r w:rsidRPr="00E929EF">
        <w:rPr>
          <w:rFonts w:ascii="Book Antiqua" w:eastAsia="Calibri" w:hAnsi="Book Antiqua" w:cs="Arial"/>
          <w:sz w:val="24"/>
          <w:szCs w:val="24"/>
        </w:rPr>
        <w:t>649</w:t>
      </w:r>
      <w:r w:rsidR="003F7369" w:rsidRPr="00E929EF">
        <w:rPr>
          <w:rFonts w:ascii="Book Antiqua" w:eastAsia="Calibri" w:hAnsi="Book Antiqua" w:cs="Arial"/>
          <w:sz w:val="24"/>
          <w:szCs w:val="24"/>
        </w:rPr>
        <w:t>,</w:t>
      </w:r>
      <w:r w:rsidRPr="00E929EF">
        <w:rPr>
          <w:rFonts w:ascii="Book Antiqua" w:eastAsia="Calibri" w:hAnsi="Book Antiqua" w:cs="Arial"/>
          <w:sz w:val="24"/>
          <w:szCs w:val="24"/>
        </w:rPr>
        <w:t>784</w:t>
      </w:r>
      <w:r w:rsidR="003F7369" w:rsidRPr="00E929EF">
        <w:rPr>
          <w:rFonts w:ascii="Book Antiqua" w:eastAsia="Calibri" w:hAnsi="Book Antiqua" w:cs="Arial"/>
          <w:sz w:val="24"/>
          <w:szCs w:val="24"/>
        </w:rPr>
        <w:t>.00</w:t>
      </w:r>
      <w:r w:rsidRPr="00E929EF">
        <w:rPr>
          <w:rFonts w:ascii="Book Antiqua" w:eastAsia="Calibri" w:hAnsi="Book Antiqua" w:cs="Arial"/>
          <w:sz w:val="24"/>
          <w:szCs w:val="24"/>
        </w:rPr>
        <w:t>.</w:t>
      </w:r>
    </w:p>
    <w:p w14:paraId="34031948" w14:textId="77777777" w:rsidR="00A852D4" w:rsidRDefault="00A852D4" w:rsidP="006F6088">
      <w:pPr>
        <w:spacing w:after="0" w:line="276" w:lineRule="auto"/>
        <w:jc w:val="both"/>
        <w:rPr>
          <w:rFonts w:ascii="Book Antiqua" w:eastAsia="Calibri" w:hAnsi="Book Antiqua" w:cs="Arial"/>
          <w:sz w:val="24"/>
          <w:szCs w:val="24"/>
        </w:rPr>
      </w:pPr>
    </w:p>
    <w:p w14:paraId="6976C8FE" w14:textId="24F48DFE" w:rsidR="000C343A" w:rsidRPr="00067FBC" w:rsidRDefault="00741774" w:rsidP="006F608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El por supuesto que </w:t>
      </w:r>
      <w:r w:rsidR="00EF18AB">
        <w:rPr>
          <w:rFonts w:ascii="Book Antiqua" w:eastAsia="Calibri" w:hAnsi="Book Antiqua" w:cs="Arial"/>
          <w:sz w:val="24"/>
          <w:szCs w:val="24"/>
        </w:rPr>
        <w:t>requier</w:t>
      </w:r>
      <w:r w:rsidR="000C343A">
        <w:rPr>
          <w:rFonts w:ascii="Book Antiqua" w:eastAsia="Calibri" w:hAnsi="Book Antiqua" w:cs="Arial"/>
          <w:sz w:val="24"/>
          <w:szCs w:val="24"/>
        </w:rPr>
        <w:t>e</w:t>
      </w:r>
      <w:r w:rsidR="00EF18AB">
        <w:rPr>
          <w:rFonts w:ascii="Book Antiqua" w:eastAsia="Calibri" w:hAnsi="Book Antiqua" w:cs="Arial"/>
          <w:sz w:val="24"/>
          <w:szCs w:val="24"/>
        </w:rPr>
        <w:t xml:space="preserve"> </w:t>
      </w:r>
      <w:r>
        <w:rPr>
          <w:rFonts w:ascii="Book Antiqua" w:eastAsia="Calibri" w:hAnsi="Book Antiqua" w:cs="Arial"/>
          <w:sz w:val="24"/>
          <w:szCs w:val="24"/>
        </w:rPr>
        <w:t xml:space="preserve">la Dirección Ejecutiva </w:t>
      </w:r>
      <w:r w:rsidR="00EF18AB">
        <w:rPr>
          <w:rFonts w:ascii="Book Antiqua" w:eastAsia="Calibri" w:hAnsi="Book Antiqua" w:cs="Arial"/>
          <w:sz w:val="24"/>
          <w:szCs w:val="24"/>
        </w:rPr>
        <w:t>e</w:t>
      </w:r>
      <w:r>
        <w:rPr>
          <w:rFonts w:ascii="Book Antiqua" w:eastAsia="Calibri" w:hAnsi="Book Antiqua" w:cs="Arial"/>
          <w:sz w:val="24"/>
          <w:szCs w:val="24"/>
        </w:rPr>
        <w:t>s de</w:t>
      </w:r>
      <w:r w:rsidR="00EF18AB">
        <w:rPr>
          <w:rFonts w:ascii="Book Antiqua" w:eastAsia="Calibri" w:hAnsi="Book Antiqua" w:cs="Arial"/>
          <w:sz w:val="24"/>
          <w:szCs w:val="24"/>
        </w:rPr>
        <w:t xml:space="preserve"> </w:t>
      </w:r>
      <w:r w:rsidR="00EF18AB" w:rsidRPr="00EF18AB">
        <w:rPr>
          <w:rFonts w:ascii="Times New Roman" w:eastAsia="Calibri" w:hAnsi="Times New Roman" w:cs="Times New Roman"/>
          <w:sz w:val="24"/>
          <w:szCs w:val="24"/>
        </w:rPr>
        <w:t>₡</w:t>
      </w:r>
      <w:r w:rsidR="00EF18AB" w:rsidRPr="00EF18AB">
        <w:rPr>
          <w:rFonts w:ascii="Book Antiqua" w:eastAsia="Calibri" w:hAnsi="Book Antiqua" w:cs="Arial"/>
          <w:sz w:val="24"/>
          <w:szCs w:val="24"/>
        </w:rPr>
        <w:t xml:space="preserve"> 6</w:t>
      </w:r>
      <w:r w:rsidR="00E20F42">
        <w:rPr>
          <w:rFonts w:ascii="Book Antiqua" w:eastAsia="Calibri" w:hAnsi="Book Antiqua" w:cs="Arial"/>
          <w:sz w:val="24"/>
          <w:szCs w:val="24"/>
        </w:rPr>
        <w:t>4</w:t>
      </w:r>
      <w:r w:rsidR="00EF18AB" w:rsidRPr="00EF18AB">
        <w:rPr>
          <w:rFonts w:ascii="Book Antiqua" w:eastAsia="Calibri" w:hAnsi="Book Antiqua" w:cs="Arial"/>
          <w:sz w:val="24"/>
          <w:szCs w:val="24"/>
        </w:rPr>
        <w:t>,</w:t>
      </w:r>
      <w:r w:rsidR="00E20F42">
        <w:rPr>
          <w:rFonts w:ascii="Book Antiqua" w:eastAsia="Calibri" w:hAnsi="Book Antiqua" w:cs="Arial"/>
          <w:sz w:val="24"/>
          <w:szCs w:val="24"/>
        </w:rPr>
        <w:t>332</w:t>
      </w:r>
      <w:r w:rsidR="00EF18AB" w:rsidRPr="00EF18AB">
        <w:rPr>
          <w:rFonts w:ascii="Book Antiqua" w:eastAsia="Calibri" w:hAnsi="Book Antiqua" w:cs="Arial"/>
          <w:sz w:val="24"/>
          <w:szCs w:val="24"/>
        </w:rPr>
        <w:t>,</w:t>
      </w:r>
      <w:r w:rsidR="00E20F42">
        <w:rPr>
          <w:rFonts w:ascii="Book Antiqua" w:eastAsia="Calibri" w:hAnsi="Book Antiqua" w:cs="Arial"/>
          <w:sz w:val="24"/>
          <w:szCs w:val="24"/>
        </w:rPr>
        <w:t>998</w:t>
      </w:r>
      <w:r w:rsidR="00EF18AB" w:rsidRPr="00EF18AB">
        <w:rPr>
          <w:rFonts w:ascii="Book Antiqua" w:eastAsia="Calibri" w:hAnsi="Book Antiqua" w:cs="Arial"/>
          <w:sz w:val="24"/>
          <w:szCs w:val="24"/>
        </w:rPr>
        <w:t>.0</w:t>
      </w:r>
      <w:r w:rsidR="00E20F42">
        <w:rPr>
          <w:rFonts w:ascii="Book Antiqua" w:eastAsia="Calibri" w:hAnsi="Book Antiqua" w:cs="Arial"/>
          <w:sz w:val="24"/>
          <w:szCs w:val="24"/>
        </w:rPr>
        <w:t>3 para</w:t>
      </w:r>
      <w:r w:rsidR="000C343A">
        <w:rPr>
          <w:rFonts w:ascii="Book Antiqua" w:eastAsia="Calibri" w:hAnsi="Book Antiqua" w:cs="Arial"/>
          <w:sz w:val="24"/>
          <w:szCs w:val="24"/>
        </w:rPr>
        <w:t xml:space="preserve"> equipo de comunicación, mobiliario, productos de papel, entre otros.</w:t>
      </w:r>
    </w:p>
    <w:p w14:paraId="05EA9FB2" w14:textId="09879CA6" w:rsidR="007442EC" w:rsidRPr="009B71C9" w:rsidRDefault="006F6088" w:rsidP="008C697C">
      <w:pPr>
        <w:pStyle w:val="Ttulo"/>
        <w:spacing w:line="276" w:lineRule="auto"/>
        <w:jc w:val="both"/>
        <w:rPr>
          <w:rFonts w:eastAsia="Calibri" w:cs="Arial"/>
          <w:b w:val="0"/>
          <w:color w:val="auto"/>
          <w:spacing w:val="0"/>
          <w:szCs w:val="24"/>
          <w:lang w:val="es-CR" w:eastAsia="en-US"/>
        </w:rPr>
      </w:pPr>
      <w:r w:rsidRPr="00067FBC">
        <w:rPr>
          <w:rFonts w:eastAsia="Calibri" w:cs="Arial"/>
          <w:b w:val="0"/>
          <w:color w:val="auto"/>
          <w:spacing w:val="0"/>
          <w:szCs w:val="24"/>
          <w:lang w:val="es-CR" w:eastAsia="en-US"/>
        </w:rPr>
        <w:t>Los costos correspondientes a la implementación del Código Procesal de Familia tomando en cuenta los costos de recurso humano y gastos variables, para 202</w:t>
      </w:r>
      <w:r w:rsidR="00DF1498">
        <w:rPr>
          <w:rFonts w:eastAsia="Calibri" w:cs="Arial"/>
          <w:b w:val="0"/>
          <w:color w:val="auto"/>
          <w:spacing w:val="0"/>
          <w:szCs w:val="24"/>
          <w:lang w:val="es-CR" w:eastAsia="en-US"/>
        </w:rPr>
        <w:t>4</w:t>
      </w:r>
      <w:r w:rsidRPr="00067FBC">
        <w:rPr>
          <w:rFonts w:eastAsia="Calibri" w:cs="Arial"/>
          <w:b w:val="0"/>
          <w:color w:val="auto"/>
          <w:spacing w:val="0"/>
          <w:szCs w:val="24"/>
          <w:lang w:val="es-CR" w:eastAsia="en-US"/>
        </w:rPr>
        <w:t xml:space="preserve"> ascienden a un total </w:t>
      </w:r>
      <w:r w:rsidRPr="00E929EF">
        <w:rPr>
          <w:rFonts w:eastAsia="Calibri" w:cs="Arial"/>
          <w:b w:val="0"/>
          <w:color w:val="auto"/>
          <w:spacing w:val="0"/>
          <w:szCs w:val="24"/>
          <w:lang w:val="es-CR" w:eastAsia="en-US"/>
        </w:rPr>
        <w:t xml:space="preserve">de </w:t>
      </w:r>
      <w:r w:rsidRPr="00E929EF">
        <w:rPr>
          <w:rFonts w:ascii="Times New Roman" w:eastAsia="Times New Roman" w:hAnsi="Times New Roman" w:cs="Times New Roman"/>
          <w:color w:val="000000"/>
          <w:lang w:eastAsia="es-CR"/>
        </w:rPr>
        <w:t>₡</w:t>
      </w:r>
      <w:r w:rsidR="00E929EF" w:rsidRPr="00E929EF">
        <w:rPr>
          <w:rFonts w:ascii="Times New Roman" w:eastAsia="Times New Roman" w:hAnsi="Times New Roman" w:cs="Times New Roman"/>
          <w:color w:val="000000"/>
          <w:lang w:eastAsia="es-CR"/>
        </w:rPr>
        <w:t>2</w:t>
      </w:r>
      <w:r w:rsidR="001C1BBE" w:rsidRPr="00E929EF">
        <w:rPr>
          <w:rFonts w:ascii="Times New Roman" w:eastAsia="Times New Roman" w:hAnsi="Times New Roman" w:cs="Times New Roman"/>
          <w:color w:val="000000"/>
          <w:lang w:eastAsia="es-CR"/>
        </w:rPr>
        <w:t>,</w:t>
      </w:r>
      <w:r w:rsidR="002F459D">
        <w:rPr>
          <w:rFonts w:ascii="Times New Roman" w:eastAsia="Times New Roman" w:hAnsi="Times New Roman" w:cs="Times New Roman"/>
          <w:color w:val="000000"/>
          <w:lang w:eastAsia="es-CR"/>
        </w:rPr>
        <w:t>949</w:t>
      </w:r>
      <w:r w:rsidR="00836271" w:rsidRPr="00E929EF">
        <w:rPr>
          <w:rFonts w:ascii="Times New Roman" w:eastAsia="Times New Roman" w:hAnsi="Times New Roman" w:cs="Times New Roman"/>
          <w:bCs/>
          <w:color w:val="000000"/>
          <w:lang w:eastAsia="es-CR"/>
        </w:rPr>
        <w:t>,</w:t>
      </w:r>
      <w:r w:rsidR="00590D84">
        <w:rPr>
          <w:rFonts w:ascii="Times New Roman" w:eastAsia="Times New Roman" w:hAnsi="Times New Roman" w:cs="Times New Roman"/>
          <w:bCs/>
          <w:color w:val="000000"/>
          <w:lang w:eastAsia="es-CR"/>
        </w:rPr>
        <w:t>448</w:t>
      </w:r>
      <w:r w:rsidR="00836271" w:rsidRPr="00E929EF">
        <w:rPr>
          <w:rFonts w:ascii="Times New Roman" w:eastAsia="Times New Roman" w:hAnsi="Times New Roman" w:cs="Times New Roman"/>
          <w:bCs/>
          <w:color w:val="000000"/>
          <w:lang w:eastAsia="es-CR"/>
        </w:rPr>
        <w:t>,</w:t>
      </w:r>
      <w:r w:rsidR="00590D84">
        <w:rPr>
          <w:rFonts w:ascii="Times New Roman" w:eastAsia="Times New Roman" w:hAnsi="Times New Roman" w:cs="Times New Roman"/>
          <w:bCs/>
          <w:color w:val="000000"/>
          <w:lang w:eastAsia="es-CR"/>
        </w:rPr>
        <w:t>744</w:t>
      </w:r>
      <w:r w:rsidR="00E929EF" w:rsidRPr="00E929EF">
        <w:rPr>
          <w:rFonts w:ascii="Times New Roman" w:eastAsia="Times New Roman" w:hAnsi="Times New Roman" w:cs="Times New Roman"/>
          <w:bCs/>
          <w:color w:val="000000"/>
          <w:lang w:eastAsia="es-CR"/>
        </w:rPr>
        <w:t>.</w:t>
      </w:r>
      <w:r w:rsidR="00590D84">
        <w:rPr>
          <w:rFonts w:ascii="Times New Roman" w:eastAsia="Times New Roman" w:hAnsi="Times New Roman" w:cs="Times New Roman"/>
          <w:bCs/>
          <w:color w:val="000000"/>
          <w:lang w:eastAsia="es-CR"/>
        </w:rPr>
        <w:t>66</w:t>
      </w:r>
      <w:r w:rsidR="00836271" w:rsidRPr="00E929EF">
        <w:rPr>
          <w:rFonts w:ascii="Times New Roman" w:eastAsia="Times New Roman" w:hAnsi="Times New Roman" w:cs="Times New Roman"/>
          <w:bCs/>
          <w:color w:val="000000"/>
          <w:lang w:eastAsia="es-CR"/>
        </w:rPr>
        <w:t>.</w:t>
      </w:r>
    </w:p>
    <w:p w14:paraId="69C24E8A" w14:textId="77777777" w:rsidR="009D2B4A" w:rsidRDefault="008C697C" w:rsidP="009D2B4A">
      <w:pPr>
        <w:pStyle w:val="Ttulo"/>
        <w:numPr>
          <w:ilvl w:val="1"/>
          <w:numId w:val="50"/>
        </w:numPr>
        <w:spacing w:line="276" w:lineRule="auto"/>
        <w:jc w:val="both"/>
        <w:rPr>
          <w:rFonts w:eastAsia="Calibri" w:cs="Book Antiqua"/>
          <w:b w:val="0"/>
          <w:color w:val="000000"/>
          <w:spacing w:val="0"/>
          <w:szCs w:val="24"/>
          <w:lang w:val="es-CR" w:eastAsia="en-US"/>
        </w:rPr>
      </w:pPr>
      <w:r w:rsidRPr="001D0C10">
        <w:rPr>
          <w:rFonts w:eastAsia="Calibri" w:cs="Book Antiqua"/>
          <w:b w:val="0"/>
          <w:color w:val="000000"/>
          <w:spacing w:val="0"/>
          <w:szCs w:val="24"/>
          <w:lang w:val="es-CR" w:eastAsia="en-US"/>
        </w:rPr>
        <w:t xml:space="preserve">Las plazas asignadas </w:t>
      </w:r>
      <w:r>
        <w:rPr>
          <w:rFonts w:eastAsia="Calibri" w:cs="Book Antiqua"/>
          <w:b w:val="0"/>
          <w:color w:val="000000"/>
          <w:spacing w:val="0"/>
          <w:szCs w:val="24"/>
          <w:lang w:val="es-CR" w:eastAsia="en-US"/>
        </w:rPr>
        <w:t>a planes</w:t>
      </w:r>
      <w:r w:rsidRPr="001D0C10">
        <w:rPr>
          <w:rFonts w:eastAsia="Calibri" w:cs="Book Antiqua"/>
          <w:b w:val="0"/>
          <w:color w:val="000000"/>
          <w:spacing w:val="0"/>
          <w:szCs w:val="24"/>
          <w:lang w:val="es-CR" w:eastAsia="en-US"/>
        </w:rPr>
        <w:t xml:space="preserve"> de trabajo requieren de </w:t>
      </w:r>
      <w:r>
        <w:rPr>
          <w:rFonts w:eastAsia="Calibri" w:cs="Book Antiqua"/>
          <w:b w:val="0"/>
          <w:color w:val="000000"/>
          <w:spacing w:val="0"/>
          <w:szCs w:val="24"/>
          <w:lang w:val="es-CR" w:eastAsia="en-US"/>
        </w:rPr>
        <w:t>competencia a</w:t>
      </w:r>
      <w:r w:rsidRPr="001D0C10">
        <w:rPr>
          <w:rFonts w:eastAsia="Calibri" w:cs="Book Antiqua"/>
          <w:b w:val="0"/>
          <w:color w:val="000000"/>
          <w:spacing w:val="0"/>
          <w:szCs w:val="24"/>
          <w:lang w:val="es-CR" w:eastAsia="en-US"/>
        </w:rPr>
        <w:t xml:space="preserve"> nivel nacional. </w:t>
      </w:r>
    </w:p>
    <w:p w14:paraId="5E2228FA" w14:textId="78DDA2FA" w:rsidR="00B175D1" w:rsidRPr="009D2B4A" w:rsidRDefault="00B175D1" w:rsidP="009D2B4A">
      <w:pPr>
        <w:pStyle w:val="Ttulo"/>
        <w:numPr>
          <w:ilvl w:val="1"/>
          <w:numId w:val="50"/>
        </w:numPr>
        <w:spacing w:line="276" w:lineRule="auto"/>
        <w:jc w:val="both"/>
        <w:rPr>
          <w:rFonts w:eastAsia="Calibri" w:cs="Book Antiqua"/>
          <w:b w:val="0"/>
          <w:color w:val="000000"/>
          <w:spacing w:val="0"/>
          <w:szCs w:val="24"/>
          <w:lang w:val="es-CR" w:eastAsia="en-US"/>
        </w:rPr>
      </w:pPr>
      <w:r w:rsidRPr="009D2B4A">
        <w:rPr>
          <w:rFonts w:eastAsia="Calibri" w:cs="Book Antiqua"/>
          <w:b w:val="0"/>
          <w:color w:val="000000"/>
          <w:spacing w:val="0"/>
          <w:szCs w:val="24"/>
          <w:lang w:val="es-CR" w:eastAsia="en-US"/>
        </w:rPr>
        <w:t xml:space="preserve">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y por ende no lo considera la Dirección de Planificación en este estudio de impacto económico, por lo que de aprobarse en algún momento por el órgano superior pertinente deberán también considerar el impacto económico que ello signifique. </w:t>
      </w:r>
    </w:p>
    <w:p w14:paraId="3E9B7D50" w14:textId="341E02D4" w:rsidR="0086688D" w:rsidRPr="00770255" w:rsidRDefault="0086688D" w:rsidP="009D2B4A">
      <w:pPr>
        <w:pStyle w:val="Ttulo1"/>
        <w:numPr>
          <w:ilvl w:val="0"/>
          <w:numId w:val="52"/>
        </w:numPr>
        <w:spacing w:line="276" w:lineRule="auto"/>
        <w:rPr>
          <w:lang w:eastAsia="es-CR"/>
        </w:rPr>
      </w:pPr>
      <w:r>
        <w:rPr>
          <w:lang w:eastAsia="es-CR"/>
        </w:rPr>
        <w:t>Recomendaciones</w:t>
      </w:r>
    </w:p>
    <w:p w14:paraId="049A63F1" w14:textId="050EE5D6" w:rsidR="0086688D" w:rsidRDefault="0086688D" w:rsidP="0086688D">
      <w:pPr>
        <w:spacing w:after="0" w:line="276" w:lineRule="auto"/>
        <w:jc w:val="both"/>
        <w:rPr>
          <w:rFonts w:ascii="Book Antiqua" w:eastAsia="Calibri" w:hAnsi="Book Antiqua" w:cs="Arial"/>
          <w:sz w:val="24"/>
          <w:szCs w:val="24"/>
        </w:rPr>
      </w:pPr>
      <w:r w:rsidRPr="0086688D">
        <w:rPr>
          <w:rFonts w:ascii="Book Antiqua" w:eastAsia="Calibri" w:hAnsi="Book Antiqua" w:cs="Arial"/>
          <w:sz w:val="24"/>
          <w:szCs w:val="24"/>
        </w:rPr>
        <w:t>A continuación, se presentan las recomendaciones del informe:</w:t>
      </w:r>
    </w:p>
    <w:p w14:paraId="2793ECA1" w14:textId="77777777" w:rsidR="00917EA1" w:rsidRPr="0086688D" w:rsidRDefault="00917EA1" w:rsidP="0086688D">
      <w:pPr>
        <w:spacing w:after="0" w:line="276" w:lineRule="auto"/>
        <w:jc w:val="both"/>
        <w:rPr>
          <w:rFonts w:ascii="Book Antiqua" w:eastAsia="Calibri" w:hAnsi="Book Antiqua" w:cs="Arial"/>
          <w:sz w:val="24"/>
          <w:szCs w:val="24"/>
        </w:rPr>
      </w:pPr>
    </w:p>
    <w:p w14:paraId="41D5324F" w14:textId="047B1449" w:rsidR="00917EA1" w:rsidRPr="00917EA1" w:rsidRDefault="00917EA1" w:rsidP="00917EA1">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917EA1">
        <w:rPr>
          <w:rFonts w:ascii="Book Antiqua" w:eastAsia="MS PGothic" w:hAnsi="Book Antiqua" w:cs="Times New Roman"/>
          <w:b/>
          <w:snapToGrid w:val="0"/>
          <w:sz w:val="24"/>
          <w:szCs w:val="24"/>
          <w:lang w:val="es-ES" w:eastAsia="es-ES"/>
        </w:rPr>
        <w:t xml:space="preserve">A </w:t>
      </w:r>
      <w:r w:rsidR="00480A87">
        <w:rPr>
          <w:rFonts w:ascii="Book Antiqua" w:eastAsia="MS PGothic" w:hAnsi="Book Antiqua" w:cs="Times New Roman"/>
          <w:b/>
          <w:snapToGrid w:val="0"/>
          <w:sz w:val="24"/>
          <w:szCs w:val="24"/>
          <w:lang w:val="es-ES" w:eastAsia="es-ES"/>
        </w:rPr>
        <w:t>Co</w:t>
      </w:r>
      <w:r w:rsidR="00B418EC">
        <w:rPr>
          <w:rFonts w:ascii="Book Antiqua" w:eastAsia="MS PGothic" w:hAnsi="Book Antiqua" w:cs="Times New Roman"/>
          <w:b/>
          <w:snapToGrid w:val="0"/>
          <w:sz w:val="24"/>
          <w:szCs w:val="24"/>
          <w:lang w:val="es-ES" w:eastAsia="es-ES"/>
        </w:rPr>
        <w:t>rte Plena</w:t>
      </w:r>
    </w:p>
    <w:p w14:paraId="11A2D664" w14:textId="2B6660A5" w:rsidR="007442EC" w:rsidRPr="001338C9" w:rsidRDefault="008F6F91" w:rsidP="001338C9">
      <w:pPr>
        <w:pStyle w:val="Ttulo"/>
        <w:spacing w:line="276" w:lineRule="auto"/>
        <w:jc w:val="both"/>
        <w:rPr>
          <w:b w:val="0"/>
          <w:color w:val="auto"/>
          <w:sz w:val="18"/>
          <w:szCs w:val="18"/>
          <w:lang w:val="es-CR"/>
        </w:rPr>
      </w:pPr>
      <w:r w:rsidRPr="001338C9">
        <w:rPr>
          <w:b w:val="0"/>
          <w:color w:val="auto"/>
          <w:sz w:val="18"/>
          <w:szCs w:val="18"/>
          <w:lang w:val="es-CR"/>
        </w:rPr>
        <w:t xml:space="preserve">Nota: Estas recomendaciones son a partir de las </w:t>
      </w:r>
      <w:r w:rsidR="00E673E6" w:rsidRPr="001338C9">
        <w:rPr>
          <w:b w:val="0"/>
          <w:color w:val="auto"/>
          <w:sz w:val="18"/>
          <w:szCs w:val="18"/>
          <w:lang w:val="es-CR"/>
        </w:rPr>
        <w:t xml:space="preserve">disposiciones incorporadas </w:t>
      </w:r>
      <w:r w:rsidR="003469C6" w:rsidRPr="001338C9">
        <w:rPr>
          <w:b w:val="0"/>
          <w:color w:val="auto"/>
          <w:sz w:val="18"/>
          <w:szCs w:val="18"/>
          <w:lang w:val="es-CR"/>
        </w:rPr>
        <w:t xml:space="preserve">al día de hoy </w:t>
      </w:r>
      <w:r w:rsidR="005A2926" w:rsidRPr="001338C9">
        <w:rPr>
          <w:b w:val="0"/>
          <w:color w:val="auto"/>
          <w:sz w:val="18"/>
          <w:szCs w:val="18"/>
          <w:lang w:val="es-CR"/>
        </w:rPr>
        <w:t xml:space="preserve">en la propuesta de </w:t>
      </w:r>
      <w:r w:rsidR="00047706" w:rsidRPr="001338C9">
        <w:rPr>
          <w:b w:val="0"/>
          <w:color w:val="auto"/>
          <w:sz w:val="18"/>
          <w:szCs w:val="18"/>
          <w:lang w:val="es-CR"/>
        </w:rPr>
        <w:t xml:space="preserve">Código Procesal de Familia, si se generan cambios </w:t>
      </w:r>
      <w:r w:rsidR="00672074" w:rsidRPr="001338C9">
        <w:rPr>
          <w:b w:val="0"/>
          <w:color w:val="auto"/>
          <w:sz w:val="18"/>
          <w:szCs w:val="18"/>
          <w:lang w:val="es-CR"/>
        </w:rPr>
        <w:t xml:space="preserve">a partir de la revisión que se está realizando por </w:t>
      </w:r>
      <w:r w:rsidR="000F60E9" w:rsidRPr="001338C9">
        <w:rPr>
          <w:b w:val="0"/>
          <w:color w:val="auto"/>
          <w:sz w:val="18"/>
          <w:szCs w:val="18"/>
          <w:lang w:val="es-CR"/>
        </w:rPr>
        <w:t xml:space="preserve">parte de la Institución se tendrá que revisar la nueva versión. </w:t>
      </w:r>
    </w:p>
    <w:p w14:paraId="36C03E7A" w14:textId="3239A269" w:rsidR="00917EA1" w:rsidRPr="00E01CE3" w:rsidRDefault="008C20AB" w:rsidP="009D2B4A">
      <w:pPr>
        <w:pStyle w:val="Ttulo"/>
        <w:numPr>
          <w:ilvl w:val="1"/>
          <w:numId w:val="53"/>
        </w:numPr>
        <w:spacing w:line="276" w:lineRule="auto"/>
        <w:jc w:val="both"/>
        <w:rPr>
          <w:b w:val="0"/>
          <w:color w:val="auto"/>
          <w:szCs w:val="24"/>
          <w:lang w:val="es-CR"/>
        </w:rPr>
      </w:pPr>
      <w:r>
        <w:rPr>
          <w:rFonts w:eastAsia="Calibri" w:cs="Arial"/>
          <w:b w:val="0"/>
          <w:color w:val="auto"/>
          <w:spacing w:val="0"/>
          <w:szCs w:val="24"/>
          <w:lang w:val="es-CR" w:eastAsia="en-US"/>
        </w:rPr>
        <w:t>A</w:t>
      </w:r>
      <w:r w:rsidR="00917EA1" w:rsidRPr="008C20AB">
        <w:rPr>
          <w:rFonts w:eastAsia="Calibri" w:cs="Arial"/>
          <w:b w:val="0"/>
          <w:color w:val="auto"/>
          <w:spacing w:val="0"/>
          <w:szCs w:val="24"/>
          <w:lang w:val="es-CR" w:eastAsia="en-US"/>
        </w:rPr>
        <w:t xml:space="preserve">probar la propuesta de incorporar los siguientes rubros a nivel del presupuesto para la implementación del Código Procesal de Familia, para remitirlo en forma separada del presupuesto ordinario institucional al Ministerio de Hacienda para </w:t>
      </w:r>
      <w:r w:rsidR="00917EA1" w:rsidRPr="00E01CE3">
        <w:rPr>
          <w:rFonts w:eastAsia="Calibri" w:cs="Arial"/>
          <w:b w:val="0"/>
          <w:color w:val="auto"/>
          <w:spacing w:val="0"/>
          <w:szCs w:val="24"/>
          <w:lang w:val="es-CR" w:eastAsia="en-US"/>
        </w:rPr>
        <w:t>el 202</w:t>
      </w:r>
      <w:r w:rsidR="003D2135">
        <w:rPr>
          <w:rFonts w:eastAsia="Calibri" w:cs="Arial"/>
          <w:b w:val="0"/>
          <w:color w:val="auto"/>
          <w:spacing w:val="0"/>
          <w:szCs w:val="24"/>
          <w:lang w:val="es-CR" w:eastAsia="en-US"/>
        </w:rPr>
        <w:t>4</w:t>
      </w:r>
      <w:r w:rsidR="00917EA1" w:rsidRPr="00E01CE3">
        <w:rPr>
          <w:rFonts w:eastAsia="Calibri" w:cs="Arial"/>
          <w:b w:val="0"/>
          <w:color w:val="auto"/>
          <w:spacing w:val="0"/>
          <w:szCs w:val="24"/>
          <w:lang w:val="es-CR" w:eastAsia="en-US"/>
        </w:rPr>
        <w:t>:</w:t>
      </w:r>
    </w:p>
    <w:p w14:paraId="06ADB863" w14:textId="05041A97" w:rsidR="008C20AB" w:rsidRPr="00E01CE3"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la incorporación a nivel de recurso humano de un total de </w:t>
      </w:r>
      <w:r w:rsidR="00BB5B48">
        <w:rPr>
          <w:rFonts w:ascii="Book Antiqua" w:eastAsia="Calibri" w:hAnsi="Book Antiqua" w:cs="Arial"/>
          <w:sz w:val="24"/>
          <w:szCs w:val="24"/>
        </w:rPr>
        <w:t>5</w:t>
      </w:r>
      <w:r w:rsidR="00A912B9">
        <w:rPr>
          <w:rFonts w:ascii="Book Antiqua" w:eastAsia="Calibri" w:hAnsi="Book Antiqua" w:cs="Arial"/>
          <w:sz w:val="24"/>
          <w:szCs w:val="24"/>
        </w:rPr>
        <w:t>0</w:t>
      </w:r>
      <w:r w:rsidRPr="00E01CE3">
        <w:rPr>
          <w:rFonts w:ascii="Book Antiqua" w:eastAsia="Calibri" w:hAnsi="Book Antiqua" w:cs="Arial"/>
          <w:sz w:val="24"/>
          <w:szCs w:val="24"/>
        </w:rPr>
        <w:t xml:space="preserve"> plazas distribuidas así:</w:t>
      </w:r>
    </w:p>
    <w:p w14:paraId="5C20DCBD" w14:textId="7A4C8EAF" w:rsidR="008C20AB" w:rsidRPr="00E01CE3" w:rsidRDefault="008C20AB">
      <w:pPr>
        <w:pStyle w:val="Prrafodelista"/>
        <w:numPr>
          <w:ilvl w:val="0"/>
          <w:numId w:val="42"/>
        </w:num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 nivel de Juzgados y Sala Segunda para completar estructuras: 1 plaza de Técnico Judicial 2 extraordinaria, 1 plaza de Técnica o Técnico Judicial 2 ordinaria, 1 plaza de Técnico Judicial 1 ordinaria, </w:t>
      </w:r>
      <w:r w:rsidR="003C3C9B" w:rsidRPr="00E01CE3">
        <w:rPr>
          <w:rFonts w:ascii="Book Antiqua" w:eastAsia="Calibri" w:hAnsi="Book Antiqua" w:cs="Arial"/>
          <w:sz w:val="24"/>
          <w:szCs w:val="24"/>
        </w:rPr>
        <w:t xml:space="preserve">1 plaza de Juez 1 </w:t>
      </w:r>
      <w:r w:rsidRPr="00E01CE3">
        <w:rPr>
          <w:rFonts w:ascii="Book Antiqua" w:eastAsia="Calibri" w:hAnsi="Book Antiqua" w:cs="Arial"/>
          <w:sz w:val="24"/>
          <w:szCs w:val="24"/>
        </w:rPr>
        <w:t xml:space="preserve">y en la Sala Segunda: </w:t>
      </w:r>
      <w:r w:rsidR="00484D38" w:rsidRPr="00BB5B48">
        <w:rPr>
          <w:rFonts w:ascii="Book Antiqua" w:eastAsia="Calibri" w:hAnsi="Book Antiqua" w:cs="Arial"/>
          <w:sz w:val="24"/>
          <w:szCs w:val="24"/>
        </w:rPr>
        <w:t>1</w:t>
      </w:r>
      <w:r w:rsidRPr="00BB5B48">
        <w:rPr>
          <w:rFonts w:ascii="Book Antiqua" w:eastAsia="Calibri" w:hAnsi="Book Antiqua" w:cs="Arial"/>
          <w:sz w:val="24"/>
          <w:szCs w:val="24"/>
        </w:rPr>
        <w:t xml:space="preserve"> plaza nueva de Profesional en Derecho 3B,</w:t>
      </w:r>
      <w:r w:rsidRPr="00484D38">
        <w:rPr>
          <w:rFonts w:ascii="Book Antiqua" w:eastAsia="Calibri" w:hAnsi="Book Antiqua" w:cs="Arial"/>
          <w:color w:val="C00000"/>
          <w:sz w:val="24"/>
          <w:szCs w:val="24"/>
        </w:rPr>
        <w:t xml:space="preserve"> </w:t>
      </w:r>
      <w:r w:rsidRPr="00E01CE3">
        <w:rPr>
          <w:rFonts w:ascii="Book Antiqua" w:eastAsia="Calibri" w:hAnsi="Book Antiqua" w:cs="Arial"/>
          <w:sz w:val="24"/>
          <w:szCs w:val="24"/>
        </w:rPr>
        <w:t xml:space="preserve">2 Técnico Sala de la Corte y 2 Técnico Judicial 3, todas ordinarias </w:t>
      </w:r>
      <w:r w:rsidR="00266E80">
        <w:rPr>
          <w:rFonts w:ascii="Book Antiqua" w:eastAsia="Calibri" w:hAnsi="Book Antiqua" w:cs="Arial"/>
          <w:sz w:val="24"/>
          <w:szCs w:val="24"/>
        </w:rPr>
        <w:t xml:space="preserve">y </w:t>
      </w:r>
      <w:r w:rsidR="00AA1897">
        <w:rPr>
          <w:rFonts w:ascii="Book Antiqua" w:eastAsia="Calibri" w:hAnsi="Book Antiqua" w:cs="Arial"/>
          <w:sz w:val="24"/>
          <w:szCs w:val="24"/>
        </w:rPr>
        <w:t xml:space="preserve">para la atención de las apelaciones en PA, </w:t>
      </w:r>
      <w:r w:rsidR="00266E80">
        <w:rPr>
          <w:rFonts w:ascii="Book Antiqua" w:eastAsia="Calibri" w:hAnsi="Book Antiqua" w:cs="Arial"/>
          <w:sz w:val="24"/>
          <w:szCs w:val="24"/>
        </w:rPr>
        <w:t>5</w:t>
      </w:r>
      <w:r w:rsidR="008B3813">
        <w:rPr>
          <w:rFonts w:ascii="Book Antiqua" w:eastAsia="Calibri" w:hAnsi="Book Antiqua" w:cs="Arial"/>
          <w:sz w:val="24"/>
          <w:szCs w:val="24"/>
        </w:rPr>
        <w:t xml:space="preserve"> </w:t>
      </w:r>
      <w:r w:rsidR="00AA1897">
        <w:rPr>
          <w:rFonts w:ascii="Book Antiqua" w:eastAsia="Calibri" w:hAnsi="Book Antiqua" w:cs="Arial"/>
          <w:sz w:val="24"/>
          <w:szCs w:val="24"/>
        </w:rPr>
        <w:t xml:space="preserve">plazas ordinarias y 5 extraordinarias, </w:t>
      </w:r>
      <w:r w:rsidRPr="00E01CE3">
        <w:rPr>
          <w:rFonts w:ascii="Book Antiqua" w:eastAsia="Calibri" w:hAnsi="Book Antiqua" w:cs="Arial"/>
          <w:sz w:val="24"/>
          <w:szCs w:val="24"/>
        </w:rPr>
        <w:t xml:space="preserve">para un costo estimado </w:t>
      </w:r>
      <w:r w:rsidRPr="00E01CE3">
        <w:rPr>
          <w:rFonts w:ascii="Times New Roman" w:eastAsia="Calibri" w:hAnsi="Times New Roman" w:cs="Times New Roman"/>
          <w:sz w:val="24"/>
          <w:szCs w:val="24"/>
        </w:rPr>
        <w:t>₡</w:t>
      </w:r>
      <w:r w:rsidR="00E929EF" w:rsidRPr="00E929EF">
        <w:rPr>
          <w:rFonts w:ascii="Book Antiqua" w:eastAsia="Calibri" w:hAnsi="Book Antiqua" w:cs="Arial"/>
          <w:sz w:val="24"/>
          <w:szCs w:val="24"/>
        </w:rPr>
        <w:t>801</w:t>
      </w:r>
      <w:r w:rsidRPr="00E01CE3">
        <w:rPr>
          <w:rFonts w:ascii="Book Antiqua" w:eastAsia="Calibri" w:hAnsi="Book Antiqua" w:cs="Arial"/>
          <w:sz w:val="24"/>
          <w:szCs w:val="24"/>
        </w:rPr>
        <w:t>,</w:t>
      </w:r>
      <w:r w:rsidR="00E929EF">
        <w:rPr>
          <w:rFonts w:ascii="Book Antiqua" w:eastAsia="Calibri" w:hAnsi="Book Antiqua" w:cs="Arial"/>
          <w:sz w:val="24"/>
          <w:szCs w:val="24"/>
        </w:rPr>
        <w:t>595</w:t>
      </w:r>
      <w:r w:rsidRPr="00E01CE3">
        <w:rPr>
          <w:rFonts w:ascii="Book Antiqua" w:eastAsia="Calibri" w:hAnsi="Book Antiqua" w:cs="Arial"/>
          <w:sz w:val="24"/>
          <w:szCs w:val="24"/>
        </w:rPr>
        <w:t>,000.00.</w:t>
      </w:r>
    </w:p>
    <w:p w14:paraId="12EA293F" w14:textId="004CEFC3" w:rsidR="008C20AB" w:rsidRDefault="008C20AB">
      <w:pPr>
        <w:pStyle w:val="Prrafodelista"/>
        <w:numPr>
          <w:ilvl w:val="0"/>
          <w:numId w:val="42"/>
        </w:num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Para el CACMFJ</w:t>
      </w:r>
      <w:r w:rsidR="00E20756" w:rsidRPr="00E01CE3">
        <w:rPr>
          <w:rFonts w:ascii="Book Antiqua" w:eastAsia="Calibri" w:hAnsi="Book Antiqua" w:cs="Arial"/>
          <w:sz w:val="24"/>
          <w:szCs w:val="24"/>
        </w:rPr>
        <w:t>,</w:t>
      </w:r>
      <w:r w:rsidRPr="00E01CE3">
        <w:rPr>
          <w:rFonts w:ascii="Book Antiqua" w:eastAsia="Calibri" w:hAnsi="Book Antiqua" w:cs="Arial"/>
          <w:sz w:val="24"/>
          <w:szCs w:val="24"/>
        </w:rPr>
        <w:t xml:space="preserve"> planes de trabajo</w:t>
      </w:r>
      <w:r w:rsidR="00E20756" w:rsidRPr="00E01CE3">
        <w:rPr>
          <w:rFonts w:ascii="Book Antiqua" w:eastAsia="Calibri" w:hAnsi="Book Antiqua" w:cs="Arial"/>
          <w:sz w:val="24"/>
          <w:szCs w:val="24"/>
        </w:rPr>
        <w:t xml:space="preserve"> y estructuras de tramitación en los Juzgados de Violencia Doméstica</w:t>
      </w:r>
      <w:r w:rsidRPr="00E01CE3">
        <w:rPr>
          <w:rFonts w:ascii="Book Antiqua" w:eastAsia="Calibri" w:hAnsi="Book Antiqua" w:cs="Arial"/>
          <w:sz w:val="24"/>
          <w:szCs w:val="24"/>
        </w:rPr>
        <w:t>: 1 Jueza o Juez 4 Gestor</w:t>
      </w:r>
      <w:r w:rsidR="00405D2C">
        <w:rPr>
          <w:rFonts w:ascii="Book Antiqua" w:eastAsia="Calibri" w:hAnsi="Book Antiqua" w:cs="Arial"/>
          <w:sz w:val="24"/>
          <w:szCs w:val="24"/>
        </w:rPr>
        <w:t xml:space="preserve"> y</w:t>
      </w:r>
      <w:r w:rsidRPr="00E01CE3">
        <w:rPr>
          <w:rFonts w:ascii="Book Antiqua" w:eastAsia="Calibri" w:hAnsi="Book Antiqua" w:cs="Arial"/>
          <w:sz w:val="24"/>
          <w:szCs w:val="24"/>
        </w:rPr>
        <w:t xml:space="preserve"> 1 </w:t>
      </w:r>
      <w:r w:rsidR="003D2135">
        <w:rPr>
          <w:rFonts w:ascii="Book Antiqua" w:eastAsia="Calibri" w:hAnsi="Book Antiqua" w:cs="Arial"/>
          <w:sz w:val="24"/>
          <w:szCs w:val="24"/>
        </w:rPr>
        <w:t>P</w:t>
      </w:r>
      <w:r w:rsidRPr="00E01CE3">
        <w:rPr>
          <w:rFonts w:ascii="Book Antiqua" w:eastAsia="Calibri" w:hAnsi="Book Antiqua" w:cs="Arial"/>
          <w:sz w:val="24"/>
          <w:szCs w:val="24"/>
        </w:rPr>
        <w:t>rofesional 2 ordinaria</w:t>
      </w:r>
      <w:r w:rsidR="00405D2C">
        <w:rPr>
          <w:rFonts w:ascii="Book Antiqua" w:eastAsia="Calibri" w:hAnsi="Book Antiqua" w:cs="Arial"/>
          <w:sz w:val="24"/>
          <w:szCs w:val="24"/>
        </w:rPr>
        <w:t>s</w:t>
      </w:r>
      <w:r w:rsidRPr="00E01CE3">
        <w:rPr>
          <w:rFonts w:ascii="Book Antiqua" w:eastAsia="Calibri" w:hAnsi="Book Antiqua" w:cs="Arial"/>
          <w:sz w:val="24"/>
          <w:szCs w:val="24"/>
        </w:rPr>
        <w:t xml:space="preserve"> y de forma extraordinarias:  </w:t>
      </w:r>
      <w:r w:rsidR="00405D2C">
        <w:rPr>
          <w:rFonts w:ascii="Book Antiqua" w:eastAsia="Calibri" w:hAnsi="Book Antiqua" w:cs="Arial"/>
          <w:sz w:val="24"/>
          <w:szCs w:val="24"/>
        </w:rPr>
        <w:t xml:space="preserve">1 Profesional 2, 1 Coordinador Judicial 2, </w:t>
      </w:r>
      <w:r w:rsidRPr="00E01CE3">
        <w:rPr>
          <w:rFonts w:ascii="Book Antiqua" w:eastAsia="Calibri" w:hAnsi="Book Antiqua" w:cs="Arial"/>
          <w:sz w:val="24"/>
          <w:szCs w:val="24"/>
        </w:rPr>
        <w:t xml:space="preserve">2 </w:t>
      </w:r>
      <w:r w:rsidR="003D2135">
        <w:rPr>
          <w:rFonts w:ascii="Book Antiqua" w:eastAsia="Calibri" w:hAnsi="Book Antiqua" w:cs="Arial"/>
          <w:sz w:val="24"/>
          <w:szCs w:val="24"/>
        </w:rPr>
        <w:t>T</w:t>
      </w:r>
      <w:r w:rsidRPr="00E01CE3">
        <w:rPr>
          <w:rFonts w:ascii="Book Antiqua" w:eastAsia="Calibri" w:hAnsi="Book Antiqua" w:cs="Arial"/>
          <w:sz w:val="24"/>
          <w:szCs w:val="24"/>
        </w:rPr>
        <w:t xml:space="preserve">écnicos </w:t>
      </w:r>
      <w:r w:rsidR="00405D2C">
        <w:rPr>
          <w:rFonts w:ascii="Book Antiqua" w:eastAsia="Calibri" w:hAnsi="Book Antiqua" w:cs="Arial"/>
          <w:sz w:val="24"/>
          <w:szCs w:val="24"/>
        </w:rPr>
        <w:t xml:space="preserve">Supernumerarios, 4 Técnicos </w:t>
      </w:r>
      <w:r w:rsidRPr="00E01CE3">
        <w:rPr>
          <w:rFonts w:ascii="Book Antiqua" w:eastAsia="Calibri" w:hAnsi="Book Antiqua" w:cs="Arial"/>
          <w:sz w:val="24"/>
          <w:szCs w:val="24"/>
        </w:rPr>
        <w:t xml:space="preserve">Judiciales 2. Para el plan de Trabajo en Pensiones </w:t>
      </w:r>
      <w:r w:rsidR="00062D2A">
        <w:rPr>
          <w:rFonts w:ascii="Book Antiqua" w:eastAsia="Calibri" w:hAnsi="Book Antiqua" w:cs="Arial"/>
          <w:sz w:val="24"/>
          <w:szCs w:val="24"/>
        </w:rPr>
        <w:t>12</w:t>
      </w:r>
      <w:r w:rsidR="00062D2A" w:rsidRPr="00E01CE3">
        <w:rPr>
          <w:rFonts w:ascii="Book Antiqua" w:eastAsia="Calibri" w:hAnsi="Book Antiqua" w:cs="Arial"/>
          <w:sz w:val="24"/>
          <w:szCs w:val="24"/>
        </w:rPr>
        <w:t xml:space="preserve"> </w:t>
      </w:r>
      <w:r w:rsidRPr="00E01CE3">
        <w:rPr>
          <w:rFonts w:ascii="Book Antiqua" w:eastAsia="Calibri" w:hAnsi="Book Antiqua" w:cs="Arial"/>
          <w:sz w:val="24"/>
          <w:szCs w:val="24"/>
        </w:rPr>
        <w:t xml:space="preserve">personas </w:t>
      </w:r>
      <w:r w:rsidR="003D2135">
        <w:rPr>
          <w:rFonts w:ascii="Book Antiqua" w:eastAsia="Calibri" w:hAnsi="Book Antiqua" w:cs="Arial"/>
          <w:sz w:val="24"/>
          <w:szCs w:val="24"/>
        </w:rPr>
        <w:t>J</w:t>
      </w:r>
      <w:r w:rsidRPr="00E01CE3">
        <w:rPr>
          <w:rFonts w:ascii="Book Antiqua" w:eastAsia="Calibri" w:hAnsi="Book Antiqua" w:cs="Arial"/>
          <w:sz w:val="24"/>
          <w:szCs w:val="24"/>
        </w:rPr>
        <w:t xml:space="preserve">uzgadoras </w:t>
      </w:r>
      <w:r w:rsidR="00062D2A">
        <w:rPr>
          <w:rFonts w:ascii="Book Antiqua" w:eastAsia="Calibri" w:hAnsi="Book Antiqua" w:cs="Arial"/>
          <w:sz w:val="24"/>
          <w:szCs w:val="24"/>
        </w:rPr>
        <w:t>Supernumerarias</w:t>
      </w:r>
      <w:r w:rsidRPr="00E01CE3">
        <w:rPr>
          <w:rFonts w:ascii="Book Antiqua" w:eastAsia="Calibri" w:hAnsi="Book Antiqua" w:cs="Arial"/>
          <w:sz w:val="24"/>
          <w:szCs w:val="24"/>
        </w:rPr>
        <w:t xml:space="preserve">, para el plan en Familia </w:t>
      </w:r>
      <w:r w:rsidR="00062D2A">
        <w:rPr>
          <w:rFonts w:ascii="Book Antiqua" w:eastAsia="Calibri" w:hAnsi="Book Antiqua" w:cs="Arial"/>
          <w:sz w:val="24"/>
          <w:szCs w:val="24"/>
        </w:rPr>
        <w:t>8</w:t>
      </w:r>
      <w:r w:rsidR="00062D2A" w:rsidRPr="00E01CE3">
        <w:rPr>
          <w:rFonts w:ascii="Book Antiqua" w:eastAsia="Calibri" w:hAnsi="Book Antiqua" w:cs="Arial"/>
          <w:sz w:val="24"/>
          <w:szCs w:val="24"/>
        </w:rPr>
        <w:t xml:space="preserve"> </w:t>
      </w:r>
      <w:r w:rsidRPr="00E01CE3">
        <w:rPr>
          <w:rFonts w:ascii="Book Antiqua" w:eastAsia="Calibri" w:hAnsi="Book Antiqua" w:cs="Arial"/>
          <w:sz w:val="24"/>
          <w:szCs w:val="24"/>
        </w:rPr>
        <w:t xml:space="preserve">personas </w:t>
      </w:r>
      <w:r w:rsidR="003D2135">
        <w:rPr>
          <w:rFonts w:ascii="Book Antiqua" w:eastAsia="Calibri" w:hAnsi="Book Antiqua" w:cs="Arial"/>
          <w:sz w:val="24"/>
          <w:szCs w:val="24"/>
        </w:rPr>
        <w:t>J</w:t>
      </w:r>
      <w:r w:rsidRPr="00E01CE3">
        <w:rPr>
          <w:rFonts w:ascii="Book Antiqua" w:eastAsia="Calibri" w:hAnsi="Book Antiqua" w:cs="Arial"/>
          <w:sz w:val="24"/>
          <w:szCs w:val="24"/>
        </w:rPr>
        <w:t>uzgadoras 3</w:t>
      </w:r>
      <w:r w:rsidR="00062D2A">
        <w:rPr>
          <w:rFonts w:ascii="Book Antiqua" w:eastAsia="Calibri" w:hAnsi="Book Antiqua" w:cs="Arial"/>
          <w:sz w:val="24"/>
          <w:szCs w:val="24"/>
        </w:rPr>
        <w:t>, 3 Jueces 4 para Segunda Instancia</w:t>
      </w:r>
      <w:r w:rsidRPr="00E01CE3">
        <w:rPr>
          <w:rFonts w:ascii="Book Antiqua" w:eastAsia="Calibri" w:hAnsi="Book Antiqua" w:cs="Arial"/>
          <w:sz w:val="24"/>
          <w:szCs w:val="24"/>
        </w:rPr>
        <w:t xml:space="preserve"> y para </w:t>
      </w:r>
      <w:r w:rsidR="00E03F00" w:rsidRPr="00E01CE3">
        <w:rPr>
          <w:rFonts w:ascii="Book Antiqua" w:eastAsia="Calibri" w:hAnsi="Book Antiqua" w:cs="Arial"/>
          <w:sz w:val="24"/>
          <w:szCs w:val="24"/>
        </w:rPr>
        <w:t>la implementación del Modelo de Tramitación</w:t>
      </w:r>
      <w:r w:rsidRPr="00E01CE3">
        <w:rPr>
          <w:rFonts w:ascii="Book Antiqua" w:eastAsia="Calibri" w:hAnsi="Book Antiqua" w:cs="Arial"/>
          <w:sz w:val="24"/>
          <w:szCs w:val="24"/>
        </w:rPr>
        <w:t xml:space="preserve"> en Violencia Doméstica 2 personas </w:t>
      </w:r>
      <w:r w:rsidR="003D2135">
        <w:rPr>
          <w:rFonts w:ascii="Book Antiqua" w:eastAsia="Calibri" w:hAnsi="Book Antiqua" w:cs="Arial"/>
          <w:sz w:val="24"/>
          <w:szCs w:val="24"/>
        </w:rPr>
        <w:t>J</w:t>
      </w:r>
      <w:r w:rsidRPr="00E01CE3">
        <w:rPr>
          <w:rFonts w:ascii="Book Antiqua" w:eastAsia="Calibri" w:hAnsi="Book Antiqua" w:cs="Arial"/>
          <w:sz w:val="24"/>
          <w:szCs w:val="24"/>
        </w:rPr>
        <w:t xml:space="preserve">uzgadoras 3 con </w:t>
      </w:r>
      <w:r w:rsidR="00BE4A7C" w:rsidRPr="00E01CE3">
        <w:rPr>
          <w:rFonts w:ascii="Book Antiqua" w:eastAsia="Calibri" w:hAnsi="Book Antiqua" w:cs="Arial"/>
          <w:sz w:val="24"/>
          <w:szCs w:val="24"/>
        </w:rPr>
        <w:t>17</w:t>
      </w:r>
      <w:r w:rsidRPr="00E01CE3">
        <w:rPr>
          <w:rFonts w:ascii="Book Antiqua" w:eastAsia="Calibri" w:hAnsi="Book Antiqua" w:cs="Arial"/>
          <w:sz w:val="24"/>
          <w:szCs w:val="24"/>
        </w:rPr>
        <w:t xml:space="preserve"> personas </w:t>
      </w:r>
      <w:r w:rsidR="003D2135">
        <w:rPr>
          <w:rFonts w:ascii="Book Antiqua" w:eastAsia="Calibri" w:hAnsi="Book Antiqua" w:cs="Arial"/>
          <w:sz w:val="24"/>
          <w:szCs w:val="24"/>
        </w:rPr>
        <w:t>T</w:t>
      </w:r>
      <w:r w:rsidRPr="00E01CE3">
        <w:rPr>
          <w:rFonts w:ascii="Book Antiqua" w:eastAsia="Calibri" w:hAnsi="Book Antiqua" w:cs="Arial"/>
          <w:sz w:val="24"/>
          <w:szCs w:val="24"/>
        </w:rPr>
        <w:t xml:space="preserve">écnicas </w:t>
      </w:r>
      <w:r w:rsidR="003D2135">
        <w:rPr>
          <w:rFonts w:ascii="Book Antiqua" w:eastAsia="Calibri" w:hAnsi="Book Antiqua" w:cs="Arial"/>
          <w:sz w:val="24"/>
          <w:szCs w:val="24"/>
        </w:rPr>
        <w:t>J</w:t>
      </w:r>
      <w:r w:rsidRPr="00E01CE3">
        <w:rPr>
          <w:rFonts w:ascii="Book Antiqua" w:eastAsia="Calibri" w:hAnsi="Book Antiqua" w:cs="Arial"/>
          <w:sz w:val="24"/>
          <w:szCs w:val="24"/>
        </w:rPr>
        <w:t>udiciales 2</w:t>
      </w:r>
      <w:r w:rsidR="003D2135">
        <w:rPr>
          <w:rFonts w:ascii="Book Antiqua" w:eastAsia="Calibri" w:hAnsi="Book Antiqua" w:cs="Arial"/>
          <w:sz w:val="24"/>
          <w:szCs w:val="24"/>
        </w:rPr>
        <w:t>,</w:t>
      </w:r>
      <w:r w:rsidR="00D157A6" w:rsidRPr="00E01CE3">
        <w:rPr>
          <w:rFonts w:ascii="Book Antiqua" w:eastAsia="Calibri" w:hAnsi="Book Antiqua" w:cs="Arial"/>
          <w:sz w:val="24"/>
          <w:szCs w:val="24"/>
        </w:rPr>
        <w:t xml:space="preserve"> además de la recalificación de cuatro plazas de </w:t>
      </w:r>
      <w:r w:rsidR="003D2135">
        <w:rPr>
          <w:rFonts w:ascii="Book Antiqua" w:eastAsia="Calibri" w:hAnsi="Book Antiqua" w:cs="Arial"/>
          <w:sz w:val="24"/>
          <w:szCs w:val="24"/>
        </w:rPr>
        <w:t>Auxiliar de Servicios Generales</w:t>
      </w:r>
      <w:r w:rsidR="00D157A6" w:rsidRPr="00E01CE3">
        <w:rPr>
          <w:rFonts w:ascii="Book Antiqua" w:eastAsia="Calibri" w:hAnsi="Book Antiqua" w:cs="Arial"/>
          <w:sz w:val="24"/>
          <w:szCs w:val="24"/>
        </w:rPr>
        <w:t xml:space="preserve"> a </w:t>
      </w:r>
      <w:r w:rsidR="001F6367" w:rsidRPr="00E01CE3">
        <w:rPr>
          <w:rFonts w:ascii="Book Antiqua" w:eastAsia="Calibri" w:hAnsi="Book Antiqua" w:cs="Arial"/>
          <w:sz w:val="24"/>
          <w:szCs w:val="24"/>
        </w:rPr>
        <w:t>personal Técnico Judicial</w:t>
      </w:r>
      <w:r w:rsidRPr="00E01CE3">
        <w:rPr>
          <w:rFonts w:ascii="Book Antiqua" w:eastAsia="Calibri" w:hAnsi="Book Antiqua" w:cs="Arial"/>
          <w:sz w:val="24"/>
          <w:szCs w:val="24"/>
        </w:rPr>
        <w:t xml:space="preserve">, para un costo estimado de </w:t>
      </w:r>
      <w:r w:rsidRPr="00E01CE3">
        <w:rPr>
          <w:rFonts w:ascii="Times New Roman" w:eastAsia="Calibri" w:hAnsi="Times New Roman" w:cs="Times New Roman"/>
          <w:sz w:val="24"/>
          <w:szCs w:val="24"/>
        </w:rPr>
        <w:t>₡</w:t>
      </w:r>
      <w:r w:rsidR="00A20F79">
        <w:rPr>
          <w:rFonts w:ascii="Book Antiqua" w:eastAsia="Calibri" w:hAnsi="Book Antiqua" w:cs="Arial"/>
          <w:sz w:val="24"/>
          <w:szCs w:val="24"/>
        </w:rPr>
        <w:t>1</w:t>
      </w:r>
      <w:r w:rsidR="00B55AEE">
        <w:rPr>
          <w:rFonts w:ascii="Book Antiqua" w:eastAsia="Calibri" w:hAnsi="Book Antiqua" w:cs="Arial"/>
          <w:sz w:val="24"/>
          <w:szCs w:val="24"/>
        </w:rPr>
        <w:t>,</w:t>
      </w:r>
      <w:r w:rsidR="00A20F79">
        <w:rPr>
          <w:rFonts w:ascii="Book Antiqua" w:eastAsia="Calibri" w:hAnsi="Book Antiqua" w:cs="Arial"/>
          <w:sz w:val="24"/>
          <w:szCs w:val="24"/>
        </w:rPr>
        <w:t>788</w:t>
      </w:r>
      <w:r w:rsidRPr="00E01CE3">
        <w:rPr>
          <w:rFonts w:ascii="Book Antiqua" w:eastAsia="Calibri" w:hAnsi="Book Antiqua" w:cs="Arial"/>
          <w:sz w:val="24"/>
          <w:szCs w:val="24"/>
        </w:rPr>
        <w:t>,</w:t>
      </w:r>
      <w:r w:rsidR="00B55AEE">
        <w:rPr>
          <w:rFonts w:ascii="Book Antiqua" w:eastAsia="Calibri" w:hAnsi="Book Antiqua" w:cs="Arial"/>
          <w:sz w:val="24"/>
          <w:szCs w:val="24"/>
        </w:rPr>
        <w:t>700</w:t>
      </w:r>
      <w:r w:rsidRPr="00E01CE3">
        <w:rPr>
          <w:rFonts w:ascii="Book Antiqua" w:eastAsia="Calibri" w:hAnsi="Book Antiqua" w:cs="Arial"/>
          <w:sz w:val="24"/>
          <w:szCs w:val="24"/>
        </w:rPr>
        <w:t>,</w:t>
      </w:r>
      <w:r w:rsidR="00B55AEE">
        <w:rPr>
          <w:rFonts w:ascii="Book Antiqua" w:eastAsia="Calibri" w:hAnsi="Book Antiqua" w:cs="Arial"/>
          <w:sz w:val="24"/>
          <w:szCs w:val="24"/>
        </w:rPr>
        <w:t>250</w:t>
      </w:r>
      <w:r w:rsidRPr="00E01CE3">
        <w:rPr>
          <w:rFonts w:ascii="Book Antiqua" w:eastAsia="Calibri" w:hAnsi="Book Antiqua" w:cs="Arial"/>
          <w:sz w:val="24"/>
          <w:szCs w:val="24"/>
        </w:rPr>
        <w:t>.00.</w:t>
      </w:r>
    </w:p>
    <w:p w14:paraId="55235E3D" w14:textId="6558C79B" w:rsidR="00C35D49" w:rsidRPr="00E01CE3" w:rsidRDefault="00C35D49">
      <w:pPr>
        <w:pStyle w:val="Prrafodelista"/>
        <w:numPr>
          <w:ilvl w:val="0"/>
          <w:numId w:val="42"/>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 Modelo de Tramitación de Violencia Doméstica, se requiere la recalificación de 4 plazas de Auxiliar de Servicios Generales a Técnico Judicial 2</w:t>
      </w:r>
      <w:r w:rsidR="00A82F79">
        <w:rPr>
          <w:rFonts w:ascii="Book Antiqua" w:eastAsia="Calibri" w:hAnsi="Book Antiqua" w:cs="Arial"/>
          <w:sz w:val="24"/>
          <w:szCs w:val="24"/>
        </w:rPr>
        <w:t xml:space="preserve">, para un costo de </w:t>
      </w:r>
      <w:r w:rsidR="00A82F79" w:rsidRPr="00E01CE3">
        <w:rPr>
          <w:rFonts w:ascii="Times New Roman" w:eastAsia="Calibri" w:hAnsi="Times New Roman" w:cs="Times New Roman"/>
          <w:sz w:val="24"/>
          <w:szCs w:val="24"/>
        </w:rPr>
        <w:t>₡</w:t>
      </w:r>
      <w:r w:rsidR="00A82F79" w:rsidRPr="00E01CE3">
        <w:rPr>
          <w:rFonts w:ascii="Book Antiqua" w:eastAsia="Calibri" w:hAnsi="Book Antiqua" w:cs="Arial"/>
          <w:sz w:val="24"/>
          <w:szCs w:val="24"/>
        </w:rPr>
        <w:t>9,</w:t>
      </w:r>
      <w:r w:rsidR="00A82F79">
        <w:rPr>
          <w:rFonts w:ascii="Book Antiqua" w:eastAsia="Calibri" w:hAnsi="Book Antiqua" w:cs="Arial"/>
          <w:sz w:val="24"/>
          <w:szCs w:val="24"/>
        </w:rPr>
        <w:t>812</w:t>
      </w:r>
      <w:r w:rsidR="00A82F79" w:rsidRPr="00E01CE3">
        <w:rPr>
          <w:rFonts w:ascii="Book Antiqua" w:eastAsia="Calibri" w:hAnsi="Book Antiqua" w:cs="Arial"/>
          <w:sz w:val="24"/>
          <w:szCs w:val="24"/>
        </w:rPr>
        <w:t>,000.00</w:t>
      </w:r>
    </w:p>
    <w:p w14:paraId="2E0061A8" w14:textId="77777777" w:rsidR="008C20AB" w:rsidRDefault="008C20AB" w:rsidP="008C20AB">
      <w:pPr>
        <w:spacing w:after="0" w:line="276" w:lineRule="auto"/>
        <w:jc w:val="both"/>
        <w:rPr>
          <w:rFonts w:ascii="Book Antiqua" w:eastAsia="Calibri" w:hAnsi="Book Antiqua" w:cs="Arial"/>
          <w:sz w:val="24"/>
          <w:szCs w:val="24"/>
        </w:rPr>
      </w:pPr>
    </w:p>
    <w:p w14:paraId="3C3D12CE" w14:textId="26829022" w:rsidR="008C20AB"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un total </w:t>
      </w:r>
      <w:r w:rsidRPr="00127FDC">
        <w:rPr>
          <w:rFonts w:ascii="Book Antiqua" w:eastAsia="Calibri" w:hAnsi="Book Antiqua" w:cs="Arial"/>
          <w:sz w:val="24"/>
          <w:szCs w:val="24"/>
        </w:rPr>
        <w:t xml:space="preserve">por </w:t>
      </w:r>
      <w:r w:rsidRPr="00E01CE3">
        <w:rPr>
          <w:rFonts w:ascii="Book Antiqua" w:eastAsia="Calibri" w:hAnsi="Book Antiqua" w:cs="Arial"/>
          <w:sz w:val="24"/>
          <w:szCs w:val="24"/>
        </w:rPr>
        <w:t>concepto de recurso humano necesario para la entrada en vigencia del C</w:t>
      </w:r>
      <w:r w:rsidRPr="00E01CE3">
        <w:rPr>
          <w:rFonts w:ascii="Book Antiqua" w:eastAsia="Calibri" w:hAnsi="Book Antiqua" w:cs="Book Antiqua"/>
          <w:sz w:val="24"/>
          <w:szCs w:val="24"/>
        </w:rPr>
        <w:t>ó</w:t>
      </w:r>
      <w:r w:rsidRPr="00E01CE3">
        <w:rPr>
          <w:rFonts w:ascii="Book Antiqua" w:eastAsia="Calibri" w:hAnsi="Book Antiqua" w:cs="Arial"/>
          <w:sz w:val="24"/>
          <w:szCs w:val="24"/>
        </w:rPr>
        <w:t xml:space="preserve">digo Procesal Familia de </w:t>
      </w:r>
      <w:r w:rsidRPr="00E01CE3" w:rsidDel="00D76695">
        <w:rPr>
          <w:rFonts w:ascii="Times New Roman" w:eastAsia="Calibri" w:hAnsi="Times New Roman" w:cs="Times New Roman"/>
          <w:sz w:val="24"/>
          <w:szCs w:val="24"/>
        </w:rPr>
        <w:t>₡</w:t>
      </w:r>
      <w:r w:rsidR="00F20394">
        <w:rPr>
          <w:rFonts w:ascii="Book Antiqua" w:eastAsia="Calibri" w:hAnsi="Book Antiqua" w:cs="Arial"/>
          <w:sz w:val="24"/>
          <w:szCs w:val="24"/>
        </w:rPr>
        <w:t>1</w:t>
      </w:r>
      <w:r w:rsidR="00C8566E" w:rsidRPr="00E01CE3">
        <w:rPr>
          <w:rFonts w:ascii="Book Antiqua" w:eastAsia="Calibri" w:hAnsi="Book Antiqua" w:cs="Arial"/>
          <w:sz w:val="24"/>
          <w:szCs w:val="24"/>
        </w:rPr>
        <w:t>.</w:t>
      </w:r>
      <w:r w:rsidR="00F20394">
        <w:rPr>
          <w:rFonts w:ascii="Book Antiqua" w:eastAsia="Calibri" w:hAnsi="Book Antiqua" w:cs="Arial"/>
          <w:sz w:val="24"/>
          <w:szCs w:val="24"/>
        </w:rPr>
        <w:t>788</w:t>
      </w:r>
      <w:r w:rsidRPr="00E01CE3">
        <w:rPr>
          <w:rFonts w:ascii="Book Antiqua" w:eastAsia="Calibri" w:hAnsi="Book Antiqua" w:cs="Arial"/>
          <w:sz w:val="24"/>
          <w:szCs w:val="24"/>
        </w:rPr>
        <w:t>,</w:t>
      </w:r>
      <w:r w:rsidR="00701897">
        <w:rPr>
          <w:rFonts w:ascii="Book Antiqua" w:eastAsia="Calibri" w:hAnsi="Book Antiqua" w:cs="Arial"/>
          <w:sz w:val="24"/>
          <w:szCs w:val="24"/>
        </w:rPr>
        <w:t>7</w:t>
      </w:r>
      <w:r w:rsidR="00F20394">
        <w:rPr>
          <w:rFonts w:ascii="Book Antiqua" w:eastAsia="Calibri" w:hAnsi="Book Antiqua" w:cs="Arial"/>
          <w:sz w:val="24"/>
          <w:szCs w:val="24"/>
        </w:rPr>
        <w:t>00</w:t>
      </w:r>
      <w:r w:rsidRPr="00E01CE3">
        <w:rPr>
          <w:rFonts w:ascii="Book Antiqua" w:eastAsia="Calibri" w:hAnsi="Book Antiqua" w:cs="Arial"/>
          <w:sz w:val="24"/>
          <w:szCs w:val="24"/>
        </w:rPr>
        <w:t>,</w:t>
      </w:r>
      <w:r w:rsidR="00701897">
        <w:rPr>
          <w:rFonts w:ascii="Book Antiqua" w:eastAsia="Calibri" w:hAnsi="Book Antiqua" w:cs="Arial"/>
          <w:sz w:val="24"/>
          <w:szCs w:val="24"/>
        </w:rPr>
        <w:t>250</w:t>
      </w:r>
      <w:r w:rsidRPr="00E01CE3">
        <w:rPr>
          <w:rFonts w:ascii="Book Antiqua" w:eastAsia="Calibri" w:hAnsi="Book Antiqua" w:cs="Arial"/>
          <w:sz w:val="24"/>
          <w:szCs w:val="24"/>
        </w:rPr>
        <w:t>.00.</w:t>
      </w:r>
    </w:p>
    <w:p w14:paraId="632C40F4" w14:textId="77777777" w:rsidR="0004556C" w:rsidRDefault="0004556C" w:rsidP="008C20AB">
      <w:pPr>
        <w:spacing w:after="0" w:line="276" w:lineRule="auto"/>
        <w:jc w:val="both"/>
        <w:rPr>
          <w:rFonts w:ascii="Book Antiqua" w:eastAsia="Calibri" w:hAnsi="Book Antiqua" w:cs="Arial"/>
          <w:sz w:val="24"/>
          <w:szCs w:val="24"/>
        </w:rPr>
      </w:pPr>
    </w:p>
    <w:tbl>
      <w:tblPr>
        <w:tblW w:w="6300" w:type="dxa"/>
        <w:jc w:val="center"/>
        <w:tblCellMar>
          <w:left w:w="70" w:type="dxa"/>
          <w:right w:w="70" w:type="dxa"/>
        </w:tblCellMar>
        <w:tblLook w:val="04A0" w:firstRow="1" w:lastRow="0" w:firstColumn="1" w:lastColumn="0" w:noHBand="0" w:noVBand="1"/>
      </w:tblPr>
      <w:tblGrid>
        <w:gridCol w:w="1619"/>
        <w:gridCol w:w="985"/>
        <w:gridCol w:w="1940"/>
        <w:gridCol w:w="1756"/>
      </w:tblGrid>
      <w:tr w:rsidR="0004556C" w:rsidRPr="0004556C" w14:paraId="331F3A77" w14:textId="77777777" w:rsidTr="0004556C">
        <w:trPr>
          <w:trHeight w:val="530"/>
          <w:jc w:val="center"/>
        </w:trPr>
        <w:tc>
          <w:tcPr>
            <w:tcW w:w="162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12766341" w14:textId="77777777" w:rsidR="0004556C" w:rsidRPr="0004556C" w:rsidRDefault="0004556C" w:rsidP="0004556C">
            <w:pPr>
              <w:spacing w:after="0" w:line="240" w:lineRule="auto"/>
              <w:jc w:val="center"/>
              <w:rPr>
                <w:rFonts w:ascii="Book Antiqua" w:eastAsia="Times New Roman" w:hAnsi="Book Antiqua" w:cs="Calibri"/>
                <w:b/>
                <w:bCs/>
                <w:color w:val="FFFFFF"/>
                <w:sz w:val="20"/>
                <w:szCs w:val="20"/>
                <w:lang w:eastAsia="es-CR"/>
              </w:rPr>
            </w:pPr>
            <w:r w:rsidRPr="0004556C">
              <w:rPr>
                <w:rFonts w:ascii="Book Antiqua" w:eastAsia="Times New Roman" w:hAnsi="Book Antiqua" w:cs="Calibri"/>
                <w:b/>
                <w:bCs/>
                <w:color w:val="FFFFFF"/>
                <w:sz w:val="20"/>
                <w:szCs w:val="20"/>
                <w:lang w:eastAsia="es-CR"/>
              </w:rPr>
              <w:t>Oficina</w:t>
            </w:r>
          </w:p>
        </w:tc>
        <w:tc>
          <w:tcPr>
            <w:tcW w:w="940" w:type="dxa"/>
            <w:tcBorders>
              <w:top w:val="single" w:sz="8" w:space="0" w:color="auto"/>
              <w:left w:val="nil"/>
              <w:bottom w:val="single" w:sz="8" w:space="0" w:color="auto"/>
              <w:right w:val="single" w:sz="8" w:space="0" w:color="auto"/>
            </w:tcBorders>
            <w:shd w:val="clear" w:color="000000" w:fill="002060"/>
            <w:vAlign w:val="center"/>
            <w:hideMark/>
          </w:tcPr>
          <w:p w14:paraId="62CA7354" w14:textId="77777777" w:rsidR="0004556C" w:rsidRPr="0004556C" w:rsidRDefault="0004556C" w:rsidP="0004556C">
            <w:pPr>
              <w:spacing w:after="0" w:line="240" w:lineRule="auto"/>
              <w:jc w:val="center"/>
              <w:rPr>
                <w:rFonts w:ascii="Book Antiqua" w:eastAsia="Times New Roman" w:hAnsi="Book Antiqua" w:cs="Calibri"/>
                <w:b/>
                <w:bCs/>
                <w:color w:val="FFFFFF"/>
                <w:sz w:val="20"/>
                <w:szCs w:val="20"/>
                <w:lang w:eastAsia="es-CR"/>
              </w:rPr>
            </w:pPr>
            <w:r w:rsidRPr="0004556C">
              <w:rPr>
                <w:rFonts w:ascii="Book Antiqua" w:eastAsia="Times New Roman" w:hAnsi="Book Antiqua" w:cs="Calibri"/>
                <w:b/>
                <w:bCs/>
                <w:color w:val="FFFFFF"/>
                <w:sz w:val="20"/>
                <w:szCs w:val="20"/>
                <w:lang w:eastAsia="es-CR"/>
              </w:rPr>
              <w:t>Cantidad</w:t>
            </w:r>
          </w:p>
        </w:tc>
        <w:tc>
          <w:tcPr>
            <w:tcW w:w="1940" w:type="dxa"/>
            <w:tcBorders>
              <w:top w:val="single" w:sz="8" w:space="0" w:color="auto"/>
              <w:left w:val="nil"/>
              <w:bottom w:val="single" w:sz="8" w:space="0" w:color="auto"/>
              <w:right w:val="single" w:sz="8" w:space="0" w:color="auto"/>
            </w:tcBorders>
            <w:shd w:val="clear" w:color="000000" w:fill="002060"/>
            <w:vAlign w:val="center"/>
            <w:hideMark/>
          </w:tcPr>
          <w:p w14:paraId="0BB738A2" w14:textId="77777777" w:rsidR="0004556C" w:rsidRPr="0004556C" w:rsidRDefault="0004556C" w:rsidP="0004556C">
            <w:pPr>
              <w:spacing w:after="0" w:line="240" w:lineRule="auto"/>
              <w:jc w:val="center"/>
              <w:rPr>
                <w:rFonts w:ascii="Book Antiqua" w:eastAsia="Times New Roman" w:hAnsi="Book Antiqua" w:cs="Calibri"/>
                <w:b/>
                <w:bCs/>
                <w:color w:val="FFFFFF"/>
                <w:sz w:val="20"/>
                <w:szCs w:val="20"/>
                <w:lang w:eastAsia="es-CR"/>
              </w:rPr>
            </w:pPr>
            <w:r w:rsidRPr="0004556C">
              <w:rPr>
                <w:rFonts w:ascii="Book Antiqua" w:eastAsia="Times New Roman" w:hAnsi="Book Antiqua" w:cs="Calibri"/>
                <w:b/>
                <w:bCs/>
                <w:color w:val="FFFFFF"/>
                <w:sz w:val="20"/>
                <w:szCs w:val="20"/>
                <w:lang w:eastAsia="es-CR"/>
              </w:rPr>
              <w:t>Tipo de plaza</w:t>
            </w:r>
          </w:p>
        </w:tc>
        <w:tc>
          <w:tcPr>
            <w:tcW w:w="1800" w:type="dxa"/>
            <w:tcBorders>
              <w:top w:val="single" w:sz="8" w:space="0" w:color="auto"/>
              <w:left w:val="nil"/>
              <w:bottom w:val="single" w:sz="8" w:space="0" w:color="auto"/>
              <w:right w:val="single" w:sz="8" w:space="0" w:color="auto"/>
            </w:tcBorders>
            <w:shd w:val="clear" w:color="000000" w:fill="002060"/>
            <w:vAlign w:val="center"/>
            <w:hideMark/>
          </w:tcPr>
          <w:p w14:paraId="0F044D89" w14:textId="77777777" w:rsidR="0004556C" w:rsidRPr="0004556C" w:rsidRDefault="0004556C" w:rsidP="0004556C">
            <w:pPr>
              <w:spacing w:after="0" w:line="240" w:lineRule="auto"/>
              <w:jc w:val="center"/>
              <w:rPr>
                <w:rFonts w:ascii="Book Antiqua" w:eastAsia="Times New Roman" w:hAnsi="Book Antiqua" w:cs="Calibri"/>
                <w:b/>
                <w:bCs/>
                <w:color w:val="FFFFFF"/>
                <w:sz w:val="20"/>
                <w:szCs w:val="20"/>
                <w:lang w:eastAsia="es-CR"/>
              </w:rPr>
            </w:pPr>
            <w:r w:rsidRPr="0004556C">
              <w:rPr>
                <w:rFonts w:ascii="Book Antiqua" w:eastAsia="Times New Roman" w:hAnsi="Book Antiqua" w:cs="Calibri"/>
                <w:b/>
                <w:bCs/>
                <w:color w:val="FFFFFF"/>
                <w:sz w:val="20"/>
                <w:szCs w:val="20"/>
                <w:lang w:eastAsia="es-CR"/>
              </w:rPr>
              <w:t xml:space="preserve">Costo total </w:t>
            </w:r>
          </w:p>
        </w:tc>
      </w:tr>
      <w:tr w:rsidR="0004556C" w:rsidRPr="0004556C" w14:paraId="169A2870" w14:textId="77777777" w:rsidTr="0004556C">
        <w:trPr>
          <w:trHeight w:val="1070"/>
          <w:jc w:val="center"/>
        </w:trPr>
        <w:tc>
          <w:tcPr>
            <w:tcW w:w="1620" w:type="dxa"/>
            <w:tcBorders>
              <w:top w:val="nil"/>
              <w:left w:val="single" w:sz="8" w:space="0" w:color="auto"/>
              <w:bottom w:val="single" w:sz="8" w:space="0" w:color="auto"/>
              <w:right w:val="single" w:sz="8" w:space="0" w:color="auto"/>
            </w:tcBorders>
            <w:shd w:val="clear" w:color="auto" w:fill="auto"/>
            <w:vAlign w:val="center"/>
            <w:hideMark/>
          </w:tcPr>
          <w:p w14:paraId="5012BBD3" w14:textId="2448C5C6"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Juzgado Familia II Circuito Judicial de Alajuela</w:t>
            </w:r>
          </w:p>
        </w:tc>
        <w:tc>
          <w:tcPr>
            <w:tcW w:w="940" w:type="dxa"/>
            <w:tcBorders>
              <w:top w:val="nil"/>
              <w:left w:val="nil"/>
              <w:bottom w:val="single" w:sz="8" w:space="0" w:color="auto"/>
              <w:right w:val="single" w:sz="8" w:space="0" w:color="auto"/>
            </w:tcBorders>
            <w:shd w:val="clear" w:color="auto" w:fill="auto"/>
            <w:vAlign w:val="center"/>
            <w:hideMark/>
          </w:tcPr>
          <w:p w14:paraId="79BC6A43"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w:t>
            </w:r>
          </w:p>
        </w:tc>
        <w:tc>
          <w:tcPr>
            <w:tcW w:w="1940" w:type="dxa"/>
            <w:tcBorders>
              <w:top w:val="nil"/>
              <w:left w:val="nil"/>
              <w:bottom w:val="single" w:sz="8" w:space="0" w:color="auto"/>
              <w:right w:val="single" w:sz="8" w:space="0" w:color="auto"/>
            </w:tcBorders>
            <w:shd w:val="clear" w:color="auto" w:fill="auto"/>
            <w:vAlign w:val="center"/>
            <w:hideMark/>
          </w:tcPr>
          <w:p w14:paraId="4C4579A9"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Técnica o Técnico Judicial 2</w:t>
            </w:r>
          </w:p>
        </w:tc>
        <w:tc>
          <w:tcPr>
            <w:tcW w:w="1800" w:type="dxa"/>
            <w:tcBorders>
              <w:top w:val="nil"/>
              <w:left w:val="nil"/>
              <w:bottom w:val="single" w:sz="8" w:space="0" w:color="auto"/>
              <w:right w:val="single" w:sz="8" w:space="0" w:color="auto"/>
            </w:tcBorders>
            <w:shd w:val="clear" w:color="auto" w:fill="auto"/>
            <w:vAlign w:val="center"/>
            <w:hideMark/>
          </w:tcPr>
          <w:p w14:paraId="205922D6"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15 945 000.00</w:t>
            </w:r>
          </w:p>
        </w:tc>
      </w:tr>
      <w:tr w:rsidR="0004556C" w:rsidRPr="0004556C" w14:paraId="322A2157" w14:textId="77777777" w:rsidTr="0004556C">
        <w:trPr>
          <w:trHeight w:val="1020"/>
          <w:jc w:val="center"/>
        </w:trPr>
        <w:tc>
          <w:tcPr>
            <w:tcW w:w="1620" w:type="dxa"/>
            <w:tcBorders>
              <w:top w:val="nil"/>
              <w:left w:val="single" w:sz="8" w:space="0" w:color="auto"/>
              <w:bottom w:val="single" w:sz="8" w:space="0" w:color="auto"/>
              <w:right w:val="single" w:sz="8" w:space="0" w:color="auto"/>
            </w:tcBorders>
            <w:shd w:val="clear" w:color="000000" w:fill="FFFFFF"/>
            <w:vAlign w:val="center"/>
            <w:hideMark/>
          </w:tcPr>
          <w:p w14:paraId="330E091C"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Juzgado Civil. Trabajo y Familia de Buenos Aires</w:t>
            </w:r>
          </w:p>
        </w:tc>
        <w:tc>
          <w:tcPr>
            <w:tcW w:w="940" w:type="dxa"/>
            <w:tcBorders>
              <w:top w:val="nil"/>
              <w:left w:val="nil"/>
              <w:bottom w:val="single" w:sz="8" w:space="0" w:color="auto"/>
              <w:right w:val="single" w:sz="8" w:space="0" w:color="auto"/>
            </w:tcBorders>
            <w:shd w:val="clear" w:color="000000" w:fill="FFFFFF"/>
            <w:vAlign w:val="center"/>
            <w:hideMark/>
          </w:tcPr>
          <w:p w14:paraId="3C804865"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w:t>
            </w:r>
          </w:p>
        </w:tc>
        <w:tc>
          <w:tcPr>
            <w:tcW w:w="1940" w:type="dxa"/>
            <w:tcBorders>
              <w:top w:val="nil"/>
              <w:left w:val="nil"/>
              <w:bottom w:val="single" w:sz="8" w:space="0" w:color="auto"/>
              <w:right w:val="single" w:sz="8" w:space="0" w:color="auto"/>
            </w:tcBorders>
            <w:shd w:val="clear" w:color="000000" w:fill="FFFFFF"/>
            <w:vAlign w:val="center"/>
            <w:hideMark/>
          </w:tcPr>
          <w:p w14:paraId="206620A3"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Técnica o Técnico Judicial 2</w:t>
            </w:r>
          </w:p>
        </w:tc>
        <w:tc>
          <w:tcPr>
            <w:tcW w:w="1800" w:type="dxa"/>
            <w:tcBorders>
              <w:top w:val="nil"/>
              <w:left w:val="nil"/>
              <w:bottom w:val="single" w:sz="8" w:space="0" w:color="auto"/>
              <w:right w:val="single" w:sz="8" w:space="0" w:color="auto"/>
            </w:tcBorders>
            <w:shd w:val="clear" w:color="auto" w:fill="auto"/>
            <w:vAlign w:val="center"/>
            <w:hideMark/>
          </w:tcPr>
          <w:p w14:paraId="08FECDCF"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15 945 000.00</w:t>
            </w:r>
          </w:p>
        </w:tc>
      </w:tr>
      <w:tr w:rsidR="0004556C" w:rsidRPr="0004556C" w14:paraId="5468048F" w14:textId="77777777" w:rsidTr="0004556C">
        <w:trPr>
          <w:trHeight w:val="1820"/>
          <w:jc w:val="center"/>
        </w:trPr>
        <w:tc>
          <w:tcPr>
            <w:tcW w:w="1620" w:type="dxa"/>
            <w:tcBorders>
              <w:top w:val="nil"/>
              <w:left w:val="single" w:sz="8" w:space="0" w:color="auto"/>
              <w:bottom w:val="single" w:sz="8" w:space="0" w:color="auto"/>
              <w:right w:val="single" w:sz="8" w:space="0" w:color="auto"/>
            </w:tcBorders>
            <w:shd w:val="clear" w:color="000000" w:fill="FFFFFF"/>
            <w:vAlign w:val="center"/>
            <w:hideMark/>
          </w:tcPr>
          <w:p w14:paraId="154DE7B7"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Juzgado Contravencional y Pensiones Alimentarias del Primer Circuito Judicial de Guanacaste</w:t>
            </w:r>
          </w:p>
        </w:tc>
        <w:tc>
          <w:tcPr>
            <w:tcW w:w="940" w:type="dxa"/>
            <w:tcBorders>
              <w:top w:val="nil"/>
              <w:left w:val="nil"/>
              <w:bottom w:val="single" w:sz="8" w:space="0" w:color="auto"/>
              <w:right w:val="single" w:sz="8" w:space="0" w:color="auto"/>
            </w:tcBorders>
            <w:shd w:val="clear" w:color="000000" w:fill="FFFFFF"/>
            <w:vAlign w:val="center"/>
            <w:hideMark/>
          </w:tcPr>
          <w:p w14:paraId="68BF1A8A"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w:t>
            </w:r>
          </w:p>
        </w:tc>
        <w:tc>
          <w:tcPr>
            <w:tcW w:w="1940" w:type="dxa"/>
            <w:tcBorders>
              <w:top w:val="nil"/>
              <w:left w:val="nil"/>
              <w:bottom w:val="single" w:sz="8" w:space="0" w:color="auto"/>
              <w:right w:val="single" w:sz="8" w:space="0" w:color="auto"/>
            </w:tcBorders>
            <w:shd w:val="clear" w:color="000000" w:fill="FFFFFF"/>
            <w:vAlign w:val="center"/>
            <w:hideMark/>
          </w:tcPr>
          <w:p w14:paraId="066A0FC8"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Técnica o Técnico Judicial 1</w:t>
            </w:r>
          </w:p>
        </w:tc>
        <w:tc>
          <w:tcPr>
            <w:tcW w:w="1800" w:type="dxa"/>
            <w:tcBorders>
              <w:top w:val="nil"/>
              <w:left w:val="nil"/>
              <w:bottom w:val="single" w:sz="8" w:space="0" w:color="auto"/>
              <w:right w:val="single" w:sz="8" w:space="0" w:color="auto"/>
            </w:tcBorders>
            <w:shd w:val="clear" w:color="auto" w:fill="auto"/>
            <w:vAlign w:val="center"/>
            <w:hideMark/>
          </w:tcPr>
          <w:p w14:paraId="2DEC117F"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15 381 000.00</w:t>
            </w:r>
          </w:p>
        </w:tc>
      </w:tr>
      <w:tr w:rsidR="0004556C" w:rsidRPr="0004556C" w14:paraId="45171674" w14:textId="77777777" w:rsidTr="0004556C">
        <w:trPr>
          <w:trHeight w:val="1050"/>
          <w:jc w:val="center"/>
        </w:trPr>
        <w:tc>
          <w:tcPr>
            <w:tcW w:w="1620" w:type="dxa"/>
            <w:tcBorders>
              <w:top w:val="nil"/>
              <w:left w:val="single" w:sz="8" w:space="0" w:color="auto"/>
              <w:bottom w:val="single" w:sz="8" w:space="0" w:color="auto"/>
              <w:right w:val="single" w:sz="8" w:space="0" w:color="auto"/>
            </w:tcBorders>
            <w:shd w:val="clear" w:color="000000" w:fill="FFFFFF"/>
            <w:vAlign w:val="center"/>
            <w:hideMark/>
          </w:tcPr>
          <w:p w14:paraId="3583D078"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Juzgado Contravencional de Paraíso</w:t>
            </w:r>
          </w:p>
        </w:tc>
        <w:tc>
          <w:tcPr>
            <w:tcW w:w="940" w:type="dxa"/>
            <w:tcBorders>
              <w:top w:val="nil"/>
              <w:left w:val="nil"/>
              <w:bottom w:val="single" w:sz="8" w:space="0" w:color="auto"/>
              <w:right w:val="single" w:sz="8" w:space="0" w:color="auto"/>
            </w:tcBorders>
            <w:shd w:val="clear" w:color="000000" w:fill="FFFFFF"/>
            <w:vAlign w:val="center"/>
            <w:hideMark/>
          </w:tcPr>
          <w:p w14:paraId="1CE1625D"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w:t>
            </w:r>
          </w:p>
        </w:tc>
        <w:tc>
          <w:tcPr>
            <w:tcW w:w="1940" w:type="dxa"/>
            <w:tcBorders>
              <w:top w:val="nil"/>
              <w:left w:val="nil"/>
              <w:bottom w:val="single" w:sz="8" w:space="0" w:color="auto"/>
              <w:right w:val="single" w:sz="8" w:space="0" w:color="auto"/>
            </w:tcBorders>
            <w:shd w:val="clear" w:color="000000" w:fill="FFFFFF"/>
            <w:vAlign w:val="center"/>
            <w:hideMark/>
          </w:tcPr>
          <w:p w14:paraId="0D874A4D"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Juez 1</w:t>
            </w:r>
          </w:p>
        </w:tc>
        <w:tc>
          <w:tcPr>
            <w:tcW w:w="1800" w:type="dxa"/>
            <w:tcBorders>
              <w:top w:val="nil"/>
              <w:left w:val="nil"/>
              <w:bottom w:val="single" w:sz="8" w:space="0" w:color="auto"/>
              <w:right w:val="single" w:sz="8" w:space="0" w:color="auto"/>
            </w:tcBorders>
            <w:shd w:val="clear" w:color="auto" w:fill="auto"/>
            <w:vAlign w:val="center"/>
            <w:hideMark/>
          </w:tcPr>
          <w:p w14:paraId="1A3A2E83"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53 778 000.00</w:t>
            </w:r>
          </w:p>
        </w:tc>
      </w:tr>
      <w:tr w:rsidR="0004556C" w:rsidRPr="0004556C" w14:paraId="13176986" w14:textId="77777777" w:rsidTr="0004556C">
        <w:trPr>
          <w:trHeight w:val="640"/>
          <w:jc w:val="center"/>
        </w:trPr>
        <w:tc>
          <w:tcPr>
            <w:tcW w:w="1620" w:type="dxa"/>
            <w:tcBorders>
              <w:top w:val="nil"/>
              <w:left w:val="single" w:sz="8" w:space="0" w:color="auto"/>
              <w:bottom w:val="single" w:sz="8" w:space="0" w:color="auto"/>
              <w:right w:val="single" w:sz="8" w:space="0" w:color="auto"/>
            </w:tcBorders>
            <w:shd w:val="clear" w:color="000000" w:fill="FFFFFF"/>
            <w:vAlign w:val="center"/>
            <w:hideMark/>
          </w:tcPr>
          <w:p w14:paraId="21C54931"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Sala Segunda</w:t>
            </w:r>
          </w:p>
        </w:tc>
        <w:tc>
          <w:tcPr>
            <w:tcW w:w="940" w:type="dxa"/>
            <w:tcBorders>
              <w:top w:val="nil"/>
              <w:left w:val="nil"/>
              <w:bottom w:val="single" w:sz="8" w:space="0" w:color="auto"/>
              <w:right w:val="single" w:sz="8" w:space="0" w:color="auto"/>
            </w:tcBorders>
            <w:shd w:val="clear" w:color="auto" w:fill="auto"/>
            <w:vAlign w:val="center"/>
            <w:hideMark/>
          </w:tcPr>
          <w:p w14:paraId="2895A99B"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w:t>
            </w:r>
          </w:p>
        </w:tc>
        <w:tc>
          <w:tcPr>
            <w:tcW w:w="1940" w:type="dxa"/>
            <w:tcBorders>
              <w:top w:val="nil"/>
              <w:left w:val="nil"/>
              <w:bottom w:val="single" w:sz="8" w:space="0" w:color="auto"/>
              <w:right w:val="single" w:sz="8" w:space="0" w:color="auto"/>
            </w:tcBorders>
            <w:shd w:val="clear" w:color="auto" w:fill="auto"/>
            <w:vAlign w:val="center"/>
            <w:hideMark/>
          </w:tcPr>
          <w:p w14:paraId="109859C2"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Profesional en Derecho 3B</w:t>
            </w:r>
          </w:p>
        </w:tc>
        <w:tc>
          <w:tcPr>
            <w:tcW w:w="1800" w:type="dxa"/>
            <w:tcBorders>
              <w:top w:val="nil"/>
              <w:left w:val="nil"/>
              <w:bottom w:val="single" w:sz="8" w:space="0" w:color="auto"/>
              <w:right w:val="single" w:sz="8" w:space="0" w:color="auto"/>
            </w:tcBorders>
            <w:shd w:val="clear" w:color="auto" w:fill="auto"/>
            <w:vAlign w:val="center"/>
            <w:hideMark/>
          </w:tcPr>
          <w:p w14:paraId="3FB80EAA"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56 926 000.00 </w:t>
            </w:r>
          </w:p>
        </w:tc>
      </w:tr>
      <w:tr w:rsidR="0004556C" w:rsidRPr="0004556C" w14:paraId="122FB09E" w14:textId="77777777" w:rsidTr="0004556C">
        <w:trPr>
          <w:trHeight w:val="620"/>
          <w:jc w:val="center"/>
        </w:trPr>
        <w:tc>
          <w:tcPr>
            <w:tcW w:w="1620" w:type="dxa"/>
            <w:tcBorders>
              <w:top w:val="nil"/>
              <w:left w:val="single" w:sz="8" w:space="0" w:color="auto"/>
              <w:bottom w:val="single" w:sz="8" w:space="0" w:color="auto"/>
              <w:right w:val="single" w:sz="8" w:space="0" w:color="auto"/>
            </w:tcBorders>
            <w:shd w:val="clear" w:color="000000" w:fill="FFFFFF"/>
            <w:vAlign w:val="center"/>
            <w:hideMark/>
          </w:tcPr>
          <w:p w14:paraId="04380463"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Sala Segunda</w:t>
            </w:r>
          </w:p>
        </w:tc>
        <w:tc>
          <w:tcPr>
            <w:tcW w:w="940" w:type="dxa"/>
            <w:tcBorders>
              <w:top w:val="nil"/>
              <w:left w:val="nil"/>
              <w:bottom w:val="single" w:sz="8" w:space="0" w:color="auto"/>
              <w:right w:val="single" w:sz="8" w:space="0" w:color="auto"/>
            </w:tcBorders>
            <w:shd w:val="clear" w:color="auto" w:fill="auto"/>
            <w:vAlign w:val="center"/>
            <w:hideMark/>
          </w:tcPr>
          <w:p w14:paraId="740D011C"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2</w:t>
            </w:r>
          </w:p>
        </w:tc>
        <w:tc>
          <w:tcPr>
            <w:tcW w:w="1940" w:type="dxa"/>
            <w:tcBorders>
              <w:top w:val="nil"/>
              <w:left w:val="nil"/>
              <w:bottom w:val="single" w:sz="8" w:space="0" w:color="auto"/>
              <w:right w:val="single" w:sz="8" w:space="0" w:color="auto"/>
            </w:tcBorders>
            <w:shd w:val="clear" w:color="auto" w:fill="auto"/>
            <w:vAlign w:val="center"/>
            <w:hideMark/>
          </w:tcPr>
          <w:p w14:paraId="31F08363"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Técnico Sala de la Corte</w:t>
            </w:r>
          </w:p>
        </w:tc>
        <w:tc>
          <w:tcPr>
            <w:tcW w:w="1800" w:type="dxa"/>
            <w:tcBorders>
              <w:top w:val="nil"/>
              <w:left w:val="nil"/>
              <w:bottom w:val="single" w:sz="8" w:space="0" w:color="auto"/>
              <w:right w:val="single" w:sz="8" w:space="0" w:color="auto"/>
            </w:tcBorders>
            <w:shd w:val="clear" w:color="auto" w:fill="auto"/>
            <w:vAlign w:val="center"/>
            <w:hideMark/>
          </w:tcPr>
          <w:p w14:paraId="72ED3C50"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39 974 000.00</w:t>
            </w:r>
          </w:p>
        </w:tc>
      </w:tr>
      <w:tr w:rsidR="0004556C" w:rsidRPr="0004556C" w14:paraId="5D74EB7A" w14:textId="77777777" w:rsidTr="0004556C">
        <w:trPr>
          <w:trHeight w:val="680"/>
          <w:jc w:val="center"/>
        </w:trPr>
        <w:tc>
          <w:tcPr>
            <w:tcW w:w="1620" w:type="dxa"/>
            <w:tcBorders>
              <w:top w:val="nil"/>
              <w:left w:val="single" w:sz="8" w:space="0" w:color="auto"/>
              <w:bottom w:val="single" w:sz="8" w:space="0" w:color="auto"/>
              <w:right w:val="single" w:sz="8" w:space="0" w:color="auto"/>
            </w:tcBorders>
            <w:shd w:val="clear" w:color="000000" w:fill="FFFFFF"/>
            <w:vAlign w:val="center"/>
            <w:hideMark/>
          </w:tcPr>
          <w:p w14:paraId="4A975213"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Sala Segunda</w:t>
            </w:r>
          </w:p>
        </w:tc>
        <w:tc>
          <w:tcPr>
            <w:tcW w:w="940" w:type="dxa"/>
            <w:tcBorders>
              <w:top w:val="nil"/>
              <w:left w:val="nil"/>
              <w:bottom w:val="single" w:sz="8" w:space="0" w:color="auto"/>
              <w:right w:val="single" w:sz="8" w:space="0" w:color="auto"/>
            </w:tcBorders>
            <w:shd w:val="clear" w:color="auto" w:fill="auto"/>
            <w:vAlign w:val="center"/>
            <w:hideMark/>
          </w:tcPr>
          <w:p w14:paraId="2A3470FB"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2</w:t>
            </w:r>
          </w:p>
        </w:tc>
        <w:tc>
          <w:tcPr>
            <w:tcW w:w="1940" w:type="dxa"/>
            <w:tcBorders>
              <w:top w:val="nil"/>
              <w:left w:val="nil"/>
              <w:bottom w:val="single" w:sz="8" w:space="0" w:color="auto"/>
              <w:right w:val="single" w:sz="8" w:space="0" w:color="auto"/>
            </w:tcBorders>
            <w:shd w:val="clear" w:color="auto" w:fill="auto"/>
            <w:vAlign w:val="center"/>
            <w:hideMark/>
          </w:tcPr>
          <w:p w14:paraId="38DF0B00"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Técnica o Técnico Judicial 3</w:t>
            </w:r>
          </w:p>
        </w:tc>
        <w:tc>
          <w:tcPr>
            <w:tcW w:w="1800" w:type="dxa"/>
            <w:tcBorders>
              <w:top w:val="nil"/>
              <w:left w:val="nil"/>
              <w:bottom w:val="single" w:sz="8" w:space="0" w:color="auto"/>
              <w:right w:val="single" w:sz="8" w:space="0" w:color="auto"/>
            </w:tcBorders>
            <w:shd w:val="clear" w:color="auto" w:fill="auto"/>
            <w:vAlign w:val="center"/>
            <w:hideMark/>
          </w:tcPr>
          <w:p w14:paraId="5FB5D338"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33 352 000.00</w:t>
            </w:r>
          </w:p>
        </w:tc>
      </w:tr>
      <w:tr w:rsidR="0004556C" w:rsidRPr="0004556C" w14:paraId="316299A9" w14:textId="77777777" w:rsidTr="0004556C">
        <w:trPr>
          <w:trHeight w:val="1800"/>
          <w:jc w:val="center"/>
        </w:trPr>
        <w:tc>
          <w:tcPr>
            <w:tcW w:w="1620" w:type="dxa"/>
            <w:tcBorders>
              <w:top w:val="nil"/>
              <w:left w:val="single" w:sz="8" w:space="0" w:color="auto"/>
              <w:bottom w:val="single" w:sz="8" w:space="0" w:color="auto"/>
              <w:right w:val="single" w:sz="8" w:space="0" w:color="auto"/>
            </w:tcBorders>
            <w:shd w:val="clear" w:color="000000" w:fill="FFFFFF"/>
            <w:vAlign w:val="center"/>
            <w:hideMark/>
          </w:tcPr>
          <w:p w14:paraId="697A82E1"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Juzgado Especializado en Segunda Instancia de Pensiones Alimentarias </w:t>
            </w:r>
          </w:p>
        </w:tc>
        <w:tc>
          <w:tcPr>
            <w:tcW w:w="940" w:type="dxa"/>
            <w:tcBorders>
              <w:top w:val="nil"/>
              <w:left w:val="nil"/>
              <w:bottom w:val="single" w:sz="8" w:space="0" w:color="auto"/>
              <w:right w:val="single" w:sz="8" w:space="0" w:color="auto"/>
            </w:tcBorders>
            <w:shd w:val="clear" w:color="auto" w:fill="auto"/>
            <w:vAlign w:val="center"/>
            <w:hideMark/>
          </w:tcPr>
          <w:p w14:paraId="1BFBF098"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10</w:t>
            </w:r>
          </w:p>
        </w:tc>
        <w:tc>
          <w:tcPr>
            <w:tcW w:w="1940" w:type="dxa"/>
            <w:tcBorders>
              <w:top w:val="nil"/>
              <w:left w:val="nil"/>
              <w:bottom w:val="single" w:sz="8" w:space="0" w:color="auto"/>
              <w:right w:val="single" w:sz="8" w:space="0" w:color="auto"/>
            </w:tcBorders>
            <w:shd w:val="clear" w:color="auto" w:fill="auto"/>
            <w:vAlign w:val="center"/>
            <w:hideMark/>
          </w:tcPr>
          <w:p w14:paraId="2B49BE8D"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Juez 3</w:t>
            </w:r>
          </w:p>
        </w:tc>
        <w:tc>
          <w:tcPr>
            <w:tcW w:w="1800" w:type="dxa"/>
            <w:tcBorders>
              <w:top w:val="nil"/>
              <w:left w:val="nil"/>
              <w:bottom w:val="single" w:sz="8" w:space="0" w:color="auto"/>
              <w:right w:val="single" w:sz="8" w:space="0" w:color="auto"/>
            </w:tcBorders>
            <w:shd w:val="clear" w:color="auto" w:fill="auto"/>
            <w:vAlign w:val="center"/>
            <w:hideMark/>
          </w:tcPr>
          <w:p w14:paraId="471FFE10"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570 294 000.00</w:t>
            </w:r>
          </w:p>
        </w:tc>
      </w:tr>
      <w:tr w:rsidR="0004556C" w:rsidRPr="0004556C" w14:paraId="30E21CA2" w14:textId="77777777" w:rsidTr="0004556C">
        <w:trPr>
          <w:trHeight w:val="300"/>
          <w:jc w:val="center"/>
        </w:trPr>
        <w:tc>
          <w:tcPr>
            <w:tcW w:w="1620" w:type="dxa"/>
            <w:vMerge w:val="restart"/>
            <w:tcBorders>
              <w:top w:val="nil"/>
              <w:left w:val="single" w:sz="8" w:space="0" w:color="auto"/>
              <w:bottom w:val="single" w:sz="8" w:space="0" w:color="000000"/>
              <w:right w:val="single" w:sz="8" w:space="0" w:color="auto"/>
            </w:tcBorders>
            <w:shd w:val="clear" w:color="auto" w:fill="auto"/>
            <w:vAlign w:val="center"/>
            <w:hideMark/>
          </w:tcPr>
          <w:p w14:paraId="2EADA6D0"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CACMFJ</w:t>
            </w:r>
          </w:p>
        </w:tc>
        <w:tc>
          <w:tcPr>
            <w:tcW w:w="940" w:type="dxa"/>
            <w:tcBorders>
              <w:top w:val="nil"/>
              <w:left w:val="nil"/>
              <w:bottom w:val="single" w:sz="8" w:space="0" w:color="auto"/>
              <w:right w:val="single" w:sz="8" w:space="0" w:color="auto"/>
            </w:tcBorders>
            <w:shd w:val="clear" w:color="auto" w:fill="auto"/>
            <w:noWrap/>
            <w:vAlign w:val="center"/>
            <w:hideMark/>
          </w:tcPr>
          <w:p w14:paraId="56E538CD"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w:t>
            </w:r>
          </w:p>
        </w:tc>
        <w:tc>
          <w:tcPr>
            <w:tcW w:w="1940" w:type="dxa"/>
            <w:tcBorders>
              <w:top w:val="nil"/>
              <w:left w:val="nil"/>
              <w:bottom w:val="single" w:sz="8" w:space="0" w:color="auto"/>
              <w:right w:val="single" w:sz="8" w:space="0" w:color="auto"/>
            </w:tcBorders>
            <w:shd w:val="clear" w:color="auto" w:fill="auto"/>
            <w:noWrap/>
            <w:vAlign w:val="center"/>
            <w:hideMark/>
          </w:tcPr>
          <w:p w14:paraId="32C0F600"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Jueza o Juez 4 Gestor</w:t>
            </w:r>
          </w:p>
        </w:tc>
        <w:tc>
          <w:tcPr>
            <w:tcW w:w="1800" w:type="dxa"/>
            <w:tcBorders>
              <w:top w:val="nil"/>
              <w:left w:val="nil"/>
              <w:bottom w:val="single" w:sz="8" w:space="0" w:color="auto"/>
              <w:right w:val="single" w:sz="8" w:space="0" w:color="auto"/>
            </w:tcBorders>
            <w:shd w:val="clear" w:color="auto" w:fill="auto"/>
            <w:vAlign w:val="center"/>
            <w:hideMark/>
          </w:tcPr>
          <w:p w14:paraId="2FAA3C90"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 </w:t>
            </w: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61 711 000.00</w:t>
            </w:r>
          </w:p>
        </w:tc>
      </w:tr>
      <w:tr w:rsidR="0004556C" w:rsidRPr="0004556C" w14:paraId="2FE5DFDD" w14:textId="77777777" w:rsidTr="0004556C">
        <w:trPr>
          <w:trHeight w:val="530"/>
          <w:jc w:val="center"/>
        </w:trPr>
        <w:tc>
          <w:tcPr>
            <w:tcW w:w="1620" w:type="dxa"/>
            <w:vMerge/>
            <w:tcBorders>
              <w:top w:val="nil"/>
              <w:left w:val="single" w:sz="8" w:space="0" w:color="auto"/>
              <w:bottom w:val="single" w:sz="8" w:space="0" w:color="000000"/>
              <w:right w:val="single" w:sz="8" w:space="0" w:color="auto"/>
            </w:tcBorders>
            <w:vAlign w:val="center"/>
            <w:hideMark/>
          </w:tcPr>
          <w:p w14:paraId="6D712ECB"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p>
        </w:tc>
        <w:tc>
          <w:tcPr>
            <w:tcW w:w="940" w:type="dxa"/>
            <w:tcBorders>
              <w:top w:val="nil"/>
              <w:left w:val="nil"/>
              <w:bottom w:val="single" w:sz="8" w:space="0" w:color="auto"/>
              <w:right w:val="single" w:sz="8" w:space="0" w:color="auto"/>
            </w:tcBorders>
            <w:shd w:val="clear" w:color="auto" w:fill="auto"/>
            <w:vAlign w:val="center"/>
            <w:hideMark/>
          </w:tcPr>
          <w:p w14:paraId="2A1D0793"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2</w:t>
            </w:r>
          </w:p>
        </w:tc>
        <w:tc>
          <w:tcPr>
            <w:tcW w:w="1940" w:type="dxa"/>
            <w:tcBorders>
              <w:top w:val="nil"/>
              <w:left w:val="nil"/>
              <w:bottom w:val="single" w:sz="8" w:space="0" w:color="auto"/>
              <w:right w:val="single" w:sz="8" w:space="0" w:color="auto"/>
            </w:tcBorders>
            <w:shd w:val="clear" w:color="auto" w:fill="auto"/>
            <w:vAlign w:val="center"/>
            <w:hideMark/>
          </w:tcPr>
          <w:p w14:paraId="36B8668C"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Profesional 2</w:t>
            </w:r>
          </w:p>
        </w:tc>
        <w:tc>
          <w:tcPr>
            <w:tcW w:w="1800" w:type="dxa"/>
            <w:tcBorders>
              <w:top w:val="nil"/>
              <w:left w:val="nil"/>
              <w:bottom w:val="single" w:sz="8" w:space="0" w:color="auto"/>
              <w:right w:val="single" w:sz="8" w:space="0" w:color="auto"/>
            </w:tcBorders>
            <w:shd w:val="clear" w:color="auto" w:fill="auto"/>
            <w:vAlign w:val="center"/>
            <w:hideMark/>
          </w:tcPr>
          <w:p w14:paraId="5B42E206"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 </w:t>
            </w: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73 590 000.00</w:t>
            </w:r>
          </w:p>
        </w:tc>
      </w:tr>
      <w:tr w:rsidR="0004556C" w:rsidRPr="0004556C" w14:paraId="04D69A15" w14:textId="77777777" w:rsidTr="0004556C">
        <w:trPr>
          <w:trHeight w:val="790"/>
          <w:jc w:val="center"/>
        </w:trPr>
        <w:tc>
          <w:tcPr>
            <w:tcW w:w="1620" w:type="dxa"/>
            <w:vMerge/>
            <w:tcBorders>
              <w:top w:val="nil"/>
              <w:left w:val="single" w:sz="8" w:space="0" w:color="auto"/>
              <w:bottom w:val="single" w:sz="8" w:space="0" w:color="000000"/>
              <w:right w:val="single" w:sz="8" w:space="0" w:color="auto"/>
            </w:tcBorders>
            <w:vAlign w:val="center"/>
            <w:hideMark/>
          </w:tcPr>
          <w:p w14:paraId="20C9F967"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p>
        </w:tc>
        <w:tc>
          <w:tcPr>
            <w:tcW w:w="940" w:type="dxa"/>
            <w:tcBorders>
              <w:top w:val="nil"/>
              <w:left w:val="nil"/>
              <w:bottom w:val="single" w:sz="8" w:space="0" w:color="auto"/>
              <w:right w:val="single" w:sz="8" w:space="0" w:color="auto"/>
            </w:tcBorders>
            <w:shd w:val="clear" w:color="auto" w:fill="auto"/>
            <w:vAlign w:val="center"/>
            <w:hideMark/>
          </w:tcPr>
          <w:p w14:paraId="7F71AF45"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w:t>
            </w:r>
          </w:p>
        </w:tc>
        <w:tc>
          <w:tcPr>
            <w:tcW w:w="1940" w:type="dxa"/>
            <w:tcBorders>
              <w:top w:val="nil"/>
              <w:left w:val="nil"/>
              <w:bottom w:val="single" w:sz="8" w:space="0" w:color="auto"/>
              <w:right w:val="single" w:sz="8" w:space="0" w:color="auto"/>
            </w:tcBorders>
            <w:shd w:val="clear" w:color="auto" w:fill="auto"/>
            <w:vAlign w:val="center"/>
            <w:hideMark/>
          </w:tcPr>
          <w:p w14:paraId="475DD583"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Coordinador Judicial 2</w:t>
            </w:r>
          </w:p>
        </w:tc>
        <w:tc>
          <w:tcPr>
            <w:tcW w:w="1800" w:type="dxa"/>
            <w:tcBorders>
              <w:top w:val="nil"/>
              <w:left w:val="nil"/>
              <w:bottom w:val="single" w:sz="8" w:space="0" w:color="auto"/>
              <w:right w:val="single" w:sz="8" w:space="0" w:color="auto"/>
            </w:tcBorders>
            <w:shd w:val="clear" w:color="auto" w:fill="auto"/>
            <w:vAlign w:val="center"/>
            <w:hideMark/>
          </w:tcPr>
          <w:p w14:paraId="75D4EEB5"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 </w:t>
            </w: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18 905 000.00</w:t>
            </w:r>
          </w:p>
        </w:tc>
      </w:tr>
      <w:tr w:rsidR="0004556C" w:rsidRPr="0004556C" w14:paraId="2AE7A349" w14:textId="77777777" w:rsidTr="0004556C">
        <w:trPr>
          <w:trHeight w:val="530"/>
          <w:jc w:val="center"/>
        </w:trPr>
        <w:tc>
          <w:tcPr>
            <w:tcW w:w="1620" w:type="dxa"/>
            <w:vMerge/>
            <w:tcBorders>
              <w:top w:val="nil"/>
              <w:left w:val="single" w:sz="8" w:space="0" w:color="auto"/>
              <w:bottom w:val="single" w:sz="8" w:space="0" w:color="000000"/>
              <w:right w:val="single" w:sz="8" w:space="0" w:color="auto"/>
            </w:tcBorders>
            <w:vAlign w:val="center"/>
            <w:hideMark/>
          </w:tcPr>
          <w:p w14:paraId="37E1C2B7"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p>
        </w:tc>
        <w:tc>
          <w:tcPr>
            <w:tcW w:w="940" w:type="dxa"/>
            <w:tcBorders>
              <w:top w:val="nil"/>
              <w:left w:val="nil"/>
              <w:bottom w:val="single" w:sz="8" w:space="0" w:color="auto"/>
              <w:right w:val="single" w:sz="8" w:space="0" w:color="auto"/>
            </w:tcBorders>
            <w:shd w:val="clear" w:color="auto" w:fill="auto"/>
            <w:vAlign w:val="center"/>
            <w:hideMark/>
          </w:tcPr>
          <w:p w14:paraId="6AF7AAF6"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2</w:t>
            </w:r>
          </w:p>
        </w:tc>
        <w:tc>
          <w:tcPr>
            <w:tcW w:w="1940" w:type="dxa"/>
            <w:tcBorders>
              <w:top w:val="nil"/>
              <w:left w:val="nil"/>
              <w:bottom w:val="single" w:sz="8" w:space="0" w:color="auto"/>
              <w:right w:val="single" w:sz="8" w:space="0" w:color="auto"/>
            </w:tcBorders>
            <w:shd w:val="clear" w:color="auto" w:fill="auto"/>
            <w:vAlign w:val="center"/>
            <w:hideMark/>
          </w:tcPr>
          <w:p w14:paraId="3A66A052"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Técnica o Técnico Supernumerarios</w:t>
            </w:r>
          </w:p>
        </w:tc>
        <w:tc>
          <w:tcPr>
            <w:tcW w:w="1800" w:type="dxa"/>
            <w:tcBorders>
              <w:top w:val="nil"/>
              <w:left w:val="nil"/>
              <w:bottom w:val="single" w:sz="8" w:space="0" w:color="auto"/>
              <w:right w:val="single" w:sz="8" w:space="0" w:color="auto"/>
            </w:tcBorders>
            <w:shd w:val="clear" w:color="auto" w:fill="auto"/>
            <w:vAlign w:val="center"/>
            <w:hideMark/>
          </w:tcPr>
          <w:p w14:paraId="0E21347F"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 </w:t>
            </w: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33 352 000.00</w:t>
            </w:r>
          </w:p>
        </w:tc>
      </w:tr>
      <w:tr w:rsidR="0004556C" w:rsidRPr="0004556C" w14:paraId="644AD3C4" w14:textId="77777777" w:rsidTr="0004556C">
        <w:trPr>
          <w:trHeight w:val="530"/>
          <w:jc w:val="center"/>
        </w:trPr>
        <w:tc>
          <w:tcPr>
            <w:tcW w:w="1620" w:type="dxa"/>
            <w:vMerge/>
            <w:tcBorders>
              <w:top w:val="nil"/>
              <w:left w:val="single" w:sz="8" w:space="0" w:color="auto"/>
              <w:bottom w:val="single" w:sz="8" w:space="0" w:color="000000"/>
              <w:right w:val="single" w:sz="8" w:space="0" w:color="auto"/>
            </w:tcBorders>
            <w:vAlign w:val="center"/>
            <w:hideMark/>
          </w:tcPr>
          <w:p w14:paraId="136FF560"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p>
        </w:tc>
        <w:tc>
          <w:tcPr>
            <w:tcW w:w="940" w:type="dxa"/>
            <w:tcBorders>
              <w:top w:val="nil"/>
              <w:left w:val="nil"/>
              <w:bottom w:val="single" w:sz="8" w:space="0" w:color="auto"/>
              <w:right w:val="single" w:sz="8" w:space="0" w:color="auto"/>
            </w:tcBorders>
            <w:shd w:val="clear" w:color="auto" w:fill="auto"/>
            <w:vAlign w:val="center"/>
            <w:hideMark/>
          </w:tcPr>
          <w:p w14:paraId="49250CC9"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12</w:t>
            </w:r>
          </w:p>
        </w:tc>
        <w:tc>
          <w:tcPr>
            <w:tcW w:w="1940" w:type="dxa"/>
            <w:tcBorders>
              <w:top w:val="nil"/>
              <w:left w:val="nil"/>
              <w:bottom w:val="single" w:sz="8" w:space="0" w:color="auto"/>
              <w:right w:val="single" w:sz="8" w:space="0" w:color="auto"/>
            </w:tcBorders>
            <w:shd w:val="clear" w:color="auto" w:fill="auto"/>
            <w:vAlign w:val="center"/>
            <w:hideMark/>
          </w:tcPr>
          <w:p w14:paraId="2D685B9B"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Jueza o Juez Supernumerarios</w:t>
            </w:r>
          </w:p>
        </w:tc>
        <w:tc>
          <w:tcPr>
            <w:tcW w:w="1800" w:type="dxa"/>
            <w:tcBorders>
              <w:top w:val="nil"/>
              <w:left w:val="nil"/>
              <w:bottom w:val="single" w:sz="8" w:space="0" w:color="auto"/>
              <w:right w:val="single" w:sz="8" w:space="0" w:color="auto"/>
            </w:tcBorders>
            <w:shd w:val="clear" w:color="auto" w:fill="auto"/>
            <w:vAlign w:val="center"/>
            <w:hideMark/>
          </w:tcPr>
          <w:p w14:paraId="178F01F5"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 </w:t>
            </w: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658 356 000.00</w:t>
            </w:r>
          </w:p>
        </w:tc>
      </w:tr>
      <w:tr w:rsidR="0004556C" w:rsidRPr="0004556C" w14:paraId="5331D289" w14:textId="77777777" w:rsidTr="0004556C">
        <w:trPr>
          <w:trHeight w:val="530"/>
          <w:jc w:val="center"/>
        </w:trPr>
        <w:tc>
          <w:tcPr>
            <w:tcW w:w="1620" w:type="dxa"/>
            <w:vMerge/>
            <w:tcBorders>
              <w:top w:val="nil"/>
              <w:left w:val="single" w:sz="8" w:space="0" w:color="auto"/>
              <w:bottom w:val="single" w:sz="8" w:space="0" w:color="000000"/>
              <w:right w:val="single" w:sz="8" w:space="0" w:color="auto"/>
            </w:tcBorders>
            <w:vAlign w:val="center"/>
            <w:hideMark/>
          </w:tcPr>
          <w:p w14:paraId="25AAF626"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p>
        </w:tc>
        <w:tc>
          <w:tcPr>
            <w:tcW w:w="940" w:type="dxa"/>
            <w:tcBorders>
              <w:top w:val="nil"/>
              <w:left w:val="nil"/>
              <w:bottom w:val="single" w:sz="8" w:space="0" w:color="auto"/>
              <w:right w:val="single" w:sz="8" w:space="0" w:color="auto"/>
            </w:tcBorders>
            <w:shd w:val="clear" w:color="auto" w:fill="auto"/>
            <w:vAlign w:val="center"/>
            <w:hideMark/>
          </w:tcPr>
          <w:p w14:paraId="2AB1D185"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8</w:t>
            </w:r>
          </w:p>
        </w:tc>
        <w:tc>
          <w:tcPr>
            <w:tcW w:w="1940" w:type="dxa"/>
            <w:tcBorders>
              <w:top w:val="nil"/>
              <w:left w:val="nil"/>
              <w:bottom w:val="single" w:sz="8" w:space="0" w:color="auto"/>
              <w:right w:val="single" w:sz="8" w:space="0" w:color="auto"/>
            </w:tcBorders>
            <w:shd w:val="clear" w:color="auto" w:fill="auto"/>
            <w:vAlign w:val="center"/>
            <w:hideMark/>
          </w:tcPr>
          <w:p w14:paraId="02BF9A43"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Jueza o Juez 3</w:t>
            </w:r>
          </w:p>
        </w:tc>
        <w:tc>
          <w:tcPr>
            <w:tcW w:w="1800" w:type="dxa"/>
            <w:tcBorders>
              <w:top w:val="nil"/>
              <w:left w:val="nil"/>
              <w:bottom w:val="single" w:sz="8" w:space="0" w:color="auto"/>
              <w:right w:val="single" w:sz="8" w:space="0" w:color="auto"/>
            </w:tcBorders>
            <w:shd w:val="clear" w:color="auto" w:fill="auto"/>
            <w:vAlign w:val="center"/>
            <w:hideMark/>
          </w:tcPr>
          <w:p w14:paraId="0B8D9FA2"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 </w:t>
            </w: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457 176 000.00</w:t>
            </w:r>
          </w:p>
        </w:tc>
      </w:tr>
      <w:tr w:rsidR="0004556C" w:rsidRPr="0004556C" w14:paraId="16676F95" w14:textId="77777777" w:rsidTr="0004556C">
        <w:trPr>
          <w:trHeight w:val="790"/>
          <w:jc w:val="center"/>
        </w:trPr>
        <w:tc>
          <w:tcPr>
            <w:tcW w:w="1620" w:type="dxa"/>
            <w:vMerge/>
            <w:tcBorders>
              <w:top w:val="nil"/>
              <w:left w:val="single" w:sz="8" w:space="0" w:color="auto"/>
              <w:bottom w:val="single" w:sz="8" w:space="0" w:color="000000"/>
              <w:right w:val="single" w:sz="8" w:space="0" w:color="auto"/>
            </w:tcBorders>
            <w:vAlign w:val="center"/>
            <w:hideMark/>
          </w:tcPr>
          <w:p w14:paraId="3966A395"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p>
        </w:tc>
        <w:tc>
          <w:tcPr>
            <w:tcW w:w="940" w:type="dxa"/>
            <w:tcBorders>
              <w:top w:val="nil"/>
              <w:left w:val="nil"/>
              <w:bottom w:val="single" w:sz="8" w:space="0" w:color="auto"/>
              <w:right w:val="single" w:sz="8" w:space="0" w:color="auto"/>
            </w:tcBorders>
            <w:shd w:val="clear" w:color="auto" w:fill="auto"/>
            <w:vAlign w:val="center"/>
            <w:hideMark/>
          </w:tcPr>
          <w:p w14:paraId="319E632C"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4</w:t>
            </w:r>
          </w:p>
        </w:tc>
        <w:tc>
          <w:tcPr>
            <w:tcW w:w="1940" w:type="dxa"/>
            <w:tcBorders>
              <w:top w:val="nil"/>
              <w:left w:val="nil"/>
              <w:bottom w:val="single" w:sz="8" w:space="0" w:color="auto"/>
              <w:right w:val="single" w:sz="8" w:space="0" w:color="auto"/>
            </w:tcBorders>
            <w:shd w:val="clear" w:color="auto" w:fill="auto"/>
            <w:vAlign w:val="center"/>
            <w:hideMark/>
          </w:tcPr>
          <w:p w14:paraId="244F52DF"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Técnica o Técnico Judicial 2</w:t>
            </w:r>
          </w:p>
        </w:tc>
        <w:tc>
          <w:tcPr>
            <w:tcW w:w="1800" w:type="dxa"/>
            <w:tcBorders>
              <w:top w:val="nil"/>
              <w:left w:val="nil"/>
              <w:bottom w:val="single" w:sz="8" w:space="0" w:color="auto"/>
              <w:right w:val="single" w:sz="8" w:space="0" w:color="auto"/>
            </w:tcBorders>
            <w:shd w:val="clear" w:color="auto" w:fill="auto"/>
            <w:vAlign w:val="center"/>
            <w:hideMark/>
          </w:tcPr>
          <w:p w14:paraId="122AFE38"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 </w:t>
            </w: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63 780 000.00</w:t>
            </w:r>
          </w:p>
        </w:tc>
      </w:tr>
      <w:tr w:rsidR="0004556C" w:rsidRPr="0004556C" w14:paraId="215ED91E" w14:textId="77777777" w:rsidTr="0004556C">
        <w:trPr>
          <w:trHeight w:val="300"/>
          <w:jc w:val="center"/>
        </w:trPr>
        <w:tc>
          <w:tcPr>
            <w:tcW w:w="1620" w:type="dxa"/>
            <w:vMerge/>
            <w:tcBorders>
              <w:top w:val="nil"/>
              <w:left w:val="single" w:sz="8" w:space="0" w:color="auto"/>
              <w:bottom w:val="single" w:sz="8" w:space="0" w:color="000000"/>
              <w:right w:val="single" w:sz="8" w:space="0" w:color="auto"/>
            </w:tcBorders>
            <w:vAlign w:val="center"/>
            <w:hideMark/>
          </w:tcPr>
          <w:p w14:paraId="19305450"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p>
        </w:tc>
        <w:tc>
          <w:tcPr>
            <w:tcW w:w="940" w:type="dxa"/>
            <w:tcBorders>
              <w:top w:val="nil"/>
              <w:left w:val="nil"/>
              <w:bottom w:val="single" w:sz="8" w:space="0" w:color="auto"/>
              <w:right w:val="single" w:sz="8" w:space="0" w:color="auto"/>
            </w:tcBorders>
            <w:shd w:val="clear" w:color="auto" w:fill="auto"/>
            <w:vAlign w:val="center"/>
            <w:hideMark/>
          </w:tcPr>
          <w:p w14:paraId="6E1F48D7"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3</w:t>
            </w:r>
          </w:p>
        </w:tc>
        <w:tc>
          <w:tcPr>
            <w:tcW w:w="1940" w:type="dxa"/>
            <w:tcBorders>
              <w:top w:val="nil"/>
              <w:left w:val="nil"/>
              <w:bottom w:val="single" w:sz="8" w:space="0" w:color="auto"/>
              <w:right w:val="single" w:sz="8" w:space="0" w:color="auto"/>
            </w:tcBorders>
            <w:shd w:val="clear" w:color="auto" w:fill="auto"/>
            <w:vAlign w:val="center"/>
            <w:hideMark/>
          </w:tcPr>
          <w:p w14:paraId="413A60C2"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Jueza o Juez 4</w:t>
            </w:r>
          </w:p>
        </w:tc>
        <w:tc>
          <w:tcPr>
            <w:tcW w:w="1800" w:type="dxa"/>
            <w:tcBorders>
              <w:top w:val="nil"/>
              <w:left w:val="nil"/>
              <w:bottom w:val="single" w:sz="8" w:space="0" w:color="auto"/>
              <w:right w:val="single" w:sz="8" w:space="0" w:color="auto"/>
            </w:tcBorders>
            <w:shd w:val="clear" w:color="auto" w:fill="auto"/>
            <w:vAlign w:val="center"/>
            <w:hideMark/>
          </w:tcPr>
          <w:p w14:paraId="779EC7AB"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 xml:space="preserve"> </w:t>
            </w: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46 283 250.00</w:t>
            </w:r>
          </w:p>
        </w:tc>
      </w:tr>
      <w:tr w:rsidR="0004556C" w:rsidRPr="0004556C" w14:paraId="43654294" w14:textId="77777777" w:rsidTr="0004556C">
        <w:trPr>
          <w:trHeight w:val="300"/>
          <w:jc w:val="center"/>
        </w:trPr>
        <w:tc>
          <w:tcPr>
            <w:tcW w:w="1620" w:type="dxa"/>
            <w:vMerge w:val="restart"/>
            <w:tcBorders>
              <w:top w:val="nil"/>
              <w:left w:val="single" w:sz="8" w:space="0" w:color="auto"/>
              <w:bottom w:val="single" w:sz="8" w:space="0" w:color="000000"/>
              <w:right w:val="single" w:sz="8" w:space="0" w:color="auto"/>
            </w:tcBorders>
            <w:shd w:val="clear" w:color="auto" w:fill="auto"/>
            <w:vAlign w:val="center"/>
            <w:hideMark/>
          </w:tcPr>
          <w:p w14:paraId="4EBC2040"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Estructuras Modelo de Tramitación Violencia Doméstica</w:t>
            </w:r>
          </w:p>
        </w:tc>
        <w:tc>
          <w:tcPr>
            <w:tcW w:w="940" w:type="dxa"/>
            <w:tcBorders>
              <w:top w:val="nil"/>
              <w:left w:val="nil"/>
              <w:bottom w:val="single" w:sz="8" w:space="0" w:color="auto"/>
              <w:right w:val="single" w:sz="8" w:space="0" w:color="auto"/>
            </w:tcBorders>
            <w:shd w:val="clear" w:color="auto" w:fill="auto"/>
            <w:vAlign w:val="center"/>
            <w:hideMark/>
          </w:tcPr>
          <w:p w14:paraId="222E149D"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2</w:t>
            </w:r>
          </w:p>
        </w:tc>
        <w:tc>
          <w:tcPr>
            <w:tcW w:w="1940" w:type="dxa"/>
            <w:tcBorders>
              <w:top w:val="nil"/>
              <w:left w:val="nil"/>
              <w:bottom w:val="single" w:sz="8" w:space="0" w:color="auto"/>
              <w:right w:val="single" w:sz="8" w:space="0" w:color="auto"/>
            </w:tcBorders>
            <w:shd w:val="clear" w:color="auto" w:fill="auto"/>
            <w:vAlign w:val="center"/>
            <w:hideMark/>
          </w:tcPr>
          <w:p w14:paraId="5CD98AF3"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Jueza o Juez 3</w:t>
            </w:r>
          </w:p>
        </w:tc>
        <w:tc>
          <w:tcPr>
            <w:tcW w:w="1800" w:type="dxa"/>
            <w:tcBorders>
              <w:top w:val="nil"/>
              <w:left w:val="nil"/>
              <w:bottom w:val="single" w:sz="8" w:space="0" w:color="auto"/>
              <w:right w:val="single" w:sz="8" w:space="0" w:color="auto"/>
            </w:tcBorders>
            <w:shd w:val="clear" w:color="auto" w:fill="auto"/>
            <w:vAlign w:val="center"/>
            <w:hideMark/>
          </w:tcPr>
          <w:p w14:paraId="20B463CC"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114 294 000.00</w:t>
            </w:r>
          </w:p>
        </w:tc>
      </w:tr>
      <w:tr w:rsidR="0004556C" w:rsidRPr="0004556C" w14:paraId="7E7C1C62" w14:textId="77777777" w:rsidTr="0004556C">
        <w:trPr>
          <w:trHeight w:val="1040"/>
          <w:jc w:val="center"/>
        </w:trPr>
        <w:tc>
          <w:tcPr>
            <w:tcW w:w="1620" w:type="dxa"/>
            <w:vMerge/>
            <w:tcBorders>
              <w:top w:val="nil"/>
              <w:left w:val="single" w:sz="8" w:space="0" w:color="auto"/>
              <w:bottom w:val="single" w:sz="8" w:space="0" w:color="000000"/>
              <w:right w:val="single" w:sz="8" w:space="0" w:color="auto"/>
            </w:tcBorders>
            <w:vAlign w:val="center"/>
            <w:hideMark/>
          </w:tcPr>
          <w:p w14:paraId="1EB80DD2" w14:textId="77777777" w:rsidR="0004556C" w:rsidRPr="0004556C" w:rsidRDefault="0004556C" w:rsidP="0004556C">
            <w:pPr>
              <w:spacing w:after="0" w:line="240" w:lineRule="auto"/>
              <w:rPr>
                <w:rFonts w:ascii="Book Antiqua" w:eastAsia="Times New Roman" w:hAnsi="Book Antiqua" w:cs="Calibri"/>
                <w:color w:val="000000"/>
                <w:sz w:val="20"/>
                <w:szCs w:val="20"/>
                <w:lang w:eastAsia="es-CR"/>
              </w:rPr>
            </w:pPr>
          </w:p>
        </w:tc>
        <w:tc>
          <w:tcPr>
            <w:tcW w:w="940" w:type="dxa"/>
            <w:tcBorders>
              <w:top w:val="nil"/>
              <w:left w:val="nil"/>
              <w:bottom w:val="single" w:sz="8" w:space="0" w:color="auto"/>
              <w:right w:val="single" w:sz="8" w:space="0" w:color="auto"/>
            </w:tcBorders>
            <w:shd w:val="clear" w:color="auto" w:fill="auto"/>
            <w:vAlign w:val="center"/>
            <w:hideMark/>
          </w:tcPr>
          <w:p w14:paraId="15F6F3E7"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17</w:t>
            </w:r>
          </w:p>
        </w:tc>
        <w:tc>
          <w:tcPr>
            <w:tcW w:w="1940" w:type="dxa"/>
            <w:tcBorders>
              <w:top w:val="nil"/>
              <w:left w:val="nil"/>
              <w:bottom w:val="single" w:sz="8" w:space="0" w:color="auto"/>
              <w:right w:val="single" w:sz="8" w:space="0" w:color="auto"/>
            </w:tcBorders>
            <w:shd w:val="clear" w:color="auto" w:fill="auto"/>
            <w:vAlign w:val="center"/>
            <w:hideMark/>
          </w:tcPr>
          <w:p w14:paraId="3DF7AAC0"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Book Antiqua" w:eastAsia="Times New Roman" w:hAnsi="Book Antiqua" w:cs="Calibri"/>
                <w:color w:val="000000"/>
                <w:sz w:val="20"/>
                <w:szCs w:val="20"/>
                <w:lang w:eastAsia="es-CR"/>
              </w:rPr>
              <w:t>Técnica o Técnico Judicial 2*</w:t>
            </w:r>
          </w:p>
        </w:tc>
        <w:tc>
          <w:tcPr>
            <w:tcW w:w="1800" w:type="dxa"/>
            <w:tcBorders>
              <w:top w:val="nil"/>
              <w:left w:val="nil"/>
              <w:bottom w:val="single" w:sz="8" w:space="0" w:color="auto"/>
              <w:right w:val="single" w:sz="8" w:space="0" w:color="auto"/>
            </w:tcBorders>
            <w:shd w:val="clear" w:color="auto" w:fill="auto"/>
            <w:vAlign w:val="center"/>
            <w:hideMark/>
          </w:tcPr>
          <w:p w14:paraId="615E6CAD" w14:textId="77777777" w:rsidR="0004556C" w:rsidRPr="0004556C" w:rsidRDefault="0004556C" w:rsidP="0004556C">
            <w:pPr>
              <w:spacing w:after="0" w:line="240" w:lineRule="auto"/>
              <w:jc w:val="center"/>
              <w:rPr>
                <w:rFonts w:ascii="Book Antiqua" w:eastAsia="Times New Roman" w:hAnsi="Book Antiqua" w:cs="Calibri"/>
                <w:color w:val="000000"/>
                <w:sz w:val="20"/>
                <w:szCs w:val="20"/>
                <w:lang w:eastAsia="es-CR"/>
              </w:rPr>
            </w:pPr>
            <w:r w:rsidRPr="0004556C">
              <w:rPr>
                <w:rFonts w:ascii="Times New Roman" w:eastAsia="Times New Roman" w:hAnsi="Times New Roman" w:cs="Times New Roman"/>
                <w:color w:val="000000"/>
                <w:sz w:val="20"/>
                <w:szCs w:val="20"/>
                <w:lang w:eastAsia="es-CR"/>
              </w:rPr>
              <w:t>₡</w:t>
            </w:r>
            <w:r w:rsidRPr="0004556C">
              <w:rPr>
                <w:rFonts w:ascii="Book Antiqua" w:eastAsia="Times New Roman" w:hAnsi="Book Antiqua" w:cs="Calibri"/>
                <w:color w:val="000000"/>
                <w:sz w:val="20"/>
                <w:szCs w:val="20"/>
                <w:lang w:eastAsia="es-CR"/>
              </w:rPr>
              <w:t xml:space="preserve"> 271 065 000.00</w:t>
            </w:r>
          </w:p>
        </w:tc>
      </w:tr>
      <w:tr w:rsidR="0004556C" w:rsidRPr="0004556C" w14:paraId="7E5A10F1" w14:textId="77777777" w:rsidTr="0004556C">
        <w:trPr>
          <w:trHeight w:val="300"/>
          <w:jc w:val="center"/>
        </w:trPr>
        <w:tc>
          <w:tcPr>
            <w:tcW w:w="1620" w:type="dxa"/>
            <w:tcBorders>
              <w:top w:val="nil"/>
              <w:left w:val="single" w:sz="8" w:space="0" w:color="auto"/>
              <w:bottom w:val="single" w:sz="8" w:space="0" w:color="auto"/>
              <w:right w:val="single" w:sz="8" w:space="0" w:color="auto"/>
            </w:tcBorders>
            <w:shd w:val="clear" w:color="auto" w:fill="auto"/>
            <w:vAlign w:val="center"/>
            <w:hideMark/>
          </w:tcPr>
          <w:p w14:paraId="7A59DF3F"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Total</w:t>
            </w:r>
          </w:p>
        </w:tc>
        <w:tc>
          <w:tcPr>
            <w:tcW w:w="940" w:type="dxa"/>
            <w:tcBorders>
              <w:top w:val="nil"/>
              <w:left w:val="nil"/>
              <w:bottom w:val="single" w:sz="8" w:space="0" w:color="auto"/>
              <w:right w:val="single" w:sz="8" w:space="0" w:color="auto"/>
            </w:tcBorders>
            <w:shd w:val="clear" w:color="auto" w:fill="auto"/>
            <w:noWrap/>
            <w:vAlign w:val="center"/>
            <w:hideMark/>
          </w:tcPr>
          <w:p w14:paraId="64D679A2"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71</w:t>
            </w:r>
          </w:p>
        </w:tc>
        <w:tc>
          <w:tcPr>
            <w:tcW w:w="1940" w:type="dxa"/>
            <w:tcBorders>
              <w:top w:val="nil"/>
              <w:left w:val="nil"/>
              <w:bottom w:val="single" w:sz="8" w:space="0" w:color="auto"/>
              <w:right w:val="nil"/>
            </w:tcBorders>
            <w:shd w:val="clear" w:color="auto" w:fill="auto"/>
            <w:noWrap/>
            <w:vAlign w:val="center"/>
            <w:hideMark/>
          </w:tcPr>
          <w:p w14:paraId="13051E89"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Book Antiqua" w:eastAsia="Times New Roman" w:hAnsi="Book Antiqua" w:cs="Calibri"/>
                <w:b/>
                <w:bCs/>
                <w:color w:val="000000"/>
                <w:sz w:val="20"/>
                <w:szCs w:val="20"/>
                <w:lang w:eastAsia="es-CR"/>
              </w:rPr>
              <w:t> </w:t>
            </w:r>
          </w:p>
        </w:tc>
        <w:tc>
          <w:tcPr>
            <w:tcW w:w="1800" w:type="dxa"/>
            <w:tcBorders>
              <w:top w:val="nil"/>
              <w:left w:val="nil"/>
              <w:bottom w:val="single" w:sz="8" w:space="0" w:color="auto"/>
              <w:right w:val="single" w:sz="8" w:space="0" w:color="auto"/>
            </w:tcBorders>
            <w:shd w:val="clear" w:color="auto" w:fill="auto"/>
            <w:vAlign w:val="center"/>
            <w:hideMark/>
          </w:tcPr>
          <w:p w14:paraId="467129B6" w14:textId="77777777" w:rsidR="0004556C" w:rsidRPr="0004556C" w:rsidRDefault="0004556C" w:rsidP="0004556C">
            <w:pPr>
              <w:spacing w:after="0" w:line="240" w:lineRule="auto"/>
              <w:jc w:val="center"/>
              <w:rPr>
                <w:rFonts w:ascii="Book Antiqua" w:eastAsia="Times New Roman" w:hAnsi="Book Antiqua" w:cs="Calibri"/>
                <w:b/>
                <w:bCs/>
                <w:color w:val="000000"/>
                <w:sz w:val="20"/>
                <w:szCs w:val="20"/>
                <w:lang w:eastAsia="es-CR"/>
              </w:rPr>
            </w:pPr>
            <w:r w:rsidRPr="0004556C">
              <w:rPr>
                <w:rFonts w:ascii="Times New Roman" w:eastAsia="Times New Roman" w:hAnsi="Times New Roman" w:cs="Times New Roman"/>
                <w:b/>
                <w:bCs/>
                <w:color w:val="000000"/>
                <w:sz w:val="20"/>
                <w:szCs w:val="20"/>
                <w:lang w:eastAsia="es-CR"/>
              </w:rPr>
              <w:t>₡</w:t>
            </w:r>
            <w:r w:rsidRPr="0004556C">
              <w:rPr>
                <w:rFonts w:ascii="Book Antiqua" w:eastAsia="Times New Roman" w:hAnsi="Book Antiqua" w:cs="Calibri"/>
                <w:b/>
                <w:bCs/>
                <w:color w:val="000000"/>
                <w:sz w:val="20"/>
                <w:szCs w:val="20"/>
                <w:lang w:eastAsia="es-CR"/>
              </w:rPr>
              <w:t>1 788 700 250,00</w:t>
            </w:r>
          </w:p>
        </w:tc>
      </w:tr>
    </w:tbl>
    <w:p w14:paraId="25ACC3BA" w14:textId="77777777" w:rsidR="00F6075D" w:rsidRDefault="00F6075D" w:rsidP="008C20AB">
      <w:pPr>
        <w:spacing w:after="0" w:line="276" w:lineRule="auto"/>
        <w:jc w:val="both"/>
        <w:rPr>
          <w:rFonts w:ascii="Book Antiqua" w:eastAsia="Calibri" w:hAnsi="Book Antiqua" w:cs="Arial"/>
          <w:sz w:val="24"/>
          <w:szCs w:val="24"/>
        </w:rPr>
      </w:pPr>
    </w:p>
    <w:p w14:paraId="23AF3BC3" w14:textId="77777777" w:rsidR="00F7216D" w:rsidRPr="00E01CE3" w:rsidRDefault="00F7216D" w:rsidP="008C20AB">
      <w:pPr>
        <w:spacing w:after="0" w:line="276" w:lineRule="auto"/>
        <w:jc w:val="both"/>
        <w:rPr>
          <w:rFonts w:ascii="Book Antiqua" w:eastAsia="Calibri" w:hAnsi="Book Antiqua" w:cs="Arial"/>
          <w:sz w:val="24"/>
          <w:szCs w:val="24"/>
        </w:rPr>
      </w:pPr>
    </w:p>
    <w:p w14:paraId="32375F1E" w14:textId="7468481A" w:rsidR="008C20AB" w:rsidRPr="006F6088"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Aprobar la inclusión también del presupuesto requerido p</w:t>
      </w:r>
      <w:r w:rsidR="00E929EF">
        <w:rPr>
          <w:rFonts w:ascii="Book Antiqua" w:eastAsia="Calibri" w:hAnsi="Book Antiqua" w:cs="Arial"/>
          <w:sz w:val="24"/>
          <w:szCs w:val="24"/>
        </w:rPr>
        <w:t>ara</w:t>
      </w:r>
      <w:r w:rsidRPr="00E01CE3">
        <w:rPr>
          <w:rFonts w:ascii="Book Antiqua" w:eastAsia="Calibri" w:hAnsi="Book Antiqua" w:cs="Arial"/>
          <w:sz w:val="24"/>
          <w:szCs w:val="24"/>
        </w:rPr>
        <w:t xml:space="preserve"> la Dirección de Tecnología de Información </w:t>
      </w:r>
      <w:r w:rsidR="00E929EF">
        <w:rPr>
          <w:rFonts w:ascii="Book Antiqua" w:eastAsia="Calibri" w:hAnsi="Book Antiqua" w:cs="Arial"/>
          <w:sz w:val="24"/>
          <w:szCs w:val="24"/>
        </w:rPr>
        <w:t xml:space="preserve">y Comunicaciones </w:t>
      </w:r>
      <w:r w:rsidRPr="00E01CE3">
        <w:rPr>
          <w:rFonts w:ascii="Book Antiqua" w:eastAsia="Calibri" w:hAnsi="Book Antiqua" w:cs="Arial"/>
          <w:sz w:val="24"/>
          <w:szCs w:val="24"/>
        </w:rPr>
        <w:t xml:space="preserve">para la adquisición </w:t>
      </w:r>
      <w:r w:rsidR="00E929EF">
        <w:rPr>
          <w:rFonts w:ascii="Book Antiqua" w:eastAsia="Calibri" w:hAnsi="Book Antiqua" w:cs="Arial"/>
          <w:sz w:val="24"/>
          <w:szCs w:val="24"/>
        </w:rPr>
        <w:t xml:space="preserve">de </w:t>
      </w:r>
      <w:r w:rsidRPr="00E01CE3">
        <w:rPr>
          <w:rFonts w:ascii="Book Antiqua" w:eastAsia="Calibri" w:hAnsi="Book Antiqua" w:cs="Arial"/>
          <w:sz w:val="24"/>
          <w:szCs w:val="24"/>
        </w:rPr>
        <w:t xml:space="preserve">equipo de cómputo de las plazas nuevas, licencias y diseño sitio web de la Comisión de Familia asciende </w:t>
      </w:r>
      <w:r w:rsidRPr="00D61486">
        <w:rPr>
          <w:rFonts w:ascii="Book Antiqua" w:eastAsia="Calibri" w:hAnsi="Book Antiqua" w:cs="Arial"/>
          <w:sz w:val="24"/>
          <w:szCs w:val="24"/>
        </w:rPr>
        <w:t xml:space="preserve">a </w:t>
      </w:r>
      <w:r w:rsidRPr="00D61486">
        <w:rPr>
          <w:rFonts w:ascii="Times New Roman" w:eastAsia="Calibri" w:hAnsi="Times New Roman" w:cs="Times New Roman"/>
          <w:sz w:val="24"/>
          <w:szCs w:val="24"/>
        </w:rPr>
        <w:t>₡</w:t>
      </w:r>
      <w:r w:rsidR="007E65B0">
        <w:rPr>
          <w:rFonts w:ascii="Book Antiqua" w:eastAsia="Calibri" w:hAnsi="Book Antiqua" w:cs="Arial"/>
          <w:sz w:val="24"/>
          <w:szCs w:val="24"/>
        </w:rPr>
        <w:t>116</w:t>
      </w:r>
      <w:r w:rsidR="00E929EF">
        <w:rPr>
          <w:rFonts w:ascii="Book Antiqua" w:eastAsia="Calibri" w:hAnsi="Book Antiqua" w:cs="Arial"/>
          <w:sz w:val="24"/>
          <w:szCs w:val="24"/>
        </w:rPr>
        <w:t>,</w:t>
      </w:r>
      <w:r w:rsidR="002E5C9A">
        <w:rPr>
          <w:rFonts w:ascii="Book Antiqua" w:eastAsia="Calibri" w:hAnsi="Book Antiqua" w:cs="Arial"/>
          <w:sz w:val="24"/>
          <w:szCs w:val="24"/>
        </w:rPr>
        <w:t>931</w:t>
      </w:r>
      <w:r w:rsidR="00E929EF">
        <w:rPr>
          <w:rFonts w:ascii="Book Antiqua" w:eastAsia="Calibri" w:hAnsi="Book Antiqua" w:cs="Arial"/>
          <w:sz w:val="24"/>
          <w:szCs w:val="24"/>
        </w:rPr>
        <w:t>,</w:t>
      </w:r>
      <w:r w:rsidR="002E5C9A">
        <w:rPr>
          <w:rFonts w:ascii="Book Antiqua" w:eastAsia="Calibri" w:hAnsi="Book Antiqua" w:cs="Arial"/>
          <w:sz w:val="24"/>
          <w:szCs w:val="24"/>
        </w:rPr>
        <w:t>112</w:t>
      </w:r>
      <w:r w:rsidR="00D61486" w:rsidRPr="00203226">
        <w:rPr>
          <w:rFonts w:ascii="Book Antiqua" w:eastAsia="Calibri" w:hAnsi="Book Antiqua" w:cs="Arial"/>
          <w:sz w:val="24"/>
          <w:szCs w:val="24"/>
        </w:rPr>
        <w:t>,</w:t>
      </w:r>
      <w:r w:rsidR="002E5C9A">
        <w:rPr>
          <w:rFonts w:ascii="Book Antiqua" w:eastAsia="Calibri" w:hAnsi="Book Antiqua" w:cs="Arial"/>
          <w:sz w:val="24"/>
          <w:szCs w:val="24"/>
        </w:rPr>
        <w:t>56</w:t>
      </w:r>
      <w:r w:rsidR="00D61486">
        <w:rPr>
          <w:rFonts w:ascii="Book Antiqua" w:eastAsia="Calibri" w:hAnsi="Book Antiqua" w:cs="Arial"/>
          <w:sz w:val="24"/>
          <w:szCs w:val="24"/>
        </w:rPr>
        <w:t>.</w:t>
      </w:r>
    </w:p>
    <w:p w14:paraId="1148DA51" w14:textId="77777777" w:rsidR="008C20AB" w:rsidRPr="006F6088" w:rsidRDefault="008C20AB" w:rsidP="008C20AB">
      <w:pPr>
        <w:spacing w:after="0" w:line="276" w:lineRule="auto"/>
        <w:jc w:val="both"/>
        <w:rPr>
          <w:rFonts w:ascii="Book Antiqua" w:eastAsia="Calibri" w:hAnsi="Book Antiqua" w:cs="Arial"/>
          <w:sz w:val="24"/>
          <w:szCs w:val="24"/>
        </w:rPr>
      </w:pPr>
    </w:p>
    <w:p w14:paraId="32EC15CA" w14:textId="7F3133C3" w:rsidR="008C20AB" w:rsidRPr="006F6088" w:rsidRDefault="008C20AB" w:rsidP="008C20AB">
      <w:pPr>
        <w:spacing w:after="0" w:line="276" w:lineRule="auto"/>
        <w:jc w:val="both"/>
        <w:rPr>
          <w:rFonts w:ascii="Book Antiqua" w:eastAsia="Calibri" w:hAnsi="Book Antiqua" w:cs="Arial"/>
          <w:sz w:val="24"/>
          <w:szCs w:val="24"/>
        </w:rPr>
      </w:pPr>
      <w:bookmarkStart w:id="97" w:name="_Hlk128694784"/>
      <w:r>
        <w:rPr>
          <w:rFonts w:ascii="Book Antiqua" w:eastAsia="Calibri" w:hAnsi="Book Antiqua" w:cs="Arial"/>
          <w:sz w:val="24"/>
          <w:szCs w:val="24"/>
        </w:rPr>
        <w:t>Y para e</w:t>
      </w:r>
      <w:r w:rsidRPr="006F6088">
        <w:rPr>
          <w:rFonts w:ascii="Book Antiqua" w:eastAsia="Calibri" w:hAnsi="Book Antiqua" w:cs="Arial"/>
          <w:sz w:val="24"/>
          <w:szCs w:val="24"/>
        </w:rPr>
        <w:t xml:space="preserve">l proceso de capacitación, implementación y seguimiento de la aplicación de la nueva ley por parte de la </w:t>
      </w:r>
      <w:r w:rsidRPr="001D0C10">
        <w:rPr>
          <w:rFonts w:ascii="Book Antiqua" w:eastAsia="Calibri" w:hAnsi="Book Antiqua" w:cs="Arial"/>
          <w:sz w:val="24"/>
          <w:szCs w:val="24"/>
        </w:rPr>
        <w:t>Escuela Judicial</w:t>
      </w:r>
      <w:r w:rsidR="00D61486">
        <w:rPr>
          <w:rFonts w:ascii="Book Antiqua" w:eastAsia="Calibri" w:hAnsi="Book Antiqua" w:cs="Arial"/>
          <w:sz w:val="24"/>
          <w:szCs w:val="24"/>
        </w:rPr>
        <w:t>,</w:t>
      </w:r>
      <w:r>
        <w:rPr>
          <w:rFonts w:ascii="Book Antiqua" w:eastAsia="Calibri" w:hAnsi="Book Antiqua" w:cs="Arial"/>
          <w:sz w:val="24"/>
          <w:szCs w:val="24"/>
        </w:rPr>
        <w:t xml:space="preserve"> de viáticos </w:t>
      </w:r>
      <w:r w:rsidR="00D61486">
        <w:rPr>
          <w:rFonts w:ascii="Book Antiqua" w:eastAsia="Calibri" w:hAnsi="Book Antiqua" w:cs="Arial"/>
          <w:sz w:val="24"/>
          <w:szCs w:val="24"/>
        </w:rPr>
        <w:t xml:space="preserve">y otros </w:t>
      </w:r>
      <w:r w:rsidRPr="006F6088">
        <w:rPr>
          <w:rFonts w:ascii="Book Antiqua" w:eastAsia="Calibri" w:hAnsi="Book Antiqua" w:cs="Arial"/>
          <w:sz w:val="24"/>
          <w:szCs w:val="24"/>
        </w:rPr>
        <w:t xml:space="preserve">se estima en </w:t>
      </w:r>
      <w:r w:rsidRPr="00D61486">
        <w:rPr>
          <w:rFonts w:ascii="Times New Roman" w:eastAsia="Calibri" w:hAnsi="Times New Roman" w:cs="Times New Roman"/>
          <w:sz w:val="24"/>
          <w:szCs w:val="24"/>
        </w:rPr>
        <w:t>₡</w:t>
      </w:r>
      <w:r w:rsidR="00D61486" w:rsidRPr="00D61486">
        <w:rPr>
          <w:rFonts w:ascii="Book Antiqua" w:eastAsia="Calibri" w:hAnsi="Book Antiqua" w:cs="Arial"/>
          <w:sz w:val="24"/>
          <w:szCs w:val="24"/>
        </w:rPr>
        <w:t>97</w:t>
      </w:r>
      <w:r w:rsidR="00E929EF">
        <w:rPr>
          <w:rFonts w:ascii="Book Antiqua" w:eastAsia="Calibri" w:hAnsi="Book Antiqua" w:cs="Arial"/>
          <w:sz w:val="24"/>
          <w:szCs w:val="24"/>
        </w:rPr>
        <w:t>,</w:t>
      </w:r>
      <w:r w:rsidR="00D61486" w:rsidRPr="00D61486">
        <w:rPr>
          <w:rFonts w:ascii="Book Antiqua" w:eastAsia="Calibri" w:hAnsi="Book Antiqua" w:cs="Arial"/>
          <w:sz w:val="24"/>
          <w:szCs w:val="24"/>
        </w:rPr>
        <w:t>427</w:t>
      </w:r>
      <w:r w:rsidR="00E929EF">
        <w:rPr>
          <w:rFonts w:ascii="Book Antiqua" w:eastAsia="Calibri" w:hAnsi="Book Antiqua" w:cs="Arial"/>
          <w:sz w:val="24"/>
          <w:szCs w:val="24"/>
        </w:rPr>
        <w:t>,</w:t>
      </w:r>
      <w:r w:rsidR="00D61486" w:rsidRPr="00D61486">
        <w:rPr>
          <w:rFonts w:ascii="Book Antiqua" w:eastAsia="Calibri" w:hAnsi="Book Antiqua" w:cs="Arial"/>
          <w:sz w:val="24"/>
          <w:szCs w:val="24"/>
        </w:rPr>
        <w:t>600</w:t>
      </w:r>
      <w:r w:rsidRPr="00D61486">
        <w:rPr>
          <w:rFonts w:ascii="Book Antiqua" w:eastAsia="Calibri" w:hAnsi="Book Antiqua" w:cs="Arial"/>
          <w:sz w:val="24"/>
          <w:szCs w:val="24"/>
        </w:rPr>
        <w:t>.00</w:t>
      </w:r>
      <w:r w:rsidR="00E929EF">
        <w:rPr>
          <w:rFonts w:ascii="Book Antiqua" w:eastAsia="Calibri" w:hAnsi="Book Antiqua" w:cs="Arial"/>
          <w:sz w:val="24"/>
          <w:szCs w:val="24"/>
        </w:rPr>
        <w:t>,</w:t>
      </w:r>
      <w:r w:rsidRPr="00D61486">
        <w:rPr>
          <w:rFonts w:ascii="Book Antiqua" w:eastAsia="Calibri" w:hAnsi="Book Antiqua" w:cs="Arial"/>
          <w:sz w:val="24"/>
          <w:szCs w:val="24"/>
        </w:rPr>
        <w:t xml:space="preserve"> según el requerimiento y plan de capacitación de la Escuela Judicial e</w:t>
      </w:r>
      <w:r w:rsidRPr="006F6088">
        <w:rPr>
          <w:rFonts w:ascii="Book Antiqua" w:eastAsia="Calibri" w:hAnsi="Book Antiqua" w:cs="Arial"/>
          <w:sz w:val="24"/>
          <w:szCs w:val="24"/>
        </w:rPr>
        <w:t>n modalidad virtual-presencial para 202</w:t>
      </w:r>
      <w:r w:rsidR="003D2135">
        <w:rPr>
          <w:rFonts w:ascii="Book Antiqua" w:eastAsia="Calibri" w:hAnsi="Book Antiqua" w:cs="Arial"/>
          <w:sz w:val="24"/>
          <w:szCs w:val="24"/>
        </w:rPr>
        <w:t>4</w:t>
      </w:r>
      <w:r w:rsidRPr="006F6088">
        <w:rPr>
          <w:rFonts w:ascii="Book Antiqua" w:eastAsia="Calibri" w:hAnsi="Book Antiqua" w:cs="Arial"/>
          <w:sz w:val="24"/>
          <w:szCs w:val="24"/>
        </w:rPr>
        <w:t>.</w:t>
      </w:r>
    </w:p>
    <w:bookmarkEnd w:id="97"/>
    <w:p w14:paraId="260CC159" w14:textId="77777777" w:rsidR="008C20AB" w:rsidRPr="006F6088" w:rsidRDefault="008C20AB" w:rsidP="008C20AB">
      <w:pPr>
        <w:spacing w:after="0" w:line="276" w:lineRule="auto"/>
        <w:jc w:val="both"/>
        <w:rPr>
          <w:rFonts w:ascii="Book Antiqua" w:eastAsia="Calibri" w:hAnsi="Book Antiqua" w:cs="Arial"/>
          <w:sz w:val="24"/>
          <w:szCs w:val="24"/>
        </w:rPr>
      </w:pPr>
    </w:p>
    <w:p w14:paraId="52623A70" w14:textId="0FB0EAFB" w:rsidR="008C20AB"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Aprobar para 202</w:t>
      </w:r>
      <w:r w:rsidR="003D2135">
        <w:rPr>
          <w:rFonts w:ascii="Book Antiqua" w:eastAsia="Calibri" w:hAnsi="Book Antiqua" w:cs="Arial"/>
          <w:sz w:val="24"/>
          <w:szCs w:val="24"/>
        </w:rPr>
        <w:t>4</w:t>
      </w:r>
      <w:r>
        <w:rPr>
          <w:rFonts w:ascii="Book Antiqua" w:eastAsia="Calibri" w:hAnsi="Book Antiqua" w:cs="Arial"/>
          <w:sz w:val="24"/>
          <w:szCs w:val="24"/>
        </w:rPr>
        <w:t>, la incorporación de</w:t>
      </w:r>
      <w:r w:rsidRPr="006F6088">
        <w:rPr>
          <w:rFonts w:ascii="Book Antiqua" w:eastAsia="Calibri" w:hAnsi="Book Antiqua" w:cs="Arial"/>
          <w:sz w:val="24"/>
          <w:szCs w:val="24"/>
        </w:rPr>
        <w:t xml:space="preserve"> </w:t>
      </w:r>
      <w:r w:rsidRPr="006F6088">
        <w:rPr>
          <w:rFonts w:ascii="Times New Roman" w:eastAsia="Calibri" w:hAnsi="Times New Roman" w:cs="Times New Roman"/>
          <w:sz w:val="24"/>
          <w:szCs w:val="24"/>
        </w:rPr>
        <w:t>₡</w:t>
      </w:r>
      <w:r>
        <w:rPr>
          <w:rFonts w:ascii="Book Antiqua" w:eastAsia="Calibri" w:hAnsi="Book Antiqua" w:cs="Arial"/>
          <w:sz w:val="24"/>
          <w:szCs w:val="24"/>
        </w:rPr>
        <w:t>6</w:t>
      </w:r>
      <w:r w:rsidRPr="006F6088">
        <w:rPr>
          <w:rFonts w:ascii="Book Antiqua" w:eastAsia="Calibri" w:hAnsi="Book Antiqua" w:cs="Arial"/>
          <w:sz w:val="24"/>
          <w:szCs w:val="24"/>
        </w:rPr>
        <w:t xml:space="preserve">0,000,000.00 para el pago de peritajes por </w:t>
      </w:r>
      <w:r w:rsidRPr="00E01CE3">
        <w:rPr>
          <w:rFonts w:ascii="Book Antiqua" w:eastAsia="Calibri" w:hAnsi="Book Antiqua" w:cs="Arial"/>
          <w:sz w:val="24"/>
          <w:szCs w:val="24"/>
        </w:rPr>
        <w:t xml:space="preserve">parte del Departamento de Trabajo Social y Psicología que corresponden 30 millones para la materia de Familia y 30 millones para Violencia Doméstica. </w:t>
      </w:r>
    </w:p>
    <w:p w14:paraId="2C012815" w14:textId="77777777" w:rsidR="00D826A8" w:rsidRDefault="00D826A8" w:rsidP="008C20AB">
      <w:pPr>
        <w:spacing w:after="0" w:line="276" w:lineRule="auto"/>
        <w:jc w:val="both"/>
        <w:rPr>
          <w:rFonts w:ascii="Book Antiqua" w:eastAsia="Calibri" w:hAnsi="Book Antiqua" w:cs="Arial"/>
          <w:sz w:val="24"/>
          <w:szCs w:val="24"/>
        </w:rPr>
      </w:pPr>
    </w:p>
    <w:p w14:paraId="0C77C774" w14:textId="641D03CC" w:rsidR="00D826A8" w:rsidRPr="00E01CE3" w:rsidRDefault="00D826A8"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Aprobar el presupuesto requerido por la Dirección Ejecutiva para la </w:t>
      </w:r>
      <w:r w:rsidR="00B3333C">
        <w:rPr>
          <w:rFonts w:ascii="Book Antiqua" w:eastAsia="Calibri" w:hAnsi="Book Antiqua" w:cs="Arial"/>
          <w:sz w:val="24"/>
          <w:szCs w:val="24"/>
        </w:rPr>
        <w:t>adquisición</w:t>
      </w:r>
      <w:r>
        <w:rPr>
          <w:rFonts w:ascii="Book Antiqua" w:eastAsia="Calibri" w:hAnsi="Book Antiqua" w:cs="Arial"/>
          <w:sz w:val="24"/>
          <w:szCs w:val="24"/>
        </w:rPr>
        <w:t xml:space="preserve"> d</w:t>
      </w:r>
      <w:r w:rsidR="00B3333C">
        <w:rPr>
          <w:rFonts w:ascii="Book Antiqua" w:eastAsia="Calibri" w:hAnsi="Book Antiqua" w:cs="Arial"/>
          <w:sz w:val="24"/>
          <w:szCs w:val="24"/>
        </w:rPr>
        <w:t>e equipo de comunicación, mobiliarios, productos de papel, entre otros</w:t>
      </w:r>
      <w:r w:rsidR="0051658E">
        <w:rPr>
          <w:rFonts w:ascii="Book Antiqua" w:eastAsia="Calibri" w:hAnsi="Book Antiqua" w:cs="Arial"/>
          <w:sz w:val="24"/>
          <w:szCs w:val="24"/>
        </w:rPr>
        <w:t xml:space="preserve">, que asciende a </w:t>
      </w:r>
      <w:r w:rsidR="0051658E" w:rsidRPr="0051658E">
        <w:rPr>
          <w:rFonts w:ascii="Times New Roman" w:eastAsia="Calibri" w:hAnsi="Times New Roman" w:cs="Times New Roman"/>
          <w:sz w:val="24"/>
          <w:szCs w:val="24"/>
        </w:rPr>
        <w:t>₡</w:t>
      </w:r>
      <w:r w:rsidR="0051658E" w:rsidRPr="0051658E">
        <w:rPr>
          <w:rFonts w:ascii="Book Antiqua" w:eastAsia="Calibri" w:hAnsi="Book Antiqua" w:cs="Arial"/>
          <w:sz w:val="24"/>
          <w:szCs w:val="24"/>
        </w:rPr>
        <w:t>6</w:t>
      </w:r>
      <w:r w:rsidR="009214B4">
        <w:rPr>
          <w:rFonts w:ascii="Book Antiqua" w:eastAsia="Calibri" w:hAnsi="Book Antiqua" w:cs="Arial"/>
          <w:sz w:val="24"/>
          <w:szCs w:val="24"/>
        </w:rPr>
        <w:t>4</w:t>
      </w:r>
      <w:r w:rsidR="0051658E" w:rsidRPr="0051658E">
        <w:rPr>
          <w:rFonts w:ascii="Book Antiqua" w:eastAsia="Calibri" w:hAnsi="Book Antiqua" w:cs="Arial"/>
          <w:sz w:val="24"/>
          <w:szCs w:val="24"/>
        </w:rPr>
        <w:t>,</w:t>
      </w:r>
      <w:r w:rsidR="009214B4">
        <w:rPr>
          <w:rFonts w:ascii="Book Antiqua" w:eastAsia="Calibri" w:hAnsi="Book Antiqua" w:cs="Arial"/>
          <w:sz w:val="24"/>
          <w:szCs w:val="24"/>
        </w:rPr>
        <w:t>332</w:t>
      </w:r>
      <w:r w:rsidR="0051658E" w:rsidRPr="0051658E">
        <w:rPr>
          <w:rFonts w:ascii="Book Antiqua" w:eastAsia="Calibri" w:hAnsi="Book Antiqua" w:cs="Arial"/>
          <w:sz w:val="24"/>
          <w:szCs w:val="24"/>
        </w:rPr>
        <w:t>,</w:t>
      </w:r>
      <w:r w:rsidR="009214B4">
        <w:rPr>
          <w:rFonts w:ascii="Book Antiqua" w:eastAsia="Calibri" w:hAnsi="Book Antiqua" w:cs="Arial"/>
          <w:sz w:val="24"/>
          <w:szCs w:val="24"/>
        </w:rPr>
        <w:t>998</w:t>
      </w:r>
      <w:r w:rsidR="0051658E" w:rsidRPr="0051658E">
        <w:rPr>
          <w:rFonts w:ascii="Book Antiqua" w:eastAsia="Calibri" w:hAnsi="Book Antiqua" w:cs="Arial"/>
          <w:sz w:val="24"/>
          <w:szCs w:val="24"/>
        </w:rPr>
        <w:t>.</w:t>
      </w:r>
      <w:r w:rsidR="009214B4">
        <w:rPr>
          <w:rFonts w:ascii="Book Antiqua" w:eastAsia="Calibri" w:hAnsi="Book Antiqua" w:cs="Arial"/>
          <w:sz w:val="24"/>
          <w:szCs w:val="24"/>
        </w:rPr>
        <w:t>3</w:t>
      </w:r>
      <w:r w:rsidR="0051658E" w:rsidRPr="0051658E">
        <w:rPr>
          <w:rFonts w:ascii="Book Antiqua" w:eastAsia="Calibri" w:hAnsi="Book Antiqua" w:cs="Arial"/>
          <w:sz w:val="24"/>
          <w:szCs w:val="24"/>
        </w:rPr>
        <w:t>0</w:t>
      </w:r>
    </w:p>
    <w:p w14:paraId="1D68C2FD" w14:textId="77777777" w:rsidR="008C20AB" w:rsidRPr="00E01CE3" w:rsidRDefault="008C20AB" w:rsidP="008C20AB">
      <w:pPr>
        <w:spacing w:after="0" w:line="276" w:lineRule="auto"/>
        <w:jc w:val="both"/>
        <w:rPr>
          <w:rFonts w:ascii="Book Antiqua" w:eastAsia="Calibri" w:hAnsi="Book Antiqua" w:cs="Arial"/>
          <w:sz w:val="24"/>
          <w:szCs w:val="24"/>
        </w:rPr>
      </w:pPr>
    </w:p>
    <w:p w14:paraId="14578D28" w14:textId="2163F83B" w:rsidR="00917EA1" w:rsidRPr="00E01CE3" w:rsidRDefault="00917EA1" w:rsidP="00917EA1">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 </w:t>
      </w:r>
      <w:r w:rsidRPr="003D2135">
        <w:rPr>
          <w:rFonts w:ascii="Book Antiqua" w:eastAsia="Calibri" w:hAnsi="Book Antiqua" w:cs="Arial"/>
          <w:sz w:val="24"/>
          <w:szCs w:val="24"/>
        </w:rPr>
        <w:t>El costo de</w:t>
      </w:r>
      <w:r w:rsidRPr="00E01CE3">
        <w:rPr>
          <w:rFonts w:ascii="Book Antiqua" w:eastAsia="Calibri" w:hAnsi="Book Antiqua" w:cs="Arial"/>
          <w:sz w:val="24"/>
          <w:szCs w:val="24"/>
        </w:rPr>
        <w:t xml:space="preserve"> la implementación inicial del Código Procesal de Familia para el 202</w:t>
      </w:r>
      <w:r w:rsidR="003D2135">
        <w:rPr>
          <w:rFonts w:ascii="Book Antiqua" w:eastAsia="Calibri" w:hAnsi="Book Antiqua" w:cs="Arial"/>
          <w:sz w:val="24"/>
          <w:szCs w:val="24"/>
        </w:rPr>
        <w:t>4</w:t>
      </w:r>
      <w:r w:rsidRPr="00E01CE3">
        <w:rPr>
          <w:rFonts w:ascii="Book Antiqua" w:eastAsia="Calibri" w:hAnsi="Book Antiqua" w:cs="Arial"/>
          <w:sz w:val="24"/>
          <w:szCs w:val="24"/>
        </w:rPr>
        <w:t xml:space="preserve">, se </w:t>
      </w:r>
      <w:r w:rsidRPr="00E929EF">
        <w:rPr>
          <w:rFonts w:ascii="Book Antiqua" w:eastAsia="Calibri" w:hAnsi="Book Antiqua" w:cs="Arial"/>
          <w:sz w:val="24"/>
          <w:szCs w:val="24"/>
        </w:rPr>
        <w:t xml:space="preserve">estima en </w:t>
      </w:r>
      <w:r w:rsidR="008C20AB" w:rsidRPr="00E929EF">
        <w:rPr>
          <w:rFonts w:ascii="Times New Roman" w:eastAsia="Calibri" w:hAnsi="Times New Roman" w:cs="Times New Roman"/>
          <w:b/>
          <w:bCs/>
          <w:sz w:val="24"/>
          <w:szCs w:val="24"/>
        </w:rPr>
        <w:t>₡</w:t>
      </w:r>
      <w:r w:rsidR="00E929EF" w:rsidRPr="00E929EF">
        <w:rPr>
          <w:rFonts w:ascii="Times New Roman" w:eastAsia="Calibri" w:hAnsi="Times New Roman" w:cs="Times New Roman"/>
          <w:b/>
          <w:bCs/>
          <w:sz w:val="24"/>
          <w:szCs w:val="24"/>
        </w:rPr>
        <w:t>2</w:t>
      </w:r>
      <w:r w:rsidR="00A35CF7" w:rsidRPr="00E929EF">
        <w:rPr>
          <w:rFonts w:ascii="Book Antiqua" w:eastAsia="Calibri" w:hAnsi="Book Antiqua" w:cs="Arial"/>
          <w:b/>
          <w:bCs/>
          <w:sz w:val="24"/>
          <w:szCs w:val="24"/>
        </w:rPr>
        <w:t>,</w:t>
      </w:r>
      <w:r w:rsidR="00CE564A">
        <w:rPr>
          <w:rFonts w:ascii="Book Antiqua" w:eastAsia="Calibri" w:hAnsi="Book Antiqua" w:cs="Arial"/>
          <w:b/>
          <w:bCs/>
          <w:sz w:val="24"/>
          <w:szCs w:val="24"/>
        </w:rPr>
        <w:t>94</w:t>
      </w:r>
      <w:r w:rsidR="005F1FC4">
        <w:rPr>
          <w:rFonts w:ascii="Book Antiqua" w:eastAsia="Calibri" w:hAnsi="Book Antiqua" w:cs="Arial"/>
          <w:b/>
          <w:bCs/>
          <w:sz w:val="24"/>
          <w:szCs w:val="24"/>
        </w:rPr>
        <w:t>9</w:t>
      </w:r>
      <w:r w:rsidR="00A35CF7" w:rsidRPr="00E929EF">
        <w:rPr>
          <w:rFonts w:ascii="Book Antiqua" w:eastAsia="Calibri" w:hAnsi="Book Antiqua" w:cs="Arial"/>
          <w:b/>
          <w:bCs/>
          <w:sz w:val="24"/>
          <w:szCs w:val="24"/>
        </w:rPr>
        <w:t>,</w:t>
      </w:r>
      <w:r w:rsidR="00CE564A">
        <w:rPr>
          <w:rFonts w:ascii="Book Antiqua" w:eastAsia="Calibri" w:hAnsi="Book Antiqua" w:cs="Arial"/>
          <w:b/>
          <w:bCs/>
          <w:sz w:val="24"/>
          <w:szCs w:val="24"/>
        </w:rPr>
        <w:t>448</w:t>
      </w:r>
      <w:r w:rsidR="00A35CF7" w:rsidRPr="00E929EF">
        <w:rPr>
          <w:rFonts w:ascii="Book Antiqua" w:eastAsia="Calibri" w:hAnsi="Book Antiqua" w:cs="Arial"/>
          <w:b/>
          <w:bCs/>
          <w:sz w:val="24"/>
          <w:szCs w:val="24"/>
        </w:rPr>
        <w:t>,</w:t>
      </w:r>
      <w:r w:rsidR="00CE564A">
        <w:rPr>
          <w:rFonts w:ascii="Book Antiqua" w:eastAsia="Calibri" w:hAnsi="Book Antiqua" w:cs="Arial"/>
          <w:b/>
          <w:bCs/>
          <w:sz w:val="24"/>
          <w:szCs w:val="24"/>
        </w:rPr>
        <w:t>744</w:t>
      </w:r>
      <w:r w:rsidR="00A35CF7" w:rsidRPr="00E929EF">
        <w:rPr>
          <w:rFonts w:ascii="Book Antiqua" w:eastAsia="Calibri" w:hAnsi="Book Antiqua" w:cs="Arial"/>
          <w:b/>
          <w:bCs/>
          <w:sz w:val="24"/>
          <w:szCs w:val="24"/>
        </w:rPr>
        <w:t>.</w:t>
      </w:r>
      <w:r w:rsidR="00CE564A">
        <w:rPr>
          <w:rFonts w:ascii="Book Antiqua" w:eastAsia="Calibri" w:hAnsi="Book Antiqua" w:cs="Arial"/>
          <w:b/>
          <w:bCs/>
          <w:sz w:val="24"/>
          <w:szCs w:val="24"/>
        </w:rPr>
        <w:t>86</w:t>
      </w:r>
      <w:r w:rsidR="00A35CF7" w:rsidRPr="00E929EF">
        <w:rPr>
          <w:rFonts w:ascii="Book Antiqua" w:eastAsia="Calibri" w:hAnsi="Book Antiqua" w:cs="Arial"/>
          <w:sz w:val="24"/>
          <w:szCs w:val="24"/>
        </w:rPr>
        <w:t xml:space="preserve"> </w:t>
      </w:r>
      <w:r w:rsidRPr="00E929EF">
        <w:rPr>
          <w:rFonts w:ascii="Book Antiqua" w:eastAsia="Calibri" w:hAnsi="Book Antiqua" w:cs="Arial"/>
          <w:sz w:val="24"/>
          <w:szCs w:val="24"/>
        </w:rPr>
        <w:t>con</w:t>
      </w:r>
      <w:r w:rsidRPr="00E01CE3">
        <w:rPr>
          <w:rFonts w:ascii="Book Antiqua" w:eastAsia="Calibri" w:hAnsi="Book Antiqua" w:cs="Arial"/>
          <w:sz w:val="24"/>
          <w:szCs w:val="24"/>
        </w:rPr>
        <w:t xml:space="preserve"> el siguiente detalle por programa</w:t>
      </w:r>
      <w:r w:rsidR="00246E54">
        <w:rPr>
          <w:rFonts w:ascii="Book Antiqua" w:eastAsia="Calibri" w:hAnsi="Book Antiqua" w:cs="Arial"/>
          <w:sz w:val="24"/>
          <w:szCs w:val="24"/>
        </w:rPr>
        <w:t xml:space="preserve">, lo anterior con la legislación </w:t>
      </w:r>
      <w:r w:rsidR="005F1CA6">
        <w:rPr>
          <w:rFonts w:ascii="Book Antiqua" w:eastAsia="Calibri" w:hAnsi="Book Antiqua" w:cs="Arial"/>
          <w:sz w:val="24"/>
          <w:szCs w:val="24"/>
        </w:rPr>
        <w:t>propuesta a la fecha</w:t>
      </w:r>
      <w:r w:rsidRPr="00E01CE3">
        <w:rPr>
          <w:rFonts w:ascii="Book Antiqua" w:eastAsia="Calibri" w:hAnsi="Book Antiqua" w:cs="Arial"/>
          <w:sz w:val="24"/>
          <w:szCs w:val="24"/>
        </w:rPr>
        <w:t>.</w:t>
      </w:r>
    </w:p>
    <w:p w14:paraId="32B84BDF" w14:textId="77777777" w:rsidR="00B4675B" w:rsidRPr="00E01CE3" w:rsidRDefault="00B4675B" w:rsidP="00917EA1">
      <w:pPr>
        <w:spacing w:after="0" w:line="276" w:lineRule="auto"/>
        <w:jc w:val="both"/>
        <w:rPr>
          <w:rFonts w:ascii="Book Antiqua" w:eastAsia="Calibri" w:hAnsi="Book Antiqua" w:cs="Arial"/>
          <w:sz w:val="24"/>
          <w:szCs w:val="24"/>
        </w:rPr>
      </w:pPr>
    </w:p>
    <w:p w14:paraId="7DCEE0BD" w14:textId="466765E0" w:rsidR="00917EA1" w:rsidRPr="00E01CE3" w:rsidRDefault="00917EA1" w:rsidP="00917EA1">
      <w:pPr>
        <w:spacing w:after="0" w:line="276" w:lineRule="auto"/>
        <w:jc w:val="both"/>
        <w:rPr>
          <w:rFonts w:ascii="Book Antiqua" w:eastAsia="Calibri" w:hAnsi="Book Antiqua" w:cs="Arial"/>
          <w:sz w:val="24"/>
          <w:szCs w:val="24"/>
        </w:rPr>
      </w:pPr>
    </w:p>
    <w:p w14:paraId="7B62C2A9" w14:textId="29D564A4" w:rsidR="00B4675B" w:rsidRPr="00E01CE3" w:rsidRDefault="00B4675B" w:rsidP="00B467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1CE3">
        <w:rPr>
          <w:rFonts w:ascii="Book Antiqua" w:eastAsia="Calibri" w:hAnsi="Book Antiqua" w:cs="Arial"/>
          <w:b/>
          <w:bCs/>
          <w:color w:val="1F497D"/>
          <w:szCs w:val="24"/>
          <w:lang w:val="es-ES" w:eastAsia="es-ES"/>
        </w:rPr>
        <w:t xml:space="preserve">Cuadro </w:t>
      </w:r>
      <w:r w:rsidRPr="00E01CE3">
        <w:rPr>
          <w:rFonts w:ascii="Book Antiqua" w:eastAsia="Calibri" w:hAnsi="Book Antiqua" w:cs="Arial"/>
          <w:b/>
          <w:bCs/>
          <w:color w:val="1F497D"/>
          <w:szCs w:val="24"/>
          <w:lang w:val="es-ES" w:eastAsia="es-ES"/>
        </w:rPr>
        <w:fldChar w:fldCharType="begin"/>
      </w:r>
      <w:r w:rsidRPr="00E01CE3">
        <w:rPr>
          <w:rFonts w:ascii="Book Antiqua" w:eastAsia="Calibri" w:hAnsi="Book Antiqua" w:cs="Arial"/>
          <w:b/>
          <w:bCs/>
          <w:color w:val="1F497D"/>
          <w:szCs w:val="24"/>
          <w:lang w:val="es-ES" w:eastAsia="es-ES"/>
        </w:rPr>
        <w:instrText xml:space="preserve"> SEQ Cuadro \* ARABIC </w:instrText>
      </w:r>
      <w:r w:rsidRPr="00E01CE3">
        <w:rPr>
          <w:rFonts w:ascii="Book Antiqua" w:eastAsia="Calibri" w:hAnsi="Book Antiqua" w:cs="Arial"/>
          <w:b/>
          <w:bCs/>
          <w:color w:val="1F497D"/>
          <w:szCs w:val="24"/>
          <w:lang w:val="es-ES" w:eastAsia="es-ES"/>
        </w:rPr>
        <w:fldChar w:fldCharType="separate"/>
      </w:r>
      <w:r w:rsidR="00E929EF">
        <w:rPr>
          <w:rFonts w:ascii="Book Antiqua" w:eastAsia="Calibri" w:hAnsi="Book Antiqua" w:cs="Arial"/>
          <w:b/>
          <w:bCs/>
          <w:noProof/>
          <w:color w:val="1F497D"/>
          <w:szCs w:val="24"/>
          <w:lang w:val="es-ES" w:eastAsia="es-ES"/>
        </w:rPr>
        <w:t>78</w:t>
      </w:r>
      <w:r w:rsidRPr="00E01CE3">
        <w:rPr>
          <w:rFonts w:ascii="Book Antiqua" w:eastAsia="Calibri" w:hAnsi="Book Antiqua" w:cs="Arial"/>
          <w:b/>
          <w:bCs/>
          <w:color w:val="1F497D"/>
          <w:szCs w:val="24"/>
          <w:lang w:val="es-ES" w:eastAsia="es-ES"/>
        </w:rPr>
        <w:fldChar w:fldCharType="end"/>
      </w:r>
      <w:r w:rsidRPr="00E01CE3">
        <w:rPr>
          <w:rFonts w:ascii="Book Antiqua" w:eastAsia="Calibri" w:hAnsi="Book Antiqua" w:cs="Arial"/>
          <w:b/>
          <w:bCs/>
          <w:color w:val="1F497D"/>
          <w:szCs w:val="24"/>
          <w:lang w:val="es-ES" w:eastAsia="es-ES"/>
        </w:rPr>
        <w:t xml:space="preserve"> </w:t>
      </w:r>
    </w:p>
    <w:p w14:paraId="16D2BA1E" w14:textId="3F3B95DB" w:rsidR="00B4675B" w:rsidRDefault="00B4675B" w:rsidP="00B467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1CE3">
        <w:rPr>
          <w:rFonts w:ascii="Book Antiqua" w:eastAsia="Calibri" w:hAnsi="Book Antiqua" w:cs="Arial"/>
          <w:b/>
          <w:bCs/>
          <w:color w:val="1F497D"/>
          <w:szCs w:val="24"/>
          <w:lang w:val="es-ES" w:eastAsia="es-ES"/>
        </w:rPr>
        <w:t>Costos económicos asociados al CPF, 202</w:t>
      </w:r>
      <w:r w:rsidR="003D2135">
        <w:rPr>
          <w:rFonts w:ascii="Book Antiqua" w:eastAsia="Calibri" w:hAnsi="Book Antiqua" w:cs="Arial"/>
          <w:b/>
          <w:bCs/>
          <w:color w:val="1F497D"/>
          <w:szCs w:val="24"/>
          <w:lang w:val="es-ES" w:eastAsia="es-ES"/>
        </w:rPr>
        <w:t>4</w:t>
      </w:r>
    </w:p>
    <w:tbl>
      <w:tblPr>
        <w:tblW w:w="10680" w:type="dxa"/>
        <w:jc w:val="center"/>
        <w:tblCellMar>
          <w:left w:w="70" w:type="dxa"/>
          <w:right w:w="70" w:type="dxa"/>
        </w:tblCellMar>
        <w:tblLook w:val="04A0" w:firstRow="1" w:lastRow="0" w:firstColumn="1" w:lastColumn="0" w:noHBand="0" w:noVBand="1"/>
      </w:tblPr>
      <w:tblGrid>
        <w:gridCol w:w="4240"/>
        <w:gridCol w:w="1780"/>
        <w:gridCol w:w="2440"/>
        <w:gridCol w:w="2220"/>
      </w:tblGrid>
      <w:tr w:rsidR="004D311D" w:rsidRPr="004D311D" w14:paraId="0BD8BE3E" w14:textId="77777777" w:rsidTr="004D311D">
        <w:trPr>
          <w:trHeight w:val="300"/>
          <w:jc w:val="center"/>
        </w:trPr>
        <w:tc>
          <w:tcPr>
            <w:tcW w:w="4240"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3387089A" w14:textId="77777777" w:rsidR="004D311D" w:rsidRPr="004D311D" w:rsidRDefault="004D311D" w:rsidP="004D311D">
            <w:pPr>
              <w:spacing w:after="0" w:line="240" w:lineRule="auto"/>
              <w:jc w:val="center"/>
              <w:rPr>
                <w:rFonts w:ascii="Book Antiqua" w:eastAsia="Times New Roman" w:hAnsi="Book Antiqua" w:cs="Calibri"/>
                <w:b/>
                <w:bCs/>
                <w:color w:val="FFFFFF"/>
                <w:sz w:val="20"/>
                <w:szCs w:val="20"/>
                <w:lang w:eastAsia="es-CR"/>
              </w:rPr>
            </w:pPr>
            <w:bookmarkStart w:id="98" w:name="_Hlk128695021"/>
            <w:r w:rsidRPr="004D311D">
              <w:rPr>
                <w:rFonts w:ascii="Book Antiqua" w:eastAsia="Times New Roman" w:hAnsi="Book Antiqua" w:cs="Calibri"/>
                <w:b/>
                <w:bCs/>
                <w:color w:val="FFFFFF"/>
                <w:sz w:val="20"/>
                <w:szCs w:val="20"/>
                <w:lang w:eastAsia="es-CR"/>
              </w:rPr>
              <w:t>Requerimiento</w:t>
            </w:r>
          </w:p>
        </w:tc>
        <w:tc>
          <w:tcPr>
            <w:tcW w:w="1780" w:type="dxa"/>
            <w:tcBorders>
              <w:top w:val="single" w:sz="8" w:space="0" w:color="auto"/>
              <w:left w:val="nil"/>
              <w:bottom w:val="single" w:sz="8" w:space="0" w:color="auto"/>
              <w:right w:val="single" w:sz="8" w:space="0" w:color="auto"/>
            </w:tcBorders>
            <w:shd w:val="clear" w:color="000000" w:fill="0070C0"/>
            <w:vAlign w:val="center"/>
            <w:hideMark/>
          </w:tcPr>
          <w:p w14:paraId="5E61C333" w14:textId="77777777" w:rsidR="004D311D" w:rsidRPr="004D311D" w:rsidRDefault="004D311D" w:rsidP="004D311D">
            <w:pPr>
              <w:spacing w:after="0" w:line="240" w:lineRule="auto"/>
              <w:jc w:val="center"/>
              <w:rPr>
                <w:rFonts w:ascii="Book Antiqua" w:eastAsia="Times New Roman" w:hAnsi="Book Antiqua" w:cs="Calibri"/>
                <w:b/>
                <w:bCs/>
                <w:color w:val="FFFFFF"/>
                <w:sz w:val="20"/>
                <w:szCs w:val="20"/>
                <w:lang w:eastAsia="es-CR"/>
              </w:rPr>
            </w:pPr>
            <w:r w:rsidRPr="004D311D">
              <w:rPr>
                <w:rFonts w:ascii="Book Antiqua" w:eastAsia="Times New Roman" w:hAnsi="Book Antiqua" w:cs="Calibri"/>
                <w:b/>
                <w:bCs/>
                <w:color w:val="FFFFFF"/>
                <w:sz w:val="20"/>
                <w:szCs w:val="20"/>
                <w:lang w:eastAsia="es-CR"/>
              </w:rPr>
              <w:t>Programa 926</w:t>
            </w:r>
          </w:p>
        </w:tc>
        <w:tc>
          <w:tcPr>
            <w:tcW w:w="2440" w:type="dxa"/>
            <w:tcBorders>
              <w:top w:val="single" w:sz="8" w:space="0" w:color="auto"/>
              <w:left w:val="nil"/>
              <w:bottom w:val="single" w:sz="8" w:space="0" w:color="auto"/>
              <w:right w:val="single" w:sz="8" w:space="0" w:color="auto"/>
            </w:tcBorders>
            <w:shd w:val="clear" w:color="000000" w:fill="0070C0"/>
            <w:vAlign w:val="center"/>
            <w:hideMark/>
          </w:tcPr>
          <w:p w14:paraId="678A71C3" w14:textId="77777777" w:rsidR="004D311D" w:rsidRPr="004D311D" w:rsidRDefault="004D311D" w:rsidP="004D311D">
            <w:pPr>
              <w:spacing w:after="0" w:line="240" w:lineRule="auto"/>
              <w:jc w:val="center"/>
              <w:rPr>
                <w:rFonts w:ascii="Book Antiqua" w:eastAsia="Times New Roman" w:hAnsi="Book Antiqua" w:cs="Calibri"/>
                <w:b/>
                <w:bCs/>
                <w:color w:val="FFFFFF"/>
                <w:sz w:val="20"/>
                <w:szCs w:val="20"/>
                <w:lang w:eastAsia="es-CR"/>
              </w:rPr>
            </w:pPr>
            <w:r w:rsidRPr="004D311D">
              <w:rPr>
                <w:rFonts w:ascii="Book Antiqua" w:eastAsia="Times New Roman" w:hAnsi="Book Antiqua" w:cs="Calibri"/>
                <w:b/>
                <w:bCs/>
                <w:color w:val="FFFFFF"/>
                <w:sz w:val="20"/>
                <w:szCs w:val="20"/>
                <w:lang w:eastAsia="es-CR"/>
              </w:rPr>
              <w:t>Programa 927</w:t>
            </w:r>
          </w:p>
        </w:tc>
        <w:tc>
          <w:tcPr>
            <w:tcW w:w="2220" w:type="dxa"/>
            <w:tcBorders>
              <w:top w:val="single" w:sz="8" w:space="0" w:color="auto"/>
              <w:left w:val="nil"/>
              <w:bottom w:val="single" w:sz="8" w:space="0" w:color="auto"/>
              <w:right w:val="single" w:sz="8" w:space="0" w:color="auto"/>
            </w:tcBorders>
            <w:shd w:val="clear" w:color="000000" w:fill="0070C0"/>
            <w:noWrap/>
            <w:vAlign w:val="center"/>
            <w:hideMark/>
          </w:tcPr>
          <w:p w14:paraId="453B37CE" w14:textId="77777777" w:rsidR="004D311D" w:rsidRPr="004D311D" w:rsidRDefault="004D311D" w:rsidP="004D311D">
            <w:pPr>
              <w:spacing w:after="0" w:line="240" w:lineRule="auto"/>
              <w:jc w:val="center"/>
              <w:rPr>
                <w:rFonts w:ascii="Book Antiqua" w:eastAsia="Times New Roman" w:hAnsi="Book Antiqua" w:cs="Calibri"/>
                <w:b/>
                <w:bCs/>
                <w:color w:val="FFFFFF"/>
                <w:sz w:val="20"/>
                <w:szCs w:val="20"/>
                <w:lang w:eastAsia="es-CR"/>
              </w:rPr>
            </w:pPr>
            <w:r w:rsidRPr="004D311D">
              <w:rPr>
                <w:rFonts w:ascii="Book Antiqua" w:eastAsia="Times New Roman" w:hAnsi="Book Antiqua" w:cs="Calibri"/>
                <w:b/>
                <w:bCs/>
                <w:color w:val="FFFFFF"/>
                <w:sz w:val="20"/>
                <w:szCs w:val="20"/>
                <w:lang w:eastAsia="es-CR"/>
              </w:rPr>
              <w:t>Subtotal</w:t>
            </w:r>
          </w:p>
        </w:tc>
      </w:tr>
      <w:tr w:rsidR="004D311D" w:rsidRPr="004D311D" w14:paraId="65D631F9" w14:textId="77777777" w:rsidTr="004D311D">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1507134A" w14:textId="77777777" w:rsidR="004D311D" w:rsidRPr="004D311D" w:rsidRDefault="004D311D" w:rsidP="004D311D">
            <w:pPr>
              <w:spacing w:after="0" w:line="240" w:lineRule="auto"/>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Recurso humano (plazas ordinarias y extraordinarias)</w:t>
            </w:r>
          </w:p>
        </w:tc>
        <w:tc>
          <w:tcPr>
            <w:tcW w:w="1780" w:type="dxa"/>
            <w:tcBorders>
              <w:top w:val="nil"/>
              <w:left w:val="nil"/>
              <w:bottom w:val="single" w:sz="8" w:space="0" w:color="auto"/>
              <w:right w:val="single" w:sz="8" w:space="0" w:color="auto"/>
            </w:tcBorders>
            <w:shd w:val="clear" w:color="auto" w:fill="auto"/>
            <w:noWrap/>
            <w:vAlign w:val="center"/>
            <w:hideMark/>
          </w:tcPr>
          <w:p w14:paraId="4B7BAB4A"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62671291"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2 590 295 250,00</w:t>
            </w:r>
          </w:p>
        </w:tc>
        <w:tc>
          <w:tcPr>
            <w:tcW w:w="2220" w:type="dxa"/>
            <w:tcBorders>
              <w:top w:val="nil"/>
              <w:left w:val="nil"/>
              <w:bottom w:val="single" w:sz="8" w:space="0" w:color="auto"/>
              <w:right w:val="single" w:sz="8" w:space="0" w:color="auto"/>
            </w:tcBorders>
            <w:shd w:val="clear" w:color="auto" w:fill="auto"/>
            <w:noWrap/>
            <w:vAlign w:val="center"/>
            <w:hideMark/>
          </w:tcPr>
          <w:p w14:paraId="274038F7"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2 590 295 250,00</w:t>
            </w:r>
          </w:p>
        </w:tc>
      </w:tr>
      <w:tr w:rsidR="004D311D" w:rsidRPr="004D311D" w14:paraId="5C1239A8" w14:textId="77777777" w:rsidTr="004D311D">
        <w:trPr>
          <w:trHeight w:val="30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6547F9EB" w14:textId="77777777" w:rsidR="004D311D" w:rsidRPr="004D311D" w:rsidRDefault="004D311D" w:rsidP="004D311D">
            <w:pPr>
              <w:spacing w:after="0" w:line="240" w:lineRule="auto"/>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Recurso humano (recalificaciones)</w:t>
            </w:r>
          </w:p>
        </w:tc>
        <w:tc>
          <w:tcPr>
            <w:tcW w:w="1780" w:type="dxa"/>
            <w:tcBorders>
              <w:top w:val="nil"/>
              <w:left w:val="nil"/>
              <w:bottom w:val="single" w:sz="8" w:space="0" w:color="auto"/>
              <w:right w:val="single" w:sz="8" w:space="0" w:color="auto"/>
            </w:tcBorders>
            <w:shd w:val="clear" w:color="auto" w:fill="auto"/>
            <w:noWrap/>
            <w:vAlign w:val="center"/>
            <w:hideMark/>
          </w:tcPr>
          <w:p w14:paraId="154B8BC2"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0E3D4DB9"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9 812 000,00</w:t>
            </w:r>
          </w:p>
        </w:tc>
        <w:tc>
          <w:tcPr>
            <w:tcW w:w="2220" w:type="dxa"/>
            <w:tcBorders>
              <w:top w:val="nil"/>
              <w:left w:val="nil"/>
              <w:bottom w:val="single" w:sz="8" w:space="0" w:color="auto"/>
              <w:right w:val="single" w:sz="8" w:space="0" w:color="auto"/>
            </w:tcBorders>
            <w:shd w:val="clear" w:color="auto" w:fill="auto"/>
            <w:noWrap/>
            <w:vAlign w:val="center"/>
            <w:hideMark/>
          </w:tcPr>
          <w:p w14:paraId="60DB672E"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9 812 000,00</w:t>
            </w:r>
          </w:p>
        </w:tc>
      </w:tr>
      <w:tr w:rsidR="004D311D" w:rsidRPr="004D311D" w14:paraId="49682993" w14:textId="77777777" w:rsidTr="004D311D">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423ADC17" w14:textId="77777777" w:rsidR="004D311D" w:rsidRPr="004D311D" w:rsidRDefault="004D311D" w:rsidP="004D311D">
            <w:pPr>
              <w:spacing w:after="0" w:line="240" w:lineRule="auto"/>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Activar Rubro de Disponibilidad Despachos Especializados de Familia</w:t>
            </w:r>
          </w:p>
        </w:tc>
        <w:tc>
          <w:tcPr>
            <w:tcW w:w="1780" w:type="dxa"/>
            <w:tcBorders>
              <w:top w:val="nil"/>
              <w:left w:val="nil"/>
              <w:bottom w:val="single" w:sz="8" w:space="0" w:color="auto"/>
              <w:right w:val="single" w:sz="8" w:space="0" w:color="auto"/>
            </w:tcBorders>
            <w:shd w:val="clear" w:color="auto" w:fill="auto"/>
            <w:noWrap/>
            <w:vAlign w:val="center"/>
            <w:hideMark/>
          </w:tcPr>
          <w:p w14:paraId="671A3412"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734C8EF2"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10 649 784,00</w:t>
            </w:r>
          </w:p>
        </w:tc>
        <w:tc>
          <w:tcPr>
            <w:tcW w:w="2220" w:type="dxa"/>
            <w:tcBorders>
              <w:top w:val="nil"/>
              <w:left w:val="nil"/>
              <w:bottom w:val="single" w:sz="8" w:space="0" w:color="auto"/>
              <w:right w:val="single" w:sz="8" w:space="0" w:color="auto"/>
            </w:tcBorders>
            <w:shd w:val="clear" w:color="auto" w:fill="auto"/>
            <w:noWrap/>
            <w:vAlign w:val="center"/>
            <w:hideMark/>
          </w:tcPr>
          <w:p w14:paraId="5B14D625"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10 649 784,00</w:t>
            </w:r>
          </w:p>
        </w:tc>
      </w:tr>
      <w:tr w:rsidR="004D311D" w:rsidRPr="004D311D" w14:paraId="512B72CD" w14:textId="77777777" w:rsidTr="004D311D">
        <w:trPr>
          <w:trHeight w:val="30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3C0FC7F7" w14:textId="77777777" w:rsidR="004D311D" w:rsidRPr="004D311D" w:rsidRDefault="004D311D" w:rsidP="004D311D">
            <w:pPr>
              <w:spacing w:after="0" w:line="240" w:lineRule="auto"/>
              <w:jc w:val="both"/>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Suplencias para capacitación-Escuela Judicial</w:t>
            </w:r>
          </w:p>
        </w:tc>
        <w:tc>
          <w:tcPr>
            <w:tcW w:w="1780" w:type="dxa"/>
            <w:tcBorders>
              <w:top w:val="nil"/>
              <w:left w:val="nil"/>
              <w:bottom w:val="single" w:sz="8" w:space="0" w:color="auto"/>
              <w:right w:val="single" w:sz="8" w:space="0" w:color="auto"/>
            </w:tcBorders>
            <w:shd w:val="clear" w:color="auto" w:fill="auto"/>
            <w:vAlign w:val="center"/>
            <w:hideMark/>
          </w:tcPr>
          <w:p w14:paraId="44772739"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1 430 912,00</w:t>
            </w:r>
          </w:p>
        </w:tc>
        <w:tc>
          <w:tcPr>
            <w:tcW w:w="2440" w:type="dxa"/>
            <w:tcBorders>
              <w:top w:val="nil"/>
              <w:left w:val="nil"/>
              <w:bottom w:val="single" w:sz="8" w:space="0" w:color="auto"/>
              <w:right w:val="single" w:sz="8" w:space="0" w:color="auto"/>
            </w:tcBorders>
            <w:shd w:val="clear" w:color="auto" w:fill="auto"/>
            <w:vAlign w:val="center"/>
            <w:hideMark/>
          </w:tcPr>
          <w:p w14:paraId="2A287D0A"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79 767 688,00</w:t>
            </w:r>
          </w:p>
        </w:tc>
        <w:tc>
          <w:tcPr>
            <w:tcW w:w="2220" w:type="dxa"/>
            <w:tcBorders>
              <w:top w:val="nil"/>
              <w:left w:val="nil"/>
              <w:bottom w:val="single" w:sz="8" w:space="0" w:color="auto"/>
              <w:right w:val="single" w:sz="8" w:space="0" w:color="auto"/>
            </w:tcBorders>
            <w:shd w:val="clear" w:color="auto" w:fill="auto"/>
            <w:vAlign w:val="center"/>
            <w:hideMark/>
          </w:tcPr>
          <w:p w14:paraId="6E51BF79"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81 198 600,00</w:t>
            </w:r>
          </w:p>
        </w:tc>
      </w:tr>
      <w:tr w:rsidR="004D311D" w:rsidRPr="004D311D" w14:paraId="26B1FEA0" w14:textId="77777777" w:rsidTr="004D311D">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0AE00768" w14:textId="77777777" w:rsidR="004D311D" w:rsidRPr="004D311D" w:rsidRDefault="004D311D" w:rsidP="004D311D">
            <w:pPr>
              <w:spacing w:after="0" w:line="240" w:lineRule="auto"/>
              <w:jc w:val="both"/>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Viáticos y otros para Capacitación-Escuela Judicial</w:t>
            </w:r>
          </w:p>
        </w:tc>
        <w:tc>
          <w:tcPr>
            <w:tcW w:w="1780" w:type="dxa"/>
            <w:tcBorders>
              <w:top w:val="nil"/>
              <w:left w:val="nil"/>
              <w:bottom w:val="single" w:sz="8" w:space="0" w:color="auto"/>
              <w:right w:val="single" w:sz="8" w:space="0" w:color="auto"/>
            </w:tcBorders>
            <w:shd w:val="clear" w:color="auto" w:fill="auto"/>
            <w:vAlign w:val="center"/>
            <w:hideMark/>
          </w:tcPr>
          <w:p w14:paraId="4F88C798"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16 229 000,00</w:t>
            </w:r>
          </w:p>
        </w:tc>
        <w:tc>
          <w:tcPr>
            <w:tcW w:w="2440" w:type="dxa"/>
            <w:tcBorders>
              <w:top w:val="nil"/>
              <w:left w:val="nil"/>
              <w:bottom w:val="single" w:sz="8" w:space="0" w:color="auto"/>
              <w:right w:val="single" w:sz="8" w:space="0" w:color="auto"/>
            </w:tcBorders>
            <w:shd w:val="clear" w:color="auto" w:fill="auto"/>
            <w:vAlign w:val="center"/>
            <w:hideMark/>
          </w:tcPr>
          <w:p w14:paraId="4D5DEF81"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220" w:type="dxa"/>
            <w:tcBorders>
              <w:top w:val="nil"/>
              <w:left w:val="nil"/>
              <w:bottom w:val="single" w:sz="8" w:space="0" w:color="auto"/>
              <w:right w:val="single" w:sz="8" w:space="0" w:color="auto"/>
            </w:tcBorders>
            <w:shd w:val="clear" w:color="auto" w:fill="auto"/>
            <w:noWrap/>
            <w:vAlign w:val="center"/>
            <w:hideMark/>
          </w:tcPr>
          <w:p w14:paraId="27BA072D"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16 229 000,00</w:t>
            </w:r>
          </w:p>
        </w:tc>
      </w:tr>
      <w:tr w:rsidR="004D311D" w:rsidRPr="004D311D" w14:paraId="19CE3E1A" w14:textId="77777777" w:rsidTr="004D311D">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1581F939" w14:textId="77777777" w:rsidR="004D311D" w:rsidRPr="004D311D" w:rsidRDefault="004D311D" w:rsidP="004D311D">
            <w:pPr>
              <w:spacing w:after="0" w:line="240" w:lineRule="auto"/>
              <w:jc w:val="both"/>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xml:space="preserve">Equipo de cómputo y licencias -Dirección de Tecnología de la Información </w:t>
            </w:r>
          </w:p>
        </w:tc>
        <w:tc>
          <w:tcPr>
            <w:tcW w:w="1780" w:type="dxa"/>
            <w:tcBorders>
              <w:top w:val="nil"/>
              <w:left w:val="nil"/>
              <w:bottom w:val="single" w:sz="8" w:space="0" w:color="auto"/>
              <w:right w:val="single" w:sz="8" w:space="0" w:color="auto"/>
            </w:tcBorders>
            <w:shd w:val="clear" w:color="auto" w:fill="auto"/>
            <w:noWrap/>
            <w:vAlign w:val="center"/>
            <w:hideMark/>
          </w:tcPr>
          <w:p w14:paraId="3642C2EB"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3A3C8897"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101 931 112,56</w:t>
            </w:r>
          </w:p>
        </w:tc>
        <w:tc>
          <w:tcPr>
            <w:tcW w:w="2220" w:type="dxa"/>
            <w:tcBorders>
              <w:top w:val="nil"/>
              <w:left w:val="nil"/>
              <w:bottom w:val="single" w:sz="8" w:space="0" w:color="auto"/>
              <w:right w:val="single" w:sz="8" w:space="0" w:color="auto"/>
            </w:tcBorders>
            <w:shd w:val="clear" w:color="auto" w:fill="auto"/>
            <w:noWrap/>
            <w:vAlign w:val="center"/>
            <w:hideMark/>
          </w:tcPr>
          <w:p w14:paraId="3F50CCD1"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101 931 112,56</w:t>
            </w:r>
          </w:p>
        </w:tc>
      </w:tr>
      <w:tr w:rsidR="004D311D" w:rsidRPr="004D311D" w14:paraId="4DB89E87" w14:textId="77777777" w:rsidTr="004D311D">
        <w:trPr>
          <w:trHeight w:val="79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18312C90" w14:textId="77777777" w:rsidR="004D311D" w:rsidRPr="004D311D" w:rsidRDefault="004D311D" w:rsidP="004D311D">
            <w:pPr>
              <w:spacing w:after="0" w:line="240" w:lineRule="auto"/>
              <w:jc w:val="both"/>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Desarrollo página web de la Comisión de Familia -Dirección de Tecnología de la Información</w:t>
            </w:r>
          </w:p>
        </w:tc>
        <w:tc>
          <w:tcPr>
            <w:tcW w:w="1780" w:type="dxa"/>
            <w:tcBorders>
              <w:top w:val="nil"/>
              <w:left w:val="nil"/>
              <w:bottom w:val="single" w:sz="8" w:space="0" w:color="auto"/>
              <w:right w:val="single" w:sz="8" w:space="0" w:color="auto"/>
            </w:tcBorders>
            <w:shd w:val="clear" w:color="auto" w:fill="auto"/>
            <w:noWrap/>
            <w:vAlign w:val="center"/>
            <w:hideMark/>
          </w:tcPr>
          <w:p w14:paraId="31873DDF"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2C5D5846"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15 000 000,00</w:t>
            </w:r>
          </w:p>
        </w:tc>
        <w:tc>
          <w:tcPr>
            <w:tcW w:w="2220" w:type="dxa"/>
            <w:tcBorders>
              <w:top w:val="nil"/>
              <w:left w:val="nil"/>
              <w:bottom w:val="single" w:sz="8" w:space="0" w:color="auto"/>
              <w:right w:val="single" w:sz="8" w:space="0" w:color="auto"/>
            </w:tcBorders>
            <w:shd w:val="clear" w:color="auto" w:fill="auto"/>
            <w:noWrap/>
            <w:vAlign w:val="center"/>
            <w:hideMark/>
          </w:tcPr>
          <w:p w14:paraId="14103B1E"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15 000 000,00</w:t>
            </w:r>
          </w:p>
        </w:tc>
      </w:tr>
      <w:tr w:rsidR="004D311D" w:rsidRPr="004D311D" w14:paraId="37DDEC70" w14:textId="77777777" w:rsidTr="004D311D">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3EA67676" w14:textId="77777777" w:rsidR="004D311D" w:rsidRPr="004D311D" w:rsidRDefault="004D311D" w:rsidP="004D311D">
            <w:pPr>
              <w:spacing w:after="0" w:line="240" w:lineRule="auto"/>
              <w:jc w:val="both"/>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xml:space="preserve">Productos de papel, cartón, impresos, entre otros- Dirección Ejecutiva </w:t>
            </w:r>
          </w:p>
        </w:tc>
        <w:tc>
          <w:tcPr>
            <w:tcW w:w="1780" w:type="dxa"/>
            <w:tcBorders>
              <w:top w:val="nil"/>
              <w:left w:val="nil"/>
              <w:bottom w:val="single" w:sz="8" w:space="0" w:color="auto"/>
              <w:right w:val="single" w:sz="8" w:space="0" w:color="auto"/>
            </w:tcBorders>
            <w:shd w:val="clear" w:color="auto" w:fill="auto"/>
            <w:vAlign w:val="center"/>
            <w:hideMark/>
          </w:tcPr>
          <w:p w14:paraId="131B6968"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449 772,50</w:t>
            </w:r>
          </w:p>
        </w:tc>
        <w:tc>
          <w:tcPr>
            <w:tcW w:w="2440" w:type="dxa"/>
            <w:tcBorders>
              <w:top w:val="nil"/>
              <w:left w:val="nil"/>
              <w:bottom w:val="single" w:sz="8" w:space="0" w:color="auto"/>
              <w:right w:val="single" w:sz="8" w:space="0" w:color="auto"/>
            </w:tcBorders>
            <w:shd w:val="clear" w:color="auto" w:fill="auto"/>
            <w:noWrap/>
            <w:vAlign w:val="center"/>
            <w:hideMark/>
          </w:tcPr>
          <w:p w14:paraId="1DA77AC6"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220" w:type="dxa"/>
            <w:tcBorders>
              <w:top w:val="nil"/>
              <w:left w:val="nil"/>
              <w:bottom w:val="single" w:sz="8" w:space="0" w:color="auto"/>
              <w:right w:val="single" w:sz="8" w:space="0" w:color="auto"/>
            </w:tcBorders>
            <w:shd w:val="clear" w:color="auto" w:fill="auto"/>
            <w:vAlign w:val="center"/>
            <w:hideMark/>
          </w:tcPr>
          <w:p w14:paraId="3D1DB60D"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449 772,50</w:t>
            </w:r>
          </w:p>
        </w:tc>
      </w:tr>
      <w:tr w:rsidR="004D311D" w:rsidRPr="004D311D" w14:paraId="1DEC64FB" w14:textId="77777777" w:rsidTr="004D311D">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57C444C0" w14:textId="77777777" w:rsidR="004D311D" w:rsidRPr="004D311D" w:rsidRDefault="004D311D" w:rsidP="004D311D">
            <w:pPr>
              <w:spacing w:after="0" w:line="240" w:lineRule="auto"/>
              <w:jc w:val="both"/>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Equipo de comunicación y mobiliario de oficina-Dirección Ejecutiva</w:t>
            </w:r>
          </w:p>
        </w:tc>
        <w:tc>
          <w:tcPr>
            <w:tcW w:w="1780" w:type="dxa"/>
            <w:tcBorders>
              <w:top w:val="nil"/>
              <w:left w:val="nil"/>
              <w:bottom w:val="single" w:sz="8" w:space="0" w:color="auto"/>
              <w:right w:val="single" w:sz="8" w:space="0" w:color="auto"/>
            </w:tcBorders>
            <w:shd w:val="clear" w:color="auto" w:fill="auto"/>
            <w:noWrap/>
            <w:vAlign w:val="center"/>
            <w:hideMark/>
          </w:tcPr>
          <w:p w14:paraId="1F8E5F35"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440" w:type="dxa"/>
            <w:tcBorders>
              <w:top w:val="nil"/>
              <w:left w:val="nil"/>
              <w:bottom w:val="single" w:sz="8" w:space="0" w:color="auto"/>
              <w:right w:val="single" w:sz="8" w:space="0" w:color="auto"/>
            </w:tcBorders>
            <w:shd w:val="clear" w:color="auto" w:fill="auto"/>
            <w:noWrap/>
            <w:vAlign w:val="center"/>
            <w:hideMark/>
          </w:tcPr>
          <w:p w14:paraId="33E7257C"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63 883 225,80</w:t>
            </w:r>
          </w:p>
        </w:tc>
        <w:tc>
          <w:tcPr>
            <w:tcW w:w="2220" w:type="dxa"/>
            <w:tcBorders>
              <w:top w:val="nil"/>
              <w:left w:val="nil"/>
              <w:bottom w:val="single" w:sz="8" w:space="0" w:color="auto"/>
              <w:right w:val="single" w:sz="8" w:space="0" w:color="auto"/>
            </w:tcBorders>
            <w:shd w:val="clear" w:color="auto" w:fill="auto"/>
            <w:noWrap/>
            <w:vAlign w:val="center"/>
            <w:hideMark/>
          </w:tcPr>
          <w:p w14:paraId="4595C67C"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63 883 225,80</w:t>
            </w:r>
          </w:p>
        </w:tc>
      </w:tr>
      <w:tr w:rsidR="004D311D" w:rsidRPr="004D311D" w14:paraId="75D2E10D" w14:textId="77777777" w:rsidTr="004D311D">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10EAB42C" w14:textId="77777777" w:rsidR="004D311D" w:rsidRPr="004D311D" w:rsidRDefault="004D311D" w:rsidP="004D311D">
            <w:pPr>
              <w:spacing w:after="0" w:line="240" w:lineRule="auto"/>
              <w:jc w:val="both"/>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Pago de peritajes-Familia Departamento de Trabajo Social y Psicología</w:t>
            </w:r>
          </w:p>
        </w:tc>
        <w:tc>
          <w:tcPr>
            <w:tcW w:w="1780" w:type="dxa"/>
            <w:tcBorders>
              <w:top w:val="nil"/>
              <w:left w:val="nil"/>
              <w:bottom w:val="single" w:sz="8" w:space="0" w:color="auto"/>
              <w:right w:val="single" w:sz="8" w:space="0" w:color="auto"/>
            </w:tcBorders>
            <w:shd w:val="clear" w:color="auto" w:fill="auto"/>
            <w:vAlign w:val="center"/>
            <w:hideMark/>
          </w:tcPr>
          <w:p w14:paraId="170EBE4C"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30 000 000,00</w:t>
            </w:r>
          </w:p>
        </w:tc>
        <w:tc>
          <w:tcPr>
            <w:tcW w:w="2440" w:type="dxa"/>
            <w:tcBorders>
              <w:top w:val="nil"/>
              <w:left w:val="nil"/>
              <w:bottom w:val="single" w:sz="8" w:space="0" w:color="auto"/>
              <w:right w:val="single" w:sz="8" w:space="0" w:color="auto"/>
            </w:tcBorders>
            <w:shd w:val="clear" w:color="auto" w:fill="auto"/>
            <w:noWrap/>
            <w:vAlign w:val="center"/>
            <w:hideMark/>
          </w:tcPr>
          <w:p w14:paraId="2BA739EF"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220" w:type="dxa"/>
            <w:tcBorders>
              <w:top w:val="nil"/>
              <w:left w:val="nil"/>
              <w:bottom w:val="single" w:sz="8" w:space="0" w:color="auto"/>
              <w:right w:val="single" w:sz="8" w:space="0" w:color="auto"/>
            </w:tcBorders>
            <w:shd w:val="clear" w:color="auto" w:fill="auto"/>
            <w:noWrap/>
            <w:vAlign w:val="center"/>
            <w:hideMark/>
          </w:tcPr>
          <w:p w14:paraId="496654E0"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30 000 000,00</w:t>
            </w:r>
          </w:p>
        </w:tc>
      </w:tr>
      <w:tr w:rsidR="004D311D" w:rsidRPr="004D311D" w14:paraId="777EB9CE" w14:textId="77777777" w:rsidTr="004D311D">
        <w:trPr>
          <w:trHeight w:val="530"/>
          <w:jc w:val="center"/>
        </w:trPr>
        <w:tc>
          <w:tcPr>
            <w:tcW w:w="4240" w:type="dxa"/>
            <w:tcBorders>
              <w:top w:val="nil"/>
              <w:left w:val="single" w:sz="8" w:space="0" w:color="auto"/>
              <w:bottom w:val="single" w:sz="8" w:space="0" w:color="auto"/>
              <w:right w:val="single" w:sz="8" w:space="0" w:color="auto"/>
            </w:tcBorders>
            <w:shd w:val="clear" w:color="auto" w:fill="auto"/>
            <w:vAlign w:val="center"/>
            <w:hideMark/>
          </w:tcPr>
          <w:p w14:paraId="36109B19" w14:textId="77777777" w:rsidR="004D311D" w:rsidRPr="004D311D" w:rsidRDefault="004D311D" w:rsidP="004D311D">
            <w:pPr>
              <w:spacing w:after="0" w:line="240" w:lineRule="auto"/>
              <w:jc w:val="both"/>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Pago de peritajes-Violencia Doméstica-Departamento de Trabajo Social y Psicología</w:t>
            </w:r>
          </w:p>
        </w:tc>
        <w:tc>
          <w:tcPr>
            <w:tcW w:w="1780" w:type="dxa"/>
            <w:tcBorders>
              <w:top w:val="nil"/>
              <w:left w:val="nil"/>
              <w:bottom w:val="single" w:sz="8" w:space="0" w:color="auto"/>
              <w:right w:val="single" w:sz="8" w:space="0" w:color="auto"/>
            </w:tcBorders>
            <w:shd w:val="clear" w:color="auto" w:fill="auto"/>
            <w:vAlign w:val="center"/>
            <w:hideMark/>
          </w:tcPr>
          <w:p w14:paraId="361ACCCC"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30 000 000,00</w:t>
            </w:r>
          </w:p>
        </w:tc>
        <w:tc>
          <w:tcPr>
            <w:tcW w:w="2440" w:type="dxa"/>
            <w:tcBorders>
              <w:top w:val="nil"/>
              <w:left w:val="nil"/>
              <w:bottom w:val="single" w:sz="8" w:space="0" w:color="auto"/>
              <w:right w:val="single" w:sz="8" w:space="0" w:color="auto"/>
            </w:tcBorders>
            <w:shd w:val="clear" w:color="auto" w:fill="auto"/>
            <w:noWrap/>
            <w:vAlign w:val="center"/>
            <w:hideMark/>
          </w:tcPr>
          <w:p w14:paraId="3D2F8939"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Book Antiqua" w:eastAsia="Times New Roman" w:hAnsi="Book Antiqua" w:cs="Calibri"/>
                <w:color w:val="000000"/>
                <w:sz w:val="20"/>
                <w:szCs w:val="20"/>
                <w:lang w:eastAsia="es-CR"/>
              </w:rPr>
              <w:t> </w:t>
            </w:r>
          </w:p>
        </w:tc>
        <w:tc>
          <w:tcPr>
            <w:tcW w:w="2220" w:type="dxa"/>
            <w:tcBorders>
              <w:top w:val="nil"/>
              <w:left w:val="nil"/>
              <w:bottom w:val="single" w:sz="8" w:space="0" w:color="auto"/>
              <w:right w:val="single" w:sz="8" w:space="0" w:color="auto"/>
            </w:tcBorders>
            <w:shd w:val="clear" w:color="auto" w:fill="auto"/>
            <w:noWrap/>
            <w:vAlign w:val="center"/>
            <w:hideMark/>
          </w:tcPr>
          <w:p w14:paraId="63B024C0" w14:textId="77777777" w:rsidR="004D311D" w:rsidRPr="004D311D" w:rsidRDefault="004D311D" w:rsidP="004D311D">
            <w:pPr>
              <w:spacing w:after="0" w:line="240" w:lineRule="auto"/>
              <w:jc w:val="center"/>
              <w:rPr>
                <w:rFonts w:ascii="Book Antiqua" w:eastAsia="Times New Roman" w:hAnsi="Book Antiqua" w:cs="Calibri"/>
                <w:color w:val="000000"/>
                <w:sz w:val="20"/>
                <w:szCs w:val="20"/>
                <w:lang w:eastAsia="es-CR"/>
              </w:rPr>
            </w:pPr>
            <w:r w:rsidRPr="004D311D">
              <w:rPr>
                <w:rFonts w:ascii="Times New Roman" w:eastAsia="Times New Roman" w:hAnsi="Times New Roman" w:cs="Times New Roman"/>
                <w:color w:val="000000"/>
                <w:sz w:val="20"/>
                <w:szCs w:val="20"/>
                <w:lang w:eastAsia="es-CR"/>
              </w:rPr>
              <w:t>₡</w:t>
            </w:r>
            <w:r w:rsidRPr="004D311D">
              <w:rPr>
                <w:rFonts w:ascii="Book Antiqua" w:eastAsia="Times New Roman" w:hAnsi="Book Antiqua" w:cs="Calibri"/>
                <w:color w:val="000000"/>
                <w:sz w:val="20"/>
                <w:szCs w:val="20"/>
                <w:lang w:eastAsia="es-CR"/>
              </w:rPr>
              <w:t>30 000 000,00</w:t>
            </w:r>
          </w:p>
        </w:tc>
      </w:tr>
      <w:tr w:rsidR="004D311D" w:rsidRPr="004D311D" w14:paraId="6DA11D3C" w14:textId="77777777" w:rsidTr="004D311D">
        <w:trPr>
          <w:trHeight w:val="300"/>
          <w:jc w:val="center"/>
        </w:trPr>
        <w:tc>
          <w:tcPr>
            <w:tcW w:w="4240" w:type="dxa"/>
            <w:tcBorders>
              <w:top w:val="nil"/>
              <w:left w:val="single" w:sz="8" w:space="0" w:color="auto"/>
              <w:bottom w:val="single" w:sz="8" w:space="0" w:color="auto"/>
              <w:right w:val="single" w:sz="8" w:space="0" w:color="auto"/>
            </w:tcBorders>
            <w:shd w:val="clear" w:color="000000" w:fill="DDEBF7"/>
            <w:vAlign w:val="center"/>
            <w:hideMark/>
          </w:tcPr>
          <w:p w14:paraId="53AB0ECB" w14:textId="77777777" w:rsidR="004D311D" w:rsidRPr="004D311D" w:rsidRDefault="004D311D" w:rsidP="004D311D">
            <w:pPr>
              <w:spacing w:after="0" w:line="240" w:lineRule="auto"/>
              <w:jc w:val="center"/>
              <w:rPr>
                <w:rFonts w:ascii="Book Antiqua" w:eastAsia="Times New Roman" w:hAnsi="Book Antiqua" w:cs="Calibri"/>
                <w:b/>
                <w:bCs/>
                <w:color w:val="000000"/>
                <w:sz w:val="20"/>
                <w:szCs w:val="20"/>
                <w:lang w:eastAsia="es-CR"/>
              </w:rPr>
            </w:pPr>
            <w:r w:rsidRPr="004D311D">
              <w:rPr>
                <w:rFonts w:ascii="Book Antiqua" w:eastAsia="Times New Roman" w:hAnsi="Book Antiqua" w:cs="Calibri"/>
                <w:b/>
                <w:bCs/>
                <w:color w:val="000000"/>
                <w:sz w:val="20"/>
                <w:szCs w:val="20"/>
                <w:lang w:eastAsia="es-CR"/>
              </w:rPr>
              <w:t>Total</w:t>
            </w:r>
          </w:p>
        </w:tc>
        <w:tc>
          <w:tcPr>
            <w:tcW w:w="1780" w:type="dxa"/>
            <w:tcBorders>
              <w:top w:val="nil"/>
              <w:left w:val="nil"/>
              <w:bottom w:val="single" w:sz="8" w:space="0" w:color="auto"/>
              <w:right w:val="single" w:sz="8" w:space="0" w:color="auto"/>
            </w:tcBorders>
            <w:shd w:val="clear" w:color="000000" w:fill="DDEBF7"/>
            <w:vAlign w:val="center"/>
            <w:hideMark/>
          </w:tcPr>
          <w:p w14:paraId="64635E6E" w14:textId="77777777" w:rsidR="004D311D" w:rsidRPr="004D311D" w:rsidRDefault="004D311D" w:rsidP="004D311D">
            <w:pPr>
              <w:spacing w:after="0" w:line="240" w:lineRule="auto"/>
              <w:jc w:val="center"/>
              <w:rPr>
                <w:rFonts w:ascii="Book Antiqua" w:eastAsia="Times New Roman" w:hAnsi="Book Antiqua" w:cs="Calibri"/>
                <w:b/>
                <w:bCs/>
                <w:color w:val="000000"/>
                <w:sz w:val="20"/>
                <w:szCs w:val="20"/>
                <w:lang w:eastAsia="es-CR"/>
              </w:rPr>
            </w:pPr>
            <w:r w:rsidRPr="004D311D">
              <w:rPr>
                <w:rFonts w:ascii="Times New Roman" w:eastAsia="Times New Roman" w:hAnsi="Times New Roman" w:cs="Times New Roman"/>
                <w:b/>
                <w:bCs/>
                <w:color w:val="000000"/>
                <w:sz w:val="20"/>
                <w:szCs w:val="20"/>
                <w:lang w:eastAsia="es-CR"/>
              </w:rPr>
              <w:t>₡</w:t>
            </w:r>
            <w:r w:rsidRPr="004D311D">
              <w:rPr>
                <w:rFonts w:ascii="Book Antiqua" w:eastAsia="Times New Roman" w:hAnsi="Book Antiqua" w:cs="Calibri"/>
                <w:b/>
                <w:bCs/>
                <w:color w:val="000000"/>
                <w:sz w:val="20"/>
                <w:szCs w:val="20"/>
                <w:lang w:eastAsia="es-CR"/>
              </w:rPr>
              <w:t>78 109 684,50</w:t>
            </w:r>
          </w:p>
        </w:tc>
        <w:tc>
          <w:tcPr>
            <w:tcW w:w="2440" w:type="dxa"/>
            <w:tcBorders>
              <w:top w:val="nil"/>
              <w:left w:val="nil"/>
              <w:bottom w:val="single" w:sz="8" w:space="0" w:color="auto"/>
              <w:right w:val="single" w:sz="8" w:space="0" w:color="auto"/>
            </w:tcBorders>
            <w:shd w:val="clear" w:color="000000" w:fill="DDEBF7"/>
            <w:vAlign w:val="center"/>
            <w:hideMark/>
          </w:tcPr>
          <w:p w14:paraId="532A9640" w14:textId="77777777" w:rsidR="004D311D" w:rsidRPr="004D311D" w:rsidRDefault="004D311D" w:rsidP="004D311D">
            <w:pPr>
              <w:spacing w:after="0" w:line="240" w:lineRule="auto"/>
              <w:jc w:val="center"/>
              <w:rPr>
                <w:rFonts w:ascii="Book Antiqua" w:eastAsia="Times New Roman" w:hAnsi="Book Antiqua" w:cs="Calibri"/>
                <w:b/>
                <w:bCs/>
                <w:color w:val="000000"/>
                <w:sz w:val="20"/>
                <w:szCs w:val="20"/>
                <w:lang w:eastAsia="es-CR"/>
              </w:rPr>
            </w:pPr>
            <w:r w:rsidRPr="004D311D">
              <w:rPr>
                <w:rFonts w:ascii="Times New Roman" w:eastAsia="Times New Roman" w:hAnsi="Times New Roman" w:cs="Times New Roman"/>
                <w:b/>
                <w:bCs/>
                <w:color w:val="000000"/>
                <w:sz w:val="20"/>
                <w:szCs w:val="20"/>
                <w:lang w:eastAsia="es-CR"/>
              </w:rPr>
              <w:t>₡</w:t>
            </w:r>
            <w:r w:rsidRPr="004D311D">
              <w:rPr>
                <w:rFonts w:ascii="Book Antiqua" w:eastAsia="Times New Roman" w:hAnsi="Book Antiqua" w:cs="Calibri"/>
                <w:b/>
                <w:bCs/>
                <w:color w:val="000000"/>
                <w:sz w:val="20"/>
                <w:szCs w:val="20"/>
                <w:lang w:eastAsia="es-CR"/>
              </w:rPr>
              <w:t>2 871 339 060,36</w:t>
            </w:r>
          </w:p>
        </w:tc>
        <w:tc>
          <w:tcPr>
            <w:tcW w:w="2220" w:type="dxa"/>
            <w:tcBorders>
              <w:top w:val="nil"/>
              <w:left w:val="nil"/>
              <w:bottom w:val="single" w:sz="8" w:space="0" w:color="auto"/>
              <w:right w:val="single" w:sz="8" w:space="0" w:color="auto"/>
            </w:tcBorders>
            <w:shd w:val="clear" w:color="000000" w:fill="DDEBF7"/>
            <w:vAlign w:val="center"/>
            <w:hideMark/>
          </w:tcPr>
          <w:p w14:paraId="23D2EB7F" w14:textId="77777777" w:rsidR="004D311D" w:rsidRPr="004D311D" w:rsidRDefault="004D311D" w:rsidP="004D311D">
            <w:pPr>
              <w:spacing w:after="0" w:line="240" w:lineRule="auto"/>
              <w:jc w:val="center"/>
              <w:rPr>
                <w:rFonts w:ascii="Book Antiqua" w:eastAsia="Times New Roman" w:hAnsi="Book Antiqua" w:cs="Calibri"/>
                <w:b/>
                <w:bCs/>
                <w:color w:val="000000"/>
                <w:sz w:val="20"/>
                <w:szCs w:val="20"/>
                <w:lang w:eastAsia="es-CR"/>
              </w:rPr>
            </w:pPr>
            <w:r w:rsidRPr="004D311D">
              <w:rPr>
                <w:rFonts w:ascii="Times New Roman" w:eastAsia="Times New Roman" w:hAnsi="Times New Roman" w:cs="Times New Roman"/>
                <w:b/>
                <w:bCs/>
                <w:color w:val="000000"/>
                <w:sz w:val="20"/>
                <w:szCs w:val="20"/>
                <w:lang w:eastAsia="es-CR"/>
              </w:rPr>
              <w:t>₡</w:t>
            </w:r>
            <w:r w:rsidRPr="004D311D">
              <w:rPr>
                <w:rFonts w:ascii="Book Antiqua" w:eastAsia="Times New Roman" w:hAnsi="Book Antiqua" w:cs="Calibri"/>
                <w:b/>
                <w:bCs/>
                <w:color w:val="000000"/>
                <w:sz w:val="20"/>
                <w:szCs w:val="20"/>
                <w:lang w:eastAsia="es-CR"/>
              </w:rPr>
              <w:t>2 949 448 744,86</w:t>
            </w:r>
          </w:p>
        </w:tc>
      </w:tr>
    </w:tbl>
    <w:p w14:paraId="17627C3C" w14:textId="77777777" w:rsidR="00CE564A" w:rsidRDefault="00CE564A" w:rsidP="003E3E77">
      <w:pPr>
        <w:pStyle w:val="Ttulo"/>
        <w:spacing w:line="276" w:lineRule="auto"/>
        <w:ind w:left="720"/>
        <w:jc w:val="both"/>
        <w:rPr>
          <w:rFonts w:eastAsia="Calibri" w:cs="Arial"/>
          <w:b w:val="0"/>
          <w:color w:val="auto"/>
          <w:spacing w:val="0"/>
          <w:szCs w:val="24"/>
          <w:lang w:val="es-CR" w:eastAsia="en-US"/>
        </w:rPr>
      </w:pPr>
    </w:p>
    <w:p w14:paraId="31C7B234" w14:textId="27C793E4" w:rsidR="00480A87" w:rsidRDefault="00480A87" w:rsidP="009D2B4A">
      <w:pPr>
        <w:pStyle w:val="Ttulo"/>
        <w:numPr>
          <w:ilvl w:val="1"/>
          <w:numId w:val="53"/>
        </w:numPr>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t>Aprobar como plan de trabajo de enero a setiembre 2024 la implementación de un plan de trabajo para la atención especializada de las Apelaciones de Pensiones Alimentarias</w:t>
      </w:r>
      <w:r w:rsidR="00F3699F">
        <w:rPr>
          <w:rFonts w:eastAsia="Calibri" w:cs="Arial"/>
          <w:b w:val="0"/>
          <w:color w:val="auto"/>
          <w:spacing w:val="0"/>
          <w:szCs w:val="24"/>
          <w:lang w:val="es-CR" w:eastAsia="en-US"/>
        </w:rPr>
        <w:t xml:space="preserve"> a</w:t>
      </w:r>
      <w:r>
        <w:rPr>
          <w:rFonts w:eastAsia="Calibri" w:cs="Arial"/>
          <w:b w:val="0"/>
          <w:color w:val="auto"/>
          <w:spacing w:val="0"/>
          <w:szCs w:val="24"/>
          <w:lang w:val="es-CR" w:eastAsia="en-US"/>
        </w:rPr>
        <w:t xml:space="preserve"> nivel nacional. Por 2023 se planteará el inicio de la fase 1 de ese plan (informe en consulta 1122-PLA-MI(NPL)-2022 y 156-</w:t>
      </w:r>
      <w:r w:rsidRPr="00480A87">
        <w:rPr>
          <w:rFonts w:eastAsia="Calibri" w:cs="Arial"/>
          <w:b w:val="0"/>
          <w:color w:val="auto"/>
          <w:spacing w:val="0"/>
          <w:szCs w:val="24"/>
          <w:lang w:val="es-CR" w:eastAsia="en-US"/>
        </w:rPr>
        <w:t xml:space="preserve"> </w:t>
      </w:r>
      <w:r>
        <w:rPr>
          <w:rFonts w:eastAsia="Calibri" w:cs="Arial"/>
          <w:b w:val="0"/>
          <w:color w:val="auto"/>
          <w:spacing w:val="0"/>
          <w:szCs w:val="24"/>
          <w:lang w:val="es-CR" w:eastAsia="en-US"/>
        </w:rPr>
        <w:t>PLA-MI(NPL)-2023).</w:t>
      </w:r>
    </w:p>
    <w:p w14:paraId="5EAC3264" w14:textId="77777777" w:rsidR="00D95C33" w:rsidRDefault="00D95C33" w:rsidP="00D95C33">
      <w:pPr>
        <w:pStyle w:val="Ttulo"/>
        <w:spacing w:line="276" w:lineRule="auto"/>
        <w:jc w:val="both"/>
        <w:rPr>
          <w:rFonts w:eastAsia="Calibri" w:cs="Arial"/>
          <w:b w:val="0"/>
          <w:color w:val="auto"/>
          <w:spacing w:val="0"/>
          <w:szCs w:val="24"/>
          <w:lang w:val="es-CR" w:eastAsia="en-US"/>
        </w:rPr>
      </w:pPr>
    </w:p>
    <w:p w14:paraId="1BFCF284" w14:textId="391012CD" w:rsidR="00434059" w:rsidRPr="001338C9" w:rsidRDefault="00DB71EB" w:rsidP="00DB71EB">
      <w:pPr>
        <w:pStyle w:val="Ttulo"/>
        <w:spacing w:line="276" w:lineRule="auto"/>
        <w:jc w:val="both"/>
        <w:rPr>
          <w:bCs/>
          <w:color w:val="auto"/>
          <w:szCs w:val="24"/>
        </w:rPr>
      </w:pPr>
      <w:r w:rsidRPr="00D9097D">
        <w:rPr>
          <w:rFonts w:eastAsia="Calibri" w:cs="Arial"/>
          <w:b w:val="0"/>
          <w:color w:val="auto"/>
          <w:spacing w:val="0"/>
          <w:szCs w:val="24"/>
          <w:lang w:val="es-CR" w:eastAsia="en-US"/>
        </w:rPr>
        <w:t xml:space="preserve">Según lo consignado en el informe 314-PLA-MI-RH-2022 denominado: </w:t>
      </w:r>
      <w:r w:rsidR="00434059" w:rsidRPr="001338C9">
        <w:rPr>
          <w:b w:val="0"/>
          <w:color w:val="auto"/>
          <w:szCs w:val="24"/>
        </w:rPr>
        <w:t>314-PLA-MI-RH-2022 con el análisis del “Impacto organizacional y presupuestario en el Poder Judicial a partir de la promulgación del Código Procesal de Familia para el 2023</w:t>
      </w:r>
      <w:r w:rsidRPr="00D9097D">
        <w:rPr>
          <w:rFonts w:eastAsia="Calibri" w:cs="Arial"/>
          <w:b w:val="0"/>
          <w:color w:val="auto"/>
          <w:spacing w:val="0"/>
          <w:szCs w:val="24"/>
          <w:lang w:val="es-CR" w:eastAsia="en-US"/>
        </w:rPr>
        <w:t xml:space="preserve">, </w:t>
      </w:r>
      <w:r w:rsidR="00434059" w:rsidRPr="00D9097D">
        <w:rPr>
          <w:rFonts w:eastAsia="Calibri" w:cs="Arial"/>
          <w:b w:val="0"/>
          <w:color w:val="auto"/>
          <w:spacing w:val="0"/>
          <w:szCs w:val="24"/>
          <w:lang w:val="es-CR" w:eastAsia="en-US"/>
        </w:rPr>
        <w:t xml:space="preserve">conocido por la </w:t>
      </w:r>
      <w:r w:rsidR="00434059" w:rsidRPr="001338C9">
        <w:rPr>
          <w:b w:val="0"/>
          <w:color w:val="auto"/>
          <w:szCs w:val="24"/>
        </w:rPr>
        <w:t>la Corte Plena en sesión extraordinaria 25-2022 celebrada el 30 de mayo de 2022, artículo VIII, sesión 27-2022 celebrada el 01 de junio de 2022, artículo II</w:t>
      </w:r>
      <w:r w:rsidR="00C20380" w:rsidRPr="001338C9">
        <w:rPr>
          <w:bCs/>
          <w:color w:val="auto"/>
          <w:szCs w:val="24"/>
        </w:rPr>
        <w:t xml:space="preserve">, </w:t>
      </w:r>
      <w:r w:rsidR="00C20380" w:rsidRPr="001338C9">
        <w:rPr>
          <w:bCs/>
          <w:color w:val="auto"/>
          <w:szCs w:val="24"/>
          <w:shd w:val="clear" w:color="auto" w:fill="E2EFD9" w:themeFill="accent6" w:themeFillTint="33"/>
        </w:rPr>
        <w:t xml:space="preserve">resulta necesario reiterar las siguientes recomendaciones debido a que según lo dispuesto </w:t>
      </w:r>
      <w:r w:rsidR="00D9097D">
        <w:rPr>
          <w:bCs/>
          <w:color w:val="auto"/>
          <w:szCs w:val="24"/>
          <w:shd w:val="clear" w:color="auto" w:fill="E2EFD9" w:themeFill="accent6" w:themeFillTint="33"/>
        </w:rPr>
        <w:t>en</w:t>
      </w:r>
      <w:r w:rsidR="00C20380" w:rsidRPr="001338C9">
        <w:rPr>
          <w:bCs/>
          <w:color w:val="auto"/>
          <w:szCs w:val="24"/>
          <w:shd w:val="clear" w:color="auto" w:fill="E2EFD9" w:themeFill="accent6" w:themeFillTint="33"/>
        </w:rPr>
        <w:t xml:space="preserve"> el acuerdo, no se logra un pronunciamiento de la Corte Plena en cuanto a las recomendaciones que </w:t>
      </w:r>
      <w:r w:rsidR="003164F0" w:rsidRPr="001338C9">
        <w:rPr>
          <w:bCs/>
          <w:color w:val="auto"/>
          <w:szCs w:val="24"/>
          <w:shd w:val="clear" w:color="auto" w:fill="E2EFD9" w:themeFill="accent6" w:themeFillTint="33"/>
        </w:rPr>
        <w:t>solicitan un cambio de competencia territorial, así como otras recomendaciones que competen a este órgano su aprobación</w:t>
      </w:r>
      <w:r w:rsidR="00434059" w:rsidRPr="001338C9">
        <w:rPr>
          <w:bCs/>
          <w:color w:val="auto"/>
          <w:szCs w:val="24"/>
          <w:shd w:val="clear" w:color="auto" w:fill="E2EFD9" w:themeFill="accent6" w:themeFillTint="33"/>
        </w:rPr>
        <w:t>.</w:t>
      </w:r>
    </w:p>
    <w:p w14:paraId="29B5210A" w14:textId="77777777" w:rsidR="00434059" w:rsidRDefault="00434059" w:rsidP="00DB71EB">
      <w:pPr>
        <w:pStyle w:val="Ttulo"/>
        <w:spacing w:line="276" w:lineRule="auto"/>
        <w:jc w:val="both"/>
        <w:rPr>
          <w:szCs w:val="24"/>
        </w:rPr>
      </w:pPr>
    </w:p>
    <w:p w14:paraId="53B0FE29" w14:textId="77777777" w:rsidR="00D95C33" w:rsidRDefault="00D95C33" w:rsidP="001338C9">
      <w:pPr>
        <w:pStyle w:val="Ttulo"/>
        <w:spacing w:line="276" w:lineRule="auto"/>
        <w:jc w:val="both"/>
        <w:rPr>
          <w:rFonts w:eastAsia="Calibri" w:cs="Arial"/>
          <w:b w:val="0"/>
          <w:color w:val="auto"/>
          <w:spacing w:val="0"/>
          <w:szCs w:val="24"/>
          <w:lang w:val="es-CR" w:eastAsia="en-US"/>
        </w:rPr>
      </w:pPr>
    </w:p>
    <w:p w14:paraId="7A48F540" w14:textId="73D03949" w:rsidR="00420D75" w:rsidRDefault="003547F3" w:rsidP="009D2B4A">
      <w:pPr>
        <w:pStyle w:val="Ttulo"/>
        <w:numPr>
          <w:ilvl w:val="1"/>
          <w:numId w:val="53"/>
        </w:numPr>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t xml:space="preserve">Aprobar el cambio de competencia para acercar la justicia en </w:t>
      </w:r>
      <w:r w:rsidR="005D4C41">
        <w:rPr>
          <w:rFonts w:eastAsia="Calibri" w:cs="Arial"/>
          <w:b w:val="0"/>
          <w:color w:val="auto"/>
          <w:spacing w:val="0"/>
          <w:szCs w:val="24"/>
          <w:lang w:val="es-CR" w:eastAsia="en-US"/>
        </w:rPr>
        <w:t>el Juzgado Civil, Trabajo y Familia de Puriscal, Juzgado de Familia de Cartago</w:t>
      </w:r>
      <w:r w:rsidR="008236FA">
        <w:rPr>
          <w:rFonts w:eastAsia="Calibri" w:cs="Arial"/>
          <w:b w:val="0"/>
          <w:color w:val="auto"/>
          <w:spacing w:val="0"/>
          <w:szCs w:val="24"/>
          <w:lang w:val="es-CR" w:eastAsia="en-US"/>
        </w:rPr>
        <w:t xml:space="preserve">, en Niñez y Adolescencia, a partir de la aprobación de este informe. </w:t>
      </w:r>
      <w:r w:rsidR="008236FA" w:rsidRPr="001338C9">
        <w:rPr>
          <w:rFonts w:eastAsia="Calibri" w:cs="Arial"/>
          <w:bCs/>
          <w:color w:val="auto"/>
          <w:spacing w:val="0"/>
          <w:szCs w:val="24"/>
          <w:u w:val="single"/>
          <w:lang w:val="es-CR" w:eastAsia="en-US"/>
        </w:rPr>
        <w:t>No se requiere de la entrada en vigencia de la Ley 9747 para aplicar este cambio</w:t>
      </w:r>
      <w:r w:rsidR="0048034B" w:rsidRPr="001338C9">
        <w:rPr>
          <w:rFonts w:eastAsia="Calibri" w:cs="Arial"/>
          <w:bCs/>
          <w:color w:val="auto"/>
          <w:spacing w:val="0"/>
          <w:szCs w:val="24"/>
          <w:u w:val="single"/>
          <w:lang w:val="es-CR" w:eastAsia="en-US"/>
        </w:rPr>
        <w:t>.</w:t>
      </w:r>
    </w:p>
    <w:p w14:paraId="28B45771" w14:textId="0DB3DC98" w:rsidR="00E97CBE" w:rsidRDefault="00BC2BF4" w:rsidP="00612E7C">
      <w:pPr>
        <w:pStyle w:val="Ttulo"/>
        <w:spacing w:line="276" w:lineRule="auto"/>
        <w:ind w:left="720"/>
        <w:jc w:val="both"/>
        <w:rPr>
          <w:rFonts w:eastAsia="Calibri" w:cs="Arial"/>
          <w:b w:val="0"/>
          <w:color w:val="auto"/>
          <w:spacing w:val="0"/>
          <w:szCs w:val="24"/>
          <w:lang w:val="es-CR" w:eastAsia="en-US"/>
        </w:rPr>
      </w:pPr>
      <w:r>
        <w:rPr>
          <w:rFonts w:eastAsia="Calibri" w:cs="Arial"/>
          <w:b w:val="0"/>
          <w:color w:val="auto"/>
          <w:spacing w:val="0"/>
          <w:szCs w:val="24"/>
          <w:lang w:val="es-CR" w:eastAsia="en-US"/>
        </w:rPr>
        <w:t>La propuesta es que se comunique que los asuntos nuevos y circulante de Niñez y Adolescencia, excepto los que tienen fecha de señalamiento</w:t>
      </w:r>
      <w:r w:rsidR="008A2EEE">
        <w:rPr>
          <w:rFonts w:eastAsia="Calibri" w:cs="Arial"/>
          <w:b w:val="0"/>
          <w:color w:val="auto"/>
          <w:spacing w:val="0"/>
          <w:szCs w:val="24"/>
          <w:lang w:val="es-CR" w:eastAsia="en-US"/>
        </w:rPr>
        <w:t>, de Puriscal, Tarrazú, Dota y León Cortés, se conozcan a partir “x” fecha (acuerdo de corte plena)</w:t>
      </w:r>
      <w:r w:rsidR="006E694D">
        <w:rPr>
          <w:rFonts w:eastAsia="Calibri" w:cs="Arial"/>
          <w:b w:val="0"/>
          <w:color w:val="auto"/>
          <w:spacing w:val="0"/>
          <w:szCs w:val="24"/>
          <w:lang w:val="es-CR" w:eastAsia="en-US"/>
        </w:rPr>
        <w:t xml:space="preserve"> en los Juzgados Civil, Trabajo y Familia de Puriscal y Juzgado de Familia de Cartago</w:t>
      </w:r>
      <w:r w:rsidR="00716C37">
        <w:rPr>
          <w:rFonts w:eastAsia="Calibri" w:cs="Arial"/>
          <w:b w:val="0"/>
          <w:color w:val="auto"/>
          <w:spacing w:val="0"/>
          <w:szCs w:val="24"/>
          <w:lang w:val="es-CR" w:eastAsia="en-US"/>
        </w:rPr>
        <w:t>, respectivamente, excepto los que tienen audiencias señaladas. Para completar</w:t>
      </w:r>
      <w:r w:rsidR="00957998">
        <w:rPr>
          <w:rFonts w:eastAsia="Calibri" w:cs="Arial"/>
          <w:b w:val="0"/>
          <w:color w:val="auto"/>
          <w:spacing w:val="0"/>
          <w:szCs w:val="24"/>
          <w:lang w:val="es-CR" w:eastAsia="en-US"/>
        </w:rPr>
        <w:t xml:space="preserve"> esta acción en el caso de ser aprobada, la Dirección de Planificación coordinará con ambos despachos para la itineración de </w:t>
      </w:r>
      <w:r w:rsidR="005D030D">
        <w:rPr>
          <w:rFonts w:eastAsia="Calibri" w:cs="Arial"/>
          <w:b w:val="0"/>
          <w:color w:val="auto"/>
          <w:spacing w:val="0"/>
          <w:szCs w:val="24"/>
          <w:lang w:val="es-CR" w:eastAsia="en-US"/>
        </w:rPr>
        <w:t>los expedientes.</w:t>
      </w:r>
    </w:p>
    <w:p w14:paraId="1625F488" w14:textId="7AB9ABD8" w:rsidR="00A0457A" w:rsidRDefault="00A0457A" w:rsidP="00612E7C">
      <w:pPr>
        <w:pStyle w:val="Ttulo"/>
        <w:spacing w:line="276" w:lineRule="auto"/>
        <w:ind w:left="720"/>
        <w:jc w:val="both"/>
        <w:rPr>
          <w:rFonts w:eastAsia="Calibri" w:cs="Arial"/>
          <w:b w:val="0"/>
          <w:color w:val="auto"/>
          <w:spacing w:val="0"/>
          <w:szCs w:val="24"/>
          <w:lang w:val="es-CR" w:eastAsia="en-US"/>
        </w:rPr>
      </w:pPr>
      <w:r w:rsidRPr="00A0457A">
        <w:rPr>
          <w:rFonts w:eastAsia="Calibri" w:cs="Arial"/>
          <w:b w:val="0"/>
          <w:color w:val="auto"/>
          <w:spacing w:val="0"/>
          <w:szCs w:val="24"/>
          <w:lang w:val="es-CR" w:eastAsia="en-US"/>
        </w:rPr>
        <w:t>En el caso de ser aprobada esta recomendación, debe reemplazarse la circular 131-18.</w:t>
      </w:r>
    </w:p>
    <w:p w14:paraId="64381B6C" w14:textId="1A648BC2" w:rsidR="00391C8F" w:rsidRPr="00480A87" w:rsidRDefault="00484D38" w:rsidP="009D2B4A">
      <w:pPr>
        <w:pStyle w:val="Ttulo"/>
        <w:numPr>
          <w:ilvl w:val="1"/>
          <w:numId w:val="53"/>
        </w:numPr>
        <w:spacing w:line="276" w:lineRule="auto"/>
        <w:jc w:val="both"/>
        <w:rPr>
          <w:rFonts w:eastAsia="Calibri" w:cs="Arial"/>
          <w:b w:val="0"/>
          <w:color w:val="auto"/>
          <w:spacing w:val="0"/>
          <w:szCs w:val="24"/>
          <w:lang w:val="es-CR" w:eastAsia="en-US"/>
        </w:rPr>
      </w:pPr>
      <w:bookmarkStart w:id="99" w:name="_Hlk128695054"/>
      <w:bookmarkEnd w:id="98"/>
      <w:r w:rsidRPr="00480A87">
        <w:rPr>
          <w:rFonts w:eastAsia="Calibri" w:cs="Arial"/>
          <w:b w:val="0"/>
          <w:color w:val="auto"/>
          <w:spacing w:val="0"/>
          <w:szCs w:val="24"/>
          <w:lang w:val="es-CR" w:eastAsia="en-US"/>
        </w:rPr>
        <w:t xml:space="preserve">Reiterar </w:t>
      </w:r>
      <w:r w:rsidR="0047232A" w:rsidRPr="00480A87">
        <w:rPr>
          <w:rFonts w:eastAsia="Calibri" w:cs="Arial"/>
          <w:b w:val="0"/>
          <w:color w:val="auto"/>
          <w:spacing w:val="0"/>
          <w:szCs w:val="24"/>
          <w:lang w:val="es-CR" w:eastAsia="en-US"/>
        </w:rPr>
        <w:t>a la Comisión de la Jurisdicción de Familia, Dirección Ejecutiva,</w:t>
      </w:r>
      <w:r w:rsidR="006B2621" w:rsidRPr="00480A87">
        <w:rPr>
          <w:rFonts w:eastAsia="Calibri" w:cs="Arial"/>
          <w:b w:val="0"/>
          <w:color w:val="auto"/>
          <w:spacing w:val="0"/>
          <w:szCs w:val="24"/>
          <w:lang w:val="es-CR" w:eastAsia="en-US"/>
        </w:rPr>
        <w:t xml:space="preserve"> Dirección Jurídica,</w:t>
      </w:r>
      <w:r w:rsidR="0047232A" w:rsidRPr="00480A87">
        <w:rPr>
          <w:rFonts w:eastAsia="Calibri" w:cs="Arial"/>
          <w:b w:val="0"/>
          <w:color w:val="auto"/>
          <w:spacing w:val="0"/>
          <w:szCs w:val="24"/>
          <w:lang w:val="es-CR" w:eastAsia="en-US"/>
        </w:rPr>
        <w:t xml:space="preserve"> presentar </w:t>
      </w:r>
      <w:r w:rsidR="00566189" w:rsidRPr="00480A87">
        <w:rPr>
          <w:rFonts w:eastAsia="Calibri" w:cs="Arial"/>
          <w:b w:val="0"/>
          <w:color w:val="auto"/>
          <w:spacing w:val="0"/>
          <w:szCs w:val="24"/>
          <w:lang w:val="es-CR" w:eastAsia="en-US"/>
        </w:rPr>
        <w:t xml:space="preserve">a la mayor brevedad </w:t>
      </w:r>
      <w:r w:rsidR="0047232A" w:rsidRPr="00480A87">
        <w:rPr>
          <w:rFonts w:eastAsia="Calibri" w:cs="Arial"/>
          <w:b w:val="0"/>
          <w:color w:val="auto"/>
          <w:spacing w:val="0"/>
          <w:szCs w:val="24"/>
          <w:lang w:val="es-CR" w:eastAsia="en-US"/>
        </w:rPr>
        <w:t xml:space="preserve">a Corte Plena </w:t>
      </w:r>
      <w:r w:rsidR="00566189" w:rsidRPr="00480A87">
        <w:rPr>
          <w:rFonts w:eastAsia="Calibri" w:cs="Arial"/>
          <w:b w:val="0"/>
          <w:color w:val="auto"/>
          <w:spacing w:val="0"/>
          <w:szCs w:val="24"/>
          <w:lang w:val="es-CR" w:eastAsia="en-US"/>
        </w:rPr>
        <w:t>para aprobación,</w:t>
      </w:r>
      <w:r w:rsidR="001614AA" w:rsidRPr="00480A87">
        <w:rPr>
          <w:rFonts w:eastAsia="Calibri" w:cs="Arial"/>
          <w:b w:val="0"/>
          <w:color w:val="auto"/>
          <w:spacing w:val="0"/>
          <w:szCs w:val="24"/>
          <w:lang w:val="es-CR" w:eastAsia="en-US"/>
        </w:rPr>
        <w:t xml:space="preserve"> conforme lo aprobado por el Consejo Superior en sesiones </w:t>
      </w:r>
      <w:r w:rsidR="00DA423C" w:rsidRPr="00480A87">
        <w:rPr>
          <w:rFonts w:eastAsia="Calibri" w:cs="Arial"/>
          <w:b w:val="0"/>
          <w:color w:val="auto"/>
          <w:spacing w:val="0"/>
          <w:szCs w:val="24"/>
          <w:lang w:val="es-CR" w:eastAsia="en-US"/>
        </w:rPr>
        <w:t xml:space="preserve">119-2020 celebrada el 15 de diciembre de 2020, artículo LXVI y 79-2021 celebrada el 9 de setiembre de 2021, </w:t>
      </w:r>
      <w:r w:rsidR="007713CD" w:rsidRPr="00480A87">
        <w:rPr>
          <w:rFonts w:eastAsia="Calibri" w:cs="Arial"/>
          <w:b w:val="0"/>
          <w:color w:val="auto"/>
          <w:spacing w:val="0"/>
          <w:szCs w:val="24"/>
          <w:lang w:val="es-CR" w:eastAsia="en-US"/>
        </w:rPr>
        <w:t>artículo</w:t>
      </w:r>
      <w:r w:rsidR="00DA423C" w:rsidRPr="00480A87">
        <w:rPr>
          <w:rFonts w:eastAsia="Calibri" w:cs="Arial"/>
          <w:b w:val="0"/>
          <w:color w:val="auto"/>
          <w:spacing w:val="0"/>
          <w:szCs w:val="24"/>
          <w:lang w:val="es-CR" w:eastAsia="en-US"/>
        </w:rPr>
        <w:t xml:space="preserve"> XXXIX</w:t>
      </w:r>
      <w:r w:rsidR="001614AA" w:rsidRPr="00480A87">
        <w:rPr>
          <w:rFonts w:eastAsia="Calibri" w:cs="Arial"/>
          <w:b w:val="0"/>
          <w:color w:val="auto"/>
          <w:spacing w:val="0"/>
          <w:szCs w:val="24"/>
          <w:lang w:val="es-CR" w:eastAsia="en-US"/>
        </w:rPr>
        <w:t>,</w:t>
      </w:r>
      <w:r w:rsidR="0081043E" w:rsidRPr="00480A87">
        <w:rPr>
          <w:rFonts w:eastAsia="Calibri" w:cs="Arial"/>
          <w:b w:val="0"/>
          <w:color w:val="auto"/>
          <w:spacing w:val="0"/>
          <w:szCs w:val="24"/>
          <w:lang w:val="es-CR" w:eastAsia="en-US"/>
        </w:rPr>
        <w:t xml:space="preserve"> </w:t>
      </w:r>
      <w:r w:rsidR="00391C8F" w:rsidRPr="00480A87">
        <w:rPr>
          <w:rFonts w:eastAsia="Calibri" w:cs="Arial"/>
          <w:b w:val="0"/>
          <w:color w:val="auto"/>
          <w:spacing w:val="0"/>
          <w:szCs w:val="24"/>
          <w:lang w:val="es-CR" w:eastAsia="en-US"/>
        </w:rPr>
        <w:t>el reglament</w:t>
      </w:r>
      <w:r w:rsidR="007D60D8" w:rsidRPr="00480A87">
        <w:rPr>
          <w:rFonts w:eastAsia="Calibri" w:cs="Arial"/>
          <w:b w:val="0"/>
          <w:color w:val="auto"/>
          <w:spacing w:val="0"/>
          <w:szCs w:val="24"/>
          <w:lang w:val="es-CR" w:eastAsia="en-US"/>
        </w:rPr>
        <w:t>o</w:t>
      </w:r>
      <w:r w:rsidR="00391C8F" w:rsidRPr="00480A87">
        <w:rPr>
          <w:rFonts w:eastAsia="Calibri" w:cs="Arial"/>
          <w:b w:val="0"/>
          <w:color w:val="auto"/>
          <w:spacing w:val="0"/>
          <w:szCs w:val="24"/>
          <w:lang w:val="es-CR" w:eastAsia="en-US"/>
        </w:rPr>
        <w:t xml:space="preserve"> para la </w:t>
      </w:r>
      <w:r w:rsidR="007D60D8" w:rsidRPr="00480A87">
        <w:rPr>
          <w:rFonts w:eastAsia="Calibri" w:cs="Arial"/>
          <w:b w:val="0"/>
          <w:color w:val="auto"/>
          <w:spacing w:val="0"/>
          <w:szCs w:val="24"/>
          <w:lang w:val="es-CR" w:eastAsia="en-US"/>
        </w:rPr>
        <w:t>operativización</w:t>
      </w:r>
      <w:r w:rsidR="00391C8F" w:rsidRPr="00480A87">
        <w:rPr>
          <w:rFonts w:eastAsia="Calibri" w:cs="Arial"/>
          <w:b w:val="0"/>
          <w:color w:val="auto"/>
          <w:spacing w:val="0"/>
          <w:szCs w:val="24"/>
          <w:lang w:val="es-CR" w:eastAsia="en-US"/>
        </w:rPr>
        <w:t xml:space="preserve"> del artículo 2</w:t>
      </w:r>
      <w:r w:rsidR="001E064B" w:rsidRPr="00480A87">
        <w:rPr>
          <w:rFonts w:eastAsia="Calibri" w:cs="Arial"/>
          <w:b w:val="0"/>
          <w:color w:val="auto"/>
          <w:spacing w:val="0"/>
          <w:szCs w:val="24"/>
          <w:lang w:val="es-CR" w:eastAsia="en-US"/>
        </w:rPr>
        <w:t>86</w:t>
      </w:r>
      <w:r w:rsidR="00391C8F" w:rsidRPr="00480A87">
        <w:rPr>
          <w:rFonts w:eastAsia="Calibri" w:cs="Arial"/>
          <w:b w:val="0"/>
          <w:color w:val="auto"/>
          <w:spacing w:val="0"/>
          <w:szCs w:val="24"/>
          <w:lang w:val="es-CR" w:eastAsia="en-US"/>
        </w:rPr>
        <w:t xml:space="preserve"> de la Ley 9747 </w:t>
      </w:r>
      <w:r w:rsidRPr="00480A87">
        <w:rPr>
          <w:rFonts w:eastAsia="Calibri" w:cs="Arial"/>
          <w:b w:val="0"/>
          <w:color w:val="auto"/>
          <w:spacing w:val="0"/>
          <w:szCs w:val="24"/>
          <w:lang w:val="es-CR" w:eastAsia="en-US"/>
        </w:rPr>
        <w:t xml:space="preserve"> o bien la propuesta de reforma legal para esta norma:  El artículo 286 </w:t>
      </w:r>
      <w:r w:rsidR="00391C8F" w:rsidRPr="00480A87">
        <w:rPr>
          <w:rFonts w:eastAsia="Calibri" w:cs="Arial"/>
          <w:b w:val="0"/>
          <w:color w:val="auto"/>
          <w:spacing w:val="0"/>
          <w:szCs w:val="24"/>
          <w:lang w:val="es-CR" w:eastAsia="en-US"/>
        </w:rPr>
        <w:t>dispone</w:t>
      </w:r>
      <w:r w:rsidRPr="00480A87">
        <w:rPr>
          <w:rFonts w:eastAsia="Calibri" w:cs="Arial"/>
          <w:b w:val="0"/>
          <w:color w:val="auto"/>
          <w:spacing w:val="0"/>
          <w:szCs w:val="24"/>
          <w:lang w:val="es-CR" w:eastAsia="en-US"/>
        </w:rPr>
        <w:t xml:space="preserve"> actualmente</w:t>
      </w:r>
      <w:r w:rsidR="00391C8F" w:rsidRPr="00480A87">
        <w:rPr>
          <w:rFonts w:eastAsia="Calibri" w:cs="Arial"/>
          <w:b w:val="0"/>
          <w:color w:val="auto"/>
          <w:spacing w:val="0"/>
          <w:szCs w:val="24"/>
          <w:lang w:val="es-CR" w:eastAsia="en-US"/>
        </w:rPr>
        <w:t>:</w:t>
      </w:r>
    </w:p>
    <w:bookmarkEnd w:id="99"/>
    <w:p w14:paraId="6C4F8306" w14:textId="77777777" w:rsidR="00391C8F" w:rsidRPr="00F3699F" w:rsidRDefault="00391C8F" w:rsidP="00F3699F">
      <w:pPr>
        <w:spacing w:line="276" w:lineRule="auto"/>
        <w:ind w:left="1134" w:right="616"/>
        <w:jc w:val="both"/>
        <w:rPr>
          <w:rFonts w:ascii="Book Antiqua" w:hAnsi="Book Antiqua" w:cs="Arial"/>
          <w:i/>
          <w:iCs/>
          <w:sz w:val="20"/>
          <w:szCs w:val="20"/>
        </w:rPr>
      </w:pPr>
      <w:r w:rsidRPr="00F3699F">
        <w:rPr>
          <w:rFonts w:ascii="Book Antiqua" w:hAnsi="Book Antiqua" w:cs="Arial"/>
          <w:i/>
          <w:iCs/>
          <w:sz w:val="20"/>
          <w:szCs w:val="20"/>
        </w:rPr>
        <w:t>“</w:t>
      </w:r>
      <w:r w:rsidRPr="00F3699F">
        <w:rPr>
          <w:rFonts w:ascii="Book Antiqua" w:hAnsi="Book Antiqua" w:cs="Arial"/>
          <w:b/>
          <w:bCs/>
          <w:i/>
          <w:iCs/>
          <w:sz w:val="20"/>
          <w:szCs w:val="20"/>
        </w:rPr>
        <w:t>Artículo 286- Fondo para el pago transitorio de la obligación alimentaria.</w:t>
      </w:r>
      <w:r w:rsidRPr="00F3699F">
        <w:rPr>
          <w:rFonts w:ascii="Book Antiqua" w:hAnsi="Book Antiqua" w:cs="Arial"/>
          <w:i/>
          <w:iCs/>
          <w:sz w:val="20"/>
          <w:szCs w:val="20"/>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77E75E80" w14:textId="77777777" w:rsidR="00391C8F" w:rsidRPr="00F3699F" w:rsidRDefault="00391C8F" w:rsidP="00F3699F">
      <w:pPr>
        <w:spacing w:line="276" w:lineRule="auto"/>
        <w:ind w:left="1134" w:right="616"/>
        <w:jc w:val="both"/>
        <w:rPr>
          <w:rFonts w:ascii="Book Antiqua" w:hAnsi="Book Antiqua" w:cs="Arial"/>
          <w:i/>
          <w:iCs/>
          <w:sz w:val="20"/>
          <w:szCs w:val="20"/>
        </w:rPr>
      </w:pPr>
      <w:r w:rsidRPr="00F3699F">
        <w:rPr>
          <w:rFonts w:ascii="Book Antiqua" w:hAnsi="Book Antiqua" w:cs="Arial"/>
          <w:i/>
          <w:iCs/>
          <w:sz w:val="20"/>
          <w:szCs w:val="20"/>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53E66D46" w14:textId="77777777" w:rsidR="00391C8F" w:rsidRPr="00F3699F" w:rsidRDefault="00391C8F" w:rsidP="00F3699F">
      <w:pPr>
        <w:spacing w:line="276" w:lineRule="auto"/>
        <w:ind w:left="1134" w:right="616"/>
        <w:jc w:val="both"/>
        <w:rPr>
          <w:rFonts w:ascii="Book Antiqua" w:hAnsi="Book Antiqua" w:cs="Arial"/>
          <w:i/>
          <w:iCs/>
          <w:sz w:val="20"/>
          <w:szCs w:val="20"/>
        </w:rPr>
      </w:pPr>
      <w:r w:rsidRPr="00F3699F">
        <w:rPr>
          <w:rFonts w:ascii="Book Antiqua" w:hAnsi="Book Antiqua" w:cs="Arial"/>
          <w:i/>
          <w:iCs/>
          <w:sz w:val="20"/>
          <w:szCs w:val="20"/>
        </w:rPr>
        <w:t>El porcentaje indicado en el párrafo anterior deberá aplicarse sobre la totalidad de los recursos existentes al momento de entrar en vigencia la presente ley, y su giro se hará por única vez.</w:t>
      </w:r>
    </w:p>
    <w:p w14:paraId="396220F1" w14:textId="77777777" w:rsidR="00391C8F" w:rsidRPr="00F3699F" w:rsidRDefault="00391C8F" w:rsidP="00F3699F">
      <w:pPr>
        <w:spacing w:line="276" w:lineRule="auto"/>
        <w:ind w:left="1134" w:right="616"/>
        <w:jc w:val="both"/>
        <w:rPr>
          <w:rFonts w:ascii="Book Antiqua" w:hAnsi="Book Antiqua" w:cs="Arial"/>
          <w:i/>
          <w:iCs/>
          <w:sz w:val="20"/>
          <w:szCs w:val="20"/>
        </w:rPr>
      </w:pPr>
      <w:r w:rsidRPr="00F3699F">
        <w:rPr>
          <w:rFonts w:ascii="Book Antiqua" w:hAnsi="Book Antiqua" w:cs="Arial"/>
          <w:i/>
          <w:iCs/>
          <w:sz w:val="20"/>
          <w:szCs w:val="20"/>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049698E4" w14:textId="0825BD71" w:rsidR="00391C8F" w:rsidRPr="00F3699F" w:rsidRDefault="00391C8F" w:rsidP="00F3699F">
      <w:pPr>
        <w:spacing w:after="0" w:line="276" w:lineRule="auto"/>
        <w:ind w:left="1134" w:right="616"/>
        <w:jc w:val="both"/>
        <w:rPr>
          <w:rFonts w:ascii="Book Antiqua" w:eastAsia="Calibri" w:hAnsi="Book Antiqua" w:cs="Arial"/>
          <w:i/>
          <w:iCs/>
          <w:sz w:val="20"/>
          <w:szCs w:val="20"/>
        </w:rPr>
      </w:pPr>
      <w:r w:rsidRPr="00F3699F">
        <w:rPr>
          <w:rFonts w:ascii="Book Antiqua" w:eastAsia="Calibri" w:hAnsi="Book Antiqua" w:cs="Arial"/>
          <w:i/>
          <w:iCs/>
          <w:sz w:val="20"/>
          <w:szCs w:val="20"/>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r w:rsidR="006F15ED" w:rsidRPr="00F3699F">
        <w:rPr>
          <w:rFonts w:ascii="Book Antiqua" w:eastAsia="Calibri" w:hAnsi="Book Antiqua" w:cs="Arial"/>
          <w:i/>
          <w:iCs/>
          <w:sz w:val="20"/>
          <w:szCs w:val="20"/>
        </w:rPr>
        <w:t>.</w:t>
      </w:r>
    </w:p>
    <w:p w14:paraId="2AE13B45" w14:textId="77777777" w:rsidR="00484D38" w:rsidRPr="001D0C10" w:rsidRDefault="00484D38" w:rsidP="001D0C10">
      <w:pPr>
        <w:spacing w:after="0" w:line="276" w:lineRule="auto"/>
        <w:ind w:left="851" w:right="616"/>
        <w:jc w:val="both"/>
        <w:rPr>
          <w:rFonts w:ascii="Book Antiqua" w:eastAsia="Calibri" w:hAnsi="Book Antiqua" w:cs="Arial"/>
          <w:i/>
          <w:iCs/>
        </w:rPr>
      </w:pPr>
    </w:p>
    <w:p w14:paraId="5F9B056E" w14:textId="09A4860F" w:rsidR="006F6A23" w:rsidRPr="009D2B4A" w:rsidRDefault="006F6A23" w:rsidP="009D2B4A">
      <w:pPr>
        <w:pStyle w:val="Prrafodelista"/>
        <w:numPr>
          <w:ilvl w:val="1"/>
          <w:numId w:val="53"/>
        </w:numPr>
        <w:spacing w:after="0" w:line="276" w:lineRule="auto"/>
        <w:jc w:val="both"/>
        <w:rPr>
          <w:rFonts w:ascii="Book Antiqua" w:hAnsi="Book Antiqua"/>
          <w:sz w:val="24"/>
          <w:szCs w:val="24"/>
        </w:rPr>
      </w:pPr>
      <w:r w:rsidRPr="009D2B4A">
        <w:rPr>
          <w:rFonts w:ascii="Book Antiqua" w:eastAsia="Calibri" w:hAnsi="Book Antiqua" w:cs="Arial"/>
          <w:sz w:val="24"/>
          <w:szCs w:val="24"/>
          <w:lang w:eastAsia="es-CR"/>
        </w:rPr>
        <w:t xml:space="preserve">A partir de los cambios que se prevén a nivel procesal, que implicaría una disminución en la carga de trabajo del personal técnico y aumento para las personas juzgadoras con la entrada del nuevo Código Procesal de Familia </w:t>
      </w:r>
      <w:r w:rsidR="006F15ED" w:rsidRPr="009D2B4A">
        <w:rPr>
          <w:rFonts w:ascii="Book Antiqua" w:eastAsia="Calibri" w:hAnsi="Book Antiqua" w:cs="Arial"/>
          <w:sz w:val="24"/>
          <w:szCs w:val="24"/>
          <w:lang w:eastAsia="es-CR"/>
        </w:rPr>
        <w:t>(</w:t>
      </w:r>
      <w:r w:rsidRPr="009D2B4A">
        <w:rPr>
          <w:rFonts w:ascii="Book Antiqua" w:eastAsia="Calibri" w:hAnsi="Book Antiqua" w:cs="Arial"/>
          <w:sz w:val="24"/>
          <w:szCs w:val="24"/>
          <w:lang w:eastAsia="es-CR"/>
        </w:rPr>
        <w:t>reduce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 autorizar</w:t>
      </w:r>
      <w:r w:rsidR="00FB1631" w:rsidRPr="009D2B4A">
        <w:rPr>
          <w:rFonts w:ascii="Book Antiqua" w:eastAsia="Calibri" w:hAnsi="Book Antiqua" w:cs="Arial"/>
          <w:sz w:val="24"/>
          <w:szCs w:val="24"/>
          <w:lang w:eastAsia="es-CR"/>
        </w:rPr>
        <w:t xml:space="preserve"> </w:t>
      </w:r>
      <w:r w:rsidRPr="009D2B4A">
        <w:rPr>
          <w:rFonts w:ascii="Book Antiqua" w:eastAsia="Calibri" w:hAnsi="Book Antiqua" w:cs="Arial"/>
          <w:sz w:val="24"/>
          <w:szCs w:val="24"/>
          <w:lang w:eastAsia="es-CR"/>
        </w:rPr>
        <w:t xml:space="preserve">que en materia de Familia, Pensiones y Violencia, en primer y segunda instancia, </w:t>
      </w:r>
      <w:r w:rsidR="00B60398" w:rsidRPr="009D2B4A">
        <w:rPr>
          <w:rFonts w:ascii="Book Antiqua" w:eastAsia="Calibri" w:hAnsi="Book Antiqua" w:cs="Arial"/>
          <w:sz w:val="24"/>
          <w:szCs w:val="24"/>
          <w:lang w:eastAsia="es-CR"/>
        </w:rPr>
        <w:t xml:space="preserve">se reitera la recomendación a la Dirección de Gestión Humana para que en los concursos se incluya la observación general </w:t>
      </w:r>
      <w:r w:rsidRPr="009D2B4A">
        <w:rPr>
          <w:rFonts w:ascii="Book Antiqua" w:eastAsia="Calibri" w:hAnsi="Book Antiqua" w:cs="Arial"/>
          <w:sz w:val="24"/>
          <w:szCs w:val="24"/>
          <w:lang w:eastAsia="es-CR"/>
        </w:rPr>
        <w:t>de que esas plazas por temas de carga de trabajo</w:t>
      </w:r>
      <w:r w:rsidR="00FB1631" w:rsidRPr="009D2B4A">
        <w:rPr>
          <w:rFonts w:ascii="Book Antiqua" w:eastAsia="Calibri" w:hAnsi="Book Antiqua" w:cs="Arial"/>
          <w:sz w:val="24"/>
          <w:szCs w:val="24"/>
          <w:lang w:eastAsia="es-CR"/>
        </w:rPr>
        <w:t xml:space="preserve">, </w:t>
      </w:r>
      <w:r w:rsidR="0094501A" w:rsidRPr="009D2B4A">
        <w:rPr>
          <w:rFonts w:ascii="Book Antiqua" w:eastAsia="Calibri" w:hAnsi="Book Antiqua" w:cs="Arial"/>
          <w:sz w:val="24"/>
          <w:szCs w:val="24"/>
          <w:lang w:eastAsia="es-CR"/>
        </w:rPr>
        <w:t xml:space="preserve">interés institucional, maximización de recursos e incluso por cambios normativos a raíz de la entrada en vigencia de una norma, con criterio técnico esta Dirección se pueden recomendar horarios rotativos, </w:t>
      </w:r>
      <w:r w:rsidR="00B60398" w:rsidRPr="009D2B4A">
        <w:rPr>
          <w:rFonts w:ascii="Book Antiqua" w:eastAsia="Calibri" w:hAnsi="Book Antiqua" w:cs="Arial"/>
          <w:sz w:val="24"/>
          <w:szCs w:val="24"/>
          <w:lang w:eastAsia="es-CR"/>
        </w:rPr>
        <w:t xml:space="preserve">variación de jornada, </w:t>
      </w:r>
      <w:r w:rsidR="0094501A" w:rsidRPr="009D2B4A">
        <w:rPr>
          <w:rFonts w:ascii="Book Antiqua" w:eastAsia="Calibri" w:hAnsi="Book Antiqua" w:cs="Arial"/>
          <w:sz w:val="24"/>
          <w:szCs w:val="24"/>
          <w:lang w:eastAsia="es-CR"/>
        </w:rPr>
        <w:t>traslados de las plazas a otra oficina, incluso a otra Jurisdicción</w:t>
      </w:r>
      <w:r w:rsidR="00117164" w:rsidRPr="009D2B4A">
        <w:rPr>
          <w:rFonts w:ascii="Book Antiqua" w:eastAsia="Calibri" w:hAnsi="Book Antiqua" w:cs="Arial"/>
          <w:sz w:val="24"/>
          <w:szCs w:val="24"/>
          <w:lang w:eastAsia="es-CR"/>
        </w:rPr>
        <w:t xml:space="preserve"> (</w:t>
      </w:r>
      <w:r w:rsidR="00D81461" w:rsidRPr="009D2B4A">
        <w:rPr>
          <w:rFonts w:ascii="Book Antiqua" w:eastAsia="Calibri" w:hAnsi="Book Antiqua" w:cs="Arial"/>
          <w:sz w:val="24"/>
          <w:szCs w:val="24"/>
          <w:lang w:eastAsia="es-CR"/>
        </w:rPr>
        <w:t>pero considerando prioritariamente la Jurisdicción a la que inicialmente pertenece la plaza</w:t>
      </w:r>
      <w:r w:rsidR="00117164" w:rsidRPr="009D2B4A">
        <w:rPr>
          <w:rFonts w:ascii="Book Antiqua" w:eastAsia="Calibri" w:hAnsi="Book Antiqua" w:cs="Arial"/>
          <w:sz w:val="24"/>
          <w:szCs w:val="24"/>
          <w:lang w:eastAsia="es-CR"/>
        </w:rPr>
        <w:t>) o incluso recomendarse técnicamente la reasignación del puesto por parte de la Dirección de Gestión Humana de resultar necesario conforme a la estructura de la oficina en donde se asigne,</w:t>
      </w:r>
      <w:r w:rsidR="0094501A" w:rsidRPr="009D2B4A">
        <w:rPr>
          <w:rFonts w:ascii="Book Antiqua" w:eastAsia="Calibri" w:hAnsi="Book Antiqua" w:cs="Arial"/>
          <w:sz w:val="24"/>
          <w:szCs w:val="24"/>
          <w:lang w:eastAsia="es-CR"/>
        </w:rPr>
        <w:t xml:space="preserve"> de conformidad con lo que establezca los órganos competentes y sin que eso se pueda considerar un “</w:t>
      </w:r>
      <w:r w:rsidR="0094501A" w:rsidRPr="009D2B4A">
        <w:rPr>
          <w:rFonts w:ascii="Book Antiqua" w:eastAsia="Calibri" w:hAnsi="Book Antiqua" w:cs="Arial"/>
          <w:i/>
          <w:iCs/>
          <w:sz w:val="24"/>
          <w:szCs w:val="24"/>
          <w:lang w:eastAsia="es-CR"/>
        </w:rPr>
        <w:t>ius variandi abusivo</w:t>
      </w:r>
      <w:r w:rsidR="0094501A" w:rsidRPr="009D2B4A">
        <w:rPr>
          <w:rFonts w:ascii="Book Antiqua" w:eastAsia="Calibri" w:hAnsi="Book Antiqua" w:cs="Arial"/>
          <w:sz w:val="24"/>
          <w:szCs w:val="24"/>
          <w:lang w:eastAsia="es-CR"/>
        </w:rPr>
        <w:t>”</w:t>
      </w:r>
      <w:r w:rsidR="00117164" w:rsidRPr="009D2B4A">
        <w:rPr>
          <w:rFonts w:ascii="Book Antiqua" w:eastAsia="Calibri" w:hAnsi="Book Antiqua" w:cs="Arial"/>
          <w:sz w:val="24"/>
          <w:szCs w:val="24"/>
          <w:lang w:eastAsia="es-CR"/>
        </w:rPr>
        <w:t>.</w:t>
      </w:r>
    </w:p>
    <w:p w14:paraId="210801D3" w14:textId="77777777" w:rsidR="00480A87" w:rsidRPr="0062749F" w:rsidRDefault="00480A87" w:rsidP="00480A87">
      <w:pPr>
        <w:pStyle w:val="Prrafodelista"/>
        <w:spacing w:after="0" w:line="276" w:lineRule="auto"/>
        <w:jc w:val="both"/>
        <w:rPr>
          <w:rFonts w:ascii="Book Antiqua" w:hAnsi="Book Antiqua"/>
          <w:sz w:val="24"/>
          <w:szCs w:val="24"/>
        </w:rPr>
      </w:pPr>
    </w:p>
    <w:p w14:paraId="22727F67" w14:textId="7C7FAF9A" w:rsidR="00391C8F" w:rsidRPr="009D2B4A" w:rsidRDefault="00391C8F" w:rsidP="009D2B4A">
      <w:pPr>
        <w:pStyle w:val="Prrafodelista"/>
        <w:numPr>
          <w:ilvl w:val="1"/>
          <w:numId w:val="53"/>
        </w:numPr>
        <w:spacing w:line="276" w:lineRule="auto"/>
        <w:jc w:val="both"/>
        <w:rPr>
          <w:rFonts w:ascii="Book Antiqua" w:hAnsi="Book Antiqua"/>
          <w:sz w:val="24"/>
          <w:szCs w:val="24"/>
        </w:rPr>
      </w:pPr>
      <w:r w:rsidRPr="009D2B4A">
        <w:rPr>
          <w:rFonts w:ascii="Book Antiqua" w:hAnsi="Book Antiqua"/>
          <w:sz w:val="24"/>
          <w:szCs w:val="24"/>
        </w:rPr>
        <w:t xml:space="preserve">Valorar tomar como acuerdo que, en adelante, cuando se presente una propuesta de reforma legal por parte del Poder Judicial, o se remita a la Corte en consulta algún proyecto de Ley por parte de la Asamblea Legislativa que implique cambios de competencias, o traslados de una oficina a otra (como en este caso propone la Ley 9747 en donde algunas competencias actuales del Tribunal de Familia se </w:t>
      </w:r>
      <w:r w:rsidR="00324317" w:rsidRPr="009D2B4A">
        <w:rPr>
          <w:rFonts w:ascii="Book Antiqua" w:hAnsi="Book Antiqua"/>
          <w:sz w:val="24"/>
          <w:szCs w:val="24"/>
        </w:rPr>
        <w:t>trasladan</w:t>
      </w:r>
      <w:r w:rsidRPr="009D2B4A">
        <w:rPr>
          <w:rFonts w:ascii="Book Antiqua" w:hAnsi="Book Antiqua"/>
          <w:sz w:val="24"/>
          <w:szCs w:val="24"/>
        </w:rPr>
        <w:t xml:space="preserve"> a la Sala Segunda) sea analizado no solo a nivel jurídico por el impacto legal, sino también en las estructuras organizacionales y en la expectativa del cual va a ser la mejoría en los tiempos de respuesta a la persona usuaria, y si las oficinas están en capacidad de atender la nueva carga de trabajo propuesta, incluso si la propuesta es incrementar la carga de trabajo de una Sala de la Corte (en donde no existe posibilidad salvo reforma constitucional de incrementar la capacidad operativa de las plazas de magistratura) cual sería el impacto o desmejora del servicio de aprobar un cambio así.</w:t>
      </w:r>
    </w:p>
    <w:p w14:paraId="556C2613" w14:textId="77777777" w:rsidR="00110E4A" w:rsidRDefault="00110E4A" w:rsidP="00C10582">
      <w:pPr>
        <w:pStyle w:val="Prrafodelista"/>
        <w:rPr>
          <w:rFonts w:ascii="Book Antiqua" w:hAnsi="Book Antiqua"/>
          <w:sz w:val="24"/>
          <w:szCs w:val="24"/>
        </w:rPr>
      </w:pPr>
    </w:p>
    <w:p w14:paraId="18F83BF9" w14:textId="3145FF45" w:rsidR="00B175D1" w:rsidRDefault="00391C8F" w:rsidP="0062749F">
      <w:pPr>
        <w:spacing w:line="276" w:lineRule="auto"/>
        <w:ind w:left="360"/>
        <w:jc w:val="both"/>
        <w:rPr>
          <w:rFonts w:ascii="Book Antiqua" w:hAnsi="Book Antiqua"/>
          <w:sz w:val="24"/>
          <w:szCs w:val="24"/>
        </w:rPr>
      </w:pPr>
      <w:r>
        <w:rPr>
          <w:rFonts w:ascii="Book Antiqua" w:hAnsi="Book Antiqua"/>
          <w:sz w:val="24"/>
          <w:szCs w:val="24"/>
        </w:rPr>
        <w:t xml:space="preserve">Esta Dirección reitera su preocupación, y no considera adecuado que nuevamente a partir de la aprobación del CPF como ya paso anteriormente con las reformas al Código de Trabajo y al Procesal Civil,  </w:t>
      </w:r>
      <w:r w:rsidRPr="001F5F76">
        <w:rPr>
          <w:rFonts w:ascii="Book Antiqua" w:hAnsi="Book Antiqua"/>
          <w:sz w:val="24"/>
          <w:szCs w:val="24"/>
          <w:u w:val="single"/>
        </w:rPr>
        <w:t>se trasladan nuevas competencias a es</w:t>
      </w:r>
      <w:r>
        <w:rPr>
          <w:rFonts w:ascii="Book Antiqua" w:hAnsi="Book Antiqua"/>
          <w:sz w:val="24"/>
          <w:szCs w:val="24"/>
          <w:u w:val="single"/>
        </w:rPr>
        <w:t>t</w:t>
      </w:r>
      <w:r w:rsidRPr="001F5F76">
        <w:rPr>
          <w:rFonts w:ascii="Book Antiqua" w:hAnsi="Book Antiqua"/>
          <w:sz w:val="24"/>
          <w:szCs w:val="24"/>
          <w:u w:val="single"/>
        </w:rPr>
        <w:t>a Sala</w:t>
      </w:r>
      <w:r>
        <w:rPr>
          <w:rFonts w:ascii="Book Antiqua" w:hAnsi="Book Antiqua"/>
          <w:sz w:val="24"/>
          <w:szCs w:val="24"/>
        </w:rPr>
        <w:t>, incluso la Ley 9747 surge a partir de un anteproyecto impulsado por el mismo Poder Judicial, en donde se están trasladando competencias del Tribunal de Familia con capacidad de asumir incluso nuevas competencias, hacia la Sala Segunda que desde 2017 está saturada</w:t>
      </w:r>
      <w:r w:rsidR="00E213A0">
        <w:rPr>
          <w:rFonts w:ascii="Book Antiqua" w:hAnsi="Book Antiqua"/>
          <w:sz w:val="24"/>
          <w:szCs w:val="24"/>
        </w:rPr>
        <w:t>, desde la aprobación de los nuevos cambios procesales</w:t>
      </w:r>
      <w:r w:rsidR="0062749F">
        <w:rPr>
          <w:rFonts w:ascii="Book Antiqua" w:hAnsi="Book Antiqua"/>
          <w:sz w:val="24"/>
          <w:szCs w:val="24"/>
        </w:rPr>
        <w:t>.</w:t>
      </w:r>
      <w:r w:rsidR="00484D38">
        <w:rPr>
          <w:rFonts w:ascii="Book Antiqua" w:hAnsi="Book Antiqua"/>
          <w:sz w:val="24"/>
          <w:szCs w:val="24"/>
        </w:rPr>
        <w:t xml:space="preserve"> </w:t>
      </w:r>
      <w:bookmarkStart w:id="100" w:name="_Hlk128695325"/>
      <w:r w:rsidR="00484D38" w:rsidRPr="00701561">
        <w:rPr>
          <w:rFonts w:ascii="Book Antiqua" w:hAnsi="Book Antiqua"/>
          <w:sz w:val="24"/>
          <w:szCs w:val="24"/>
        </w:rPr>
        <w:t>Para ello, ya la Dirección de Planificación mediante ofic</w:t>
      </w:r>
      <w:r w:rsidR="00701561">
        <w:rPr>
          <w:rFonts w:ascii="Book Antiqua" w:hAnsi="Book Antiqua"/>
          <w:sz w:val="24"/>
          <w:szCs w:val="24"/>
        </w:rPr>
        <w:t>i</w:t>
      </w:r>
      <w:r w:rsidR="00484D38" w:rsidRPr="00701561">
        <w:rPr>
          <w:rFonts w:ascii="Book Antiqua" w:hAnsi="Book Antiqua"/>
          <w:sz w:val="24"/>
          <w:szCs w:val="24"/>
        </w:rPr>
        <w:t xml:space="preserve">os </w:t>
      </w:r>
      <w:r w:rsidR="00701561" w:rsidRPr="00701561">
        <w:rPr>
          <w:rFonts w:ascii="Book Antiqua" w:hAnsi="Book Antiqua"/>
          <w:sz w:val="24"/>
          <w:szCs w:val="24"/>
        </w:rPr>
        <w:t>495-PLA-MI-2022</w:t>
      </w:r>
      <w:r w:rsidR="008E3FC5">
        <w:rPr>
          <w:rFonts w:ascii="Book Antiqua" w:hAnsi="Book Antiqua"/>
          <w:sz w:val="24"/>
          <w:szCs w:val="24"/>
        </w:rPr>
        <w:t>,</w:t>
      </w:r>
      <w:r w:rsidR="00701561" w:rsidRPr="00701561">
        <w:rPr>
          <w:rFonts w:ascii="Book Antiqua" w:hAnsi="Book Antiqua"/>
          <w:sz w:val="24"/>
          <w:szCs w:val="24"/>
        </w:rPr>
        <w:t xml:space="preserve"> 969-PLA-2022</w:t>
      </w:r>
      <w:r w:rsidR="00540A95">
        <w:rPr>
          <w:rFonts w:ascii="Book Antiqua" w:hAnsi="Book Antiqua"/>
          <w:sz w:val="24"/>
          <w:szCs w:val="24"/>
        </w:rPr>
        <w:t xml:space="preserve"> y</w:t>
      </w:r>
      <w:r w:rsidR="00C26353">
        <w:rPr>
          <w:rFonts w:ascii="Book Antiqua" w:hAnsi="Book Antiqua"/>
          <w:sz w:val="24"/>
          <w:szCs w:val="24"/>
        </w:rPr>
        <w:t xml:space="preserve"> </w:t>
      </w:r>
      <w:r w:rsidR="00DF25B4">
        <w:rPr>
          <w:rFonts w:ascii="Book Antiqua" w:hAnsi="Book Antiqua"/>
          <w:sz w:val="24"/>
          <w:szCs w:val="24"/>
        </w:rPr>
        <w:t>188-PLA-MI(NPL)-2023</w:t>
      </w:r>
      <w:r w:rsidR="00111D25">
        <w:rPr>
          <w:rFonts w:ascii="Book Antiqua" w:hAnsi="Book Antiqua"/>
          <w:sz w:val="24"/>
          <w:szCs w:val="24"/>
        </w:rPr>
        <w:t xml:space="preserve">, </w:t>
      </w:r>
      <w:r w:rsidR="00484D38" w:rsidRPr="00701561">
        <w:rPr>
          <w:rFonts w:ascii="Book Antiqua" w:hAnsi="Book Antiqua"/>
          <w:sz w:val="24"/>
          <w:szCs w:val="24"/>
        </w:rPr>
        <w:t>comunicó a las Comisiones de Familia y Contra la Violencia Doméstica las propuestas de reforma legal identificadas</w:t>
      </w:r>
      <w:bookmarkEnd w:id="100"/>
      <w:r w:rsidR="00701561">
        <w:rPr>
          <w:rFonts w:ascii="Book Antiqua" w:hAnsi="Book Antiqua"/>
          <w:sz w:val="24"/>
          <w:szCs w:val="24"/>
        </w:rPr>
        <w:t>.</w:t>
      </w:r>
      <w:r w:rsidR="00484D38">
        <w:rPr>
          <w:rFonts w:ascii="Book Antiqua" w:hAnsi="Book Antiqua"/>
          <w:sz w:val="24"/>
          <w:szCs w:val="24"/>
        </w:rPr>
        <w:t xml:space="preserve"> </w:t>
      </w:r>
    </w:p>
    <w:p w14:paraId="6CE54D90" w14:textId="3AA322F6" w:rsidR="0047232A" w:rsidRPr="009D2B4A" w:rsidRDefault="00484D38" w:rsidP="009D2B4A">
      <w:pPr>
        <w:pStyle w:val="Prrafodelista"/>
        <w:numPr>
          <w:ilvl w:val="1"/>
          <w:numId w:val="53"/>
        </w:numPr>
        <w:spacing w:line="276" w:lineRule="auto"/>
        <w:jc w:val="both"/>
        <w:rPr>
          <w:rFonts w:ascii="Book Antiqua" w:hAnsi="Book Antiqua"/>
          <w:sz w:val="24"/>
          <w:szCs w:val="24"/>
        </w:rPr>
      </w:pPr>
      <w:bookmarkStart w:id="101" w:name="_Hlk128695408"/>
      <w:r w:rsidRPr="009D2B4A">
        <w:rPr>
          <w:rFonts w:ascii="Book Antiqua" w:hAnsi="Book Antiqua"/>
          <w:sz w:val="24"/>
          <w:szCs w:val="24"/>
        </w:rPr>
        <w:t xml:space="preserve">Reiterar la necesidad de </w:t>
      </w:r>
      <w:r w:rsidR="00391C8F" w:rsidRPr="009D2B4A">
        <w:rPr>
          <w:rFonts w:ascii="Book Antiqua" w:hAnsi="Book Antiqua"/>
          <w:sz w:val="24"/>
          <w:szCs w:val="24"/>
        </w:rPr>
        <w:t>la Dirección Jurídica</w:t>
      </w:r>
      <w:r w:rsidR="00E213A0" w:rsidRPr="009D2B4A">
        <w:rPr>
          <w:rFonts w:ascii="Book Antiqua" w:hAnsi="Book Antiqua"/>
          <w:sz w:val="24"/>
          <w:szCs w:val="24"/>
        </w:rPr>
        <w:t xml:space="preserve"> en conjunto con la Comisión </w:t>
      </w:r>
      <w:r w:rsidRPr="009D2B4A">
        <w:rPr>
          <w:rFonts w:ascii="Book Antiqua" w:hAnsi="Book Antiqua"/>
          <w:sz w:val="24"/>
          <w:szCs w:val="24"/>
        </w:rPr>
        <w:t>de Familia y la Comisión contra la Violencia Doméstica</w:t>
      </w:r>
      <w:r w:rsidR="00E213A0" w:rsidRPr="009D2B4A">
        <w:rPr>
          <w:rFonts w:ascii="Book Antiqua" w:hAnsi="Book Antiqua"/>
          <w:sz w:val="24"/>
          <w:szCs w:val="24"/>
        </w:rPr>
        <w:t xml:space="preserve"> y la Sala Segunda</w:t>
      </w:r>
      <w:r w:rsidR="00391C8F" w:rsidRPr="009D2B4A">
        <w:rPr>
          <w:rFonts w:ascii="Book Antiqua" w:hAnsi="Book Antiqua"/>
          <w:sz w:val="24"/>
          <w:szCs w:val="24"/>
        </w:rPr>
        <w:t>,</w:t>
      </w:r>
      <w:r w:rsidR="00B75D17" w:rsidRPr="009D2B4A">
        <w:rPr>
          <w:rFonts w:ascii="Book Antiqua" w:hAnsi="Book Antiqua"/>
          <w:sz w:val="24"/>
          <w:szCs w:val="24"/>
        </w:rPr>
        <w:t xml:space="preserve"> </w:t>
      </w:r>
      <w:r w:rsidRPr="009D2B4A">
        <w:rPr>
          <w:rFonts w:ascii="Book Antiqua" w:hAnsi="Book Antiqua"/>
          <w:sz w:val="24"/>
          <w:szCs w:val="24"/>
        </w:rPr>
        <w:t>planteen</w:t>
      </w:r>
      <w:r w:rsidR="00391C8F" w:rsidRPr="009D2B4A">
        <w:rPr>
          <w:rFonts w:ascii="Book Antiqua" w:hAnsi="Book Antiqua"/>
          <w:sz w:val="24"/>
          <w:szCs w:val="24"/>
        </w:rPr>
        <w:t xml:space="preserve"> una reforma legal al CPF, en lo que corresponde a las nuevas competencias que trasladan a la Sala Segunda</w:t>
      </w:r>
      <w:r w:rsidR="0047232A" w:rsidRPr="009D2B4A">
        <w:rPr>
          <w:rFonts w:ascii="Book Antiqua" w:hAnsi="Book Antiqua"/>
          <w:sz w:val="24"/>
          <w:szCs w:val="24"/>
        </w:rPr>
        <w:t xml:space="preserve"> para más bien mantenerlas en el Tribunal de Familia,</w:t>
      </w:r>
      <w:r w:rsidR="00391C8F" w:rsidRPr="009D2B4A">
        <w:rPr>
          <w:rFonts w:ascii="Book Antiqua" w:hAnsi="Book Antiqua"/>
          <w:sz w:val="24"/>
          <w:szCs w:val="24"/>
        </w:rPr>
        <w:t xml:space="preserve"> así como al artículo 286 del CPF que a esta fecha no cuenta con reglamento para su ejecución, pese a las reiteradas solicitudes de la Dirección de Planificación</w:t>
      </w:r>
      <w:r w:rsidRPr="009D2B4A">
        <w:rPr>
          <w:rFonts w:ascii="Book Antiqua" w:hAnsi="Book Antiqua"/>
          <w:sz w:val="24"/>
          <w:szCs w:val="24"/>
        </w:rPr>
        <w:t xml:space="preserve"> y todas aquellas oportunidades de reforma que identifiquen y permitan correcta implementación de la Ley 9747 a partir del 1 de octubre 2024</w:t>
      </w:r>
      <w:bookmarkEnd w:id="101"/>
      <w:r w:rsidRPr="009D2B4A">
        <w:rPr>
          <w:rFonts w:ascii="Book Antiqua" w:hAnsi="Book Antiqua"/>
          <w:sz w:val="24"/>
          <w:szCs w:val="24"/>
        </w:rPr>
        <w:t xml:space="preserve">. </w:t>
      </w:r>
    </w:p>
    <w:p w14:paraId="743C8D0E" w14:textId="3AF43B58" w:rsidR="00E71E1B" w:rsidRPr="009D2B4A" w:rsidRDefault="00E71E1B" w:rsidP="009D2B4A">
      <w:pPr>
        <w:pStyle w:val="Prrafodelista"/>
        <w:numPr>
          <w:ilvl w:val="1"/>
          <w:numId w:val="53"/>
        </w:numPr>
        <w:jc w:val="both"/>
        <w:rPr>
          <w:rFonts w:ascii="Book Antiqua" w:hAnsi="Book Antiqua"/>
          <w:sz w:val="24"/>
          <w:szCs w:val="24"/>
        </w:rPr>
      </w:pPr>
      <w:r w:rsidRPr="009D2B4A">
        <w:rPr>
          <w:rFonts w:ascii="Book Antiqua" w:hAnsi="Book Antiqua"/>
          <w:sz w:val="24"/>
          <w:szCs w:val="24"/>
        </w:rPr>
        <w:t xml:space="preserve">Tomar nota de que tal y 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propiamente, y por ende no lo considera la Dirección de Planificación en este estudio de impacto económico, por lo que de aprobarse en algún momento por el órgano superior pertinente deberán también considerar el impacto económico que ello signifique. </w:t>
      </w:r>
    </w:p>
    <w:p w14:paraId="28342E8A" w14:textId="77777777" w:rsidR="00DB71EB" w:rsidRDefault="00DB71EB" w:rsidP="00650E01">
      <w:pPr>
        <w:rPr>
          <w:rFonts w:ascii="Book Antiqua" w:hAnsi="Book Antiqua"/>
          <w:sz w:val="24"/>
          <w:szCs w:val="24"/>
        </w:rPr>
      </w:pPr>
    </w:p>
    <w:p w14:paraId="0F6C88A4" w14:textId="1BAB7F8D" w:rsidR="00DB71EB" w:rsidRPr="00883263" w:rsidRDefault="0090029C" w:rsidP="0090029C">
      <w:pPr>
        <w:pStyle w:val="Ttulo"/>
        <w:spacing w:line="276" w:lineRule="auto"/>
        <w:jc w:val="both"/>
        <w:rPr>
          <w:rFonts w:eastAsia="Calibri" w:cs="Arial"/>
          <w:b w:val="0"/>
          <w:color w:val="auto"/>
          <w:spacing w:val="0"/>
          <w:szCs w:val="24"/>
          <w:lang w:val="es-CR" w:eastAsia="en-US"/>
        </w:rPr>
      </w:pPr>
      <w:r w:rsidRPr="001338C9">
        <w:rPr>
          <w:rFonts w:eastAsia="Calibri" w:cs="Arial"/>
          <w:b w:val="0"/>
          <w:color w:val="auto"/>
          <w:spacing w:val="0"/>
          <w:szCs w:val="24"/>
          <w:lang w:val="es-CR" w:eastAsia="en-US"/>
        </w:rPr>
        <w:t xml:space="preserve">Adicionalmente, en cuanto </w:t>
      </w:r>
      <w:r w:rsidR="008A3431">
        <w:rPr>
          <w:rFonts w:eastAsia="Calibri" w:cs="Arial"/>
          <w:b w:val="0"/>
          <w:color w:val="auto"/>
          <w:spacing w:val="0"/>
          <w:szCs w:val="24"/>
          <w:lang w:val="es-CR" w:eastAsia="en-US"/>
        </w:rPr>
        <w:t>a</w:t>
      </w:r>
      <w:r w:rsidRPr="001338C9">
        <w:rPr>
          <w:rFonts w:eastAsia="Calibri" w:cs="Arial"/>
          <w:b w:val="0"/>
          <w:color w:val="auto"/>
          <w:spacing w:val="0"/>
          <w:szCs w:val="24"/>
          <w:lang w:val="es-CR" w:eastAsia="en-US"/>
        </w:rPr>
        <w:t xml:space="preserve"> las recomendaciones que se citan a continuación, es relevante destacar que algunas son reiteradas del </w:t>
      </w:r>
      <w:r w:rsidR="00DB71EB" w:rsidRPr="00883263">
        <w:rPr>
          <w:rFonts w:eastAsia="Calibri" w:cs="Arial"/>
          <w:b w:val="0"/>
          <w:color w:val="auto"/>
          <w:spacing w:val="0"/>
          <w:szCs w:val="24"/>
          <w:lang w:val="es-CR" w:eastAsia="en-US"/>
        </w:rPr>
        <w:t>3</w:t>
      </w:r>
      <w:r w:rsidR="00DB71EB">
        <w:rPr>
          <w:rFonts w:eastAsia="Calibri" w:cs="Arial"/>
          <w:b w:val="0"/>
          <w:color w:val="auto"/>
          <w:spacing w:val="0"/>
          <w:szCs w:val="24"/>
          <w:lang w:val="es-CR" w:eastAsia="en-US"/>
        </w:rPr>
        <w:t>14</w:t>
      </w:r>
      <w:r w:rsidR="00DB71EB" w:rsidRPr="00883263">
        <w:rPr>
          <w:rFonts w:eastAsia="Calibri" w:cs="Arial"/>
          <w:b w:val="0"/>
          <w:color w:val="auto"/>
          <w:spacing w:val="0"/>
          <w:szCs w:val="24"/>
          <w:lang w:val="es-CR" w:eastAsia="en-US"/>
        </w:rPr>
        <w:t>-PLA-MI-RH-2022</w:t>
      </w:r>
      <w:r w:rsidR="00DB71EB">
        <w:rPr>
          <w:rFonts w:eastAsia="Calibri" w:cs="Arial"/>
          <w:b w:val="0"/>
          <w:color w:val="auto"/>
          <w:spacing w:val="0"/>
          <w:szCs w:val="24"/>
          <w:lang w:val="es-CR" w:eastAsia="en-US"/>
        </w:rPr>
        <w:t xml:space="preserve"> denominado: </w:t>
      </w:r>
      <w:r w:rsidR="00DB71EB" w:rsidRPr="001338C9">
        <w:rPr>
          <w:rFonts w:eastAsia="Calibri" w:cs="Arial"/>
          <w:b w:val="0"/>
          <w:color w:val="auto"/>
          <w:spacing w:val="0"/>
          <w:szCs w:val="24"/>
          <w:lang w:val="es-CR" w:eastAsia="en-US"/>
        </w:rPr>
        <w:t>“Impacto organizacional y presupuestario en el Poder Judicial a partir de la promulgación del Código Procesal de Familia para el 2023”</w:t>
      </w:r>
      <w:r w:rsidR="00DB71EB" w:rsidRPr="00883263">
        <w:rPr>
          <w:rFonts w:eastAsia="Calibri" w:cs="Arial"/>
          <w:b w:val="0"/>
          <w:color w:val="auto"/>
          <w:spacing w:val="0"/>
          <w:szCs w:val="24"/>
          <w:lang w:val="es-CR" w:eastAsia="en-US"/>
        </w:rPr>
        <w:t xml:space="preserve">, </w:t>
      </w:r>
      <w:r w:rsidRPr="001338C9">
        <w:rPr>
          <w:rFonts w:eastAsia="Calibri" w:cs="Arial"/>
          <w:b w:val="0"/>
          <w:color w:val="auto"/>
          <w:spacing w:val="0"/>
          <w:szCs w:val="24"/>
          <w:lang w:val="es-CR" w:eastAsia="en-US"/>
        </w:rPr>
        <w:t>debido a que a la fecha</w:t>
      </w:r>
      <w:r w:rsidR="00DB71EB" w:rsidRPr="00883263">
        <w:rPr>
          <w:rFonts w:eastAsia="Calibri" w:cs="Arial"/>
          <w:b w:val="0"/>
          <w:color w:val="auto"/>
          <w:spacing w:val="0"/>
          <w:szCs w:val="24"/>
          <w:lang w:val="es-CR" w:eastAsia="en-US"/>
        </w:rPr>
        <w:t xml:space="preserve"> no se tiene pronunciamiento concreto y conocimiento de que las mismas se estén atendiendo ´por los encargados, por tanto,  se mantienen pendientes algunos de los elementos y  se reiteran nuevamente: </w:t>
      </w:r>
    </w:p>
    <w:p w14:paraId="531AE71D" w14:textId="77777777" w:rsidR="00C20380" w:rsidRDefault="00C20380" w:rsidP="00C20380">
      <w:pPr>
        <w:pStyle w:val="Ttulo"/>
        <w:spacing w:line="276" w:lineRule="auto"/>
        <w:jc w:val="both"/>
        <w:rPr>
          <w:szCs w:val="24"/>
        </w:rPr>
      </w:pPr>
    </w:p>
    <w:p w14:paraId="2566B17A" w14:textId="77777777" w:rsidR="00DB71EB" w:rsidRPr="001338C9" w:rsidRDefault="00DB71EB" w:rsidP="001338C9">
      <w:pPr>
        <w:rPr>
          <w:rFonts w:ascii="Book Antiqua" w:hAnsi="Book Antiqua"/>
          <w:sz w:val="24"/>
          <w:szCs w:val="24"/>
        </w:rPr>
      </w:pPr>
    </w:p>
    <w:p w14:paraId="26914595" w14:textId="6239EE40" w:rsidR="003F7A0D" w:rsidRPr="003F7A0D" w:rsidRDefault="003F7A0D" w:rsidP="003F7A0D">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3F7A0D">
        <w:rPr>
          <w:rFonts w:ascii="Book Antiqua" w:eastAsia="MS PGothic" w:hAnsi="Book Antiqua" w:cs="Times New Roman"/>
          <w:b/>
          <w:snapToGrid w:val="0"/>
          <w:sz w:val="24"/>
          <w:szCs w:val="24"/>
          <w:lang w:val="es-ES" w:eastAsia="es-ES"/>
        </w:rPr>
        <w:t>A la Comisión de la Jurisdicción Familia</w:t>
      </w:r>
      <w:r w:rsidR="002A661C">
        <w:rPr>
          <w:rFonts w:ascii="Book Antiqua" w:eastAsia="MS PGothic" w:hAnsi="Book Antiqua" w:cs="Times New Roman"/>
          <w:b/>
          <w:snapToGrid w:val="0"/>
          <w:sz w:val="24"/>
          <w:szCs w:val="24"/>
          <w:lang w:val="es-ES" w:eastAsia="es-ES"/>
        </w:rPr>
        <w:t>,</w:t>
      </w:r>
      <w:r w:rsidRPr="003F7A0D">
        <w:rPr>
          <w:rFonts w:ascii="Book Antiqua" w:eastAsia="MS PGothic" w:hAnsi="Book Antiqua" w:cs="Times New Roman"/>
          <w:b/>
          <w:snapToGrid w:val="0"/>
          <w:sz w:val="24"/>
          <w:szCs w:val="24"/>
          <w:lang w:val="es-ES" w:eastAsia="es-ES"/>
        </w:rPr>
        <w:t xml:space="preserve"> Niñez y Adolescencia</w:t>
      </w:r>
    </w:p>
    <w:p w14:paraId="25BFA28F" w14:textId="77777777" w:rsidR="00373941" w:rsidRPr="001D0C10" w:rsidRDefault="00373941" w:rsidP="001D0C10">
      <w:pPr>
        <w:pStyle w:val="Prrafodelista"/>
        <w:spacing w:after="0" w:line="276" w:lineRule="auto"/>
        <w:ind w:left="1080"/>
        <w:jc w:val="both"/>
        <w:rPr>
          <w:rFonts w:ascii="Book Antiqua" w:eastAsia="Calibri" w:hAnsi="Book Antiqua" w:cs="Arial"/>
          <w:sz w:val="24"/>
          <w:szCs w:val="24"/>
        </w:rPr>
      </w:pPr>
    </w:p>
    <w:p w14:paraId="02954F96" w14:textId="34294869" w:rsidR="0021407B" w:rsidRDefault="0021407B" w:rsidP="009D2B4A">
      <w:pPr>
        <w:pStyle w:val="Prrafodelista"/>
        <w:spacing w:after="0" w:line="276" w:lineRule="auto"/>
        <w:jc w:val="both"/>
        <w:rPr>
          <w:rFonts w:ascii="Book Antiqua" w:eastAsia="Calibri" w:hAnsi="Book Antiqua" w:cs="Arial"/>
          <w:sz w:val="24"/>
          <w:szCs w:val="24"/>
        </w:rPr>
      </w:pPr>
      <w:r w:rsidRPr="0021407B">
        <w:rPr>
          <w:rFonts w:ascii="Book Antiqua" w:eastAsia="Calibri" w:hAnsi="Book Antiqua" w:cs="Arial"/>
          <w:sz w:val="24"/>
          <w:szCs w:val="24"/>
        </w:rPr>
        <w:t xml:space="preserve">La Comisión de la Jurisdicción Familia Niñez y Adolescencia debe velar por el cumplimiento y seguimiento de las recomendaciones planteadas en este informe y la atención </w:t>
      </w:r>
      <w:r w:rsidR="00F35132">
        <w:rPr>
          <w:rFonts w:ascii="Book Antiqua" w:eastAsia="Calibri" w:hAnsi="Book Antiqua" w:cs="Arial"/>
          <w:sz w:val="24"/>
          <w:szCs w:val="24"/>
        </w:rPr>
        <w:t xml:space="preserve">del </w:t>
      </w:r>
      <w:r w:rsidRPr="0021407B">
        <w:rPr>
          <w:rFonts w:ascii="Book Antiqua" w:eastAsia="Calibri" w:hAnsi="Book Antiqua" w:cs="Arial"/>
          <w:sz w:val="24"/>
          <w:szCs w:val="24"/>
        </w:rPr>
        <w:t>seguimiento por parte del CACMFJ para que se mantengan las recomendaciones emitidas a partir del cumplimiento de las acciones solicitadas por de las recomendaciones emitidas por la Contraloría General de la República, las cuales deben quedar documentadas y comunicadas a las partes involucradas.</w:t>
      </w:r>
    </w:p>
    <w:p w14:paraId="3CD20D7E" w14:textId="782967B0" w:rsidR="003F7A0D" w:rsidRPr="001D0C10" w:rsidRDefault="003F7A0D" w:rsidP="009D2B4A">
      <w:pPr>
        <w:pStyle w:val="Prrafodelista"/>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Deberá </w:t>
      </w:r>
      <w:r w:rsidR="001B05D9">
        <w:rPr>
          <w:rFonts w:ascii="Book Antiqua" w:eastAsia="Calibri" w:hAnsi="Book Antiqua" w:cs="Arial"/>
          <w:sz w:val="24"/>
          <w:szCs w:val="24"/>
        </w:rPr>
        <w:t>velar porque</w:t>
      </w:r>
      <w:r w:rsidR="00373941">
        <w:rPr>
          <w:rFonts w:ascii="Book Antiqua" w:eastAsia="Calibri" w:hAnsi="Book Antiqua" w:cs="Arial"/>
          <w:sz w:val="24"/>
          <w:szCs w:val="24"/>
        </w:rPr>
        <w:t xml:space="preserve"> que se </w:t>
      </w:r>
      <w:r w:rsidRPr="001D0C10">
        <w:rPr>
          <w:rFonts w:ascii="Book Antiqua" w:eastAsia="Calibri" w:hAnsi="Book Antiqua" w:cs="Arial"/>
          <w:sz w:val="24"/>
          <w:szCs w:val="24"/>
        </w:rPr>
        <w:t>brind</w:t>
      </w:r>
      <w:r w:rsidR="00373941">
        <w:rPr>
          <w:rFonts w:ascii="Book Antiqua" w:eastAsia="Calibri" w:hAnsi="Book Antiqua" w:cs="Arial"/>
          <w:sz w:val="24"/>
          <w:szCs w:val="24"/>
        </w:rPr>
        <w:t>e</w:t>
      </w:r>
      <w:r w:rsidRPr="001D0C10">
        <w:rPr>
          <w:rFonts w:ascii="Book Antiqua" w:eastAsia="Calibri" w:hAnsi="Book Antiqua" w:cs="Arial"/>
          <w:sz w:val="24"/>
          <w:szCs w:val="24"/>
        </w:rPr>
        <w:t xml:space="preserve"> seguimiento </w:t>
      </w:r>
      <w:r w:rsidR="001B05D9">
        <w:rPr>
          <w:rFonts w:ascii="Book Antiqua" w:eastAsia="Calibri" w:hAnsi="Book Antiqua" w:cs="Arial"/>
          <w:sz w:val="24"/>
          <w:szCs w:val="24"/>
        </w:rPr>
        <w:t xml:space="preserve">por parte del CACMFJ </w:t>
      </w:r>
      <w:r w:rsidRPr="001D0C10">
        <w:rPr>
          <w:rFonts w:ascii="Book Antiqua" w:eastAsia="Calibri" w:hAnsi="Book Antiqua" w:cs="Arial"/>
          <w:sz w:val="24"/>
          <w:szCs w:val="24"/>
        </w:rPr>
        <w:t xml:space="preserve">a los despachos que atienden materia de Familia y Pensiones Alimentarias que realicen la actualización de la información en los sistemas de información con que cuenta la Institución de forma que las consultas que se realicen brinden información certera. </w:t>
      </w:r>
    </w:p>
    <w:p w14:paraId="75D15DEC" w14:textId="22F6CD66" w:rsidR="00391C8F" w:rsidRDefault="00185160" w:rsidP="009D2B4A">
      <w:pPr>
        <w:pStyle w:val="Prrafodelista"/>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Velar </w:t>
      </w:r>
      <w:r w:rsidR="00B6048A">
        <w:rPr>
          <w:rFonts w:ascii="Book Antiqua" w:eastAsia="Calibri" w:hAnsi="Book Antiqua" w:cs="Book Antiqua"/>
          <w:iCs/>
          <w:color w:val="000000"/>
          <w:spacing w:val="-3"/>
          <w:sz w:val="24"/>
          <w:szCs w:val="24"/>
        </w:rPr>
        <w:t>por el</w:t>
      </w:r>
      <w:r w:rsidR="001770E2">
        <w:rPr>
          <w:rFonts w:ascii="Book Antiqua" w:eastAsia="Calibri" w:hAnsi="Book Antiqua" w:cs="Book Antiqua"/>
          <w:iCs/>
          <w:color w:val="000000"/>
          <w:spacing w:val="-3"/>
          <w:sz w:val="24"/>
          <w:szCs w:val="24"/>
        </w:rPr>
        <w:t xml:space="preserve"> </w:t>
      </w:r>
      <w:r w:rsidR="003F7A0D" w:rsidRPr="00373941">
        <w:rPr>
          <w:rFonts w:ascii="Book Antiqua" w:eastAsia="Calibri" w:hAnsi="Book Antiqua" w:cs="Book Antiqua"/>
          <w:iCs/>
          <w:color w:val="000000"/>
          <w:spacing w:val="-3"/>
          <w:sz w:val="24"/>
          <w:szCs w:val="24"/>
        </w:rPr>
        <w:t xml:space="preserve">seguimiento al cumplimiento de </w:t>
      </w:r>
      <w:r w:rsidR="00391C8F">
        <w:rPr>
          <w:rFonts w:ascii="Book Antiqua" w:eastAsia="Calibri" w:hAnsi="Book Antiqua" w:cs="Book Antiqua"/>
          <w:iCs/>
          <w:color w:val="000000"/>
          <w:spacing w:val="-3"/>
          <w:sz w:val="24"/>
          <w:szCs w:val="24"/>
        </w:rPr>
        <w:t xml:space="preserve">las tareas a su cargo en coordinación también con la </w:t>
      </w:r>
      <w:r w:rsidR="00391C8F" w:rsidRPr="00391C8F">
        <w:rPr>
          <w:rFonts w:ascii="Book Antiqua" w:eastAsia="Calibri" w:hAnsi="Book Antiqua" w:cs="Book Antiqua"/>
          <w:iCs/>
          <w:color w:val="000000"/>
          <w:spacing w:val="-3"/>
          <w:sz w:val="24"/>
          <w:szCs w:val="24"/>
        </w:rPr>
        <w:t>Comisión Permanente para el Seguimiento de la Atención y Prevención de la Violencia Intrafamiliar</w:t>
      </w:r>
      <w:r w:rsidR="00391C8F">
        <w:rPr>
          <w:rFonts w:ascii="Book Antiqua" w:eastAsia="Calibri" w:hAnsi="Book Antiqua" w:cs="Book Antiqua"/>
          <w:iCs/>
          <w:color w:val="000000"/>
          <w:spacing w:val="-3"/>
          <w:sz w:val="24"/>
          <w:szCs w:val="24"/>
        </w:rPr>
        <w:t>.</w:t>
      </w:r>
    </w:p>
    <w:p w14:paraId="71327E98" w14:textId="77777777" w:rsidR="00B60398" w:rsidRDefault="00B60398" w:rsidP="00B60398">
      <w:pPr>
        <w:pStyle w:val="Prrafodelista"/>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p>
    <w:p w14:paraId="4557A6CB" w14:textId="646FF0C0" w:rsidR="00391C8F" w:rsidRPr="00B60398" w:rsidRDefault="00B6048A" w:rsidP="009D2B4A">
      <w:pPr>
        <w:pStyle w:val="Prrafodelista"/>
        <w:tabs>
          <w:tab w:val="left" w:pos="426"/>
          <w:tab w:val="left" w:pos="1701"/>
        </w:tabs>
        <w:autoSpaceDE w:val="0"/>
        <w:autoSpaceDN w:val="0"/>
        <w:adjustRightInd w:val="0"/>
        <w:spacing w:after="0" w:line="276" w:lineRule="auto"/>
        <w:jc w:val="both"/>
        <w:rPr>
          <w:rFonts w:ascii="Book Antiqua" w:eastAsia="Calibri" w:hAnsi="Book Antiqua" w:cs="Book Antiqua"/>
          <w:iCs/>
          <w:color w:val="000000"/>
          <w:spacing w:val="-3"/>
        </w:rPr>
      </w:pPr>
      <w:r w:rsidRPr="00B60398">
        <w:rPr>
          <w:rFonts w:ascii="Book Antiqua" w:eastAsia="Calibri" w:hAnsi="Book Antiqua" w:cs="Book Antiqua"/>
          <w:iCs/>
          <w:color w:val="000000"/>
          <w:spacing w:val="-3"/>
        </w:rPr>
        <w:t>Velar por el c</w:t>
      </w:r>
      <w:r w:rsidR="00391C8F" w:rsidRPr="00B60398">
        <w:rPr>
          <w:rFonts w:ascii="Book Antiqua" w:eastAsia="Calibri" w:hAnsi="Book Antiqua" w:cs="Book Antiqua"/>
          <w:iCs/>
          <w:color w:val="000000"/>
          <w:spacing w:val="-3"/>
        </w:rPr>
        <w:t xml:space="preserve">umplimiento total de los entregables del proyecto </w:t>
      </w:r>
      <w:r w:rsidR="00B60398" w:rsidRPr="00B60398">
        <w:rPr>
          <w:rFonts w:ascii="Book Antiqua" w:eastAsia="Calibri" w:hAnsi="Book Antiqua" w:cs="Book Antiqua"/>
          <w:iCs/>
          <w:color w:val="000000"/>
          <w:spacing w:val="-3"/>
        </w:rPr>
        <w:t xml:space="preserve">137-CF-P01 “implementación del Código Procesal de Familia” </w:t>
      </w:r>
      <w:r w:rsidR="00391C8F" w:rsidRPr="00B60398">
        <w:rPr>
          <w:rFonts w:ascii="Book Antiqua" w:eastAsia="Calibri" w:hAnsi="Book Antiqua" w:cs="Book Antiqua"/>
          <w:iCs/>
          <w:color w:val="000000"/>
          <w:spacing w:val="-3"/>
        </w:rPr>
        <w:t xml:space="preserve">que aún no alcanzan el 100% de avance. </w:t>
      </w:r>
    </w:p>
    <w:p w14:paraId="35E10FEE" w14:textId="7F2D22BC" w:rsidR="00391C8F" w:rsidRPr="00B60398" w:rsidRDefault="000B2E03" w:rsidP="009D2B4A">
      <w:pPr>
        <w:pStyle w:val="Prrafodelista"/>
        <w:tabs>
          <w:tab w:val="left" w:pos="426"/>
          <w:tab w:val="left" w:pos="1701"/>
        </w:tabs>
        <w:autoSpaceDE w:val="0"/>
        <w:autoSpaceDN w:val="0"/>
        <w:adjustRightInd w:val="0"/>
        <w:spacing w:after="0" w:line="240" w:lineRule="auto"/>
        <w:jc w:val="both"/>
        <w:rPr>
          <w:rFonts w:ascii="Book Antiqua" w:eastAsia="Calibri" w:hAnsi="Book Antiqua" w:cs="Book Antiqua"/>
          <w:iCs/>
          <w:color w:val="000000"/>
          <w:spacing w:val="-3"/>
        </w:rPr>
      </w:pPr>
      <w:r w:rsidRPr="00B60398">
        <w:rPr>
          <w:rFonts w:ascii="Book Antiqua" w:eastAsia="Calibri" w:hAnsi="Book Antiqua" w:cs="Book Antiqua"/>
          <w:iCs/>
          <w:color w:val="000000"/>
          <w:spacing w:val="-3"/>
        </w:rPr>
        <w:t>Velar por el c</w:t>
      </w:r>
      <w:r w:rsidR="00391C8F" w:rsidRPr="00B60398">
        <w:rPr>
          <w:rFonts w:ascii="Book Antiqua" w:eastAsia="Calibri" w:hAnsi="Book Antiqua" w:cs="Book Antiqua"/>
          <w:iCs/>
          <w:color w:val="000000"/>
          <w:spacing w:val="-3"/>
        </w:rPr>
        <w:t>umplimiento total de las tareas pendientes a su cargo según distintos informes de la Dirección de Planificación</w:t>
      </w:r>
      <w:r w:rsidR="00E92787" w:rsidRPr="00B60398">
        <w:rPr>
          <w:rFonts w:ascii="Book Antiqua" w:eastAsia="Calibri" w:hAnsi="Book Antiqua" w:cs="Book Antiqua"/>
          <w:iCs/>
          <w:color w:val="000000"/>
          <w:spacing w:val="-3"/>
        </w:rPr>
        <w:t>.</w:t>
      </w:r>
    </w:p>
    <w:p w14:paraId="314A7BA9" w14:textId="77777777" w:rsidR="00B60398" w:rsidRPr="00B60398" w:rsidRDefault="00391C8F" w:rsidP="009D2B4A">
      <w:pPr>
        <w:pStyle w:val="Ttulo"/>
        <w:tabs>
          <w:tab w:val="left" w:pos="1701"/>
        </w:tabs>
        <w:spacing w:before="0" w:after="0" w:line="240" w:lineRule="auto"/>
        <w:ind w:left="720"/>
        <w:jc w:val="both"/>
        <w:rPr>
          <w:rFonts w:eastAsia="Calibri" w:cs="Arial"/>
          <w:b w:val="0"/>
          <w:color w:val="auto"/>
          <w:spacing w:val="0"/>
          <w:sz w:val="22"/>
          <w:szCs w:val="22"/>
          <w:lang w:val="es-CR" w:eastAsia="en-US"/>
        </w:rPr>
      </w:pPr>
      <w:r w:rsidRPr="00B60398">
        <w:rPr>
          <w:rFonts w:eastAsia="Calibri" w:cs="Arial"/>
          <w:b w:val="0"/>
          <w:color w:val="auto"/>
          <w:spacing w:val="0"/>
          <w:sz w:val="22"/>
          <w:szCs w:val="22"/>
          <w:lang w:val="es-CR" w:eastAsia="en-US"/>
        </w:rPr>
        <w:t>Emitir pronunciamiento y coordinar con los entes que corresponda la reglamentación del artículo 286 del CPF</w:t>
      </w:r>
      <w:r w:rsidR="00B60398" w:rsidRPr="00B60398">
        <w:rPr>
          <w:rFonts w:eastAsia="Calibri" w:cs="Arial"/>
          <w:b w:val="0"/>
          <w:color w:val="auto"/>
          <w:spacing w:val="0"/>
          <w:sz w:val="22"/>
          <w:szCs w:val="22"/>
          <w:lang w:val="es-CR" w:eastAsia="en-US"/>
        </w:rPr>
        <w:t xml:space="preserve"> o su eventual propuesta de reforma legal. </w:t>
      </w:r>
    </w:p>
    <w:p w14:paraId="72B345EC" w14:textId="72675698" w:rsidR="00391C8F" w:rsidRPr="00B60398" w:rsidRDefault="00B60398" w:rsidP="009D2B4A">
      <w:pPr>
        <w:pStyle w:val="Ttulo"/>
        <w:tabs>
          <w:tab w:val="left" w:pos="1701"/>
        </w:tabs>
        <w:spacing w:before="0" w:after="0" w:line="240" w:lineRule="auto"/>
        <w:ind w:left="720"/>
        <w:jc w:val="both"/>
        <w:rPr>
          <w:rFonts w:eastAsia="Calibri" w:cs="Arial"/>
          <w:b w:val="0"/>
          <w:color w:val="auto"/>
          <w:spacing w:val="0"/>
          <w:sz w:val="22"/>
          <w:szCs w:val="22"/>
          <w:lang w:val="es-CR" w:eastAsia="en-US"/>
        </w:rPr>
      </w:pPr>
      <w:r w:rsidRPr="00B60398">
        <w:rPr>
          <w:rFonts w:eastAsia="Calibri" w:cs="Arial"/>
          <w:b w:val="0"/>
          <w:color w:val="auto"/>
          <w:spacing w:val="0"/>
          <w:sz w:val="22"/>
          <w:szCs w:val="22"/>
          <w:lang w:val="es-CR" w:eastAsia="en-US"/>
        </w:rPr>
        <w:t xml:space="preserve">Coordinar </w:t>
      </w:r>
      <w:bookmarkStart w:id="102" w:name="_Hlk128695535"/>
      <w:r w:rsidRPr="00B60398">
        <w:rPr>
          <w:rFonts w:eastAsia="Calibri" w:cs="Arial"/>
          <w:b w:val="0"/>
          <w:color w:val="auto"/>
          <w:spacing w:val="0"/>
          <w:sz w:val="22"/>
          <w:szCs w:val="22"/>
          <w:lang w:val="es-CR" w:eastAsia="en-US"/>
        </w:rPr>
        <w:t xml:space="preserve">la redacción de los proyectos de Ley que corresponda para modificar la Ley 9747 previo a su entrada en funcionamiento. </w:t>
      </w:r>
      <w:r w:rsidR="00391C8F" w:rsidRPr="00B60398">
        <w:rPr>
          <w:rFonts w:eastAsia="Calibri" w:cs="Arial"/>
          <w:b w:val="0"/>
          <w:color w:val="auto"/>
          <w:spacing w:val="0"/>
          <w:sz w:val="22"/>
          <w:szCs w:val="22"/>
          <w:lang w:val="es-CR" w:eastAsia="en-US"/>
        </w:rPr>
        <w:t xml:space="preserve"> </w:t>
      </w:r>
      <w:bookmarkEnd w:id="102"/>
    </w:p>
    <w:p w14:paraId="02ADCBDC" w14:textId="77777777" w:rsidR="00391C8F" w:rsidRDefault="00391C8F" w:rsidP="001D0C10">
      <w:pPr>
        <w:tabs>
          <w:tab w:val="left" w:pos="426"/>
        </w:tabs>
        <w:autoSpaceDE w:val="0"/>
        <w:autoSpaceDN w:val="0"/>
        <w:adjustRightInd w:val="0"/>
        <w:spacing w:after="0" w:line="276" w:lineRule="auto"/>
        <w:ind w:left="360"/>
        <w:jc w:val="both"/>
        <w:rPr>
          <w:rFonts w:ascii="Book Antiqua" w:eastAsia="Calibri" w:hAnsi="Book Antiqua" w:cs="Book Antiqua"/>
          <w:iCs/>
          <w:color w:val="000000"/>
          <w:spacing w:val="-3"/>
          <w:sz w:val="24"/>
          <w:szCs w:val="24"/>
        </w:rPr>
      </w:pPr>
    </w:p>
    <w:p w14:paraId="1C63A527" w14:textId="77777777" w:rsidR="00851F5D" w:rsidRPr="001D0C10" w:rsidRDefault="00851F5D" w:rsidP="001D0C10">
      <w:pPr>
        <w:tabs>
          <w:tab w:val="left" w:pos="426"/>
        </w:tabs>
        <w:autoSpaceDE w:val="0"/>
        <w:autoSpaceDN w:val="0"/>
        <w:adjustRightInd w:val="0"/>
        <w:spacing w:after="0" w:line="276" w:lineRule="auto"/>
        <w:ind w:left="360"/>
        <w:jc w:val="both"/>
        <w:rPr>
          <w:rFonts w:ascii="Book Antiqua" w:eastAsia="Calibri" w:hAnsi="Book Antiqua" w:cs="Book Antiqua"/>
          <w:iCs/>
          <w:color w:val="000000"/>
          <w:spacing w:val="-3"/>
          <w:sz w:val="24"/>
          <w:szCs w:val="24"/>
        </w:rPr>
      </w:pPr>
    </w:p>
    <w:p w14:paraId="0836EBBB" w14:textId="77777777" w:rsidR="00290085" w:rsidRPr="00290085" w:rsidRDefault="00290085" w:rsidP="00290085">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290085">
        <w:rPr>
          <w:rFonts w:ascii="Book Antiqua" w:eastAsia="MS PGothic" w:hAnsi="Book Antiqua" w:cs="Times New Roman"/>
          <w:b/>
          <w:snapToGrid w:val="0"/>
          <w:sz w:val="24"/>
          <w:szCs w:val="24"/>
          <w:lang w:val="es-ES" w:eastAsia="es-ES"/>
        </w:rPr>
        <w:t xml:space="preserve">A la </w:t>
      </w:r>
      <w:bookmarkStart w:id="103" w:name="_Hlk65240192"/>
      <w:r w:rsidRPr="00290085">
        <w:rPr>
          <w:rFonts w:ascii="Book Antiqua" w:eastAsia="MS PGothic" w:hAnsi="Book Antiqua" w:cs="Times New Roman"/>
          <w:b/>
          <w:snapToGrid w:val="0"/>
          <w:sz w:val="24"/>
          <w:szCs w:val="24"/>
          <w:lang w:val="es-ES" w:eastAsia="es-ES"/>
        </w:rPr>
        <w:t>Comisión Permanente para el Seguimiento de la Atención y Prevención de la Violencia Intrafamiliar</w:t>
      </w:r>
      <w:bookmarkEnd w:id="103"/>
    </w:p>
    <w:p w14:paraId="6C0A701F" w14:textId="677C3E9C" w:rsidR="003F7A0D" w:rsidRDefault="003F7A0D" w:rsidP="009E73B0">
      <w:pPr>
        <w:pStyle w:val="Ttulo"/>
        <w:spacing w:line="276" w:lineRule="auto"/>
        <w:jc w:val="left"/>
        <w:rPr>
          <w:szCs w:val="24"/>
          <w:lang w:val="es-CR"/>
        </w:rPr>
      </w:pPr>
    </w:p>
    <w:p w14:paraId="48C4146B" w14:textId="43628C58" w:rsidR="00AE6FDF" w:rsidRPr="001D0C10" w:rsidRDefault="00AE6FDF" w:rsidP="009D2B4A">
      <w:pPr>
        <w:pStyle w:val="Prrafodelista"/>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Deberá </w:t>
      </w:r>
      <w:r w:rsidR="001B05D9">
        <w:rPr>
          <w:rFonts w:ascii="Book Antiqua" w:eastAsia="Calibri" w:hAnsi="Book Antiqua" w:cs="Arial"/>
          <w:sz w:val="24"/>
          <w:szCs w:val="24"/>
        </w:rPr>
        <w:t>velar</w:t>
      </w:r>
      <w:r w:rsidR="00CB56CB">
        <w:rPr>
          <w:rFonts w:ascii="Book Antiqua" w:eastAsia="Calibri" w:hAnsi="Book Antiqua" w:cs="Arial"/>
          <w:sz w:val="24"/>
          <w:szCs w:val="24"/>
        </w:rPr>
        <w:t xml:space="preserve"> e impulsar que </w:t>
      </w:r>
      <w:r w:rsidRPr="001D0C10">
        <w:rPr>
          <w:rFonts w:ascii="Book Antiqua" w:eastAsia="Calibri" w:hAnsi="Book Antiqua" w:cs="Arial"/>
          <w:sz w:val="24"/>
          <w:szCs w:val="24"/>
        </w:rPr>
        <w:t xml:space="preserve">los despachos que atienden materia de Violencia Doméstica realicen la actualización de la información en los sistemas de información con que cuenta la Institución de forma que las consultas que se realicen brinden información certera así mismo que se </w:t>
      </w:r>
      <w:r w:rsidR="00B6213D" w:rsidRPr="001D0C10">
        <w:rPr>
          <w:rFonts w:ascii="Book Antiqua" w:eastAsia="Calibri" w:hAnsi="Book Antiqua" w:cs="Arial"/>
          <w:sz w:val="24"/>
          <w:szCs w:val="24"/>
        </w:rPr>
        <w:t>dé</w:t>
      </w:r>
      <w:r w:rsidRPr="001D0C10">
        <w:rPr>
          <w:rFonts w:ascii="Book Antiqua" w:eastAsia="Calibri" w:hAnsi="Book Antiqua" w:cs="Arial"/>
          <w:sz w:val="24"/>
          <w:szCs w:val="24"/>
        </w:rPr>
        <w:t xml:space="preserve"> cumplimiento a las recomendaciones emitidas en este informe</w:t>
      </w:r>
      <w:r w:rsidR="00B6213D" w:rsidRPr="001D0C10">
        <w:rPr>
          <w:rFonts w:ascii="Book Antiqua" w:eastAsia="Calibri" w:hAnsi="Book Antiqua" w:cs="Arial"/>
          <w:sz w:val="24"/>
          <w:szCs w:val="24"/>
        </w:rPr>
        <w:t xml:space="preserve"> y a</w:t>
      </w:r>
      <w:r w:rsidR="000F5376">
        <w:rPr>
          <w:rFonts w:ascii="Book Antiqua" w:eastAsia="Calibri" w:hAnsi="Book Antiqua" w:cs="Arial"/>
          <w:sz w:val="24"/>
          <w:szCs w:val="24"/>
        </w:rPr>
        <w:t xml:space="preserve"> </w:t>
      </w:r>
      <w:r w:rsidR="00B6213D" w:rsidRPr="001D0C10">
        <w:rPr>
          <w:rFonts w:ascii="Book Antiqua" w:eastAsia="Calibri" w:hAnsi="Book Antiqua" w:cs="Arial"/>
          <w:sz w:val="24"/>
          <w:szCs w:val="24"/>
        </w:rPr>
        <w:t xml:space="preserve">las diferentes recomendaciones dadas por la </w:t>
      </w:r>
      <w:r w:rsidR="000F5376">
        <w:rPr>
          <w:rFonts w:ascii="Book Antiqua" w:eastAsia="Calibri" w:hAnsi="Book Antiqua" w:cs="Arial"/>
          <w:sz w:val="24"/>
          <w:szCs w:val="24"/>
        </w:rPr>
        <w:t>C</w:t>
      </w:r>
      <w:r w:rsidR="00B6213D" w:rsidRPr="001D0C10">
        <w:rPr>
          <w:rFonts w:ascii="Book Antiqua" w:eastAsia="Calibri" w:hAnsi="Book Antiqua" w:cs="Arial"/>
          <w:sz w:val="24"/>
          <w:szCs w:val="24"/>
        </w:rPr>
        <w:t>omisión</w:t>
      </w:r>
      <w:r w:rsidR="000F5376">
        <w:rPr>
          <w:rFonts w:ascii="Book Antiqua" w:eastAsia="Calibri" w:hAnsi="Book Antiqua" w:cs="Arial"/>
          <w:sz w:val="24"/>
          <w:szCs w:val="24"/>
        </w:rPr>
        <w:t>, definición del Modelo de Oficina</w:t>
      </w:r>
      <w:r w:rsidR="00B6213D" w:rsidRPr="001D0C10">
        <w:rPr>
          <w:rFonts w:ascii="Book Antiqua" w:eastAsia="Calibri" w:hAnsi="Book Antiqua" w:cs="Arial"/>
          <w:sz w:val="24"/>
          <w:szCs w:val="24"/>
        </w:rPr>
        <w:t xml:space="preserve"> y documentadas a través de dist</w:t>
      </w:r>
      <w:r w:rsidR="004B17CE" w:rsidRPr="001D0C10">
        <w:rPr>
          <w:rFonts w:ascii="Book Antiqua" w:eastAsia="Calibri" w:hAnsi="Book Antiqua" w:cs="Arial"/>
          <w:sz w:val="24"/>
          <w:szCs w:val="24"/>
        </w:rPr>
        <w:t>i</w:t>
      </w:r>
      <w:r w:rsidR="00B6213D" w:rsidRPr="001D0C10">
        <w:rPr>
          <w:rFonts w:ascii="Book Antiqua" w:eastAsia="Calibri" w:hAnsi="Book Antiqua" w:cs="Arial"/>
          <w:sz w:val="24"/>
          <w:szCs w:val="24"/>
        </w:rPr>
        <w:t xml:space="preserve">ntas circulares. </w:t>
      </w:r>
    </w:p>
    <w:p w14:paraId="25502690" w14:textId="0010978C" w:rsidR="00AE6FDF" w:rsidRDefault="00AE6FDF" w:rsidP="00AE6FDF">
      <w:pPr>
        <w:spacing w:after="0" w:line="276" w:lineRule="auto"/>
        <w:jc w:val="both"/>
        <w:rPr>
          <w:rFonts w:ascii="Book Antiqua" w:eastAsia="Calibri" w:hAnsi="Book Antiqua" w:cs="Arial"/>
          <w:sz w:val="24"/>
          <w:szCs w:val="24"/>
        </w:rPr>
      </w:pPr>
    </w:p>
    <w:p w14:paraId="2DC75031" w14:textId="7777777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221-2021 </w:t>
      </w:r>
      <w:r w:rsidRPr="00BA3314">
        <w:rPr>
          <w:rFonts w:ascii="Book Antiqua" w:hAnsi="Book Antiqua"/>
          <w:i/>
          <w:iCs/>
          <w:sz w:val="24"/>
          <w:szCs w:val="24"/>
          <w:lang w:val="es-ES"/>
        </w:rPr>
        <w:t>“Deber de solicitar autorización al Consejo Superior para realizar una modificación en la configuración del reparto”.</w:t>
      </w:r>
    </w:p>
    <w:p w14:paraId="525C33A1" w14:textId="65FA7999"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Circular 267-2021 “</w:t>
      </w:r>
      <w:r w:rsidRPr="00BA3314">
        <w:rPr>
          <w:rFonts w:ascii="Book Antiqua" w:hAnsi="Book Antiqua"/>
          <w:i/>
          <w:iCs/>
          <w:sz w:val="24"/>
          <w:szCs w:val="24"/>
          <w:lang w:val="es-ES"/>
        </w:rPr>
        <w:t>Obligación de cumplir con la corrección de inconsistenci</w:t>
      </w:r>
      <w:r w:rsidR="001146C5">
        <w:rPr>
          <w:rFonts w:ascii="Book Antiqua" w:hAnsi="Book Antiqua"/>
          <w:i/>
          <w:iCs/>
          <w:sz w:val="24"/>
          <w:szCs w:val="24"/>
          <w:lang w:val="es-ES"/>
        </w:rPr>
        <w:t>a</w:t>
      </w:r>
      <w:r w:rsidRPr="00BA3314">
        <w:rPr>
          <w:rFonts w:ascii="Book Antiqua" w:hAnsi="Book Antiqua"/>
          <w:i/>
          <w:iCs/>
          <w:sz w:val="24"/>
          <w:szCs w:val="24"/>
          <w:lang w:val="es-ES"/>
        </w:rPr>
        <w:t xml:space="preserve">s </w:t>
      </w:r>
      <w:r w:rsidR="00110E4A">
        <w:rPr>
          <w:rFonts w:ascii="Book Antiqua" w:hAnsi="Book Antiqua"/>
          <w:i/>
          <w:iCs/>
          <w:sz w:val="24"/>
          <w:szCs w:val="24"/>
          <w:lang w:val="es-ES"/>
        </w:rPr>
        <w:t>–</w:t>
      </w:r>
      <w:r w:rsidRPr="00BA3314">
        <w:rPr>
          <w:rFonts w:ascii="Book Antiqua" w:hAnsi="Book Antiqua"/>
          <w:i/>
          <w:iCs/>
          <w:sz w:val="24"/>
          <w:szCs w:val="24"/>
          <w:lang w:val="es-ES"/>
        </w:rPr>
        <w:t xml:space="preserve"> aplicar el régimen disciplinario por su incumplimiento</w:t>
      </w:r>
      <w:r w:rsidRPr="00BA3314">
        <w:rPr>
          <w:rFonts w:ascii="Book Antiqua" w:hAnsi="Book Antiqua"/>
          <w:sz w:val="24"/>
          <w:szCs w:val="24"/>
          <w:lang w:val="es-ES"/>
        </w:rPr>
        <w:t>”.</w:t>
      </w:r>
    </w:p>
    <w:p w14:paraId="36357A6F" w14:textId="77777777" w:rsidR="00220CA5" w:rsidRPr="00BA3314" w:rsidRDefault="00220CA5" w:rsidP="0090609F">
      <w:pPr>
        <w:pStyle w:val="Prrafodelista"/>
        <w:numPr>
          <w:ilvl w:val="0"/>
          <w:numId w:val="15"/>
        </w:numPr>
        <w:spacing w:line="276" w:lineRule="auto"/>
        <w:jc w:val="both"/>
        <w:rPr>
          <w:rFonts w:ascii="Book Antiqua" w:hAnsi="Book Antiqua"/>
          <w:i/>
          <w:iCs/>
          <w:sz w:val="24"/>
          <w:szCs w:val="24"/>
          <w:lang w:val="es-ES"/>
        </w:rPr>
      </w:pPr>
      <w:r w:rsidRPr="00BA3314">
        <w:rPr>
          <w:rFonts w:ascii="Book Antiqua" w:hAnsi="Book Antiqua"/>
          <w:sz w:val="24"/>
          <w:szCs w:val="24"/>
          <w:lang w:val="es-ES"/>
        </w:rPr>
        <w:t xml:space="preserve">Circular 110-20 </w:t>
      </w:r>
      <w:r w:rsidRPr="00BA3314">
        <w:rPr>
          <w:rFonts w:ascii="Book Antiqua" w:hAnsi="Book Antiqua"/>
          <w:i/>
          <w:iCs/>
          <w:sz w:val="24"/>
          <w:szCs w:val="24"/>
          <w:lang w:val="es-ES"/>
        </w:rPr>
        <w:t>“Reiterar la Circular N 60-99 relacionado con las Reglas prácticas para facilitar la aplicación efectiva de la Ley contra la violencia doméstica”.</w:t>
      </w:r>
    </w:p>
    <w:p w14:paraId="3CA6D116" w14:textId="7777777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234-2021 </w:t>
      </w:r>
      <w:r w:rsidRPr="00BA3314">
        <w:rPr>
          <w:rFonts w:ascii="Book Antiqua" w:hAnsi="Book Antiqua"/>
          <w:i/>
          <w:iCs/>
          <w:sz w:val="24"/>
          <w:szCs w:val="24"/>
          <w:lang w:val="es-ES"/>
        </w:rPr>
        <w:t>“Que es sen</w:t>
      </w:r>
      <w:r>
        <w:rPr>
          <w:rFonts w:ascii="Book Antiqua" w:hAnsi="Book Antiqua"/>
          <w:i/>
          <w:iCs/>
          <w:sz w:val="24"/>
          <w:szCs w:val="24"/>
          <w:lang w:val="es-ES"/>
        </w:rPr>
        <w:t>t</w:t>
      </w:r>
      <w:r w:rsidRPr="00BA3314">
        <w:rPr>
          <w:rFonts w:ascii="Book Antiqua" w:hAnsi="Book Antiqua"/>
          <w:i/>
          <w:iCs/>
          <w:sz w:val="24"/>
          <w:szCs w:val="24"/>
          <w:lang w:val="es-ES"/>
        </w:rPr>
        <w:t>encia en materia de Violencia Doméstica uso y seguimiento a la información registrada en el reporte de pase a fallo”.</w:t>
      </w:r>
    </w:p>
    <w:p w14:paraId="66B00DE2" w14:textId="04ACBC19" w:rsidR="00220CA5" w:rsidRPr="001D0C10"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266-2021 </w:t>
      </w:r>
      <w:r w:rsidRPr="00BA3314">
        <w:rPr>
          <w:rFonts w:ascii="Book Antiqua" w:hAnsi="Book Antiqua"/>
          <w:i/>
          <w:iCs/>
          <w:sz w:val="24"/>
          <w:szCs w:val="24"/>
          <w:lang w:val="es-ES"/>
        </w:rPr>
        <w:t>“Deber de notificar personalmente el auto que otorga medidas la Circular No. 50-2021 específicamente en el punto 1.3”.</w:t>
      </w:r>
    </w:p>
    <w:p w14:paraId="71B8C3CD" w14:textId="3E09CD91" w:rsidR="00220CA5" w:rsidRDefault="00655852" w:rsidP="0090609F">
      <w:pPr>
        <w:pStyle w:val="Prrafodelista"/>
        <w:numPr>
          <w:ilvl w:val="0"/>
          <w:numId w:val="15"/>
        </w:numPr>
        <w:spacing w:line="276" w:lineRule="auto"/>
        <w:jc w:val="both"/>
        <w:rPr>
          <w:rFonts w:ascii="Book Antiqua" w:hAnsi="Book Antiqua"/>
          <w:sz w:val="24"/>
          <w:szCs w:val="24"/>
          <w:lang w:val="es-ES"/>
        </w:rPr>
      </w:pPr>
      <w:r>
        <w:rPr>
          <w:rFonts w:ascii="Book Antiqua" w:hAnsi="Book Antiqua"/>
          <w:sz w:val="24"/>
          <w:szCs w:val="24"/>
          <w:lang w:val="es-ES"/>
        </w:rPr>
        <w:t>C</w:t>
      </w:r>
      <w:r w:rsidR="00220CA5" w:rsidRPr="00220CA5">
        <w:rPr>
          <w:rFonts w:ascii="Book Antiqua" w:hAnsi="Book Antiqua"/>
          <w:sz w:val="24"/>
          <w:szCs w:val="24"/>
          <w:lang w:val="es-ES"/>
        </w:rPr>
        <w:t xml:space="preserve">ircular </w:t>
      </w:r>
      <w:bookmarkStart w:id="104" w:name="_Hlk128696475"/>
      <w:r>
        <w:rPr>
          <w:rFonts w:ascii="Book Antiqua" w:hAnsi="Book Antiqua"/>
          <w:sz w:val="24"/>
          <w:szCs w:val="24"/>
          <w:lang w:val="es-ES"/>
        </w:rPr>
        <w:t xml:space="preserve">53-2022 “Inclusión de prioridades para casos denominados CLAIS (Comité </w:t>
      </w:r>
      <w:r w:rsidR="0028050D">
        <w:rPr>
          <w:rFonts w:ascii="Book Antiqua" w:hAnsi="Book Antiqua"/>
          <w:sz w:val="24"/>
          <w:szCs w:val="24"/>
          <w:lang w:val="es-ES"/>
        </w:rPr>
        <w:t xml:space="preserve">Local para la Atención Inmediata y Seguimiento de casos de alto riesgo por violencia contra la mujer) en los despachos que atienden Violencia </w:t>
      </w:r>
      <w:r w:rsidR="00220CA5" w:rsidRPr="00220CA5">
        <w:rPr>
          <w:rFonts w:ascii="Book Antiqua" w:hAnsi="Book Antiqua"/>
          <w:sz w:val="24"/>
          <w:szCs w:val="24"/>
          <w:lang w:val="es-ES"/>
        </w:rPr>
        <w:t>Doméstica</w:t>
      </w:r>
      <w:r w:rsidR="00220CA5">
        <w:rPr>
          <w:rFonts w:ascii="Book Antiqua" w:hAnsi="Book Antiqua"/>
          <w:sz w:val="24"/>
          <w:szCs w:val="24"/>
          <w:lang w:val="es-ES"/>
        </w:rPr>
        <w:t>.</w:t>
      </w:r>
    </w:p>
    <w:bookmarkEnd w:id="104"/>
    <w:p w14:paraId="17928930" w14:textId="77777777" w:rsidR="00220CA5" w:rsidRPr="00AE6FDF" w:rsidRDefault="00220CA5" w:rsidP="00AE6FDF">
      <w:pPr>
        <w:spacing w:after="0" w:line="276" w:lineRule="auto"/>
        <w:jc w:val="both"/>
        <w:rPr>
          <w:rFonts w:ascii="Book Antiqua" w:eastAsia="Calibri" w:hAnsi="Book Antiqua" w:cs="Arial"/>
          <w:sz w:val="24"/>
          <w:szCs w:val="24"/>
        </w:rPr>
      </w:pPr>
    </w:p>
    <w:p w14:paraId="51FF8036" w14:textId="77777777" w:rsidR="00237BDA" w:rsidRPr="00237BDA" w:rsidRDefault="00237BDA" w:rsidP="00237BDA">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237BDA">
        <w:rPr>
          <w:rFonts w:ascii="Book Antiqua" w:eastAsia="MS PGothic" w:hAnsi="Book Antiqua" w:cs="Times New Roman"/>
          <w:b/>
          <w:snapToGrid w:val="0"/>
          <w:sz w:val="24"/>
          <w:szCs w:val="24"/>
          <w:lang w:val="es-ES" w:eastAsia="es-ES"/>
        </w:rPr>
        <w:t>A la Dirección de Gestión Humana</w:t>
      </w:r>
    </w:p>
    <w:p w14:paraId="2854A30A" w14:textId="0D1499F7" w:rsidR="00237BDA" w:rsidRDefault="00237BDA" w:rsidP="009E73B0">
      <w:pPr>
        <w:pStyle w:val="Ttulo"/>
        <w:spacing w:line="276" w:lineRule="auto"/>
        <w:jc w:val="left"/>
        <w:rPr>
          <w:szCs w:val="24"/>
          <w:lang w:val="es-CR"/>
        </w:rPr>
      </w:pPr>
    </w:p>
    <w:p w14:paraId="7970928B" w14:textId="7619A4D1" w:rsidR="00237BDA" w:rsidRPr="00247E02" w:rsidRDefault="00237BDA" w:rsidP="009D2B4A">
      <w:pPr>
        <w:pStyle w:val="Prrafodelista"/>
        <w:widowControl w:val="0"/>
        <w:spacing w:after="0" w:line="276" w:lineRule="auto"/>
        <w:jc w:val="both"/>
        <w:rPr>
          <w:rFonts w:ascii="Book Antiqua" w:eastAsia="Calibri" w:hAnsi="Book Antiqua" w:cs="Arial"/>
          <w:sz w:val="24"/>
          <w:szCs w:val="24"/>
          <w:lang w:eastAsia="es-CR"/>
        </w:rPr>
      </w:pPr>
      <w:r w:rsidRPr="00247E02">
        <w:rPr>
          <w:rFonts w:ascii="Book Antiqua" w:eastAsia="Calibri" w:hAnsi="Book Antiqua" w:cs="Arial"/>
          <w:sz w:val="24"/>
          <w:szCs w:val="24"/>
        </w:rPr>
        <w:t xml:space="preserve">Dar cumplimiento </w:t>
      </w:r>
      <w:r w:rsidR="00B43BFC">
        <w:rPr>
          <w:rFonts w:ascii="Book Antiqua" w:eastAsia="Calibri" w:hAnsi="Book Antiqua" w:cs="Arial"/>
          <w:sz w:val="24"/>
          <w:szCs w:val="24"/>
        </w:rPr>
        <w:t>las tareas que aún no alcanzan el 100%</w:t>
      </w:r>
      <w:r w:rsidR="006F5394">
        <w:rPr>
          <w:rFonts w:ascii="Book Antiqua" w:eastAsia="Calibri" w:hAnsi="Book Antiqua" w:cs="Arial"/>
          <w:sz w:val="24"/>
          <w:szCs w:val="24"/>
        </w:rPr>
        <w:t xml:space="preserve"> </w:t>
      </w:r>
      <w:r w:rsidRPr="00247E02">
        <w:rPr>
          <w:rFonts w:ascii="Book Antiqua" w:eastAsia="Calibri" w:hAnsi="Book Antiqua" w:cs="Arial"/>
          <w:sz w:val="24"/>
          <w:szCs w:val="24"/>
        </w:rPr>
        <w:t>dentro del Proyecto 1374-CF-P01</w:t>
      </w:r>
      <w:r w:rsidRPr="00247E02">
        <w:rPr>
          <w:rFonts w:ascii="Book Antiqua" w:eastAsia="Calibri" w:hAnsi="Book Antiqua" w:cs="Arial"/>
          <w:i/>
          <w:iCs/>
          <w:sz w:val="24"/>
          <w:szCs w:val="24"/>
        </w:rPr>
        <w:t xml:space="preserve"> “Implementación del Código Procesal de Familia” </w:t>
      </w:r>
      <w:r w:rsidRPr="00247E02">
        <w:rPr>
          <w:rFonts w:ascii="Book Antiqua" w:eastAsia="Calibri" w:hAnsi="Book Antiqua" w:cs="Arial"/>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137F0230" w14:textId="0E45D4BA" w:rsidR="000F5376" w:rsidRDefault="000F5376" w:rsidP="001D0C10">
      <w:pPr>
        <w:pStyle w:val="Prrafodelista"/>
        <w:widowControl w:val="0"/>
        <w:spacing w:after="0" w:line="276" w:lineRule="auto"/>
        <w:ind w:left="1080"/>
        <w:jc w:val="both"/>
        <w:rPr>
          <w:rFonts w:ascii="Book Antiqua" w:eastAsia="Calibri" w:hAnsi="Book Antiqua" w:cs="Arial"/>
          <w:sz w:val="24"/>
          <w:szCs w:val="24"/>
          <w:lang w:eastAsia="es-CR"/>
        </w:rPr>
      </w:pPr>
    </w:p>
    <w:tbl>
      <w:tblPr>
        <w:tblW w:w="0" w:type="auto"/>
        <w:jc w:val="center"/>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3725"/>
        <w:gridCol w:w="1029"/>
        <w:gridCol w:w="1278"/>
        <w:gridCol w:w="1186"/>
        <w:gridCol w:w="1610"/>
      </w:tblGrid>
      <w:tr w:rsidR="00240DEA" w:rsidRPr="00240DEA" w14:paraId="132F5685"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E9EEC0F"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Nombre de tarea</w:t>
            </w:r>
          </w:p>
        </w:tc>
        <w:tc>
          <w:tcPr>
            <w:tcW w:w="121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1D2D358"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Duración</w:t>
            </w:r>
          </w:p>
        </w:tc>
        <w:tc>
          <w:tcPr>
            <w:tcW w:w="157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0028CEA"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Comienzo</w:t>
            </w:r>
          </w:p>
        </w:tc>
        <w:tc>
          <w:tcPr>
            <w:tcW w:w="13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CE4E4D1"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Fin</w:t>
            </w:r>
          </w:p>
        </w:tc>
        <w:tc>
          <w:tcPr>
            <w:tcW w:w="202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42B10C6"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 completado</w:t>
            </w:r>
          </w:p>
        </w:tc>
      </w:tr>
      <w:tr w:rsidR="00240DEA" w:rsidRPr="00240DEA" w14:paraId="37D7CDD0"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16F6F3"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3.10. Informe de readecuación perfiles y gestión del cambio y evaluación DGH</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0C7874"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782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75F27A"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lun 13/1/20</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E4015F"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jue 13/4/23</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156531"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94%</w:t>
            </w:r>
          </w:p>
        </w:tc>
      </w:tr>
      <w:tr w:rsidR="00240DEA" w:rsidRPr="00240DEA" w14:paraId="520ACF44"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FF6333"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Diseño de Perfiles </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8D960A"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441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C1B081"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13/1/20</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9D51E0"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vie 29/10/21</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5AF8E3"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100%</w:t>
            </w:r>
          </w:p>
        </w:tc>
      </w:tr>
      <w:tr w:rsidR="00240DEA" w:rsidRPr="00240DEA" w14:paraId="38552522"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BE4364"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Preparación para el cambio</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2C0515"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100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CBC17B"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13/4/20</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CA7721"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31/8/20</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49191C"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100%</w:t>
            </w:r>
          </w:p>
        </w:tc>
      </w:tr>
      <w:tr w:rsidR="00240DEA" w:rsidRPr="00240DEA" w14:paraId="52FA0589"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7E5AA6"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Diseño de estrategia de abordaje de Ambiente Laboral</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686F37"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30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7F73D1"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1/11/21</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8ABC71"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mar 14/12/21</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6C18A3"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100%</w:t>
            </w:r>
          </w:p>
        </w:tc>
      </w:tr>
      <w:tr w:rsidR="00240DEA" w:rsidRPr="00240DEA" w14:paraId="020E1C86"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B33288"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Actualización de temario y elaboración del material de evaluación Juez 3 y 4</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A67C79"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283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020B78"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10/5/21</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7EC872"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mié 6/7/22</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DC8CB1"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100%</w:t>
            </w:r>
          </w:p>
        </w:tc>
      </w:tr>
      <w:tr w:rsidR="00240DEA" w:rsidRPr="00240DEA" w14:paraId="6F1794D4" w14:textId="77777777" w:rsidTr="0087125D">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C000" w:themeFill="accent4"/>
            <w:vAlign w:val="center"/>
            <w:hideMark/>
          </w:tcPr>
          <w:p w14:paraId="7268F953"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Actualización de temario y elaboración del material de evaluación Juez 1</w:t>
            </w:r>
          </w:p>
        </w:tc>
        <w:tc>
          <w:tcPr>
            <w:tcW w:w="1215" w:type="dxa"/>
            <w:tcBorders>
              <w:top w:val="single" w:sz="4" w:space="0" w:color="B1BBCC"/>
              <w:left w:val="single" w:sz="4" w:space="0" w:color="B1BBCC"/>
              <w:bottom w:val="single" w:sz="4" w:space="0" w:color="B1BBCC"/>
              <w:right w:val="single" w:sz="4" w:space="0" w:color="B1BBCC"/>
            </w:tcBorders>
            <w:shd w:val="clear" w:color="auto" w:fill="FFC000" w:themeFill="accent4"/>
            <w:vAlign w:val="center"/>
            <w:hideMark/>
          </w:tcPr>
          <w:p w14:paraId="4031CB48"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62 días</w:t>
            </w:r>
          </w:p>
        </w:tc>
        <w:tc>
          <w:tcPr>
            <w:tcW w:w="1575" w:type="dxa"/>
            <w:tcBorders>
              <w:top w:val="single" w:sz="4" w:space="0" w:color="B1BBCC"/>
              <w:left w:val="single" w:sz="4" w:space="0" w:color="B1BBCC"/>
              <w:bottom w:val="single" w:sz="4" w:space="0" w:color="B1BBCC"/>
              <w:right w:val="single" w:sz="4" w:space="0" w:color="B1BBCC"/>
            </w:tcBorders>
            <w:shd w:val="clear" w:color="auto" w:fill="FFC000" w:themeFill="accent4"/>
            <w:vAlign w:val="center"/>
            <w:hideMark/>
          </w:tcPr>
          <w:p w14:paraId="515069BD"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9/1/23</w:t>
            </w:r>
          </w:p>
        </w:tc>
        <w:tc>
          <w:tcPr>
            <w:tcW w:w="1395" w:type="dxa"/>
            <w:tcBorders>
              <w:top w:val="single" w:sz="4" w:space="0" w:color="B1BBCC"/>
              <w:left w:val="single" w:sz="4" w:space="0" w:color="B1BBCC"/>
              <w:bottom w:val="single" w:sz="4" w:space="0" w:color="B1BBCC"/>
              <w:right w:val="single" w:sz="4" w:space="0" w:color="B1BBCC"/>
            </w:tcBorders>
            <w:shd w:val="clear" w:color="auto" w:fill="FFC000" w:themeFill="accent4"/>
            <w:vAlign w:val="center"/>
            <w:hideMark/>
          </w:tcPr>
          <w:p w14:paraId="14F556AC"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jue 13/4/23</w:t>
            </w:r>
          </w:p>
        </w:tc>
        <w:tc>
          <w:tcPr>
            <w:tcW w:w="2025" w:type="dxa"/>
            <w:tcBorders>
              <w:top w:val="single" w:sz="4" w:space="0" w:color="B1BBCC"/>
              <w:left w:val="single" w:sz="4" w:space="0" w:color="B1BBCC"/>
              <w:bottom w:val="single" w:sz="4" w:space="0" w:color="B1BBCC"/>
              <w:right w:val="single" w:sz="4" w:space="0" w:color="B1BBCC"/>
            </w:tcBorders>
            <w:shd w:val="clear" w:color="auto" w:fill="FFC000" w:themeFill="accent4"/>
            <w:vAlign w:val="center"/>
            <w:hideMark/>
          </w:tcPr>
          <w:p w14:paraId="230AC440"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0%</w:t>
            </w:r>
          </w:p>
        </w:tc>
      </w:tr>
      <w:tr w:rsidR="00240DEA" w:rsidRPr="00240DEA" w14:paraId="098E1DA0"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B57117"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Capacitación Virtual (Capacítate)</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C064BC"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95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E550FE"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24/8/20</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611229"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jue 21/1/21</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02B2B2"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100%</w:t>
            </w:r>
          </w:p>
        </w:tc>
      </w:tr>
    </w:tbl>
    <w:p w14:paraId="3004D9A1" w14:textId="77777777" w:rsidR="00483946" w:rsidRPr="00483946" w:rsidRDefault="00483946" w:rsidP="00483946">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483946">
        <w:rPr>
          <w:rFonts w:ascii="Book Antiqua" w:eastAsia="MS PGothic" w:hAnsi="Book Antiqua" w:cs="Times New Roman"/>
          <w:b/>
          <w:snapToGrid w:val="0"/>
          <w:sz w:val="24"/>
          <w:szCs w:val="24"/>
          <w:lang w:val="es-ES" w:eastAsia="es-ES"/>
        </w:rPr>
        <w:t>A las Contralorías de Servicios a nivel nacional</w:t>
      </w:r>
    </w:p>
    <w:p w14:paraId="61D91F1A" w14:textId="77777777" w:rsidR="000F5376" w:rsidRDefault="000F5376" w:rsidP="00C31C5A">
      <w:pPr>
        <w:widowControl w:val="0"/>
        <w:spacing w:after="0" w:line="276" w:lineRule="auto"/>
        <w:jc w:val="both"/>
        <w:rPr>
          <w:rFonts w:ascii="Book Antiqua" w:eastAsia="Calibri" w:hAnsi="Book Antiqua" w:cs="Arial"/>
          <w:sz w:val="24"/>
          <w:szCs w:val="24"/>
          <w:lang w:eastAsia="es-CR"/>
        </w:rPr>
      </w:pPr>
    </w:p>
    <w:p w14:paraId="42588300" w14:textId="38C80699" w:rsidR="00C31C5A" w:rsidRPr="001D0C10" w:rsidRDefault="00C31C5A" w:rsidP="009D2B4A">
      <w:pPr>
        <w:pStyle w:val="Prrafodelista"/>
        <w:widowControl w:val="0"/>
        <w:spacing w:after="0" w:line="276" w:lineRule="auto"/>
        <w:jc w:val="both"/>
        <w:rPr>
          <w:rFonts w:ascii="Book Antiqua" w:eastAsia="Calibri" w:hAnsi="Book Antiqua" w:cs="Arial"/>
          <w:sz w:val="24"/>
          <w:szCs w:val="24"/>
          <w:lang w:eastAsia="es-CR"/>
        </w:rPr>
      </w:pPr>
      <w:r w:rsidRPr="001D0C10">
        <w:rPr>
          <w:rFonts w:ascii="Book Antiqua" w:eastAsia="Calibri" w:hAnsi="Book Antiqua" w:cs="Arial"/>
          <w:sz w:val="24"/>
          <w:szCs w:val="24"/>
          <w:lang w:eastAsia="es-CR"/>
        </w:rPr>
        <w:t>Dar cumplimiento a</w:t>
      </w:r>
      <w:r w:rsidR="006F5394">
        <w:rPr>
          <w:rFonts w:ascii="Book Antiqua" w:eastAsia="Calibri" w:hAnsi="Book Antiqua" w:cs="Arial"/>
          <w:sz w:val="24"/>
          <w:szCs w:val="24"/>
          <w:lang w:eastAsia="es-CR"/>
        </w:rPr>
        <w:t xml:space="preserve"> las tareas</w:t>
      </w:r>
      <w:r w:rsidRPr="001D0C10">
        <w:rPr>
          <w:rFonts w:ascii="Book Antiqua" w:eastAsia="Calibri" w:hAnsi="Book Antiqua" w:cs="Arial"/>
          <w:sz w:val="24"/>
          <w:szCs w:val="24"/>
          <w:lang w:eastAsia="es-CR"/>
        </w:rPr>
        <w:t xml:space="preserve"> su </w:t>
      </w:r>
      <w:r w:rsidR="006F5394">
        <w:rPr>
          <w:rFonts w:ascii="Book Antiqua" w:eastAsia="Calibri" w:hAnsi="Book Antiqua" w:cs="Arial"/>
          <w:sz w:val="24"/>
          <w:szCs w:val="24"/>
          <w:lang w:eastAsia="es-CR"/>
        </w:rPr>
        <w:t xml:space="preserve">cargo detalladas en el cronograma </w:t>
      </w:r>
      <w:r w:rsidR="00B117C2">
        <w:rPr>
          <w:rFonts w:ascii="Book Antiqua" w:eastAsia="Calibri" w:hAnsi="Book Antiqua" w:cs="Arial"/>
          <w:sz w:val="24"/>
          <w:szCs w:val="24"/>
          <w:lang w:eastAsia="es-CR"/>
        </w:rPr>
        <w:t xml:space="preserve">del </w:t>
      </w:r>
      <w:r w:rsidR="00B117C2" w:rsidRPr="00240DEA">
        <w:rPr>
          <w:rFonts w:ascii="Book Antiqua" w:eastAsia="Calibri" w:hAnsi="Book Antiqua" w:cs="Arial"/>
          <w:sz w:val="24"/>
          <w:szCs w:val="24"/>
          <w:lang w:eastAsia="es-CR"/>
        </w:rPr>
        <w:t>Proyecto</w:t>
      </w:r>
      <w:r w:rsidRPr="00240DEA">
        <w:rPr>
          <w:rFonts w:ascii="Book Antiqua" w:eastAsia="Calibri" w:hAnsi="Book Antiqua" w:cs="Arial"/>
          <w:sz w:val="24"/>
          <w:szCs w:val="24"/>
          <w:lang w:eastAsia="es-CR"/>
        </w:rPr>
        <w:t xml:space="preserve"> 1374-CF-P01 </w:t>
      </w:r>
      <w:r w:rsidRPr="00240DEA">
        <w:rPr>
          <w:rFonts w:ascii="Book Antiqua" w:eastAsia="Calibri" w:hAnsi="Book Antiqua" w:cs="Arial"/>
          <w:i/>
          <w:iCs/>
          <w:sz w:val="24"/>
          <w:szCs w:val="24"/>
          <w:lang w:eastAsia="es-CR"/>
        </w:rPr>
        <w:t>“Implementación del Código Procesal de Familia</w:t>
      </w:r>
      <w:r w:rsidRPr="00240DEA">
        <w:rPr>
          <w:rFonts w:ascii="Book Antiqua" w:eastAsia="Calibri" w:hAnsi="Book Antiqua" w:cs="Arial"/>
          <w:sz w:val="24"/>
          <w:szCs w:val="24"/>
          <w:lang w:eastAsia="es-CR"/>
        </w:rPr>
        <w:t>” y remitir el entregable correspondiente conforme al cronograma y metodología de proyectos institucional en coordinación con el Juez Gestor en la materia y la Comisión de Familia, Niñez y Adolescencia.</w:t>
      </w:r>
    </w:p>
    <w:p w14:paraId="3E2B23D1" w14:textId="1809E0D2" w:rsidR="00F21E27" w:rsidRDefault="00F21E27" w:rsidP="00C31C5A">
      <w:pPr>
        <w:widowControl w:val="0"/>
        <w:spacing w:after="0" w:line="276" w:lineRule="auto"/>
        <w:jc w:val="both"/>
        <w:rPr>
          <w:rFonts w:ascii="Book Antiqua" w:eastAsia="Calibri" w:hAnsi="Book Antiqua" w:cs="Arial"/>
          <w:sz w:val="24"/>
          <w:szCs w:val="24"/>
          <w:lang w:eastAsia="es-CR"/>
        </w:rPr>
      </w:pPr>
    </w:p>
    <w:tbl>
      <w:tblPr>
        <w:tblW w:w="0" w:type="auto"/>
        <w:jc w:val="center"/>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3729"/>
        <w:gridCol w:w="1028"/>
        <w:gridCol w:w="1277"/>
        <w:gridCol w:w="1185"/>
        <w:gridCol w:w="1609"/>
      </w:tblGrid>
      <w:tr w:rsidR="00240DEA" w:rsidRPr="00240DEA" w14:paraId="10ED3A3F"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05858F4" w14:textId="77777777" w:rsidR="00240DEA" w:rsidRPr="00240DEA" w:rsidRDefault="00240DEA" w:rsidP="00240DEA">
            <w:pPr>
              <w:spacing w:after="0" w:line="240" w:lineRule="auto"/>
              <w:rPr>
                <w:rFonts w:ascii="Segoe UI" w:eastAsia="Times New Roman" w:hAnsi="Segoe UI" w:cs="Segoe UI"/>
                <w:sz w:val="18"/>
                <w:szCs w:val="18"/>
                <w:lang w:eastAsia="es-CR"/>
              </w:rPr>
            </w:pPr>
            <w:bookmarkStart w:id="105" w:name="_Hlk128696023"/>
            <w:r w:rsidRPr="00240DEA">
              <w:rPr>
                <w:rFonts w:ascii="Segoe UI" w:eastAsia="Times New Roman" w:hAnsi="Segoe UI" w:cs="Segoe UI"/>
                <w:color w:val="363636"/>
                <w:sz w:val="18"/>
                <w:szCs w:val="18"/>
                <w:shd w:val="clear" w:color="auto" w:fill="DFE3E8"/>
                <w:lang w:eastAsia="es-CR"/>
              </w:rPr>
              <w:t>Nombre de tarea</w:t>
            </w:r>
          </w:p>
        </w:tc>
        <w:tc>
          <w:tcPr>
            <w:tcW w:w="121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8595FA3"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Duración</w:t>
            </w:r>
          </w:p>
        </w:tc>
        <w:tc>
          <w:tcPr>
            <w:tcW w:w="157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7B69F45"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Comienzo</w:t>
            </w:r>
          </w:p>
        </w:tc>
        <w:tc>
          <w:tcPr>
            <w:tcW w:w="139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08F69A"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Fin</w:t>
            </w:r>
          </w:p>
        </w:tc>
        <w:tc>
          <w:tcPr>
            <w:tcW w:w="202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6E9584D" w14:textId="77777777" w:rsidR="00240DEA" w:rsidRPr="00240DEA" w:rsidRDefault="00240DEA" w:rsidP="00240DEA">
            <w:pPr>
              <w:spacing w:after="0" w:line="240" w:lineRule="auto"/>
              <w:rPr>
                <w:rFonts w:ascii="Segoe UI" w:eastAsia="Times New Roman" w:hAnsi="Segoe UI" w:cs="Segoe UI"/>
                <w:sz w:val="18"/>
                <w:szCs w:val="18"/>
                <w:lang w:eastAsia="es-CR"/>
              </w:rPr>
            </w:pPr>
            <w:r w:rsidRPr="00240DEA">
              <w:rPr>
                <w:rFonts w:ascii="Segoe UI" w:eastAsia="Times New Roman" w:hAnsi="Segoe UI" w:cs="Segoe UI"/>
                <w:color w:val="363636"/>
                <w:sz w:val="18"/>
                <w:szCs w:val="18"/>
                <w:shd w:val="clear" w:color="auto" w:fill="DFE3E8"/>
                <w:lang w:eastAsia="es-CR"/>
              </w:rPr>
              <w:t>% completado</w:t>
            </w:r>
          </w:p>
        </w:tc>
      </w:tr>
      <w:tr w:rsidR="00240DEA" w:rsidRPr="00240DEA" w14:paraId="2DEC7475"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E0462B"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3.36. Informe Contraloría, afiches y acercamiento CPU</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F0E42B"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283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6E2BE6"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lun 5/6/23</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96EE26"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jue 18/7/24</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3AE83E"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b/>
                <w:bCs/>
                <w:color w:val="000000"/>
                <w:lang w:eastAsia="es-CR"/>
              </w:rPr>
              <w:t>0%</w:t>
            </w:r>
          </w:p>
        </w:tc>
      </w:tr>
      <w:tr w:rsidR="00240DEA" w:rsidRPr="00240DEA" w14:paraId="1507498D"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3C6F7D"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Diagnóstico previo</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8DF716"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117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4CD752"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5/6/23</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ED0D79"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mié 22/11/23</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2ACD00"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0%</w:t>
            </w:r>
          </w:p>
        </w:tc>
      </w:tr>
      <w:tr w:rsidR="00240DEA" w:rsidRPr="00240DEA" w14:paraId="6C7EBC3D"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9D63D0"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Encuestas, acercamiento Personal Usuarios</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0B083D"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106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47F8A8"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lun 5/2/24</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1B1F77"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jue 4/7/24</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9321A7"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0%</w:t>
            </w:r>
          </w:p>
        </w:tc>
      </w:tr>
      <w:tr w:rsidR="00240DEA" w:rsidRPr="00240DEA" w14:paraId="19FEB41A" w14:textId="77777777" w:rsidTr="00240DEA">
        <w:trPr>
          <w:jc w:val="center"/>
        </w:trPr>
        <w:tc>
          <w:tcPr>
            <w:tcW w:w="5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084F51"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 xml:space="preserve">   Elaboración del entregable y comunicación oficial</w:t>
            </w:r>
          </w:p>
        </w:tc>
        <w:tc>
          <w:tcPr>
            <w:tcW w:w="121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D7CAA4"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10 días</w:t>
            </w:r>
          </w:p>
        </w:tc>
        <w:tc>
          <w:tcPr>
            <w:tcW w:w="157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85C4DB"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jue 4/7/24</w:t>
            </w:r>
          </w:p>
        </w:tc>
        <w:tc>
          <w:tcPr>
            <w:tcW w:w="139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DDBFC7"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jue 18/7/24</w:t>
            </w:r>
          </w:p>
        </w:tc>
        <w:tc>
          <w:tcPr>
            <w:tcW w:w="202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13144C" w14:textId="77777777" w:rsidR="00240DEA" w:rsidRPr="00240DEA" w:rsidRDefault="00240DEA" w:rsidP="00240DEA">
            <w:pPr>
              <w:spacing w:after="0" w:line="240" w:lineRule="auto"/>
              <w:rPr>
                <w:rFonts w:ascii="Calibri" w:eastAsia="Times New Roman" w:hAnsi="Calibri" w:cs="Calibri"/>
                <w:lang w:eastAsia="es-CR"/>
              </w:rPr>
            </w:pPr>
            <w:r w:rsidRPr="00240DEA">
              <w:rPr>
                <w:rFonts w:ascii="Calibri" w:eastAsia="Times New Roman" w:hAnsi="Calibri" w:cs="Calibri"/>
                <w:color w:val="000000"/>
                <w:lang w:eastAsia="es-CR"/>
              </w:rPr>
              <w:t>0%</w:t>
            </w:r>
          </w:p>
        </w:tc>
      </w:tr>
      <w:bookmarkEnd w:id="105"/>
    </w:tbl>
    <w:p w14:paraId="08F613EA" w14:textId="77777777" w:rsidR="00F21E27" w:rsidRPr="00C31C5A" w:rsidRDefault="00F21E27" w:rsidP="00C31C5A">
      <w:pPr>
        <w:widowControl w:val="0"/>
        <w:spacing w:after="0" w:line="276" w:lineRule="auto"/>
        <w:jc w:val="both"/>
        <w:rPr>
          <w:rFonts w:ascii="Book Antiqua" w:eastAsia="Calibri" w:hAnsi="Book Antiqua" w:cs="Arial"/>
          <w:sz w:val="24"/>
          <w:szCs w:val="24"/>
          <w:lang w:eastAsia="es-CR"/>
        </w:rPr>
      </w:pPr>
    </w:p>
    <w:p w14:paraId="58A680F3" w14:textId="77777777" w:rsidR="00C31C5A" w:rsidRPr="00C31C5A" w:rsidRDefault="00C31C5A" w:rsidP="00C31C5A">
      <w:pPr>
        <w:widowControl w:val="0"/>
        <w:spacing w:after="0" w:line="276" w:lineRule="auto"/>
        <w:jc w:val="both"/>
        <w:rPr>
          <w:rFonts w:ascii="Book Antiqua" w:eastAsia="Calibri" w:hAnsi="Book Antiqua" w:cs="Arial"/>
          <w:sz w:val="24"/>
          <w:szCs w:val="24"/>
        </w:rPr>
      </w:pPr>
    </w:p>
    <w:p w14:paraId="4CBC5AC2" w14:textId="6CE134AA" w:rsidR="00494EB9" w:rsidRPr="00494EB9" w:rsidRDefault="00494EB9" w:rsidP="00494EB9">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494EB9">
        <w:rPr>
          <w:rFonts w:ascii="Book Antiqua" w:eastAsia="MS PGothic" w:hAnsi="Book Antiqua" w:cs="Times New Roman"/>
          <w:b/>
          <w:snapToGrid w:val="0"/>
          <w:sz w:val="24"/>
          <w:szCs w:val="24"/>
          <w:lang w:val="es-ES" w:eastAsia="es-ES"/>
        </w:rPr>
        <w:t xml:space="preserve">A la Dirección de Tecnología de la Información y </w:t>
      </w:r>
      <w:r w:rsidR="00582BCB">
        <w:rPr>
          <w:rFonts w:ascii="Book Antiqua" w:eastAsia="MS PGothic" w:hAnsi="Book Antiqua" w:cs="Times New Roman"/>
          <w:b/>
          <w:snapToGrid w:val="0"/>
          <w:sz w:val="24"/>
          <w:szCs w:val="24"/>
          <w:lang w:val="es-ES" w:eastAsia="es-ES"/>
        </w:rPr>
        <w:t>Comunicaciones, así como</w:t>
      </w:r>
      <w:r w:rsidRPr="00494EB9">
        <w:rPr>
          <w:rFonts w:ascii="Book Antiqua" w:eastAsia="MS PGothic" w:hAnsi="Book Antiqua" w:cs="Times New Roman"/>
          <w:b/>
          <w:snapToGrid w:val="0"/>
          <w:sz w:val="24"/>
          <w:szCs w:val="24"/>
          <w:lang w:val="es-ES" w:eastAsia="es-ES"/>
        </w:rPr>
        <w:t xml:space="preserve"> </w:t>
      </w:r>
      <w:r w:rsidR="00582BCB">
        <w:rPr>
          <w:rFonts w:ascii="Book Antiqua" w:eastAsia="MS PGothic" w:hAnsi="Book Antiqua" w:cs="Times New Roman"/>
          <w:b/>
          <w:snapToGrid w:val="0"/>
          <w:sz w:val="24"/>
          <w:szCs w:val="24"/>
          <w:lang w:val="es-ES" w:eastAsia="es-ES"/>
        </w:rPr>
        <w:t xml:space="preserve">sus </w:t>
      </w:r>
      <w:r w:rsidRPr="00494EB9">
        <w:rPr>
          <w:rFonts w:ascii="Book Antiqua" w:eastAsia="MS PGothic" w:hAnsi="Book Antiqua" w:cs="Times New Roman"/>
          <w:b/>
          <w:snapToGrid w:val="0"/>
          <w:sz w:val="24"/>
          <w:szCs w:val="24"/>
          <w:lang w:val="es-ES" w:eastAsia="es-ES"/>
        </w:rPr>
        <w:t>sedes Regionales a nivel nacional</w:t>
      </w:r>
    </w:p>
    <w:p w14:paraId="224FC9F7" w14:textId="77777777" w:rsidR="00494EB9" w:rsidRPr="00494EB9" w:rsidRDefault="00494EB9" w:rsidP="00494EB9">
      <w:pPr>
        <w:spacing w:after="0" w:line="276" w:lineRule="auto"/>
        <w:jc w:val="both"/>
        <w:rPr>
          <w:rFonts w:ascii="Book Antiqua" w:eastAsia="Calibri" w:hAnsi="Book Antiqua" w:cs="Arial"/>
          <w:sz w:val="24"/>
          <w:szCs w:val="24"/>
        </w:rPr>
      </w:pPr>
    </w:p>
    <w:p w14:paraId="2DBA28D0" w14:textId="5E6B4677" w:rsidR="000F5376" w:rsidRPr="00582BCB" w:rsidRDefault="00240DEA" w:rsidP="009D2B4A">
      <w:pPr>
        <w:pStyle w:val="Prrafodelista"/>
        <w:spacing w:after="0" w:line="276" w:lineRule="auto"/>
        <w:jc w:val="both"/>
        <w:rPr>
          <w:rFonts w:ascii="Book Antiqua" w:eastAsia="Calibri" w:hAnsi="Book Antiqua" w:cs="Arial"/>
          <w:sz w:val="24"/>
          <w:szCs w:val="24"/>
        </w:rPr>
      </w:pPr>
      <w:bookmarkStart w:id="106" w:name="_Hlk128696075"/>
      <w:r w:rsidRPr="00AA366E">
        <w:rPr>
          <w:rFonts w:ascii="Book Antiqua" w:eastAsia="Calibri" w:hAnsi="Book Antiqua" w:cs="Arial"/>
          <w:sz w:val="24"/>
          <w:szCs w:val="24"/>
        </w:rPr>
        <w:t xml:space="preserve">Aplicar </w:t>
      </w:r>
      <w:r w:rsidR="00494EB9" w:rsidRPr="00AA366E">
        <w:rPr>
          <w:rFonts w:ascii="Book Antiqua" w:eastAsia="Calibri" w:hAnsi="Book Antiqua" w:cs="Arial"/>
          <w:sz w:val="24"/>
          <w:szCs w:val="24"/>
        </w:rPr>
        <w:t>con carácter urgente la mejora en el reparto por procedimiento</w:t>
      </w:r>
      <w:r w:rsidRPr="00AA366E">
        <w:rPr>
          <w:rFonts w:ascii="Book Antiqua" w:eastAsia="Calibri" w:hAnsi="Book Antiqua" w:cs="Arial"/>
          <w:sz w:val="24"/>
          <w:szCs w:val="24"/>
        </w:rPr>
        <w:t xml:space="preserve"> </w:t>
      </w:r>
      <w:r w:rsidR="00981E88">
        <w:rPr>
          <w:rFonts w:ascii="Book Antiqua" w:eastAsia="Calibri" w:hAnsi="Book Antiqua" w:cs="Arial"/>
          <w:sz w:val="24"/>
          <w:szCs w:val="24"/>
        </w:rPr>
        <w:t>a</w:t>
      </w:r>
      <w:r w:rsidRPr="00AA366E">
        <w:rPr>
          <w:rFonts w:ascii="Book Antiqua" w:eastAsia="Calibri" w:hAnsi="Book Antiqua" w:cs="Arial"/>
          <w:sz w:val="24"/>
          <w:szCs w:val="24"/>
        </w:rPr>
        <w:t xml:space="preserve"> los</w:t>
      </w:r>
      <w:r>
        <w:rPr>
          <w:rFonts w:ascii="Book Antiqua" w:eastAsia="Calibri" w:hAnsi="Book Antiqua" w:cs="Arial"/>
          <w:sz w:val="24"/>
          <w:szCs w:val="24"/>
        </w:rPr>
        <w:t xml:space="preserve"> Juzgados competentes en materia de Familia, Pensiones y Violencia Doméstica</w:t>
      </w:r>
      <w:r w:rsidR="00494EB9" w:rsidRPr="001D0C10">
        <w:rPr>
          <w:rFonts w:ascii="Book Antiqua" w:eastAsia="Calibri" w:hAnsi="Book Antiqua" w:cs="Arial"/>
          <w:sz w:val="24"/>
          <w:szCs w:val="24"/>
        </w:rPr>
        <w:t xml:space="preserve">, de forma que se puedan excluir los asuntos reentrados del rol de reparto conforme al </w:t>
      </w:r>
      <w:bookmarkStart w:id="107" w:name="_Hlk97524805"/>
      <w:r w:rsidR="00494EB9" w:rsidRPr="001D0C10">
        <w:rPr>
          <w:rFonts w:ascii="Book Antiqua" w:eastAsia="Calibri" w:hAnsi="Book Antiqua" w:cs="Arial"/>
          <w:sz w:val="24"/>
          <w:szCs w:val="24"/>
        </w:rPr>
        <w:t>requerimiento realizado el 15 de diciembre 2020 (</w:t>
      </w:r>
      <w:r w:rsidR="00494EB9" w:rsidRPr="001D0C10">
        <w:rPr>
          <w:rFonts w:ascii="Book Antiqua" w:eastAsia="Calibri" w:hAnsi="Book Antiqua" w:cs="Arial"/>
          <w:b/>
          <w:bCs/>
          <w:i/>
          <w:iCs/>
          <w:sz w:val="24"/>
          <w:szCs w:val="24"/>
        </w:rPr>
        <w:t xml:space="preserve">anexo </w:t>
      </w:r>
      <w:r w:rsidR="001146C5" w:rsidRPr="001D0C10">
        <w:rPr>
          <w:rFonts w:ascii="Book Antiqua" w:eastAsia="Calibri" w:hAnsi="Book Antiqua" w:cs="Arial"/>
          <w:b/>
          <w:bCs/>
          <w:i/>
          <w:iCs/>
          <w:sz w:val="24"/>
          <w:szCs w:val="24"/>
        </w:rPr>
        <w:t>4</w:t>
      </w:r>
      <w:r w:rsidR="00494EB9" w:rsidRPr="001D0C10">
        <w:rPr>
          <w:rFonts w:ascii="Book Antiqua" w:eastAsia="Calibri" w:hAnsi="Book Antiqua" w:cs="Arial"/>
          <w:sz w:val="24"/>
          <w:szCs w:val="24"/>
        </w:rPr>
        <w:t xml:space="preserve">). </w:t>
      </w:r>
      <w:bookmarkEnd w:id="107"/>
      <w:r w:rsidR="00494EB9" w:rsidRPr="001D0C10">
        <w:rPr>
          <w:rFonts w:ascii="Book Antiqua" w:eastAsia="Calibri" w:hAnsi="Book Antiqua" w:cs="Arial"/>
          <w:sz w:val="24"/>
          <w:szCs w:val="24"/>
        </w:rPr>
        <w:t>Una vez validado su uso, proceder a la implementación de este tipo de reparto en la Jurisdicción de Familia, Pensiones y Violencia Doméstica a nivel nacional.</w:t>
      </w:r>
    </w:p>
    <w:bookmarkEnd w:id="106"/>
    <w:p w14:paraId="36F7CC5A" w14:textId="5509AF80" w:rsidR="00494EB9" w:rsidRDefault="00494EB9" w:rsidP="009D2B4A">
      <w:pPr>
        <w:pStyle w:val="Prrafodelista"/>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con carácter de urgente, la mejora solicitada mediante reporte GIS RF-1009915-3-118986 de </w:t>
      </w:r>
      <w:r w:rsidRPr="00240DEA">
        <w:rPr>
          <w:rFonts w:ascii="Book Antiqua" w:eastAsia="Calibri" w:hAnsi="Book Antiqua" w:cs="Arial"/>
          <w:sz w:val="24"/>
          <w:szCs w:val="24"/>
        </w:rPr>
        <w:t>forma que se pueda cruzar la información entre la clase de asunto y el resultado de las resoluciones, a fin de lograr obtener directamente del SIGMA la cantidad de resoluciones</w:t>
      </w:r>
      <w:r w:rsidRPr="001D0C10">
        <w:rPr>
          <w:rFonts w:ascii="Book Antiqua" w:eastAsia="Calibri" w:hAnsi="Book Antiqua" w:cs="Arial"/>
          <w:sz w:val="24"/>
          <w:szCs w:val="24"/>
        </w:rPr>
        <w:t xml:space="preserve"> de aprobación o improbación de divorcios por mutuo consentimiento y poder incluirlo así en la matriz.  </w:t>
      </w:r>
      <w:r w:rsidR="001146C5" w:rsidRPr="001D0C10">
        <w:rPr>
          <w:rFonts w:ascii="Book Antiqua" w:eastAsia="Calibri" w:hAnsi="Book Antiqua" w:cs="Arial"/>
          <w:sz w:val="24"/>
          <w:szCs w:val="24"/>
        </w:rPr>
        <w:t>De manera</w:t>
      </w:r>
      <w:r w:rsidRPr="001D0C10">
        <w:rPr>
          <w:rFonts w:ascii="Book Antiqua" w:eastAsia="Calibri" w:hAnsi="Book Antiqua" w:cs="Arial"/>
          <w:sz w:val="24"/>
          <w:szCs w:val="24"/>
        </w:rPr>
        <w:t xml:space="preserve"> temporal y hasta tanto </w:t>
      </w:r>
      <w:r w:rsidR="00240DEA" w:rsidRPr="001D0C10">
        <w:rPr>
          <w:rFonts w:ascii="Book Antiqua" w:eastAsia="Calibri" w:hAnsi="Book Antiqua" w:cs="Arial"/>
          <w:sz w:val="24"/>
          <w:szCs w:val="24"/>
        </w:rPr>
        <w:t>esta lista</w:t>
      </w:r>
      <w:r w:rsidRPr="001D0C10">
        <w:rPr>
          <w:rFonts w:ascii="Book Antiqua" w:eastAsia="Calibri" w:hAnsi="Book Antiqua" w:cs="Arial"/>
          <w:sz w:val="24"/>
          <w:szCs w:val="24"/>
        </w:rPr>
        <w:t xml:space="preserve"> la mejora, se definió con el Juez Gestor que sean las personas técnicas judiciales quiénes hagan el pase a fallo de estos expedientes, de manera que se registre así en el libro de pase a fallo y puedan contabilizarse desde ahí. </w:t>
      </w:r>
      <w:r w:rsidRPr="00240DEA">
        <w:rPr>
          <w:rFonts w:ascii="Book Antiqua" w:eastAsia="Calibri" w:hAnsi="Book Antiqua" w:cs="Arial"/>
          <w:sz w:val="24"/>
          <w:szCs w:val="24"/>
        </w:rPr>
        <w:t xml:space="preserve">La comunicación de la medida </w:t>
      </w:r>
      <w:r w:rsidR="00240DEA">
        <w:rPr>
          <w:rFonts w:ascii="Book Antiqua" w:eastAsia="Calibri" w:hAnsi="Book Antiqua" w:cs="Arial"/>
          <w:sz w:val="24"/>
          <w:szCs w:val="24"/>
        </w:rPr>
        <w:t>estuvo</w:t>
      </w:r>
      <w:r w:rsidRPr="00240DEA">
        <w:rPr>
          <w:rFonts w:ascii="Book Antiqua" w:eastAsia="Calibri" w:hAnsi="Book Antiqua" w:cs="Arial"/>
          <w:sz w:val="24"/>
          <w:szCs w:val="24"/>
        </w:rPr>
        <w:t xml:space="preserve"> a cargo del Juez Gestor.</w:t>
      </w:r>
    </w:p>
    <w:p w14:paraId="6F9E95A4" w14:textId="77777777" w:rsidR="009D2B4A" w:rsidRPr="001D0C10" w:rsidRDefault="009D2B4A" w:rsidP="009D2B4A">
      <w:pPr>
        <w:pStyle w:val="Prrafodelista"/>
        <w:spacing w:after="0" w:line="276" w:lineRule="auto"/>
        <w:jc w:val="both"/>
        <w:rPr>
          <w:rFonts w:ascii="Book Antiqua" w:eastAsia="Calibri" w:hAnsi="Book Antiqua" w:cs="Arial"/>
          <w:sz w:val="24"/>
          <w:szCs w:val="24"/>
        </w:rPr>
      </w:pPr>
    </w:p>
    <w:p w14:paraId="311055F3" w14:textId="1B4A0286" w:rsidR="00494EB9" w:rsidRDefault="000F5376" w:rsidP="009D2B4A">
      <w:pPr>
        <w:pStyle w:val="Prrafodelista"/>
        <w:tabs>
          <w:tab w:val="left" w:pos="426"/>
        </w:tabs>
        <w:autoSpaceDE w:val="0"/>
        <w:autoSpaceDN w:val="0"/>
        <w:adjustRightInd w:val="0"/>
        <w:spacing w:after="0" w:line="276" w:lineRule="auto"/>
        <w:jc w:val="both"/>
        <w:rPr>
          <w:rFonts w:ascii="Book Antiqua" w:eastAsia="Calibri" w:hAnsi="Book Antiqua" w:cs="Arial"/>
          <w:sz w:val="24"/>
          <w:szCs w:val="24"/>
        </w:rPr>
      </w:pPr>
      <w:r w:rsidRPr="00240DEA">
        <w:rPr>
          <w:rFonts w:ascii="Book Antiqua" w:eastAsia="Calibri" w:hAnsi="Book Antiqua" w:cs="Arial"/>
          <w:sz w:val="24"/>
          <w:szCs w:val="24"/>
        </w:rPr>
        <w:t>R</w:t>
      </w:r>
      <w:r w:rsidR="00494EB9" w:rsidRPr="00240DEA">
        <w:rPr>
          <w:rFonts w:ascii="Book Antiqua" w:eastAsia="Calibri" w:hAnsi="Book Antiqua" w:cs="Arial"/>
          <w:sz w:val="24"/>
          <w:szCs w:val="24"/>
        </w:rPr>
        <w:t>ealizar con carácter urgente, mejora en el sistema SIGA PJ que amplié la cantidad de caracteres para incluir los nombres correctos de las oficinas, incluidos los nuevos nombres de las oficinas competentes en Violencia</w:t>
      </w:r>
      <w:r w:rsidR="00494EB9" w:rsidRPr="001D0C10">
        <w:rPr>
          <w:rFonts w:ascii="Book Antiqua" w:eastAsia="Calibri" w:hAnsi="Book Antiqua" w:cs="Arial"/>
          <w:sz w:val="24"/>
          <w:szCs w:val="24"/>
        </w:rPr>
        <w:t xml:space="preserve"> Doméstica y Protección Cautelar, requerimiento presentado por la misma Comisión de Familia, Niñez y Adolescencia en la sesión del primero de diciembre </w:t>
      </w:r>
      <w:r w:rsidR="00117E77" w:rsidRPr="001D0C10">
        <w:rPr>
          <w:rFonts w:ascii="Book Antiqua" w:eastAsia="Calibri" w:hAnsi="Book Antiqua" w:cs="Arial"/>
          <w:sz w:val="24"/>
          <w:szCs w:val="24"/>
        </w:rPr>
        <w:t>2021</w:t>
      </w:r>
      <w:r w:rsidR="00494EB9" w:rsidRPr="001D0C10">
        <w:rPr>
          <w:rFonts w:ascii="Book Antiqua" w:eastAsia="Calibri" w:hAnsi="Book Antiqua" w:cs="Arial"/>
          <w:sz w:val="24"/>
          <w:szCs w:val="24"/>
        </w:rPr>
        <w:t>, artículo III y mediante oficio 124-PLA-PP-MI-2021.</w:t>
      </w:r>
    </w:p>
    <w:p w14:paraId="014F9B30" w14:textId="77777777" w:rsidR="00240DEA" w:rsidRDefault="00240DEA" w:rsidP="00240DEA">
      <w:pPr>
        <w:pStyle w:val="Prrafodelista"/>
        <w:tabs>
          <w:tab w:val="left" w:pos="426"/>
        </w:tabs>
        <w:autoSpaceDE w:val="0"/>
        <w:autoSpaceDN w:val="0"/>
        <w:adjustRightInd w:val="0"/>
        <w:spacing w:after="0" w:line="276" w:lineRule="auto"/>
        <w:jc w:val="both"/>
        <w:rPr>
          <w:rFonts w:ascii="Book Antiqua" w:eastAsia="Calibri" w:hAnsi="Book Antiqua" w:cs="Arial"/>
          <w:sz w:val="24"/>
          <w:szCs w:val="24"/>
        </w:rPr>
      </w:pPr>
    </w:p>
    <w:p w14:paraId="605C6E8B" w14:textId="77777777" w:rsidR="009D2B4A" w:rsidRDefault="009D2B4A" w:rsidP="009D2B4A">
      <w:pPr>
        <w:pStyle w:val="Prrafodelista"/>
        <w:tabs>
          <w:tab w:val="left" w:pos="426"/>
        </w:tabs>
        <w:autoSpaceDE w:val="0"/>
        <w:autoSpaceDN w:val="0"/>
        <w:adjustRightInd w:val="0"/>
        <w:spacing w:after="0" w:line="276" w:lineRule="auto"/>
        <w:jc w:val="both"/>
        <w:rPr>
          <w:rFonts w:ascii="Book Antiqua" w:eastAsia="Calibri" w:hAnsi="Book Antiqua" w:cs="Arial"/>
          <w:sz w:val="24"/>
          <w:szCs w:val="24"/>
        </w:rPr>
      </w:pPr>
      <w:bookmarkStart w:id="108" w:name="_Hlk128696211"/>
    </w:p>
    <w:p w14:paraId="1D3AAC1C" w14:textId="0701851D" w:rsidR="00240DEA" w:rsidRDefault="00240DEA" w:rsidP="009D2B4A">
      <w:pPr>
        <w:pStyle w:val="Prrafodelista"/>
        <w:tabs>
          <w:tab w:val="left" w:pos="426"/>
        </w:tabs>
        <w:autoSpaceDE w:val="0"/>
        <w:autoSpaceDN w:val="0"/>
        <w:adjustRightInd w:val="0"/>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Realizar con carácter urgente, una mejora al reparto por procedimiento de e manera que se pueda utilizar en Tribunales de Segunda Instancia y que reparta los recursos aunque sean recibidos a través del sistema de itineraciones, según el </w:t>
      </w:r>
      <w:r w:rsidRPr="00775B81">
        <w:rPr>
          <w:rFonts w:ascii="Book Antiqua" w:eastAsia="Calibri" w:hAnsi="Book Antiqua" w:cs="Arial"/>
          <w:b/>
          <w:bCs/>
          <w:sz w:val="24"/>
          <w:szCs w:val="24"/>
        </w:rPr>
        <w:t xml:space="preserve">requerimiento enviado por oficio </w:t>
      </w:r>
      <w:r w:rsidR="00775B81" w:rsidRPr="00775B81">
        <w:rPr>
          <w:rFonts w:ascii="Book Antiqua" w:eastAsia="Calibri" w:hAnsi="Book Antiqua" w:cs="Arial"/>
          <w:b/>
          <w:bCs/>
          <w:sz w:val="24"/>
          <w:szCs w:val="24"/>
        </w:rPr>
        <w:t>128-PLA-MI(NPL)-2023</w:t>
      </w:r>
      <w:r>
        <w:rPr>
          <w:rFonts w:ascii="Book Antiqua" w:eastAsia="Calibri" w:hAnsi="Book Antiqua" w:cs="Arial"/>
          <w:sz w:val="24"/>
          <w:szCs w:val="24"/>
        </w:rPr>
        <w:t xml:space="preserve">, Una vez hecha la mejora aplica para que se configure a todos los tribunales de segunda instancia en materia de Familia, Agrario, Contencioso Administrativo, Laboral y Civil. </w:t>
      </w:r>
    </w:p>
    <w:bookmarkEnd w:id="108"/>
    <w:p w14:paraId="4698B609" w14:textId="77777777" w:rsidR="00110E4A" w:rsidRDefault="00110E4A" w:rsidP="00C10582">
      <w:pPr>
        <w:pStyle w:val="Prrafodelista"/>
        <w:rPr>
          <w:rFonts w:ascii="Book Antiqua" w:eastAsia="Calibri" w:hAnsi="Book Antiqua" w:cs="Arial"/>
          <w:sz w:val="24"/>
          <w:szCs w:val="24"/>
        </w:rPr>
      </w:pPr>
    </w:p>
    <w:p w14:paraId="190F2418" w14:textId="77777777" w:rsidR="00240DEA" w:rsidRPr="001D0C10" w:rsidRDefault="00240DEA" w:rsidP="00240DEA">
      <w:pPr>
        <w:pStyle w:val="Prrafodelista"/>
        <w:tabs>
          <w:tab w:val="left" w:pos="426"/>
        </w:tabs>
        <w:autoSpaceDE w:val="0"/>
        <w:autoSpaceDN w:val="0"/>
        <w:adjustRightInd w:val="0"/>
        <w:spacing w:after="0" w:line="276" w:lineRule="auto"/>
        <w:jc w:val="both"/>
        <w:rPr>
          <w:rFonts w:ascii="Book Antiqua" w:eastAsia="Calibri" w:hAnsi="Book Antiqua" w:cs="Arial"/>
          <w:sz w:val="24"/>
          <w:szCs w:val="24"/>
        </w:rPr>
      </w:pPr>
    </w:p>
    <w:p w14:paraId="13887073" w14:textId="062E102F" w:rsidR="003F7A0D" w:rsidRDefault="001B17C7" w:rsidP="001D0C10">
      <w:pPr>
        <w:keepNext/>
        <w:widowControl w:val="0"/>
        <w:shd w:val="clear" w:color="auto" w:fill="B6DDE8"/>
        <w:autoSpaceDN w:val="0"/>
        <w:adjustRightInd w:val="0"/>
        <w:spacing w:after="0" w:line="276" w:lineRule="auto"/>
        <w:jc w:val="both"/>
        <w:outlineLvl w:val="1"/>
      </w:pPr>
      <w:r w:rsidRPr="001B17C7">
        <w:rPr>
          <w:rFonts w:ascii="Book Antiqua" w:eastAsia="MS PGothic" w:hAnsi="Book Antiqua" w:cs="Times New Roman"/>
          <w:b/>
          <w:snapToGrid w:val="0"/>
          <w:sz w:val="24"/>
          <w:szCs w:val="24"/>
          <w:lang w:val="es-ES" w:eastAsia="es-ES"/>
        </w:rPr>
        <w:t>A las Administraciones Regionales a nivel nacional</w:t>
      </w:r>
    </w:p>
    <w:p w14:paraId="754822B1" w14:textId="77777777" w:rsidR="00220CA5" w:rsidRDefault="00220CA5" w:rsidP="001B17C7">
      <w:pPr>
        <w:spacing w:after="0" w:line="276" w:lineRule="auto"/>
        <w:jc w:val="both"/>
        <w:rPr>
          <w:rFonts w:ascii="Book Antiqua" w:eastAsia="Calibri" w:hAnsi="Book Antiqua" w:cs="Arial"/>
          <w:sz w:val="24"/>
          <w:szCs w:val="24"/>
        </w:rPr>
      </w:pPr>
    </w:p>
    <w:p w14:paraId="3D4545BC" w14:textId="68C0D401" w:rsidR="001B17C7" w:rsidRPr="001D0C10" w:rsidRDefault="001B17C7" w:rsidP="009D2B4A">
      <w:pPr>
        <w:pStyle w:val="Prrafodelista"/>
        <w:spacing w:after="0" w:line="240" w:lineRule="auto"/>
        <w:jc w:val="both"/>
        <w:rPr>
          <w:rFonts w:ascii="Book Antiqua" w:eastAsia="Calibri" w:hAnsi="Book Antiqua" w:cs="Arial"/>
          <w:sz w:val="24"/>
          <w:szCs w:val="24"/>
        </w:rPr>
      </w:pPr>
      <w:r w:rsidRPr="001D0C10">
        <w:rPr>
          <w:rFonts w:ascii="Book Antiqua" w:eastAsia="Calibri" w:hAnsi="Book Antiqua" w:cs="Arial"/>
          <w:sz w:val="24"/>
          <w:szCs w:val="24"/>
        </w:rPr>
        <w:t>Dar cumplimiento a lo establecido en el “</w:t>
      </w:r>
      <w:r w:rsidRPr="001D0C10">
        <w:rPr>
          <w:rFonts w:ascii="Book Antiqua" w:eastAsia="Calibri" w:hAnsi="Book Antiqua" w:cs="Arial"/>
          <w:i/>
          <w:iCs/>
          <w:sz w:val="24"/>
          <w:szCs w:val="24"/>
        </w:rPr>
        <w:t>Reglamento sobre Expediente Electrónico ante el Poder Judicial”,</w:t>
      </w:r>
      <w:r w:rsidRPr="001D0C10">
        <w:rPr>
          <w:rFonts w:ascii="Book Antiqua" w:eastAsia="Calibri" w:hAnsi="Book Antiqua" w:cs="Arial"/>
          <w:sz w:val="24"/>
          <w:szCs w:val="24"/>
        </w:rPr>
        <w:t xml:space="preserve"> circular 139-11, cita artículo 5 y otros referidos al tema que enfatiza a la política de cero papel y Capítulo III en relación con las “</w:t>
      </w:r>
      <w:r w:rsidRPr="001D0C10">
        <w:rPr>
          <w:rFonts w:ascii="Book Antiqua" w:eastAsia="Calibri" w:hAnsi="Book Antiqua" w:cs="Arial"/>
          <w:i/>
          <w:iCs/>
          <w:sz w:val="24"/>
          <w:szCs w:val="24"/>
        </w:rPr>
        <w:t>Gestiones de partes en procesos ante el Poder Judicial por medios electrónicos, informáticos, telemáticos o semejantes”;</w:t>
      </w:r>
      <w:r w:rsidRPr="001D0C10">
        <w:rPr>
          <w:rFonts w:ascii="Book Antiqua" w:eastAsia="Calibri" w:hAnsi="Book Antiqua" w:cs="Arial"/>
          <w:sz w:val="24"/>
          <w:szCs w:val="24"/>
        </w:rPr>
        <w:t xml:space="preserve"> cuando se trate de despachos judiciales de trámite electrónico.</w:t>
      </w:r>
    </w:p>
    <w:p w14:paraId="5DD0A6AB" w14:textId="6B3AFCC6" w:rsidR="001B17C7" w:rsidRDefault="00B601AA" w:rsidP="009D2B4A">
      <w:pPr>
        <w:pStyle w:val="Ttulo"/>
        <w:spacing w:before="0" w:after="0" w:line="276" w:lineRule="auto"/>
        <w:ind w:left="720"/>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Dar cumplimiento a lo dispuesto en las circulares 61 y 79-2021, cuando las plazas supernumerarias den apoyo a juzgados que utilicen el </w:t>
      </w:r>
      <w:r w:rsidRPr="00B601AA">
        <w:rPr>
          <w:rFonts w:eastAsia="Calibri" w:cs="Arial"/>
          <w:b w:val="0"/>
          <w:color w:val="auto"/>
          <w:spacing w:val="0"/>
          <w:szCs w:val="24"/>
          <w:lang w:val="es-CR" w:eastAsia="en-US"/>
        </w:rPr>
        <w:t>módulo</w:t>
      </w:r>
      <w:r w:rsidRPr="001D0C10">
        <w:rPr>
          <w:rFonts w:eastAsia="Calibri" w:cs="Arial"/>
          <w:b w:val="0"/>
          <w:color w:val="auto"/>
          <w:spacing w:val="0"/>
          <w:szCs w:val="24"/>
          <w:lang w:val="es-CR" w:eastAsia="en-US"/>
        </w:rPr>
        <w:t xml:space="preserve"> de pase a fallo del Escritorio Virtual por tareas. </w:t>
      </w:r>
    </w:p>
    <w:p w14:paraId="113EE98E" w14:textId="77777777" w:rsidR="00E929EF" w:rsidRPr="001D0C10" w:rsidRDefault="00E929EF" w:rsidP="009E73B0">
      <w:pPr>
        <w:pStyle w:val="Ttulo"/>
        <w:spacing w:line="276" w:lineRule="auto"/>
        <w:jc w:val="left"/>
        <w:rPr>
          <w:rFonts w:eastAsia="Calibri" w:cs="Arial"/>
          <w:b w:val="0"/>
          <w:color w:val="auto"/>
          <w:spacing w:val="0"/>
          <w:szCs w:val="24"/>
          <w:lang w:val="es-CR" w:eastAsia="en-US"/>
        </w:rPr>
      </w:pPr>
    </w:p>
    <w:p w14:paraId="0B8C4786" w14:textId="585F5A85" w:rsidR="001B17C7" w:rsidRPr="009D2B4A" w:rsidRDefault="001B17C7" w:rsidP="009D2B4A">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1B17C7">
        <w:rPr>
          <w:rFonts w:ascii="Book Antiqua" w:eastAsia="MS PGothic" w:hAnsi="Book Antiqua" w:cs="Times New Roman"/>
          <w:b/>
          <w:snapToGrid w:val="0"/>
          <w:sz w:val="24"/>
          <w:szCs w:val="24"/>
          <w:lang w:val="es-ES" w:eastAsia="es-ES"/>
        </w:rPr>
        <w:t>A los Consejos de Administración a nivel nacional</w:t>
      </w:r>
    </w:p>
    <w:p w14:paraId="45F1D48D" w14:textId="77777777" w:rsidR="009D2B4A" w:rsidRDefault="009D2B4A" w:rsidP="009D2B4A">
      <w:pPr>
        <w:pStyle w:val="Prrafodelista"/>
        <w:widowControl w:val="0"/>
        <w:spacing w:after="0" w:line="276" w:lineRule="auto"/>
        <w:jc w:val="both"/>
        <w:rPr>
          <w:rFonts w:ascii="Book Antiqua" w:eastAsia="Calibri" w:hAnsi="Book Antiqua" w:cs="Arial"/>
          <w:sz w:val="24"/>
          <w:szCs w:val="24"/>
        </w:rPr>
      </w:pPr>
    </w:p>
    <w:p w14:paraId="13358FC8" w14:textId="5D20949B" w:rsidR="001B17C7" w:rsidRDefault="001B17C7" w:rsidP="009D2B4A">
      <w:pPr>
        <w:pStyle w:val="Prrafodelista"/>
        <w:widowControl w:val="0"/>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Conocerán los resultados del seguimiento y tomarán las medidas de apoyo requeridas para darle sostenibilidad al proceso, según sus competencias.</w:t>
      </w:r>
    </w:p>
    <w:p w14:paraId="61AA2BCE" w14:textId="77777777" w:rsidR="009D2B4A" w:rsidRPr="001D0C10" w:rsidRDefault="009D2B4A" w:rsidP="009D2B4A">
      <w:pPr>
        <w:pStyle w:val="Prrafodelista"/>
        <w:widowControl w:val="0"/>
        <w:spacing w:after="0" w:line="240" w:lineRule="auto"/>
        <w:jc w:val="both"/>
        <w:rPr>
          <w:rFonts w:ascii="Book Antiqua" w:eastAsia="Calibri" w:hAnsi="Book Antiqua" w:cs="Arial"/>
          <w:sz w:val="24"/>
          <w:szCs w:val="24"/>
        </w:rPr>
      </w:pPr>
    </w:p>
    <w:p w14:paraId="2235F072" w14:textId="4656A776" w:rsidR="001B17C7" w:rsidRPr="001D0C10" w:rsidRDefault="001B17C7" w:rsidP="009D2B4A">
      <w:pPr>
        <w:pStyle w:val="Prrafodelista"/>
        <w:widowControl w:val="0"/>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Se le reiteran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 Lo anterior conforme al acuerdo del Consejo Superior en sesión 82-2020 celebrada el 20 de agosto del 2020, artículo XLI.</w:t>
      </w:r>
    </w:p>
    <w:p w14:paraId="2FD04954" w14:textId="3176AC24" w:rsidR="001B17C7" w:rsidRDefault="001B17C7" w:rsidP="009E73B0">
      <w:pPr>
        <w:pStyle w:val="Ttulo"/>
        <w:spacing w:line="276" w:lineRule="auto"/>
        <w:jc w:val="left"/>
        <w:rPr>
          <w:szCs w:val="24"/>
          <w:lang w:val="es-CR"/>
        </w:rPr>
      </w:pPr>
    </w:p>
    <w:p w14:paraId="263B5356" w14:textId="77777777" w:rsidR="001B17C7" w:rsidRPr="001B17C7" w:rsidRDefault="001B17C7" w:rsidP="001B17C7">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1B17C7">
        <w:rPr>
          <w:rFonts w:ascii="Book Antiqua" w:eastAsia="MS PGothic" w:hAnsi="Book Antiqua" w:cs="Times New Roman"/>
          <w:b/>
          <w:snapToGrid w:val="0"/>
          <w:sz w:val="24"/>
          <w:szCs w:val="24"/>
          <w:lang w:val="es-ES" w:eastAsia="es-ES"/>
        </w:rPr>
        <w:t>A los Juzgados competentes en materia de Familia a nivel nacional</w:t>
      </w:r>
    </w:p>
    <w:p w14:paraId="30B6AC88" w14:textId="795D6BBD" w:rsidR="001B17C7" w:rsidRDefault="001B17C7" w:rsidP="009E73B0">
      <w:pPr>
        <w:pStyle w:val="Ttulo"/>
        <w:spacing w:line="276" w:lineRule="auto"/>
        <w:jc w:val="left"/>
        <w:rPr>
          <w:szCs w:val="24"/>
          <w:lang w:val="es-CR"/>
        </w:rPr>
      </w:pPr>
    </w:p>
    <w:p w14:paraId="2268C25E" w14:textId="44E1CEB1" w:rsidR="001B17C7" w:rsidRPr="001D0C10" w:rsidRDefault="001B17C7" w:rsidP="009D2B4A">
      <w:pPr>
        <w:pStyle w:val="Prrafodelista"/>
        <w:widowControl w:val="0"/>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Mantener actualizada la información de la Agenda Cronos, por lo que las personas juzgadoras serán las responsables de incluir el resultado de la audiencia y las personas técnicas judiciales encargadas de los expedientes deben de realizar los señalamientos; en acatamiento de las directrices institucionales, principalmente a las circulares 47-14, 261-14-17 y 15-17 de la Secretaría General de la Corte</w:t>
      </w:r>
      <w:r w:rsidR="00873D85" w:rsidRPr="001D0C10">
        <w:rPr>
          <w:rFonts w:ascii="Book Antiqua" w:eastAsia="Calibri" w:hAnsi="Book Antiqua" w:cs="Arial"/>
          <w:sz w:val="24"/>
          <w:szCs w:val="24"/>
        </w:rPr>
        <w:t>.</w:t>
      </w:r>
    </w:p>
    <w:p w14:paraId="0A88BC43" w14:textId="66D066A8" w:rsidR="001B17C7" w:rsidRPr="001D0C10" w:rsidRDefault="001B17C7" w:rsidP="009D2B4A">
      <w:pPr>
        <w:pStyle w:val="Prrafodelista"/>
        <w:widowControl w:val="0"/>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las depuraciones de expedientes (con más de seis meses sin movimiento), mínimo dos veces al año; ya que la inactivación contribuye con la disminución del circulante en los Despachos. </w:t>
      </w:r>
    </w:p>
    <w:p w14:paraId="4E81EA26" w14:textId="1330C96D" w:rsidR="001B17C7" w:rsidRDefault="001B17C7" w:rsidP="009D2B4A">
      <w:pPr>
        <w:pStyle w:val="Prrafodelista"/>
        <w:widowControl w:val="0"/>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Realizar de forma trimestral la generación reporte en SIGMA de duraciones y revisar aquellos asuntos que superen la duración según criterio experto. Tomar las medidas necesarias para atender los asuntos si corresponde a causas propias de la oficina</w:t>
      </w:r>
      <w:r w:rsidR="008700B4" w:rsidRPr="001D0C10">
        <w:rPr>
          <w:rFonts w:ascii="Book Antiqua" w:eastAsia="Calibri" w:hAnsi="Book Antiqua" w:cs="Arial"/>
          <w:sz w:val="24"/>
          <w:szCs w:val="24"/>
        </w:rPr>
        <w:t>, circular 96-2021</w:t>
      </w:r>
      <w:r w:rsidR="001B05D9">
        <w:rPr>
          <w:rFonts w:ascii="Book Antiqua" w:eastAsia="Calibri" w:hAnsi="Book Antiqua" w:cs="Arial"/>
          <w:sz w:val="24"/>
          <w:szCs w:val="24"/>
        </w:rPr>
        <w:t xml:space="preserve"> y 213-2021</w:t>
      </w:r>
      <w:r w:rsidR="0041657C" w:rsidRPr="001D0C10">
        <w:rPr>
          <w:rFonts w:ascii="Book Antiqua" w:eastAsia="Calibri" w:hAnsi="Book Antiqua" w:cs="Arial"/>
          <w:sz w:val="24"/>
          <w:szCs w:val="24"/>
        </w:rPr>
        <w:t xml:space="preserve"> </w:t>
      </w:r>
      <w:r w:rsidR="0041657C" w:rsidRPr="001D0C10">
        <w:rPr>
          <w:rFonts w:ascii="Book Antiqua" w:eastAsia="Calibri" w:hAnsi="Book Antiqua" w:cs="Arial"/>
          <w:i/>
          <w:iCs/>
          <w:sz w:val="24"/>
          <w:szCs w:val="24"/>
          <w:shd w:val="clear" w:color="auto" w:fill="FFFFFF" w:themeFill="background1"/>
        </w:rPr>
        <w:t>Creación de un reporte informático denominado “Duración del circulante activo”</w:t>
      </w:r>
      <w:r w:rsidR="000C0F0F" w:rsidRPr="001D0C10">
        <w:rPr>
          <w:rFonts w:ascii="Book Antiqua" w:eastAsia="Calibri" w:hAnsi="Book Antiqua" w:cs="Arial"/>
          <w:sz w:val="24"/>
          <w:szCs w:val="24"/>
          <w:shd w:val="clear" w:color="auto" w:fill="FFFFFF" w:themeFill="background1"/>
        </w:rPr>
        <w:t>.</w:t>
      </w:r>
      <w:r w:rsidR="008700B4" w:rsidRPr="001D0C10">
        <w:rPr>
          <w:rFonts w:ascii="Book Antiqua" w:eastAsia="Calibri" w:hAnsi="Book Antiqua" w:cs="Arial"/>
          <w:sz w:val="24"/>
          <w:szCs w:val="24"/>
        </w:rPr>
        <w:t xml:space="preserve"> </w:t>
      </w:r>
    </w:p>
    <w:p w14:paraId="51AC1710" w14:textId="77777777" w:rsidR="00E929EF" w:rsidRPr="001D0C10" w:rsidRDefault="00E929EF" w:rsidP="00E929EF">
      <w:pPr>
        <w:pStyle w:val="Prrafodelista"/>
        <w:widowControl w:val="0"/>
        <w:spacing w:after="0" w:line="276" w:lineRule="auto"/>
        <w:jc w:val="both"/>
        <w:rPr>
          <w:rFonts w:ascii="Book Antiqua" w:eastAsia="Calibri" w:hAnsi="Book Antiqua" w:cs="Arial"/>
          <w:sz w:val="24"/>
          <w:szCs w:val="24"/>
        </w:rPr>
      </w:pPr>
    </w:p>
    <w:p w14:paraId="087F63EF" w14:textId="6BD8D640" w:rsidR="003F7A0D" w:rsidRDefault="001B17C7" w:rsidP="001B17C7">
      <w:pPr>
        <w:pStyle w:val="Ttulo"/>
        <w:spacing w:line="276" w:lineRule="auto"/>
        <w:rPr>
          <w:szCs w:val="24"/>
          <w:lang w:val="es-CR"/>
        </w:rPr>
      </w:pPr>
      <w:r w:rsidRPr="001B17C7">
        <w:rPr>
          <w:rFonts w:eastAsia="Calibri" w:cs="Arial"/>
          <w:b w:val="0"/>
          <w:noProof/>
          <w:color w:val="auto"/>
          <w:spacing w:val="0"/>
          <w:sz w:val="22"/>
          <w:szCs w:val="22"/>
          <w:lang w:val="es-CR" w:eastAsia="en-US"/>
        </w:rPr>
        <w:drawing>
          <wp:inline distT="0" distB="0" distL="0" distR="0" wp14:anchorId="78A0336F" wp14:editId="6691D0BB">
            <wp:extent cx="3594296" cy="790498"/>
            <wp:effectExtent l="0" t="0" r="6350" b="0"/>
            <wp:docPr id="1263269088" name="Picture 126326908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88" name="Imagen 1263269088" descr="Tabla&#10;&#10;Descripción generada automáticamente"/>
                    <pic:cNvPicPr>
                      <a:picLocks noChangeAspect="1" noChangeArrowheads="1"/>
                    </pic:cNvPicPr>
                  </pic:nvPicPr>
                  <pic:blipFill rotWithShape="1">
                    <a:blip r:embed="rId33">
                      <a:extLst>
                        <a:ext uri="{28A0092B-C50C-407E-A947-70E740481C1C}">
                          <a14:useLocalDpi xmlns:a14="http://schemas.microsoft.com/office/drawing/2010/main" val="0"/>
                        </a:ext>
                      </a:extLst>
                    </a:blip>
                    <a:srcRect l="1209" t="7359" r="1141" b="27223"/>
                    <a:stretch/>
                  </pic:blipFill>
                  <pic:spPr bwMode="auto">
                    <a:xfrm>
                      <a:off x="0" y="0"/>
                      <a:ext cx="3616914" cy="795473"/>
                    </a:xfrm>
                    <a:prstGeom prst="rect">
                      <a:avLst/>
                    </a:prstGeom>
                    <a:noFill/>
                    <a:ln>
                      <a:noFill/>
                    </a:ln>
                    <a:extLst>
                      <a:ext uri="{53640926-AAD7-44D8-BBD7-CCE9431645EC}">
                        <a14:shadowObscured xmlns:a14="http://schemas.microsoft.com/office/drawing/2010/main"/>
                      </a:ext>
                    </a:extLst>
                  </pic:spPr>
                </pic:pic>
              </a:graphicData>
            </a:graphic>
          </wp:inline>
        </w:drawing>
      </w:r>
    </w:p>
    <w:p w14:paraId="45CD2AD9" w14:textId="41574A39" w:rsidR="000F5376" w:rsidRPr="00022ED0" w:rsidRDefault="00032565" w:rsidP="009D2B4A">
      <w:pPr>
        <w:pStyle w:val="Prrafodelista"/>
        <w:widowControl w:val="0"/>
        <w:spacing w:before="240"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Verificar que la información incluida en los expedientes sea la correcta, que se actualice la información de la fase, tarea, ubicación, estado; entre otras, ya que es insumo para la toma de decisiones, por lo que debe ser confiable.</w:t>
      </w:r>
    </w:p>
    <w:p w14:paraId="13E13A9E" w14:textId="6B42EAF4" w:rsidR="000F5376" w:rsidRPr="00022ED0" w:rsidRDefault="00032565" w:rsidP="009D2B4A">
      <w:pPr>
        <w:pStyle w:val="Prrafodelista"/>
        <w:widowControl w:val="0"/>
        <w:spacing w:before="240"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Revisar el Banco de Buenas Prácticas con el fin de valorar la idoneidad y replicar en los Despachos las que correspondan con el fin de mejorar la gestión de sus labores con las experiencias de otras oficinas.</w:t>
      </w:r>
    </w:p>
    <w:p w14:paraId="1FEED471" w14:textId="6E8826B9" w:rsidR="000F5376" w:rsidRPr="00022ED0" w:rsidRDefault="00032565" w:rsidP="009D2B4A">
      <w:pPr>
        <w:pStyle w:val="Prrafodelista"/>
        <w:widowControl w:val="0"/>
        <w:spacing w:before="240"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Dar cumplimiento a las circulares 87-15, 159-15, 27 y 28-16, 160-16, 89-18, 133-18 y 94-2019 sobre su obligación de colaborar con el personal de la Dirección de Tecnología de Información</w:t>
      </w:r>
      <w:r w:rsidR="00A42FA4">
        <w:rPr>
          <w:rFonts w:ascii="Book Antiqua" w:eastAsia="Calibri" w:hAnsi="Book Antiqua" w:cs="Arial"/>
          <w:sz w:val="24"/>
          <w:szCs w:val="24"/>
        </w:rPr>
        <w:t xml:space="preserve"> y Comunicaciones</w:t>
      </w:r>
      <w:r w:rsidRPr="00032565">
        <w:rPr>
          <w:rFonts w:ascii="Book Antiqua" w:eastAsia="Calibri" w:hAnsi="Book Antiqua" w:cs="Arial"/>
          <w:sz w:val="24"/>
          <w:szCs w:val="24"/>
        </w:rPr>
        <w:t>,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C74C4A7" w14:textId="45D81D49" w:rsidR="000F5376" w:rsidRPr="00022ED0" w:rsidRDefault="00032565" w:rsidP="00417F46">
      <w:pPr>
        <w:pStyle w:val="Prrafodelista"/>
        <w:widowControl w:val="0"/>
        <w:spacing w:before="240"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sea información útil y necesaria para el análisis de mejoras en el servicio que se presta a las personas usuarias.</w:t>
      </w:r>
    </w:p>
    <w:p w14:paraId="4A6FD7C6" w14:textId="060966FA" w:rsidR="00A56408" w:rsidRPr="00022ED0" w:rsidRDefault="00A56408" w:rsidP="00417F46">
      <w:pPr>
        <w:pStyle w:val="Prrafodelista"/>
        <w:widowControl w:val="0"/>
        <w:spacing w:before="240" w:after="0" w:line="276" w:lineRule="auto"/>
        <w:jc w:val="both"/>
        <w:rPr>
          <w:rFonts w:ascii="Book Antiqua" w:eastAsia="Calibri" w:hAnsi="Book Antiqua" w:cs="Arial"/>
          <w:sz w:val="24"/>
          <w:szCs w:val="24"/>
        </w:rPr>
      </w:pPr>
      <w:r w:rsidRPr="00022ED0">
        <w:rPr>
          <w:rFonts w:ascii="Book Antiqua" w:eastAsia="Calibri" w:hAnsi="Book Antiqua" w:cs="Arial"/>
          <w:sz w:val="24"/>
          <w:szCs w:val="24"/>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29E97CEC" w14:textId="3AF927DA" w:rsidR="00A56408" w:rsidRDefault="00B601AA" w:rsidP="00417F46">
      <w:pPr>
        <w:pStyle w:val="Ttulo"/>
        <w:spacing w:before="240" w:after="0" w:line="276" w:lineRule="auto"/>
        <w:ind w:left="720"/>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Dar </w:t>
      </w:r>
      <w:r w:rsidR="00E01AA0" w:rsidRPr="001D0C10">
        <w:rPr>
          <w:rFonts w:eastAsia="Calibri" w:cs="Arial"/>
          <w:b w:val="0"/>
          <w:color w:val="auto"/>
          <w:spacing w:val="0"/>
          <w:szCs w:val="24"/>
          <w:lang w:val="es-CR" w:eastAsia="en-US"/>
        </w:rPr>
        <w:t>cumplimiento a la</w:t>
      </w:r>
      <w:r w:rsidRPr="001D0C10">
        <w:rPr>
          <w:rFonts w:eastAsia="Calibri" w:cs="Arial"/>
          <w:b w:val="0"/>
          <w:color w:val="auto"/>
          <w:spacing w:val="0"/>
          <w:szCs w:val="24"/>
          <w:lang w:val="es-CR" w:eastAsia="en-US"/>
        </w:rPr>
        <w:t xml:space="preserve"> </w:t>
      </w:r>
      <w:r w:rsidRPr="00D145C6">
        <w:rPr>
          <w:rFonts w:eastAsia="Calibri" w:cs="Arial"/>
          <w:b w:val="0"/>
          <w:color w:val="auto"/>
          <w:spacing w:val="0"/>
          <w:szCs w:val="24"/>
          <w:lang w:val="es-CR" w:eastAsia="en-US"/>
        </w:rPr>
        <w:t>circula</w:t>
      </w:r>
      <w:r w:rsidR="00FC1F3A" w:rsidRPr="00D145C6">
        <w:rPr>
          <w:rFonts w:eastAsia="Calibri" w:cs="Arial"/>
          <w:b w:val="0"/>
          <w:color w:val="auto"/>
          <w:spacing w:val="0"/>
          <w:szCs w:val="24"/>
          <w:lang w:val="es-CR" w:eastAsia="en-US"/>
        </w:rPr>
        <w:t>r</w:t>
      </w:r>
      <w:r w:rsidRPr="00D145C6">
        <w:rPr>
          <w:rFonts w:eastAsia="Calibri" w:cs="Arial"/>
          <w:b w:val="0"/>
          <w:color w:val="auto"/>
          <w:spacing w:val="0"/>
          <w:szCs w:val="24"/>
          <w:lang w:val="es-CR" w:eastAsia="en-US"/>
        </w:rPr>
        <w:t xml:space="preserve"> </w:t>
      </w:r>
      <w:r w:rsidR="00E01AA0" w:rsidRPr="00D145C6">
        <w:rPr>
          <w:rFonts w:eastAsia="Calibri" w:cs="Arial"/>
          <w:b w:val="0"/>
          <w:color w:val="auto"/>
          <w:spacing w:val="0"/>
          <w:szCs w:val="24"/>
          <w:lang w:val="es-CR" w:eastAsia="en-US"/>
        </w:rPr>
        <w:t xml:space="preserve">relacionada con el </w:t>
      </w:r>
      <w:r w:rsidR="00740C10" w:rsidRPr="00D145C6">
        <w:rPr>
          <w:rFonts w:eastAsia="Calibri" w:cs="Arial"/>
          <w:b w:val="0"/>
          <w:color w:val="auto"/>
          <w:spacing w:val="0"/>
          <w:szCs w:val="24"/>
          <w:lang w:val="es-CR" w:eastAsia="en-US"/>
        </w:rPr>
        <w:t>régimen</w:t>
      </w:r>
      <w:r w:rsidRPr="001D0C10">
        <w:rPr>
          <w:rFonts w:eastAsia="Calibri" w:cs="Arial"/>
          <w:b w:val="0"/>
          <w:color w:val="auto"/>
          <w:spacing w:val="0"/>
          <w:szCs w:val="24"/>
          <w:lang w:val="es-CR" w:eastAsia="en-US"/>
        </w:rPr>
        <w:t xml:space="preserve"> disc</w:t>
      </w:r>
      <w:r w:rsidR="00E01AA0" w:rsidRPr="001D0C10">
        <w:rPr>
          <w:rFonts w:eastAsia="Calibri" w:cs="Arial"/>
          <w:b w:val="0"/>
          <w:color w:val="auto"/>
          <w:spacing w:val="0"/>
          <w:szCs w:val="24"/>
          <w:lang w:val="es-CR" w:eastAsia="en-US"/>
        </w:rPr>
        <w:t>ip</w:t>
      </w:r>
      <w:r w:rsidRPr="001D0C10">
        <w:rPr>
          <w:rFonts w:eastAsia="Calibri" w:cs="Arial"/>
          <w:b w:val="0"/>
          <w:color w:val="auto"/>
          <w:spacing w:val="0"/>
          <w:szCs w:val="24"/>
          <w:lang w:val="es-CR" w:eastAsia="en-US"/>
        </w:rPr>
        <w:t>l</w:t>
      </w:r>
      <w:r w:rsidR="00E01AA0" w:rsidRPr="001D0C10">
        <w:rPr>
          <w:rFonts w:eastAsia="Calibri" w:cs="Arial"/>
          <w:b w:val="0"/>
          <w:color w:val="auto"/>
          <w:spacing w:val="0"/>
          <w:szCs w:val="24"/>
          <w:lang w:val="es-CR" w:eastAsia="en-US"/>
        </w:rPr>
        <w:t>i</w:t>
      </w:r>
      <w:r w:rsidRPr="001D0C10">
        <w:rPr>
          <w:rFonts w:eastAsia="Calibri" w:cs="Arial"/>
          <w:b w:val="0"/>
          <w:color w:val="auto"/>
          <w:spacing w:val="0"/>
          <w:szCs w:val="24"/>
          <w:lang w:val="es-CR" w:eastAsia="en-US"/>
        </w:rPr>
        <w:t>nario</w:t>
      </w:r>
      <w:r w:rsidR="00E01AA0" w:rsidRPr="001D0C10">
        <w:rPr>
          <w:rFonts w:eastAsia="Calibri" w:cs="Arial"/>
          <w:b w:val="0"/>
          <w:color w:val="auto"/>
          <w:spacing w:val="0"/>
          <w:szCs w:val="24"/>
          <w:lang w:val="es-CR" w:eastAsia="en-US"/>
        </w:rPr>
        <w:t xml:space="preserve"> </w:t>
      </w:r>
      <w:bookmarkStart w:id="109" w:name="_Hlk97885411"/>
      <w:r w:rsidR="00FC1F3A">
        <w:rPr>
          <w:rFonts w:eastAsia="Calibri" w:cs="Arial"/>
          <w:b w:val="0"/>
          <w:color w:val="auto"/>
          <w:spacing w:val="0"/>
          <w:szCs w:val="24"/>
          <w:lang w:val="es-CR" w:eastAsia="en-US"/>
        </w:rPr>
        <w:t>1</w:t>
      </w:r>
      <w:r w:rsidR="00740C10" w:rsidRPr="001D0C10">
        <w:rPr>
          <w:rFonts w:eastAsia="Calibri" w:cs="Arial"/>
          <w:b w:val="0"/>
          <w:color w:val="auto"/>
          <w:spacing w:val="0"/>
          <w:szCs w:val="24"/>
          <w:lang w:val="es-CR" w:eastAsia="en-US"/>
        </w:rPr>
        <w:t>7</w:t>
      </w:r>
      <w:r w:rsidR="00FC1F3A">
        <w:rPr>
          <w:rFonts w:eastAsia="Calibri" w:cs="Arial"/>
          <w:b w:val="0"/>
          <w:color w:val="auto"/>
          <w:spacing w:val="0"/>
          <w:szCs w:val="24"/>
          <w:lang w:val="es-CR" w:eastAsia="en-US"/>
        </w:rPr>
        <w:t>0-</w:t>
      </w:r>
      <w:r w:rsidR="00740C10" w:rsidRPr="001D0C10">
        <w:rPr>
          <w:rFonts w:eastAsia="Calibri" w:cs="Arial"/>
          <w:b w:val="0"/>
          <w:color w:val="auto"/>
          <w:spacing w:val="0"/>
          <w:szCs w:val="24"/>
          <w:lang w:val="es-CR" w:eastAsia="en-US"/>
        </w:rPr>
        <w:t>2021</w:t>
      </w:r>
      <w:r w:rsidR="00FC1F3A">
        <w:rPr>
          <w:rFonts w:eastAsia="Calibri" w:cs="Arial"/>
          <w:b w:val="0"/>
          <w:color w:val="auto"/>
          <w:spacing w:val="0"/>
          <w:szCs w:val="24"/>
          <w:lang w:val="es-CR" w:eastAsia="en-US"/>
        </w:rPr>
        <w:t xml:space="preserve"> </w:t>
      </w:r>
      <w:r w:rsidR="00FC1F3A" w:rsidRPr="001D0C10">
        <w:rPr>
          <w:rFonts w:eastAsia="Calibri" w:cs="Arial"/>
          <w:b w:val="0"/>
          <w:i/>
          <w:iCs/>
          <w:color w:val="auto"/>
          <w:spacing w:val="0"/>
          <w:szCs w:val="24"/>
          <w:lang w:val="es-CR" w:eastAsia="en-US"/>
        </w:rPr>
        <w:t>Obligación de cumplir con la corrección de inconsistencias de manera permanente, cumplimiento de circulares y actualización de los controles implementados bajo apercibimiento de aplicar el régimen disciplinario por su incumplimiento</w:t>
      </w:r>
      <w:bookmarkEnd w:id="109"/>
      <w:r w:rsidR="00740C10" w:rsidRPr="001D0C10">
        <w:rPr>
          <w:rFonts w:eastAsia="Calibri" w:cs="Arial"/>
          <w:b w:val="0"/>
          <w:color w:val="auto"/>
          <w:spacing w:val="0"/>
          <w:szCs w:val="24"/>
          <w:lang w:val="es-CR" w:eastAsia="en-US"/>
        </w:rPr>
        <w:t>.</w:t>
      </w:r>
      <w:r w:rsidR="00E01AA0" w:rsidRPr="001D0C10">
        <w:rPr>
          <w:rFonts w:eastAsia="Calibri" w:cs="Arial"/>
          <w:b w:val="0"/>
          <w:color w:val="auto"/>
          <w:spacing w:val="0"/>
          <w:szCs w:val="24"/>
          <w:lang w:val="es-CR" w:eastAsia="en-US"/>
        </w:rPr>
        <w:t xml:space="preserve"> </w:t>
      </w:r>
    </w:p>
    <w:p w14:paraId="5591E2E7" w14:textId="77777777" w:rsidR="00851F5D" w:rsidRPr="001D0C10" w:rsidRDefault="00851F5D" w:rsidP="00851F5D">
      <w:pPr>
        <w:pStyle w:val="Ttulo"/>
        <w:spacing w:before="240" w:after="0" w:line="276" w:lineRule="auto"/>
        <w:ind w:left="720"/>
        <w:jc w:val="both"/>
        <w:rPr>
          <w:rFonts w:eastAsia="Calibri" w:cs="Arial"/>
          <w:b w:val="0"/>
          <w:color w:val="auto"/>
          <w:spacing w:val="0"/>
          <w:szCs w:val="24"/>
          <w:lang w:val="es-CR" w:eastAsia="en-US"/>
        </w:rPr>
      </w:pPr>
    </w:p>
    <w:p w14:paraId="053A8A30" w14:textId="5EC17327" w:rsidR="003F7A0D" w:rsidRPr="00417F46" w:rsidRDefault="00A56408" w:rsidP="00417F46">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A56408">
        <w:rPr>
          <w:rFonts w:ascii="Book Antiqua" w:eastAsia="MS PGothic" w:hAnsi="Book Antiqua" w:cs="Times New Roman"/>
          <w:b/>
          <w:snapToGrid w:val="0"/>
          <w:sz w:val="24"/>
          <w:szCs w:val="24"/>
          <w:lang w:val="es-ES" w:eastAsia="es-ES"/>
        </w:rPr>
        <w:t>A los Juzgados que atienden materia de Pensiones Alimentarias a nivel nacional</w:t>
      </w:r>
    </w:p>
    <w:p w14:paraId="52829B6C" w14:textId="77777777" w:rsidR="00417F46" w:rsidRDefault="00417F46" w:rsidP="00417F46">
      <w:pPr>
        <w:pStyle w:val="Prrafodelista"/>
        <w:widowControl w:val="0"/>
        <w:spacing w:after="0" w:line="276" w:lineRule="auto"/>
        <w:jc w:val="both"/>
        <w:rPr>
          <w:rFonts w:ascii="Book Antiqua" w:eastAsia="Calibri" w:hAnsi="Book Antiqua" w:cs="Arial"/>
          <w:sz w:val="24"/>
          <w:szCs w:val="24"/>
        </w:rPr>
      </w:pPr>
    </w:p>
    <w:p w14:paraId="4721DF9E" w14:textId="0CF5F347" w:rsidR="00A56408" w:rsidRPr="00A56408" w:rsidRDefault="00A56408" w:rsidP="00417F46">
      <w:pPr>
        <w:pStyle w:val="Prrafodelista"/>
        <w:widowControl w:val="0"/>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Dar cumplimiento a las circulares 87-15, 159-15, 27 y 28-16, 160-16, 89-18, 133-18 y 94-2019 sobre su obligación de colaborar con el personal de la Dirección de Tecnología de Información</w:t>
      </w:r>
      <w:r w:rsidR="007F1D62">
        <w:rPr>
          <w:rFonts w:ascii="Book Antiqua" w:eastAsia="Calibri" w:hAnsi="Book Antiqua" w:cs="Arial"/>
          <w:sz w:val="24"/>
          <w:szCs w:val="24"/>
        </w:rPr>
        <w:t xml:space="preserve"> y Comunicaciones</w:t>
      </w:r>
      <w:r w:rsidRPr="00A56408">
        <w:rPr>
          <w:rFonts w:ascii="Book Antiqua" w:eastAsia="Calibri" w:hAnsi="Book Antiqua" w:cs="Arial"/>
          <w:sz w:val="24"/>
          <w:szCs w:val="24"/>
        </w:rPr>
        <w:t>,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D139531" w14:textId="79916071" w:rsidR="00A56408" w:rsidRPr="00A56408" w:rsidRDefault="00A56408" w:rsidP="00417F46">
      <w:pPr>
        <w:pStyle w:val="Prrafodelista"/>
        <w:widowControl w:val="0"/>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w:t>
      </w:r>
      <w:r w:rsidR="001C0CC9">
        <w:rPr>
          <w:rFonts w:ascii="Book Antiqua" w:eastAsia="Calibri" w:hAnsi="Book Antiqua" w:cs="Arial"/>
          <w:sz w:val="24"/>
          <w:szCs w:val="24"/>
        </w:rPr>
        <w:t>a</w:t>
      </w:r>
      <w:r w:rsidRPr="00A56408">
        <w:rPr>
          <w:rFonts w:ascii="Book Antiqua" w:eastAsia="Calibri" w:hAnsi="Book Antiqua" w:cs="Arial"/>
          <w:sz w:val="24"/>
          <w:szCs w:val="24"/>
        </w:rPr>
        <w:t xml:space="preserve"> información útil y necesaria para el análisis de mejoras en el servicio que se presta a las personas usuarias.</w:t>
      </w:r>
    </w:p>
    <w:p w14:paraId="0EF1F914" w14:textId="6A16E375" w:rsidR="00A56408" w:rsidRDefault="00A56408" w:rsidP="00417F46">
      <w:pPr>
        <w:pStyle w:val="Prrafodelista"/>
        <w:widowControl w:val="0"/>
        <w:spacing w:after="0" w:line="276" w:lineRule="auto"/>
        <w:jc w:val="both"/>
        <w:rPr>
          <w:rFonts w:ascii="Book Antiqua" w:eastAsia="Calibri" w:hAnsi="Book Antiqua" w:cs="Arial"/>
          <w:sz w:val="24"/>
          <w:szCs w:val="24"/>
        </w:rPr>
      </w:pPr>
      <w:r w:rsidRPr="007127CC">
        <w:rPr>
          <w:rFonts w:ascii="Book Antiqua" w:eastAsia="Calibri" w:hAnsi="Book Antiqua" w:cs="Arial"/>
          <w:sz w:val="24"/>
          <w:szCs w:val="24"/>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7333A6C3" w14:textId="50D033ED" w:rsidR="006C3F71" w:rsidRPr="00582BCB" w:rsidRDefault="006C3F71" w:rsidP="00417F46">
      <w:pPr>
        <w:pStyle w:val="Prrafodelista"/>
        <w:widowControl w:val="0"/>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Dar </w:t>
      </w:r>
      <w:r w:rsidR="00C95A75" w:rsidRPr="001D0C10">
        <w:rPr>
          <w:rFonts w:ascii="Book Antiqua" w:eastAsia="Calibri" w:hAnsi="Book Antiqua" w:cs="Arial"/>
          <w:sz w:val="24"/>
          <w:szCs w:val="24"/>
        </w:rPr>
        <w:t>cumplimiento a la</w:t>
      </w:r>
      <w:r w:rsidRPr="001D0C10">
        <w:rPr>
          <w:rFonts w:ascii="Book Antiqua" w:eastAsia="Calibri" w:hAnsi="Book Antiqua" w:cs="Arial"/>
          <w:sz w:val="24"/>
          <w:szCs w:val="24"/>
        </w:rPr>
        <w:t xml:space="preserve"> circula</w:t>
      </w:r>
      <w:r w:rsidR="00FC1F3A" w:rsidRPr="001D0C10">
        <w:rPr>
          <w:rFonts w:ascii="Book Antiqua" w:eastAsia="Calibri" w:hAnsi="Book Antiqua" w:cs="Arial"/>
          <w:sz w:val="24"/>
          <w:szCs w:val="24"/>
        </w:rPr>
        <w:t>r</w:t>
      </w:r>
      <w:r w:rsidRPr="001D0C10">
        <w:rPr>
          <w:rFonts w:ascii="Book Antiqua" w:eastAsia="Calibri" w:hAnsi="Book Antiqua" w:cs="Arial"/>
          <w:sz w:val="24"/>
          <w:szCs w:val="24"/>
        </w:rPr>
        <w:t xml:space="preserve"> </w:t>
      </w:r>
      <w:r w:rsidR="00FC1F3A" w:rsidRPr="001D0C10">
        <w:rPr>
          <w:rFonts w:ascii="Book Antiqua" w:eastAsia="Calibri" w:hAnsi="Book Antiqua" w:cs="Arial"/>
          <w:sz w:val="24"/>
          <w:szCs w:val="24"/>
        </w:rPr>
        <w:t xml:space="preserve">170-2021 </w:t>
      </w:r>
      <w:r w:rsidR="00695AC8" w:rsidRPr="00582BCB">
        <w:rPr>
          <w:rFonts w:ascii="Book Antiqua" w:eastAsia="Calibri" w:hAnsi="Book Antiqua" w:cs="Arial"/>
          <w:i/>
          <w:iCs/>
          <w:sz w:val="24"/>
          <w:szCs w:val="24"/>
        </w:rPr>
        <w:t>“</w:t>
      </w:r>
      <w:r w:rsidR="00FC1F3A" w:rsidRPr="00582BCB">
        <w:rPr>
          <w:rFonts w:ascii="Book Antiqua" w:eastAsia="Calibri" w:hAnsi="Book Antiqua" w:cs="Arial"/>
          <w:i/>
          <w:iCs/>
          <w:sz w:val="24"/>
          <w:szCs w:val="24"/>
        </w:rPr>
        <w:t>Obligación de cumplir con la corrección de inconsistencias de manera permanente, cumplimiento de circulares y actualización de los controles implementados bajo apercibimiento de aplicar el régimen disciplinario por su incumplimiento</w:t>
      </w:r>
      <w:r w:rsidR="00695AC8" w:rsidRPr="00582BCB">
        <w:rPr>
          <w:rFonts w:ascii="Book Antiqua" w:eastAsia="Calibri" w:hAnsi="Book Antiqua" w:cs="Arial"/>
          <w:i/>
          <w:iCs/>
          <w:sz w:val="24"/>
          <w:szCs w:val="24"/>
        </w:rPr>
        <w:t>”</w:t>
      </w:r>
      <w:r w:rsidR="004411E1" w:rsidRPr="00582BCB">
        <w:rPr>
          <w:rFonts w:ascii="Book Antiqua" w:eastAsia="Calibri" w:hAnsi="Book Antiqua" w:cs="Arial"/>
          <w:i/>
          <w:iCs/>
          <w:sz w:val="24"/>
          <w:szCs w:val="24"/>
        </w:rPr>
        <w:t>.</w:t>
      </w:r>
    </w:p>
    <w:p w14:paraId="07BEC2FC" w14:textId="18BAC193" w:rsidR="006C3F71" w:rsidRDefault="006C3F71" w:rsidP="00417F46">
      <w:pPr>
        <w:pStyle w:val="Prrafodelista"/>
        <w:widowControl w:val="0"/>
        <w:spacing w:after="0" w:line="276" w:lineRule="auto"/>
        <w:jc w:val="both"/>
        <w:rPr>
          <w:rFonts w:ascii="Book Antiqua" w:eastAsia="Calibri" w:hAnsi="Book Antiqua" w:cs="Arial"/>
          <w:sz w:val="24"/>
          <w:szCs w:val="24"/>
        </w:rPr>
      </w:pPr>
      <w:r w:rsidRPr="001B17C7">
        <w:rPr>
          <w:rFonts w:ascii="Book Antiqua" w:eastAsia="Calibri" w:hAnsi="Book Antiqua" w:cs="Arial"/>
          <w:sz w:val="24"/>
          <w:szCs w:val="24"/>
        </w:rPr>
        <w:t xml:space="preserve">Realizar de forma trimestral la generación reporte en SIGMA de duraciones y revisar aquellos asuntos que superen la duración según criterio experto. Tomar las medidas necesarias para atender los asuntos si corresponde a causas propias de la oficina. </w:t>
      </w:r>
      <w:r w:rsidRPr="001D0C10">
        <w:rPr>
          <w:rFonts w:ascii="Book Antiqua" w:eastAsia="Calibri" w:hAnsi="Book Antiqua" w:cs="Arial"/>
          <w:sz w:val="24"/>
          <w:szCs w:val="24"/>
        </w:rPr>
        <w:t xml:space="preserve">Circular </w:t>
      </w:r>
      <w:r w:rsidR="0041657C" w:rsidRPr="001D0C10">
        <w:rPr>
          <w:rFonts w:ascii="Book Antiqua" w:eastAsia="Calibri" w:hAnsi="Book Antiqua" w:cs="Arial"/>
          <w:sz w:val="24"/>
          <w:szCs w:val="24"/>
        </w:rPr>
        <w:t xml:space="preserve">96-2021 </w:t>
      </w:r>
      <w:r w:rsidR="00695AC8">
        <w:rPr>
          <w:rFonts w:ascii="Book Antiqua" w:eastAsia="Calibri" w:hAnsi="Book Antiqua" w:cs="Arial"/>
          <w:sz w:val="24"/>
          <w:szCs w:val="24"/>
        </w:rPr>
        <w:t xml:space="preserve">y 213-21 </w:t>
      </w:r>
      <w:r w:rsidR="0041657C" w:rsidRPr="001D0C10">
        <w:rPr>
          <w:rFonts w:ascii="Book Antiqua" w:eastAsia="Calibri" w:hAnsi="Book Antiqua" w:cs="Arial"/>
          <w:sz w:val="24"/>
          <w:szCs w:val="24"/>
        </w:rPr>
        <w:t>Creación de un reporte informático denominado “Duración del circulante activo”.</w:t>
      </w:r>
    </w:p>
    <w:p w14:paraId="7BF10A66" w14:textId="6E330C27" w:rsidR="00192EFC" w:rsidRDefault="00FF33C0" w:rsidP="00FF33C0">
      <w:pPr>
        <w:pStyle w:val="Ttulo"/>
        <w:spacing w:line="276" w:lineRule="auto"/>
        <w:rPr>
          <w:rFonts w:eastAsia="Calibri" w:cs="Arial"/>
          <w:b w:val="0"/>
          <w:color w:val="auto"/>
          <w:spacing w:val="0"/>
          <w:szCs w:val="24"/>
          <w:lang w:val="es-CR" w:eastAsia="en-US"/>
        </w:rPr>
      </w:pPr>
      <w:r w:rsidRPr="00FF33C0">
        <w:rPr>
          <w:noProof/>
        </w:rPr>
        <w:drawing>
          <wp:inline distT="0" distB="0" distL="0" distR="0" wp14:anchorId="3830DD27" wp14:editId="76534A24">
            <wp:extent cx="4432300" cy="99695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32300" cy="996950"/>
                    </a:xfrm>
                    <a:prstGeom prst="rect">
                      <a:avLst/>
                    </a:prstGeom>
                    <a:noFill/>
                    <a:ln>
                      <a:noFill/>
                    </a:ln>
                  </pic:spPr>
                </pic:pic>
              </a:graphicData>
            </a:graphic>
          </wp:inline>
        </w:drawing>
      </w:r>
    </w:p>
    <w:p w14:paraId="0FF3D839" w14:textId="77777777" w:rsidR="00E2229F" w:rsidRDefault="00E2229F" w:rsidP="009B71C9">
      <w:pPr>
        <w:pStyle w:val="Ttulo"/>
        <w:spacing w:line="276" w:lineRule="auto"/>
        <w:rPr>
          <w:rFonts w:eastAsia="Calibri" w:cs="Arial"/>
          <w:b w:val="0"/>
          <w:color w:val="auto"/>
          <w:spacing w:val="0"/>
          <w:szCs w:val="24"/>
          <w:lang w:val="es-CR" w:eastAsia="en-US"/>
        </w:rPr>
      </w:pPr>
    </w:p>
    <w:p w14:paraId="6E567C10" w14:textId="77777777" w:rsidR="001646AD" w:rsidRDefault="001646AD" w:rsidP="009B71C9">
      <w:pPr>
        <w:pStyle w:val="Ttulo"/>
        <w:spacing w:line="276" w:lineRule="auto"/>
        <w:rPr>
          <w:rFonts w:eastAsia="Calibri" w:cs="Arial"/>
          <w:b w:val="0"/>
          <w:color w:val="auto"/>
          <w:spacing w:val="0"/>
          <w:szCs w:val="24"/>
          <w:lang w:val="es-CR" w:eastAsia="en-US"/>
        </w:rPr>
      </w:pPr>
    </w:p>
    <w:p w14:paraId="78B3D22F" w14:textId="77777777" w:rsidR="00A56408" w:rsidRPr="00A56408" w:rsidRDefault="00A56408" w:rsidP="00A56408">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A56408">
        <w:rPr>
          <w:rFonts w:ascii="Book Antiqua" w:eastAsia="MS PGothic" w:hAnsi="Book Antiqua" w:cs="Times New Roman"/>
          <w:b/>
          <w:snapToGrid w:val="0"/>
          <w:sz w:val="24"/>
          <w:szCs w:val="24"/>
          <w:lang w:val="es-ES" w:eastAsia="es-ES"/>
        </w:rPr>
        <w:t>A los Juzgados que atienden materia de Violencia Doméstica a nivel nacional</w:t>
      </w:r>
    </w:p>
    <w:p w14:paraId="0BE3D5CC" w14:textId="37616317" w:rsidR="00A56408" w:rsidRDefault="00A56408" w:rsidP="00A56408">
      <w:pPr>
        <w:pStyle w:val="Ttulo"/>
        <w:spacing w:line="276" w:lineRule="auto"/>
        <w:jc w:val="left"/>
        <w:rPr>
          <w:szCs w:val="24"/>
          <w:lang w:val="es-CR"/>
        </w:rPr>
      </w:pPr>
    </w:p>
    <w:p w14:paraId="241AF5A1" w14:textId="45585AFC" w:rsidR="00A56408" w:rsidRPr="00A56408" w:rsidRDefault="00A56408" w:rsidP="00417F46">
      <w:pPr>
        <w:pStyle w:val="Prrafodelista"/>
        <w:widowControl w:val="0"/>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Dar cumplimiento a las circulares 87-15, 159-15, 27 y 28-16, 160-16, 89-18, 133-18 y 94-2019 sobre su obligación de colaborar con el personal de la Dirección de Tecnología de Información</w:t>
      </w:r>
      <w:r w:rsidR="007F1D62">
        <w:rPr>
          <w:rFonts w:ascii="Book Antiqua" w:eastAsia="Calibri" w:hAnsi="Book Antiqua" w:cs="Arial"/>
          <w:sz w:val="24"/>
          <w:szCs w:val="24"/>
        </w:rPr>
        <w:t xml:space="preserve"> y Comunicaciones</w:t>
      </w:r>
      <w:r w:rsidRPr="00A56408">
        <w:rPr>
          <w:rFonts w:ascii="Book Antiqua" w:eastAsia="Calibri" w:hAnsi="Book Antiqua" w:cs="Arial"/>
          <w:sz w:val="24"/>
          <w:szCs w:val="24"/>
        </w:rPr>
        <w:t>,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7E56A6B4" w14:textId="2639019F" w:rsidR="00A56408" w:rsidRDefault="00A56408" w:rsidP="00417F46">
      <w:pPr>
        <w:pStyle w:val="Prrafodelista"/>
        <w:widowControl w:val="0"/>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 xml:space="preserve">Apoyados en el proceso de inventarios y en la actualización diaria que se le debe realizar a cada uno de los expedientes durante la tramitación, realizar la actualización de las fases de los expedientes de forma que se genere información verás sobre la carga de trabajo de cada una de las oficinas; actividad que debe ser sostenida en el tiempo para próximos ejercicios presupuestarios. </w:t>
      </w:r>
    </w:p>
    <w:p w14:paraId="5D4642F2" w14:textId="15B1316C" w:rsidR="00A56408" w:rsidRPr="00A56408" w:rsidRDefault="00A56408" w:rsidP="00417F46">
      <w:pPr>
        <w:pStyle w:val="Prrafodelista"/>
        <w:widowControl w:val="0"/>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w:t>
      </w:r>
      <w:r w:rsidR="001C0CC9">
        <w:rPr>
          <w:rFonts w:ascii="Book Antiqua" w:eastAsia="Calibri" w:hAnsi="Book Antiqua" w:cs="Arial"/>
          <w:sz w:val="24"/>
          <w:szCs w:val="24"/>
        </w:rPr>
        <w:t>a</w:t>
      </w:r>
      <w:r w:rsidRPr="00A56408">
        <w:rPr>
          <w:rFonts w:ascii="Book Antiqua" w:eastAsia="Calibri" w:hAnsi="Book Antiqua" w:cs="Arial"/>
          <w:sz w:val="24"/>
          <w:szCs w:val="24"/>
        </w:rPr>
        <w:t xml:space="preserve"> información útil y necesaria para el análisis de mejoras en el servicio que se presta a las personas usuarias.</w:t>
      </w:r>
    </w:p>
    <w:p w14:paraId="132C7FE5" w14:textId="25AB95D9" w:rsidR="00A56408" w:rsidRPr="00582BCB" w:rsidRDefault="00A56408" w:rsidP="00417F46">
      <w:pPr>
        <w:pStyle w:val="Prrafodelista"/>
        <w:widowControl w:val="0"/>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13FE2B0D" w14:textId="53941536" w:rsidR="006C3F71" w:rsidRDefault="00EE50B2" w:rsidP="00417F46">
      <w:pPr>
        <w:pStyle w:val="Prrafodelista"/>
        <w:widowControl w:val="0"/>
        <w:spacing w:after="0" w:line="276" w:lineRule="auto"/>
        <w:jc w:val="both"/>
        <w:rPr>
          <w:rFonts w:ascii="Book Antiqua" w:eastAsia="Calibri" w:hAnsi="Book Antiqua" w:cs="Arial"/>
          <w:sz w:val="24"/>
          <w:szCs w:val="24"/>
        </w:rPr>
      </w:pPr>
      <w:r>
        <w:rPr>
          <w:rFonts w:ascii="Book Antiqua" w:eastAsia="Calibri" w:hAnsi="Book Antiqua" w:cs="Arial"/>
          <w:sz w:val="24"/>
          <w:szCs w:val="24"/>
        </w:rPr>
        <w:t>Dar cumplimiento a las circulares de la Secretaría de la Corte</w:t>
      </w:r>
      <w:r w:rsidR="005F40B3">
        <w:rPr>
          <w:rFonts w:ascii="Book Antiqua" w:eastAsia="Calibri" w:hAnsi="Book Antiqua" w:cs="Arial"/>
          <w:sz w:val="24"/>
          <w:szCs w:val="24"/>
        </w:rPr>
        <w:t xml:space="preserve"> ligadas a las recomendaciones de la Contraloría General de la República y gestionadas a partir del proyecto de implementación del Código Procesal de Familia</w:t>
      </w:r>
      <w:r>
        <w:rPr>
          <w:rFonts w:ascii="Book Antiqua" w:eastAsia="Calibri" w:hAnsi="Book Antiqua" w:cs="Arial"/>
          <w:sz w:val="24"/>
          <w:szCs w:val="24"/>
        </w:rPr>
        <w:t>:</w:t>
      </w:r>
    </w:p>
    <w:p w14:paraId="0ECB2A28" w14:textId="7F8B36C2" w:rsidR="006C3F71" w:rsidRDefault="006C3F71" w:rsidP="00A56408">
      <w:pPr>
        <w:spacing w:after="0" w:line="276" w:lineRule="auto"/>
        <w:jc w:val="both"/>
        <w:rPr>
          <w:rFonts w:ascii="Book Antiqua" w:eastAsia="Calibri" w:hAnsi="Book Antiqua" w:cs="Arial"/>
          <w:sz w:val="24"/>
          <w:szCs w:val="24"/>
        </w:rPr>
      </w:pPr>
    </w:p>
    <w:p w14:paraId="5548867F" w14:textId="77777777"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221-2021 </w:t>
      </w:r>
      <w:r w:rsidRPr="00BA3314">
        <w:rPr>
          <w:rFonts w:ascii="Book Antiqua" w:hAnsi="Book Antiqua"/>
          <w:i/>
          <w:iCs/>
          <w:sz w:val="24"/>
          <w:szCs w:val="24"/>
          <w:lang w:val="es-ES"/>
        </w:rPr>
        <w:t>“Deber de solicitar autorización al Consejo Superior para realizar una modificación en la configuración del reparto”.</w:t>
      </w:r>
    </w:p>
    <w:p w14:paraId="5A5CA627" w14:textId="7009D455"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Circular 267-2021 “</w:t>
      </w:r>
      <w:r w:rsidRPr="00BA3314">
        <w:rPr>
          <w:rFonts w:ascii="Book Antiqua" w:hAnsi="Book Antiqua"/>
          <w:i/>
          <w:iCs/>
          <w:sz w:val="24"/>
          <w:szCs w:val="24"/>
          <w:lang w:val="es-ES"/>
        </w:rPr>
        <w:t xml:space="preserve">Obligación de cumplir con la corrección de </w:t>
      </w:r>
      <w:r w:rsidR="00F472C9" w:rsidRPr="00BA3314">
        <w:rPr>
          <w:rFonts w:ascii="Book Antiqua" w:hAnsi="Book Antiqua"/>
          <w:i/>
          <w:iCs/>
          <w:sz w:val="24"/>
          <w:szCs w:val="24"/>
          <w:lang w:val="es-ES"/>
        </w:rPr>
        <w:t>inconsistencia</w:t>
      </w:r>
      <w:r w:rsidRPr="00BA3314">
        <w:rPr>
          <w:rFonts w:ascii="Book Antiqua" w:hAnsi="Book Antiqua"/>
          <w:i/>
          <w:iCs/>
          <w:sz w:val="24"/>
          <w:szCs w:val="24"/>
          <w:lang w:val="es-ES"/>
        </w:rPr>
        <w:t>s aplicar el régimen disciplinario por su incumplimiento</w:t>
      </w:r>
      <w:r w:rsidRPr="00BA3314">
        <w:rPr>
          <w:rFonts w:ascii="Book Antiqua" w:hAnsi="Book Antiqua"/>
          <w:sz w:val="24"/>
          <w:szCs w:val="24"/>
          <w:lang w:val="es-ES"/>
        </w:rPr>
        <w:t>”.</w:t>
      </w:r>
    </w:p>
    <w:p w14:paraId="2F5F1537" w14:textId="77777777" w:rsidR="00F51023" w:rsidRPr="00BA3314" w:rsidRDefault="00F51023" w:rsidP="0090609F">
      <w:pPr>
        <w:pStyle w:val="Prrafodelista"/>
        <w:numPr>
          <w:ilvl w:val="0"/>
          <w:numId w:val="15"/>
        </w:numPr>
        <w:spacing w:line="276" w:lineRule="auto"/>
        <w:jc w:val="both"/>
        <w:rPr>
          <w:rFonts w:ascii="Book Antiqua" w:hAnsi="Book Antiqua"/>
          <w:i/>
          <w:iCs/>
          <w:sz w:val="24"/>
          <w:szCs w:val="24"/>
          <w:lang w:val="es-ES"/>
        </w:rPr>
      </w:pPr>
      <w:r w:rsidRPr="00BA3314">
        <w:rPr>
          <w:rFonts w:ascii="Book Antiqua" w:hAnsi="Book Antiqua"/>
          <w:sz w:val="24"/>
          <w:szCs w:val="24"/>
          <w:lang w:val="es-ES"/>
        </w:rPr>
        <w:t xml:space="preserve">Circular 110-20 </w:t>
      </w:r>
      <w:r w:rsidRPr="00BA3314">
        <w:rPr>
          <w:rFonts w:ascii="Book Antiqua" w:hAnsi="Book Antiqua"/>
          <w:i/>
          <w:iCs/>
          <w:sz w:val="24"/>
          <w:szCs w:val="24"/>
          <w:lang w:val="es-ES"/>
        </w:rPr>
        <w:t>“Reiterar la Circular N 60-99 relacionado con las Reglas prácticas para facilitar la aplicación efectiva de la Ley contra la violencia doméstica”.</w:t>
      </w:r>
    </w:p>
    <w:p w14:paraId="6DBD99CC" w14:textId="77777777"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234-2021 </w:t>
      </w:r>
      <w:r w:rsidRPr="00BA3314">
        <w:rPr>
          <w:rFonts w:ascii="Book Antiqua" w:hAnsi="Book Antiqua"/>
          <w:i/>
          <w:iCs/>
          <w:sz w:val="24"/>
          <w:szCs w:val="24"/>
          <w:lang w:val="es-ES"/>
        </w:rPr>
        <w:t>“Que es sen</w:t>
      </w:r>
      <w:r>
        <w:rPr>
          <w:rFonts w:ascii="Book Antiqua" w:hAnsi="Book Antiqua"/>
          <w:i/>
          <w:iCs/>
          <w:sz w:val="24"/>
          <w:szCs w:val="24"/>
          <w:lang w:val="es-ES"/>
        </w:rPr>
        <w:t>t</w:t>
      </w:r>
      <w:r w:rsidRPr="00BA3314">
        <w:rPr>
          <w:rFonts w:ascii="Book Antiqua" w:hAnsi="Book Antiqua"/>
          <w:i/>
          <w:iCs/>
          <w:sz w:val="24"/>
          <w:szCs w:val="24"/>
          <w:lang w:val="es-ES"/>
        </w:rPr>
        <w:t>encia en materia de Violencia Doméstica uso y seguimiento a la información registrada en el reporte de pase a fallo”.</w:t>
      </w:r>
    </w:p>
    <w:p w14:paraId="1DC21781" w14:textId="37383B1C" w:rsidR="00F51023" w:rsidRPr="001D0C10"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266-2021 </w:t>
      </w:r>
      <w:r w:rsidRPr="00BA3314">
        <w:rPr>
          <w:rFonts w:ascii="Book Antiqua" w:hAnsi="Book Antiqua"/>
          <w:i/>
          <w:iCs/>
          <w:sz w:val="24"/>
          <w:szCs w:val="24"/>
          <w:lang w:val="es-ES"/>
        </w:rPr>
        <w:t>“Deber de notificar personalmente el auto que otorga medidas la Circular No. 50-2021 específicamente en el punto 1.3”.</w:t>
      </w:r>
    </w:p>
    <w:p w14:paraId="3A62212C" w14:textId="77777777" w:rsidR="006A533C" w:rsidRPr="006A533C" w:rsidRDefault="006A533C" w:rsidP="006A533C">
      <w:pPr>
        <w:pStyle w:val="Prrafodelista"/>
        <w:numPr>
          <w:ilvl w:val="0"/>
          <w:numId w:val="15"/>
        </w:numPr>
        <w:rPr>
          <w:rFonts w:ascii="Book Antiqua" w:hAnsi="Book Antiqua"/>
          <w:sz w:val="24"/>
          <w:szCs w:val="24"/>
          <w:lang w:val="es-ES"/>
        </w:rPr>
      </w:pPr>
      <w:r w:rsidRPr="006A533C">
        <w:rPr>
          <w:rFonts w:ascii="Book Antiqua" w:hAnsi="Book Antiqua"/>
          <w:sz w:val="24"/>
          <w:szCs w:val="24"/>
          <w:lang w:val="es-ES"/>
        </w:rPr>
        <w:t>53-2022 “Inclusión de prioridades para casos denominados CLAIS (Comité Local para la Atención Inmediata y Seguimiento de casos de alto riesgo por violencia contra la mujer) en los despachos que atienden Violencia Doméstica.</w:t>
      </w:r>
    </w:p>
    <w:p w14:paraId="42055E9B" w14:textId="25FEA2FC" w:rsidR="006C3F71" w:rsidRDefault="006C3F71" w:rsidP="00417F46">
      <w:pPr>
        <w:pStyle w:val="Prrafodelista"/>
        <w:widowControl w:val="0"/>
        <w:spacing w:after="0" w:line="276" w:lineRule="auto"/>
        <w:jc w:val="both"/>
        <w:rPr>
          <w:rFonts w:ascii="Book Antiqua" w:eastAsia="Calibri" w:hAnsi="Book Antiqua" w:cs="Arial"/>
          <w:sz w:val="24"/>
          <w:szCs w:val="24"/>
        </w:rPr>
      </w:pPr>
      <w:r>
        <w:rPr>
          <w:rFonts w:ascii="Book Antiqua" w:eastAsia="Calibri" w:hAnsi="Book Antiqua" w:cs="Arial"/>
          <w:sz w:val="24"/>
          <w:szCs w:val="24"/>
        </w:rPr>
        <w:t>Utilizar periódicamente, al menos cada 3 meses, la mejora (mejora de inactivos) en el sistema que le</w:t>
      </w:r>
      <w:r w:rsidR="00EB5190">
        <w:rPr>
          <w:rFonts w:ascii="Book Antiqua" w:eastAsia="Calibri" w:hAnsi="Book Antiqua" w:cs="Arial"/>
          <w:sz w:val="24"/>
          <w:szCs w:val="24"/>
        </w:rPr>
        <w:t xml:space="preserve">s </w:t>
      </w:r>
      <w:r>
        <w:rPr>
          <w:rFonts w:ascii="Book Antiqua" w:eastAsia="Calibri" w:hAnsi="Book Antiqua" w:cs="Arial"/>
          <w:sz w:val="24"/>
          <w:szCs w:val="24"/>
        </w:rPr>
        <w:t xml:space="preserve">permite revisar los </w:t>
      </w:r>
      <w:r w:rsidR="00EB5190">
        <w:rPr>
          <w:rFonts w:ascii="Book Antiqua" w:eastAsia="Calibri" w:hAnsi="Book Antiqua" w:cs="Arial"/>
          <w:sz w:val="24"/>
          <w:szCs w:val="24"/>
        </w:rPr>
        <w:t>expedientes</w:t>
      </w:r>
      <w:r>
        <w:rPr>
          <w:rFonts w:ascii="Book Antiqua" w:eastAsia="Calibri" w:hAnsi="Book Antiqua" w:cs="Arial"/>
          <w:sz w:val="24"/>
          <w:szCs w:val="24"/>
        </w:rPr>
        <w:t xml:space="preserve"> con 3 meses sin movimiento</w:t>
      </w:r>
      <w:r w:rsidR="00EB5190">
        <w:rPr>
          <w:rFonts w:ascii="Book Antiqua" w:eastAsia="Calibri" w:hAnsi="Book Antiqua" w:cs="Arial"/>
          <w:sz w:val="24"/>
          <w:szCs w:val="24"/>
        </w:rPr>
        <w:t>.</w:t>
      </w:r>
      <w:r>
        <w:rPr>
          <w:rFonts w:ascii="Book Antiqua" w:eastAsia="Calibri" w:hAnsi="Book Antiqua" w:cs="Arial"/>
          <w:sz w:val="24"/>
          <w:szCs w:val="24"/>
        </w:rPr>
        <w:t xml:space="preserve"> </w:t>
      </w:r>
    </w:p>
    <w:p w14:paraId="2F267231" w14:textId="7C6E7567" w:rsidR="006C3F71" w:rsidRDefault="006C3F71" w:rsidP="00A56408">
      <w:pPr>
        <w:spacing w:after="0" w:line="276" w:lineRule="auto"/>
        <w:jc w:val="both"/>
        <w:rPr>
          <w:rFonts w:ascii="Book Antiqua" w:eastAsia="Calibri" w:hAnsi="Book Antiqua" w:cs="Arial"/>
          <w:sz w:val="24"/>
          <w:szCs w:val="24"/>
        </w:rPr>
      </w:pPr>
    </w:p>
    <w:p w14:paraId="72951816" w14:textId="77777777" w:rsidR="001C0CC9" w:rsidRPr="001C0CC9" w:rsidRDefault="001C0CC9" w:rsidP="001C0CC9">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1C0CC9">
        <w:rPr>
          <w:rFonts w:ascii="Book Antiqua" w:eastAsia="MS PGothic" w:hAnsi="Book Antiqua" w:cs="Times New Roman"/>
          <w:b/>
          <w:snapToGrid w:val="0"/>
          <w:sz w:val="24"/>
          <w:szCs w:val="24"/>
          <w:lang w:val="es-ES" w:eastAsia="es-ES"/>
        </w:rPr>
        <w:t xml:space="preserve">A la Centro de Apoyo, Coordinación y Mejoramiento de Función Jurisdiccional </w:t>
      </w:r>
    </w:p>
    <w:p w14:paraId="2E2342BF" w14:textId="47F203CE" w:rsidR="00A56408" w:rsidRDefault="00A56408" w:rsidP="00A56408">
      <w:pPr>
        <w:pStyle w:val="Ttulo"/>
        <w:spacing w:line="276" w:lineRule="auto"/>
        <w:jc w:val="left"/>
        <w:rPr>
          <w:szCs w:val="24"/>
          <w:lang w:val="es-CR"/>
        </w:rPr>
      </w:pPr>
    </w:p>
    <w:p w14:paraId="7048D8C6" w14:textId="5FAAA3DC" w:rsidR="001C0CC9" w:rsidRPr="00907FC9" w:rsidRDefault="001C0CC9" w:rsidP="00417F46">
      <w:pPr>
        <w:pStyle w:val="Prrafodelista"/>
        <w:widowControl w:val="0"/>
        <w:spacing w:after="0" w:line="276" w:lineRule="auto"/>
        <w:jc w:val="both"/>
        <w:rPr>
          <w:rFonts w:ascii="Book Antiqua" w:eastAsia="Calibri" w:hAnsi="Book Antiqua" w:cs="Arial"/>
          <w:sz w:val="24"/>
          <w:szCs w:val="24"/>
        </w:rPr>
      </w:pPr>
      <w:r w:rsidRPr="00907FC9">
        <w:rPr>
          <w:rFonts w:ascii="Book Antiqua" w:eastAsia="Calibri" w:hAnsi="Book Antiqua" w:cs="Arial"/>
          <w:sz w:val="24"/>
          <w:szCs w:val="24"/>
        </w:rPr>
        <w:t>El Centro de Apoyo, Coordinación y Mejoramiento de la Función Jurisdiccional deberá velar por el cumplimiento y seguimiento de las recomendaciones planteadas en este informe, las cuales deben quedar documentadas y comunicadas a las partes involucradas</w:t>
      </w:r>
      <w:r w:rsidR="00907FC9" w:rsidRPr="00907FC9">
        <w:rPr>
          <w:rFonts w:ascii="Book Antiqua" w:eastAsia="Calibri" w:hAnsi="Book Antiqua" w:cs="Arial"/>
          <w:sz w:val="24"/>
          <w:szCs w:val="24"/>
        </w:rPr>
        <w:t>.</w:t>
      </w:r>
    </w:p>
    <w:p w14:paraId="65909772" w14:textId="77DBBA21" w:rsidR="001C0CC9" w:rsidRPr="00541173" w:rsidRDefault="001C0CC9" w:rsidP="00417F46">
      <w:pPr>
        <w:pStyle w:val="Prrafodelista"/>
        <w:widowControl w:val="0"/>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E</w:t>
      </w:r>
      <w:r>
        <w:rPr>
          <w:rFonts w:ascii="Book Antiqua" w:eastAsia="Calibri" w:hAnsi="Book Antiqua" w:cs="Arial"/>
          <w:sz w:val="24"/>
          <w:szCs w:val="24"/>
        </w:rPr>
        <w:t>l</w:t>
      </w:r>
      <w:r w:rsidRPr="001C0CC9">
        <w:rPr>
          <w:rFonts w:ascii="Book Antiqua" w:eastAsia="Calibri" w:hAnsi="Book Antiqua" w:cs="Arial"/>
          <w:sz w:val="24"/>
          <w:szCs w:val="24"/>
        </w:rPr>
        <w:t xml:space="preserve"> Centro de Apoyo, Coordinación y Mejoramiento </w:t>
      </w:r>
      <w:r>
        <w:rPr>
          <w:rFonts w:ascii="Book Antiqua" w:eastAsia="Calibri" w:hAnsi="Book Antiqua" w:cs="Arial"/>
          <w:sz w:val="24"/>
          <w:szCs w:val="24"/>
        </w:rPr>
        <w:t>de</w:t>
      </w:r>
      <w:r w:rsidRPr="001C0CC9">
        <w:rPr>
          <w:rFonts w:ascii="Book Antiqua" w:eastAsia="Calibri" w:hAnsi="Book Antiqua" w:cs="Arial"/>
          <w:sz w:val="24"/>
          <w:szCs w:val="24"/>
        </w:rPr>
        <w:t xml:space="preserve">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 que el ente Técnico lo solicite. </w:t>
      </w:r>
    </w:p>
    <w:p w14:paraId="770ED2DE" w14:textId="7D1B67A8" w:rsidR="001C0CC9" w:rsidRPr="001C0CC9" w:rsidRDefault="001C0CC9" w:rsidP="00417F46">
      <w:pPr>
        <w:pStyle w:val="Prrafodelista"/>
        <w:widowControl w:val="0"/>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El Centro de Apoyo, junto con la figura del Juez Gestor en la materia deben dar seguimiento al cumplimiento de las tareas asociadas el Proyecto 1374-CF-P01</w:t>
      </w:r>
      <w:r w:rsidRPr="001D0C10">
        <w:rPr>
          <w:rFonts w:ascii="Book Antiqua" w:eastAsia="Calibri" w:hAnsi="Book Antiqua" w:cs="Arial"/>
          <w:sz w:val="24"/>
          <w:szCs w:val="24"/>
        </w:rPr>
        <w:t xml:space="preserve"> “</w:t>
      </w:r>
      <w:r w:rsidRPr="009B71C9">
        <w:rPr>
          <w:rFonts w:ascii="Book Antiqua" w:eastAsia="Calibri" w:hAnsi="Book Antiqua" w:cs="Arial"/>
          <w:i/>
          <w:iCs/>
          <w:sz w:val="24"/>
          <w:szCs w:val="24"/>
        </w:rPr>
        <w:t>Implementación del Código Procesal de Familia</w:t>
      </w:r>
      <w:r w:rsidRPr="001D0C10">
        <w:rPr>
          <w:rFonts w:ascii="Book Antiqua" w:eastAsia="Calibri" w:hAnsi="Book Antiqua" w:cs="Arial"/>
          <w:sz w:val="24"/>
          <w:szCs w:val="24"/>
        </w:rPr>
        <w:t xml:space="preserve">”, </w:t>
      </w:r>
      <w:r w:rsidRPr="001C0CC9">
        <w:rPr>
          <w:rFonts w:ascii="Book Antiqua" w:eastAsia="Calibri" w:hAnsi="Book Antiqua" w:cs="Arial"/>
          <w:sz w:val="24"/>
          <w:szCs w:val="24"/>
        </w:rPr>
        <w:t>principalmente en cuanto a los entregables que son de su responsabilidad junto con la Comisión de Familia, Niñez y Adolescencia.</w:t>
      </w:r>
      <w:r w:rsidRPr="001C0CC9" w:rsidDel="003656ED">
        <w:rPr>
          <w:rFonts w:ascii="Book Antiqua" w:eastAsia="Calibri" w:hAnsi="Book Antiqua" w:cs="Arial"/>
          <w:sz w:val="24"/>
          <w:szCs w:val="24"/>
        </w:rPr>
        <w:t xml:space="preserve"> </w:t>
      </w:r>
    </w:p>
    <w:p w14:paraId="2A88DA9E" w14:textId="2442805F" w:rsidR="001C0CC9" w:rsidRDefault="001C0CC9" w:rsidP="00A56408">
      <w:pPr>
        <w:pStyle w:val="Ttulo"/>
        <w:spacing w:line="276" w:lineRule="auto"/>
        <w:jc w:val="left"/>
        <w:rPr>
          <w:szCs w:val="24"/>
          <w:lang w:val="es-CR"/>
        </w:rPr>
      </w:pPr>
    </w:p>
    <w:p w14:paraId="68B9DA27" w14:textId="77777777" w:rsidR="001C0CC9" w:rsidRPr="001C0CC9" w:rsidRDefault="001C0CC9" w:rsidP="001C0CC9">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1C0CC9">
        <w:rPr>
          <w:rFonts w:ascii="Book Antiqua" w:eastAsia="MS PGothic" w:hAnsi="Book Antiqua" w:cs="Times New Roman"/>
          <w:b/>
          <w:snapToGrid w:val="0"/>
          <w:sz w:val="24"/>
          <w:szCs w:val="24"/>
          <w:lang w:val="es-ES" w:eastAsia="es-ES"/>
        </w:rPr>
        <w:t>Departamento de Prensa y Comunicación</w:t>
      </w:r>
    </w:p>
    <w:p w14:paraId="2FEEBE17" w14:textId="42C4A401" w:rsidR="001C0CC9" w:rsidRDefault="001C0CC9" w:rsidP="00A56408">
      <w:pPr>
        <w:pStyle w:val="Ttulo"/>
        <w:spacing w:line="276" w:lineRule="auto"/>
        <w:jc w:val="left"/>
        <w:rPr>
          <w:szCs w:val="24"/>
          <w:lang w:val="es-CR"/>
        </w:rPr>
      </w:pPr>
    </w:p>
    <w:p w14:paraId="1E835321" w14:textId="779153A6" w:rsidR="00851F5D" w:rsidRDefault="001C0CC9" w:rsidP="00417F46">
      <w:pPr>
        <w:pStyle w:val="Prrafodelista"/>
        <w:widowControl w:val="0"/>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 xml:space="preserve">Dar cumplimiento a </w:t>
      </w:r>
      <w:r w:rsidR="00D87696">
        <w:rPr>
          <w:rFonts w:ascii="Book Antiqua" w:eastAsia="Calibri" w:hAnsi="Book Antiqua" w:cs="Arial"/>
          <w:sz w:val="24"/>
          <w:szCs w:val="24"/>
        </w:rPr>
        <w:t>las tareas a su cargo según el cronograma del</w:t>
      </w:r>
      <w:r w:rsidRPr="001C0CC9">
        <w:rPr>
          <w:rFonts w:ascii="Book Antiqua" w:eastAsia="Calibri" w:hAnsi="Book Antiqua" w:cs="Arial"/>
          <w:sz w:val="24"/>
          <w:szCs w:val="24"/>
        </w:rPr>
        <w:t xml:space="preserve"> Proyecto 1374-CF-P01</w:t>
      </w:r>
      <w:r w:rsidRPr="001D0C10">
        <w:rPr>
          <w:rFonts w:ascii="Book Antiqua" w:eastAsia="Calibri" w:hAnsi="Book Antiqua" w:cs="Arial"/>
          <w:sz w:val="24"/>
          <w:szCs w:val="24"/>
        </w:rPr>
        <w:t xml:space="preserve"> “</w:t>
      </w:r>
      <w:r w:rsidRPr="009B71C9">
        <w:rPr>
          <w:rFonts w:ascii="Book Antiqua" w:eastAsia="Calibri" w:hAnsi="Book Antiqua" w:cs="Arial"/>
          <w:i/>
          <w:iCs/>
          <w:sz w:val="24"/>
          <w:szCs w:val="24"/>
        </w:rPr>
        <w:t xml:space="preserve">Implementación del </w:t>
      </w:r>
      <w:r w:rsidRPr="002B272C">
        <w:rPr>
          <w:rFonts w:ascii="Book Antiqua" w:eastAsia="Calibri" w:hAnsi="Book Antiqua" w:cs="Arial"/>
          <w:i/>
          <w:iCs/>
          <w:sz w:val="24"/>
          <w:szCs w:val="24"/>
        </w:rPr>
        <w:t>Código Procesal de Familia</w:t>
      </w:r>
      <w:r w:rsidRPr="002B272C">
        <w:rPr>
          <w:rFonts w:ascii="Book Antiqua" w:eastAsia="Calibri" w:hAnsi="Book Antiqua" w:cs="Arial"/>
          <w:sz w:val="24"/>
          <w:szCs w:val="24"/>
        </w:rPr>
        <w:t xml:space="preserve">” y remitir el entregable correspondiente </w:t>
      </w:r>
      <w:r w:rsidR="00CE0992">
        <w:rPr>
          <w:rFonts w:ascii="Book Antiqua" w:eastAsia="Calibri" w:hAnsi="Book Antiqua" w:cs="Arial"/>
          <w:sz w:val="24"/>
          <w:szCs w:val="24"/>
        </w:rPr>
        <w:t xml:space="preserve">la programación que se muestra a continuación, </w:t>
      </w:r>
      <w:r w:rsidRPr="002B272C">
        <w:rPr>
          <w:rFonts w:ascii="Book Antiqua" w:eastAsia="Calibri" w:hAnsi="Book Antiqua" w:cs="Arial"/>
          <w:sz w:val="24"/>
          <w:szCs w:val="24"/>
        </w:rPr>
        <w:t xml:space="preserve">conforme </w:t>
      </w:r>
      <w:r w:rsidR="00CE0992">
        <w:rPr>
          <w:rFonts w:ascii="Book Antiqua" w:eastAsia="Calibri" w:hAnsi="Book Antiqua" w:cs="Arial"/>
          <w:sz w:val="24"/>
          <w:szCs w:val="24"/>
        </w:rPr>
        <w:t>la</w:t>
      </w:r>
      <w:r w:rsidRPr="002B272C">
        <w:rPr>
          <w:rFonts w:ascii="Book Antiqua" w:eastAsia="Calibri" w:hAnsi="Book Antiqua" w:cs="Arial"/>
          <w:sz w:val="24"/>
          <w:szCs w:val="24"/>
        </w:rPr>
        <w:t xml:space="preserve"> metodología de proyectos institucional en coordinación con el Juez Gestor en la materia y la Comisión de Familia, Niñez y Adolescencia.</w:t>
      </w:r>
      <w:r w:rsidRPr="001C0CC9">
        <w:rPr>
          <w:rFonts w:ascii="Book Antiqua" w:eastAsia="Calibri" w:hAnsi="Book Antiqua" w:cs="Arial"/>
          <w:sz w:val="24"/>
          <w:szCs w:val="24"/>
        </w:rPr>
        <w:t xml:space="preserve"> </w:t>
      </w:r>
    </w:p>
    <w:p w14:paraId="4F8F2570" w14:textId="77777777" w:rsidR="00851F5D" w:rsidRDefault="00851F5D" w:rsidP="00541173">
      <w:pPr>
        <w:widowControl w:val="0"/>
        <w:spacing w:after="0" w:line="276" w:lineRule="auto"/>
        <w:jc w:val="both"/>
        <w:rPr>
          <w:rFonts w:ascii="Book Antiqua" w:eastAsia="Calibri" w:hAnsi="Book Antiqua" w:cs="Arial"/>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3730"/>
        <w:gridCol w:w="1028"/>
        <w:gridCol w:w="1277"/>
        <w:gridCol w:w="1185"/>
        <w:gridCol w:w="1608"/>
      </w:tblGrid>
      <w:tr w:rsidR="002B272C" w:rsidRPr="002B272C" w14:paraId="5850C0EE" w14:textId="77777777" w:rsidTr="00E929EF">
        <w:tc>
          <w:tcPr>
            <w:tcW w:w="373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0375B02" w14:textId="77777777" w:rsidR="002B272C" w:rsidRPr="002B272C" w:rsidRDefault="002B272C" w:rsidP="002B272C">
            <w:pPr>
              <w:spacing w:after="0" w:line="240" w:lineRule="auto"/>
              <w:rPr>
                <w:rFonts w:ascii="Segoe UI" w:eastAsia="Times New Roman" w:hAnsi="Segoe UI" w:cs="Segoe UI"/>
                <w:sz w:val="18"/>
                <w:szCs w:val="18"/>
                <w:lang w:eastAsia="es-CR"/>
              </w:rPr>
            </w:pPr>
            <w:r w:rsidRPr="002B272C">
              <w:rPr>
                <w:rFonts w:ascii="Segoe UI" w:eastAsia="Times New Roman" w:hAnsi="Segoe UI" w:cs="Segoe UI"/>
                <w:color w:val="363636"/>
                <w:sz w:val="18"/>
                <w:szCs w:val="18"/>
                <w:shd w:val="clear" w:color="auto" w:fill="DFE3E8"/>
                <w:lang w:eastAsia="es-CR"/>
              </w:rPr>
              <w:t>Nombre de tarea</w:t>
            </w:r>
          </w:p>
        </w:tc>
        <w:tc>
          <w:tcPr>
            <w:tcW w:w="102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6AB5B25" w14:textId="77777777" w:rsidR="002B272C" w:rsidRPr="002B272C" w:rsidRDefault="002B272C" w:rsidP="002B272C">
            <w:pPr>
              <w:spacing w:after="0" w:line="240" w:lineRule="auto"/>
              <w:rPr>
                <w:rFonts w:ascii="Segoe UI" w:eastAsia="Times New Roman" w:hAnsi="Segoe UI" w:cs="Segoe UI"/>
                <w:sz w:val="18"/>
                <w:szCs w:val="18"/>
                <w:lang w:eastAsia="es-CR"/>
              </w:rPr>
            </w:pPr>
            <w:r w:rsidRPr="002B272C">
              <w:rPr>
                <w:rFonts w:ascii="Segoe UI" w:eastAsia="Times New Roman" w:hAnsi="Segoe UI" w:cs="Segoe UI"/>
                <w:color w:val="363636"/>
                <w:sz w:val="18"/>
                <w:szCs w:val="18"/>
                <w:shd w:val="clear" w:color="auto" w:fill="DFE3E8"/>
                <w:lang w:eastAsia="es-CR"/>
              </w:rPr>
              <w:t>Duración</w:t>
            </w:r>
          </w:p>
        </w:tc>
        <w:tc>
          <w:tcPr>
            <w:tcW w:w="127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6D45C9A" w14:textId="77777777" w:rsidR="002B272C" w:rsidRPr="002B272C" w:rsidRDefault="002B272C" w:rsidP="002B272C">
            <w:pPr>
              <w:spacing w:after="0" w:line="240" w:lineRule="auto"/>
              <w:rPr>
                <w:rFonts w:ascii="Segoe UI" w:eastAsia="Times New Roman" w:hAnsi="Segoe UI" w:cs="Segoe UI"/>
                <w:sz w:val="18"/>
                <w:szCs w:val="18"/>
                <w:lang w:eastAsia="es-CR"/>
              </w:rPr>
            </w:pPr>
            <w:r w:rsidRPr="002B272C">
              <w:rPr>
                <w:rFonts w:ascii="Segoe UI" w:eastAsia="Times New Roman" w:hAnsi="Segoe UI" w:cs="Segoe UI"/>
                <w:color w:val="363636"/>
                <w:sz w:val="18"/>
                <w:szCs w:val="18"/>
                <w:shd w:val="clear" w:color="auto" w:fill="DFE3E8"/>
                <w:lang w:eastAsia="es-CR"/>
              </w:rPr>
              <w:t>Comienzo</w:t>
            </w:r>
          </w:p>
        </w:tc>
        <w:tc>
          <w:tcPr>
            <w:tcW w:w="11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BF168B2" w14:textId="77777777" w:rsidR="002B272C" w:rsidRPr="002B272C" w:rsidRDefault="002B272C" w:rsidP="002B272C">
            <w:pPr>
              <w:spacing w:after="0" w:line="240" w:lineRule="auto"/>
              <w:rPr>
                <w:rFonts w:ascii="Segoe UI" w:eastAsia="Times New Roman" w:hAnsi="Segoe UI" w:cs="Segoe UI"/>
                <w:sz w:val="18"/>
                <w:szCs w:val="18"/>
                <w:lang w:eastAsia="es-CR"/>
              </w:rPr>
            </w:pPr>
            <w:r w:rsidRPr="002B272C">
              <w:rPr>
                <w:rFonts w:ascii="Segoe UI" w:eastAsia="Times New Roman" w:hAnsi="Segoe UI" w:cs="Segoe UI"/>
                <w:color w:val="363636"/>
                <w:sz w:val="18"/>
                <w:szCs w:val="18"/>
                <w:shd w:val="clear" w:color="auto" w:fill="DFE3E8"/>
                <w:lang w:eastAsia="es-CR"/>
              </w:rPr>
              <w:t>Fin</w:t>
            </w:r>
          </w:p>
        </w:tc>
        <w:tc>
          <w:tcPr>
            <w:tcW w:w="160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74A4BF4" w14:textId="77777777" w:rsidR="002B272C" w:rsidRPr="002B272C" w:rsidRDefault="002B272C" w:rsidP="002B272C">
            <w:pPr>
              <w:spacing w:after="0" w:line="240" w:lineRule="auto"/>
              <w:rPr>
                <w:rFonts w:ascii="Segoe UI" w:eastAsia="Times New Roman" w:hAnsi="Segoe UI" w:cs="Segoe UI"/>
                <w:sz w:val="18"/>
                <w:szCs w:val="18"/>
                <w:lang w:eastAsia="es-CR"/>
              </w:rPr>
            </w:pPr>
            <w:r w:rsidRPr="002B272C">
              <w:rPr>
                <w:rFonts w:ascii="Segoe UI" w:eastAsia="Times New Roman" w:hAnsi="Segoe UI" w:cs="Segoe UI"/>
                <w:color w:val="363636"/>
                <w:sz w:val="18"/>
                <w:szCs w:val="18"/>
                <w:shd w:val="clear" w:color="auto" w:fill="DFE3E8"/>
                <w:lang w:eastAsia="es-CR"/>
              </w:rPr>
              <w:t>% completado</w:t>
            </w:r>
          </w:p>
        </w:tc>
      </w:tr>
      <w:tr w:rsidR="002B272C" w:rsidRPr="002B272C" w14:paraId="62AD759A" w14:textId="77777777" w:rsidTr="00E929EF">
        <w:tc>
          <w:tcPr>
            <w:tcW w:w="37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065CE1"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b/>
                <w:bCs/>
                <w:color w:val="000000"/>
                <w:lang w:eastAsia="es-CR"/>
              </w:rPr>
              <w:t>3.14. Campaña de divulgación de los principales cambios (Prensa).</w:t>
            </w:r>
          </w:p>
        </w:tc>
        <w:tc>
          <w:tcPr>
            <w:tcW w:w="10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25E539"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b/>
                <w:bCs/>
                <w:color w:val="000000"/>
                <w:lang w:eastAsia="es-CR"/>
              </w:rPr>
              <w:t>967 días</w:t>
            </w:r>
          </w:p>
        </w:tc>
        <w:tc>
          <w:tcPr>
            <w:tcW w:w="12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D7B279"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b/>
                <w:bCs/>
                <w:color w:val="000000"/>
                <w:lang w:eastAsia="es-CR"/>
              </w:rPr>
              <w:t>jue 1/10/20</w:t>
            </w:r>
          </w:p>
        </w:tc>
        <w:tc>
          <w:tcPr>
            <w:tcW w:w="11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E67B9D"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b/>
                <w:bCs/>
                <w:color w:val="000000"/>
                <w:lang w:eastAsia="es-CR"/>
              </w:rPr>
              <w:t>jue 26/9/24</w:t>
            </w:r>
          </w:p>
        </w:tc>
        <w:tc>
          <w:tcPr>
            <w:tcW w:w="160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20FD97"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b/>
                <w:bCs/>
                <w:color w:val="000000"/>
                <w:lang w:eastAsia="es-CR"/>
              </w:rPr>
              <w:t>34%</w:t>
            </w:r>
          </w:p>
        </w:tc>
      </w:tr>
      <w:tr w:rsidR="002B272C" w:rsidRPr="002B272C" w14:paraId="3B9BC98B" w14:textId="77777777" w:rsidTr="00E929EF">
        <w:tc>
          <w:tcPr>
            <w:tcW w:w="37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85766E"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 xml:space="preserve">   Elaboración de materia para comunicación desde 2022 de temas de interés de la Jurisdicción</w:t>
            </w:r>
          </w:p>
        </w:tc>
        <w:tc>
          <w:tcPr>
            <w:tcW w:w="10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1D1981"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6 mss</w:t>
            </w:r>
          </w:p>
        </w:tc>
        <w:tc>
          <w:tcPr>
            <w:tcW w:w="12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681E8A"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jue 1/9/22</w:t>
            </w:r>
          </w:p>
        </w:tc>
        <w:tc>
          <w:tcPr>
            <w:tcW w:w="11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686236" w14:textId="77777777" w:rsidR="002B272C" w:rsidRPr="002B272C" w:rsidRDefault="002B272C" w:rsidP="002B272C">
            <w:pPr>
              <w:spacing w:after="0" w:line="240" w:lineRule="auto"/>
              <w:rPr>
                <w:rFonts w:ascii="Calibri" w:eastAsia="Times New Roman" w:hAnsi="Calibri" w:cs="Calibri"/>
                <w:color w:val="000000"/>
                <w:lang w:eastAsia="es-CR"/>
              </w:rPr>
            </w:pPr>
            <w:r w:rsidRPr="002B272C">
              <w:rPr>
                <w:rFonts w:ascii="Calibri" w:eastAsia="Times New Roman" w:hAnsi="Calibri" w:cs="Calibri"/>
                <w:color w:val="000000"/>
                <w:lang w:eastAsia="es-CR"/>
              </w:rPr>
              <w:t>mar 7/3/23</w:t>
            </w:r>
          </w:p>
        </w:tc>
        <w:tc>
          <w:tcPr>
            <w:tcW w:w="1608" w:type="dxa"/>
            <w:tcBorders>
              <w:top w:val="single" w:sz="4" w:space="0" w:color="B1BBCC"/>
              <w:left w:val="single" w:sz="4" w:space="0" w:color="B1BBCC"/>
              <w:bottom w:val="single" w:sz="4" w:space="0" w:color="B1BBCC"/>
              <w:right w:val="single" w:sz="4" w:space="0" w:color="B1BBCC"/>
            </w:tcBorders>
            <w:shd w:val="clear" w:color="auto" w:fill="auto"/>
            <w:vAlign w:val="center"/>
            <w:hideMark/>
          </w:tcPr>
          <w:p w14:paraId="198C6F70" w14:textId="77777777" w:rsidR="002B272C" w:rsidRPr="002B272C" w:rsidRDefault="002B272C" w:rsidP="002B272C">
            <w:pPr>
              <w:spacing w:after="0" w:line="240" w:lineRule="auto"/>
              <w:rPr>
                <w:rFonts w:ascii="Calibri" w:eastAsia="Times New Roman" w:hAnsi="Calibri" w:cs="Calibri"/>
                <w:color w:val="000000"/>
                <w:lang w:eastAsia="es-CR"/>
              </w:rPr>
            </w:pPr>
            <w:r w:rsidRPr="002B272C">
              <w:rPr>
                <w:rFonts w:ascii="Calibri" w:eastAsia="Times New Roman" w:hAnsi="Calibri" w:cs="Calibri"/>
                <w:color w:val="000000"/>
                <w:lang w:eastAsia="es-CR"/>
              </w:rPr>
              <w:t>60%</w:t>
            </w:r>
          </w:p>
        </w:tc>
      </w:tr>
      <w:tr w:rsidR="002B272C" w:rsidRPr="002B272C" w14:paraId="201A17D7" w14:textId="77777777" w:rsidTr="00E929EF">
        <w:tc>
          <w:tcPr>
            <w:tcW w:w="37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8FB9A1"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 xml:space="preserve">   Comunicación de los cambios a partir de la entrada en vigencia del Código Procesal de Familia</w:t>
            </w:r>
          </w:p>
        </w:tc>
        <w:tc>
          <w:tcPr>
            <w:tcW w:w="10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D1310D"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3 mss</w:t>
            </w:r>
          </w:p>
        </w:tc>
        <w:tc>
          <w:tcPr>
            <w:tcW w:w="12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539836"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lun 1/7/24</w:t>
            </w:r>
          </w:p>
        </w:tc>
        <w:tc>
          <w:tcPr>
            <w:tcW w:w="11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033D4F"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jue 26/9/24</w:t>
            </w:r>
          </w:p>
        </w:tc>
        <w:tc>
          <w:tcPr>
            <w:tcW w:w="160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53FCE8"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0%</w:t>
            </w:r>
          </w:p>
        </w:tc>
      </w:tr>
      <w:tr w:rsidR="002B272C" w:rsidRPr="002B272C" w14:paraId="56F10F74" w14:textId="77777777" w:rsidTr="00E929EF">
        <w:tc>
          <w:tcPr>
            <w:tcW w:w="37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11587E"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 xml:space="preserve">   Impresión de ejemplares del Código</w:t>
            </w:r>
          </w:p>
        </w:tc>
        <w:tc>
          <w:tcPr>
            <w:tcW w:w="10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7C94E4"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17 días</w:t>
            </w:r>
          </w:p>
        </w:tc>
        <w:tc>
          <w:tcPr>
            <w:tcW w:w="12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68D4BA"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jue 1/10/20</w:t>
            </w:r>
          </w:p>
        </w:tc>
        <w:tc>
          <w:tcPr>
            <w:tcW w:w="11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B5E4F9"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mar 27/10/20</w:t>
            </w:r>
          </w:p>
        </w:tc>
        <w:tc>
          <w:tcPr>
            <w:tcW w:w="160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1DF29B"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100%</w:t>
            </w:r>
          </w:p>
        </w:tc>
      </w:tr>
      <w:tr w:rsidR="002B272C" w:rsidRPr="002B272C" w14:paraId="59521DB6" w14:textId="77777777" w:rsidTr="00E929EF">
        <w:tc>
          <w:tcPr>
            <w:tcW w:w="37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EACB99"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 xml:space="preserve">   Desplegables e impresión de afiches</w:t>
            </w:r>
          </w:p>
        </w:tc>
        <w:tc>
          <w:tcPr>
            <w:tcW w:w="10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91B373"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3 mss</w:t>
            </w:r>
          </w:p>
        </w:tc>
        <w:tc>
          <w:tcPr>
            <w:tcW w:w="12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9E412F"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lun 1/7/24</w:t>
            </w:r>
          </w:p>
        </w:tc>
        <w:tc>
          <w:tcPr>
            <w:tcW w:w="11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376BF5"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jue 26/9/24</w:t>
            </w:r>
          </w:p>
        </w:tc>
        <w:tc>
          <w:tcPr>
            <w:tcW w:w="160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358593"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0%</w:t>
            </w:r>
          </w:p>
        </w:tc>
      </w:tr>
      <w:tr w:rsidR="002B272C" w:rsidRPr="002B272C" w14:paraId="73ACA5FA" w14:textId="77777777" w:rsidTr="00E929EF">
        <w:tc>
          <w:tcPr>
            <w:tcW w:w="37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4AA9A2"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 xml:space="preserve">   Realización de eventos y protocolo</w:t>
            </w:r>
          </w:p>
        </w:tc>
        <w:tc>
          <w:tcPr>
            <w:tcW w:w="10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5A6F83"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5 días</w:t>
            </w:r>
          </w:p>
        </w:tc>
        <w:tc>
          <w:tcPr>
            <w:tcW w:w="12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74CF42"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lun 2/10/23</w:t>
            </w:r>
          </w:p>
        </w:tc>
        <w:tc>
          <w:tcPr>
            <w:tcW w:w="11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3FC236"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lun 9/10/23</w:t>
            </w:r>
          </w:p>
        </w:tc>
        <w:tc>
          <w:tcPr>
            <w:tcW w:w="160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0A640A" w14:textId="77777777" w:rsidR="002B272C" w:rsidRPr="002B272C" w:rsidRDefault="002B272C" w:rsidP="002B272C">
            <w:pPr>
              <w:spacing w:after="0" w:line="240" w:lineRule="auto"/>
              <w:rPr>
                <w:rFonts w:ascii="Calibri" w:eastAsia="Times New Roman" w:hAnsi="Calibri" w:cs="Calibri"/>
                <w:lang w:eastAsia="es-CR"/>
              </w:rPr>
            </w:pPr>
            <w:r w:rsidRPr="002B272C">
              <w:rPr>
                <w:rFonts w:ascii="Calibri" w:eastAsia="Times New Roman" w:hAnsi="Calibri" w:cs="Calibri"/>
                <w:color w:val="000000"/>
                <w:lang w:eastAsia="es-CR"/>
              </w:rPr>
              <w:t>0%</w:t>
            </w:r>
          </w:p>
        </w:tc>
      </w:tr>
    </w:tbl>
    <w:p w14:paraId="4D209883" w14:textId="77777777" w:rsidR="00EE50B2" w:rsidRPr="001C0CC9" w:rsidRDefault="00EE50B2" w:rsidP="001D0C10">
      <w:pPr>
        <w:pStyle w:val="Prrafodelista"/>
        <w:widowControl w:val="0"/>
        <w:spacing w:after="0" w:line="276" w:lineRule="auto"/>
        <w:ind w:left="1080"/>
        <w:jc w:val="both"/>
        <w:rPr>
          <w:rFonts w:ascii="Book Antiqua" w:eastAsia="Calibri" w:hAnsi="Book Antiqua" w:cs="Arial"/>
          <w:sz w:val="24"/>
          <w:szCs w:val="24"/>
        </w:rPr>
      </w:pPr>
    </w:p>
    <w:p w14:paraId="63189FCE" w14:textId="03E1C5B2" w:rsidR="00990A1B" w:rsidRPr="00990A1B" w:rsidRDefault="00990A1B" w:rsidP="00990A1B">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z w:val="24"/>
          <w:szCs w:val="24"/>
          <w:lang w:val="es-ES" w:eastAsia="es-ES"/>
        </w:rPr>
      </w:pPr>
      <w:r w:rsidRPr="00990A1B">
        <w:rPr>
          <w:rFonts w:ascii="Book Antiqua" w:eastAsia="MS PGothic" w:hAnsi="Book Antiqua" w:cs="Times New Roman"/>
          <w:b/>
          <w:sz w:val="24"/>
          <w:szCs w:val="24"/>
          <w:lang w:val="es-ES" w:eastAsia="es-ES"/>
        </w:rPr>
        <w:t>Al Departamento de Trabajo Social y Psicología</w:t>
      </w:r>
    </w:p>
    <w:p w14:paraId="54F53F39" w14:textId="3AD93461" w:rsidR="00990A1B" w:rsidRDefault="00990A1B" w:rsidP="009E73B0">
      <w:pPr>
        <w:pStyle w:val="Ttulo"/>
        <w:spacing w:line="276" w:lineRule="auto"/>
        <w:jc w:val="left"/>
        <w:rPr>
          <w:szCs w:val="24"/>
          <w:lang w:val="es-CR"/>
        </w:rPr>
      </w:pPr>
    </w:p>
    <w:p w14:paraId="16B8459D" w14:textId="53D31C1A" w:rsidR="00990A1B" w:rsidRPr="00990A1B" w:rsidRDefault="00990A1B" w:rsidP="00417F46">
      <w:pPr>
        <w:pStyle w:val="Prrafodelista"/>
        <w:widowControl w:val="0"/>
        <w:spacing w:after="0" w:line="276" w:lineRule="auto"/>
        <w:jc w:val="both"/>
        <w:rPr>
          <w:rFonts w:ascii="Book Antiqua" w:eastAsia="Calibri" w:hAnsi="Book Antiqua" w:cs="Arial"/>
          <w:sz w:val="24"/>
          <w:szCs w:val="24"/>
        </w:rPr>
      </w:pPr>
      <w:r w:rsidRPr="00990A1B">
        <w:rPr>
          <w:rFonts w:ascii="Book Antiqua" w:eastAsia="Calibri" w:hAnsi="Book Antiqua" w:cs="Arial"/>
          <w:sz w:val="24"/>
          <w:szCs w:val="24"/>
        </w:rPr>
        <w:t xml:space="preserve">Diseñar los planes de trabajo de manera que identifiquen a nivel nacional las pericias que puedan llevar a cabo mediante la contratación de peritos y hagan uso del presupuesto disponible con el fin de reducir los plazos de entrega de las pericias solicitadas por los Juzgados de Familia </w:t>
      </w:r>
      <w:r w:rsidR="004E2FAD">
        <w:rPr>
          <w:rFonts w:ascii="Book Antiqua" w:eastAsia="Calibri" w:hAnsi="Book Antiqua" w:cs="Arial"/>
          <w:sz w:val="24"/>
          <w:szCs w:val="24"/>
        </w:rPr>
        <w:t xml:space="preserve">y Juzgados de Violencia </w:t>
      </w:r>
      <w:r w:rsidRPr="00990A1B">
        <w:rPr>
          <w:rFonts w:ascii="Book Antiqua" w:eastAsia="Calibri" w:hAnsi="Book Antiqua" w:cs="Arial"/>
          <w:sz w:val="24"/>
          <w:szCs w:val="24"/>
        </w:rPr>
        <w:t>a nivel nacional.</w:t>
      </w:r>
      <w:r w:rsidR="004E2FAD">
        <w:rPr>
          <w:rFonts w:ascii="Book Antiqua" w:eastAsia="Calibri" w:hAnsi="Book Antiqua" w:cs="Arial"/>
          <w:sz w:val="24"/>
          <w:szCs w:val="24"/>
        </w:rPr>
        <w:t xml:space="preserve"> </w:t>
      </w:r>
      <w:r w:rsidR="004E2FAD" w:rsidRPr="00B46A92">
        <w:rPr>
          <w:rFonts w:ascii="Book Antiqua" w:eastAsia="Calibri" w:hAnsi="Book Antiqua" w:cs="Arial"/>
          <w:sz w:val="24"/>
          <w:szCs w:val="24"/>
        </w:rPr>
        <w:t>Una vez aprobado el presupuesto (</w:t>
      </w:r>
      <w:r w:rsidR="009357A3" w:rsidRPr="001D0C10">
        <w:rPr>
          <w:rFonts w:ascii="Book Antiqua" w:eastAsia="Calibri" w:hAnsi="Book Antiqua" w:cs="Arial"/>
          <w:sz w:val="24"/>
          <w:szCs w:val="24"/>
        </w:rPr>
        <w:t>noviembre</w:t>
      </w:r>
      <w:r w:rsidR="004E2FAD" w:rsidRPr="00B46A92">
        <w:rPr>
          <w:rFonts w:ascii="Book Antiqua" w:eastAsia="Calibri" w:hAnsi="Book Antiqua" w:cs="Arial"/>
          <w:sz w:val="24"/>
          <w:szCs w:val="24"/>
        </w:rPr>
        <w:t xml:space="preserve"> 202</w:t>
      </w:r>
      <w:r w:rsidR="002B272C">
        <w:rPr>
          <w:rFonts w:ascii="Book Antiqua" w:eastAsia="Calibri" w:hAnsi="Book Antiqua" w:cs="Arial"/>
          <w:sz w:val="24"/>
          <w:szCs w:val="24"/>
        </w:rPr>
        <w:t>3</w:t>
      </w:r>
      <w:r w:rsidR="004E2FAD" w:rsidRPr="00B46A92">
        <w:rPr>
          <w:rFonts w:ascii="Book Antiqua" w:eastAsia="Calibri" w:hAnsi="Book Antiqua" w:cs="Arial"/>
          <w:sz w:val="24"/>
          <w:szCs w:val="24"/>
        </w:rPr>
        <w:t>), proceder a coordinar lo correspondiente que asegure la ejecución del presupuesto asignado y la mejoría en los plazos de entrega de las pericias</w:t>
      </w:r>
      <w:r w:rsidR="009F3813">
        <w:rPr>
          <w:rFonts w:ascii="Book Antiqua" w:eastAsia="Calibri" w:hAnsi="Book Antiqua" w:cs="Arial"/>
          <w:sz w:val="24"/>
          <w:szCs w:val="24"/>
        </w:rPr>
        <w:t xml:space="preserve">, ya que se visualiza que actualmente los tiempos de respuesta del Departamento de Trabajo Social y Psicología, son los que provocan </w:t>
      </w:r>
      <w:r w:rsidR="00A628C8">
        <w:rPr>
          <w:rFonts w:ascii="Book Antiqua" w:eastAsia="Calibri" w:hAnsi="Book Antiqua" w:cs="Arial"/>
          <w:sz w:val="24"/>
          <w:szCs w:val="24"/>
        </w:rPr>
        <w:t>el mayor cuello de botella y lentitud para la definición de los expedientes judiciales</w:t>
      </w:r>
      <w:r w:rsidR="00726AF6">
        <w:rPr>
          <w:rFonts w:ascii="Book Antiqua" w:eastAsia="Calibri" w:hAnsi="Book Antiqua" w:cs="Arial"/>
          <w:sz w:val="24"/>
          <w:szCs w:val="24"/>
        </w:rPr>
        <w:t>, en la materia de familia</w:t>
      </w:r>
      <w:r w:rsidRPr="00990A1B">
        <w:rPr>
          <w:rFonts w:ascii="Book Antiqua" w:eastAsia="Calibri" w:hAnsi="Book Antiqua" w:cs="Arial"/>
          <w:sz w:val="24"/>
          <w:szCs w:val="24"/>
        </w:rPr>
        <w:t xml:space="preserve"> </w:t>
      </w:r>
      <w:r w:rsidR="00417F46">
        <w:rPr>
          <w:rFonts w:ascii="Book Antiqua" w:eastAsia="Calibri" w:hAnsi="Book Antiqua" w:cs="Arial"/>
          <w:sz w:val="24"/>
          <w:szCs w:val="24"/>
        </w:rPr>
        <w:t xml:space="preserve"> </w:t>
      </w:r>
    </w:p>
    <w:p w14:paraId="7AC9F02A" w14:textId="77777777" w:rsidR="007538E9" w:rsidRPr="003E0D53" w:rsidRDefault="007538E9" w:rsidP="009E73B0">
      <w:pPr>
        <w:spacing w:line="276" w:lineRule="auto"/>
        <w:rPr>
          <w:rFonts w:ascii="Book Antiqua" w:hAnsi="Book Antiqua"/>
          <w:sz w:val="24"/>
          <w:szCs w:val="24"/>
          <w:lang w:eastAsia="es-CR"/>
        </w:rPr>
      </w:pPr>
    </w:p>
    <w:p w14:paraId="1AD4E705" w14:textId="604BB7B2" w:rsidR="00976F97" w:rsidRPr="00770255" w:rsidRDefault="00417F46" w:rsidP="00417F46">
      <w:pPr>
        <w:pStyle w:val="Ttulo1"/>
        <w:numPr>
          <w:ilvl w:val="0"/>
          <w:numId w:val="0"/>
        </w:numPr>
        <w:spacing w:line="276" w:lineRule="auto"/>
        <w:rPr>
          <w:lang w:eastAsia="es-CR"/>
        </w:rPr>
      </w:pPr>
      <w:bookmarkStart w:id="110" w:name="_Hlk97225201"/>
      <w:r>
        <w:rPr>
          <w:lang w:eastAsia="es-CR"/>
        </w:rPr>
        <w:t xml:space="preserve">13 </w:t>
      </w:r>
      <w:r w:rsidR="00923948">
        <w:rPr>
          <w:lang w:eastAsia="es-CR"/>
        </w:rPr>
        <w:t>Anexos</w:t>
      </w:r>
    </w:p>
    <w:tbl>
      <w:tblPr>
        <w:tblW w:w="962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896"/>
        <w:gridCol w:w="3893"/>
        <w:gridCol w:w="3835"/>
      </w:tblGrid>
      <w:tr w:rsidR="00976F97" w:rsidRPr="00015673" w14:paraId="1AD4E709" w14:textId="77777777" w:rsidTr="00F927FD">
        <w:trPr>
          <w:trHeight w:val="335"/>
          <w:tblHeader/>
          <w:jc w:val="center"/>
        </w:trPr>
        <w:tc>
          <w:tcPr>
            <w:tcW w:w="0" w:type="auto"/>
            <w:shd w:val="clear" w:color="auto" w:fill="002060"/>
            <w:noWrap/>
            <w:vAlign w:val="center"/>
            <w:hideMark/>
          </w:tcPr>
          <w:bookmarkEnd w:id="110"/>
          <w:p w14:paraId="1AD4E706" w14:textId="2FA9BE29"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A</w:t>
            </w:r>
            <w:r w:rsidR="00923948" w:rsidRPr="003E0D53">
              <w:rPr>
                <w:rFonts w:ascii="Book Antiqua" w:hAnsi="Book Antiqua"/>
                <w:b/>
                <w:bCs/>
                <w:color w:val="FFFFFF" w:themeColor="background1"/>
                <w:sz w:val="20"/>
                <w:szCs w:val="20"/>
                <w:lang w:eastAsia="es-CR"/>
              </w:rPr>
              <w:t>nexo</w:t>
            </w:r>
          </w:p>
        </w:tc>
        <w:tc>
          <w:tcPr>
            <w:tcW w:w="3893" w:type="dxa"/>
            <w:shd w:val="clear" w:color="auto" w:fill="002060"/>
            <w:noWrap/>
            <w:vAlign w:val="center"/>
            <w:hideMark/>
          </w:tcPr>
          <w:p w14:paraId="1AD4E707" w14:textId="77777777"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Nombre</w:t>
            </w:r>
          </w:p>
        </w:tc>
        <w:tc>
          <w:tcPr>
            <w:tcW w:w="3835" w:type="dxa"/>
            <w:shd w:val="clear" w:color="auto" w:fill="002060"/>
            <w:noWrap/>
            <w:vAlign w:val="center"/>
            <w:hideMark/>
          </w:tcPr>
          <w:p w14:paraId="1AD4E708" w14:textId="77777777"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Documento</w:t>
            </w:r>
          </w:p>
        </w:tc>
      </w:tr>
      <w:tr w:rsidR="00C737A5" w:rsidRPr="00015673" w14:paraId="1AD4E711" w14:textId="77777777" w:rsidTr="009B71C9">
        <w:trPr>
          <w:trHeight w:val="1675"/>
          <w:jc w:val="center"/>
        </w:trPr>
        <w:tc>
          <w:tcPr>
            <w:tcW w:w="0" w:type="auto"/>
            <w:shd w:val="clear" w:color="auto" w:fill="FFFFFF" w:themeFill="background1"/>
            <w:noWrap/>
            <w:vAlign w:val="center"/>
            <w:hideMark/>
          </w:tcPr>
          <w:p w14:paraId="1AD4E70E" w14:textId="7CB6E626" w:rsidR="00C737A5" w:rsidRPr="006B14A6" w:rsidRDefault="0036551E" w:rsidP="009E73B0">
            <w:pPr>
              <w:spacing w:after="0" w:line="276" w:lineRule="auto"/>
              <w:jc w:val="center"/>
              <w:rPr>
                <w:rFonts w:ascii="Book Antiqua" w:eastAsia="Calibri" w:hAnsi="Book Antiqua" w:cs="Arial"/>
              </w:rPr>
            </w:pPr>
            <w:r w:rsidRPr="006B14A6">
              <w:rPr>
                <w:rFonts w:ascii="Book Antiqua" w:eastAsia="Calibri" w:hAnsi="Book Antiqua" w:cs="Arial"/>
              </w:rPr>
              <w:t xml:space="preserve">Anexo </w:t>
            </w:r>
            <w:r w:rsidR="00926179" w:rsidRPr="006B14A6">
              <w:rPr>
                <w:rFonts w:ascii="Book Antiqua" w:eastAsia="Calibri" w:hAnsi="Book Antiqua" w:cs="Arial"/>
              </w:rPr>
              <w:t>1</w:t>
            </w:r>
          </w:p>
        </w:tc>
        <w:tc>
          <w:tcPr>
            <w:tcW w:w="3893" w:type="dxa"/>
            <w:shd w:val="clear" w:color="auto" w:fill="FFFFFF" w:themeFill="background1"/>
            <w:vAlign w:val="center"/>
          </w:tcPr>
          <w:p w14:paraId="1AD4E70F" w14:textId="2BD73A93" w:rsidR="00C737A5" w:rsidRPr="003E0D53" w:rsidRDefault="000B3FC7" w:rsidP="00153198">
            <w:pPr>
              <w:spacing w:line="276" w:lineRule="auto"/>
              <w:jc w:val="both"/>
              <w:rPr>
                <w:rFonts w:ascii="Book Antiqua" w:hAnsi="Book Antiqua"/>
                <w:sz w:val="20"/>
                <w:szCs w:val="20"/>
              </w:rPr>
            </w:pPr>
            <w:r w:rsidRPr="0036551E">
              <w:rPr>
                <w:rFonts w:ascii="Book Antiqua" w:eastAsia="Calibri" w:hAnsi="Book Antiqua" w:cs="Arial"/>
              </w:rPr>
              <w:t>Diagramas de procesos materia Familia.</w:t>
            </w:r>
          </w:p>
        </w:tc>
        <w:bookmarkStart w:id="111" w:name="_MON_1708156085"/>
        <w:bookmarkEnd w:id="111"/>
        <w:tc>
          <w:tcPr>
            <w:tcW w:w="3835" w:type="dxa"/>
            <w:shd w:val="clear" w:color="auto" w:fill="FFFFFF" w:themeFill="background1"/>
            <w:noWrap/>
            <w:vAlign w:val="center"/>
          </w:tcPr>
          <w:p w14:paraId="1AD4E710" w14:textId="459BFE61" w:rsidR="005D6BD8" w:rsidRPr="003E0D53" w:rsidRDefault="005D6BD8" w:rsidP="003D7459">
            <w:pPr>
              <w:spacing w:line="276" w:lineRule="auto"/>
              <w:jc w:val="center"/>
              <w:rPr>
                <w:rFonts w:ascii="Book Antiqua" w:hAnsi="Book Antiqua"/>
                <w:sz w:val="20"/>
                <w:szCs w:val="20"/>
              </w:rPr>
            </w:pPr>
            <w:r>
              <w:rPr>
                <w:rFonts w:ascii="Book Antiqua" w:hAnsi="Book Antiqua"/>
                <w:sz w:val="20"/>
                <w:szCs w:val="20"/>
              </w:rPr>
              <w:object w:dxaOrig="1508" w:dyaOrig="984" w14:anchorId="3C2A80CD">
                <v:shape id="_x0000_i1027" type="#_x0000_t75" style="width:76.8pt;height:57pt" o:ole="">
                  <v:imagedata r:id="rId35" o:title=""/>
                </v:shape>
                <o:OLEObject Type="Embed" ProgID="Excel.Sheet.12" ShapeID="_x0000_i1027" DrawAspect="Icon" ObjectID="_1745989908" r:id="rId36"/>
              </w:object>
            </w:r>
          </w:p>
        </w:tc>
      </w:tr>
      <w:tr w:rsidR="000B3FC7" w:rsidRPr="00015673" w14:paraId="05003F3F" w14:textId="77777777" w:rsidTr="003E0D53">
        <w:trPr>
          <w:trHeight w:val="335"/>
          <w:jc w:val="center"/>
        </w:trPr>
        <w:tc>
          <w:tcPr>
            <w:tcW w:w="0" w:type="auto"/>
            <w:shd w:val="clear" w:color="auto" w:fill="auto"/>
            <w:noWrap/>
            <w:vAlign w:val="center"/>
          </w:tcPr>
          <w:p w14:paraId="79CB0D5D" w14:textId="01DAC9C7"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2</w:t>
            </w:r>
          </w:p>
        </w:tc>
        <w:tc>
          <w:tcPr>
            <w:tcW w:w="3893" w:type="dxa"/>
            <w:shd w:val="clear" w:color="auto" w:fill="auto"/>
            <w:vAlign w:val="center"/>
          </w:tcPr>
          <w:p w14:paraId="7DCCA457" w14:textId="270EFDD8" w:rsidR="000B3FC7" w:rsidRPr="003E0D53" w:rsidRDefault="000B3FC7" w:rsidP="000B3FC7">
            <w:pPr>
              <w:spacing w:line="276" w:lineRule="auto"/>
              <w:jc w:val="both"/>
              <w:rPr>
                <w:rFonts w:ascii="Book Antiqua" w:hAnsi="Book Antiqua"/>
                <w:sz w:val="20"/>
                <w:szCs w:val="20"/>
              </w:rPr>
            </w:pPr>
            <w:r w:rsidRPr="0036551E">
              <w:rPr>
                <w:rFonts w:ascii="Book Antiqua" w:eastAsia="Calibri" w:hAnsi="Book Antiqua" w:cs="Arial"/>
              </w:rPr>
              <w:t>Diagramas de proceso materia Familia desarrollado por La Comisión de la Jurisdicción Familia Niñez y Adolescencia.</w:t>
            </w:r>
          </w:p>
        </w:tc>
        <w:tc>
          <w:tcPr>
            <w:tcW w:w="3835" w:type="dxa"/>
            <w:shd w:val="clear" w:color="auto" w:fill="auto"/>
            <w:noWrap/>
            <w:vAlign w:val="center"/>
          </w:tcPr>
          <w:p w14:paraId="2EC98BAD" w14:textId="0B8C08BF" w:rsidR="005D6BD8" w:rsidRPr="003E0D53" w:rsidRDefault="005D6BD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12DEE1E0">
                <v:shape id="_x0000_i1028" type="#_x0000_t75" style="width:76.8pt;height:57pt" o:ole="">
                  <v:imagedata r:id="rId37" o:title=""/>
                </v:shape>
                <o:OLEObject Type="Embed" ProgID="Acrobat.Document.DC" ShapeID="_x0000_i1028" DrawAspect="Icon" ObjectID="_1745989909" r:id="rId38"/>
              </w:object>
            </w:r>
          </w:p>
        </w:tc>
      </w:tr>
      <w:tr w:rsidR="000B3FC7" w:rsidRPr="00015673" w14:paraId="017D938D" w14:textId="77777777" w:rsidTr="003E0D53">
        <w:trPr>
          <w:trHeight w:val="335"/>
          <w:jc w:val="center"/>
        </w:trPr>
        <w:tc>
          <w:tcPr>
            <w:tcW w:w="0" w:type="auto"/>
            <w:shd w:val="clear" w:color="auto" w:fill="auto"/>
            <w:noWrap/>
            <w:vAlign w:val="center"/>
          </w:tcPr>
          <w:p w14:paraId="7A099B1D" w14:textId="7E0133A4"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3</w:t>
            </w:r>
          </w:p>
        </w:tc>
        <w:tc>
          <w:tcPr>
            <w:tcW w:w="3893" w:type="dxa"/>
            <w:shd w:val="clear" w:color="auto" w:fill="auto"/>
            <w:vAlign w:val="center"/>
          </w:tcPr>
          <w:p w14:paraId="5D90942E" w14:textId="44FC17D2" w:rsidR="000B3FC7" w:rsidRPr="0036551E" w:rsidRDefault="000B3FC7" w:rsidP="000B3FC7">
            <w:pPr>
              <w:spacing w:line="276" w:lineRule="auto"/>
              <w:jc w:val="both"/>
              <w:rPr>
                <w:rFonts w:ascii="Book Antiqua" w:eastAsia="Calibri" w:hAnsi="Book Antiqua" w:cs="Arial"/>
              </w:rPr>
            </w:pPr>
            <w:r w:rsidRPr="0036551E">
              <w:rPr>
                <w:rFonts w:ascii="Book Antiqua" w:eastAsia="Calibri" w:hAnsi="Book Antiqua" w:cs="Arial"/>
              </w:rPr>
              <w:t>Diagrama procesos Familia con duración</w:t>
            </w:r>
          </w:p>
        </w:tc>
        <w:tc>
          <w:tcPr>
            <w:tcW w:w="3835" w:type="dxa"/>
            <w:shd w:val="clear" w:color="auto" w:fill="auto"/>
            <w:noWrap/>
            <w:vAlign w:val="center"/>
          </w:tcPr>
          <w:p w14:paraId="0E91913D" w14:textId="1E18E1BD" w:rsidR="000B3FC7" w:rsidRPr="003E0D53" w:rsidRDefault="005D6BD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6CAB77A9">
                <v:shape id="_x0000_i1029" type="#_x0000_t75" style="width:76.8pt;height:57pt" o:ole="">
                  <v:imagedata r:id="rId39" o:title=""/>
                </v:shape>
                <o:OLEObject Type="Embed" ProgID="Excel.Sheet.12" ShapeID="_x0000_i1029" DrawAspect="Icon" ObjectID="_1745989910" r:id="rId40"/>
              </w:object>
            </w:r>
          </w:p>
        </w:tc>
      </w:tr>
      <w:tr w:rsidR="000B3FC7" w:rsidRPr="00015673" w14:paraId="232D0648" w14:textId="77777777" w:rsidTr="003E0D53">
        <w:trPr>
          <w:trHeight w:val="335"/>
          <w:jc w:val="center"/>
        </w:trPr>
        <w:tc>
          <w:tcPr>
            <w:tcW w:w="0" w:type="auto"/>
            <w:shd w:val="clear" w:color="auto" w:fill="auto"/>
            <w:noWrap/>
            <w:vAlign w:val="center"/>
          </w:tcPr>
          <w:p w14:paraId="1125668C" w14:textId="38990B16"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4</w:t>
            </w:r>
          </w:p>
        </w:tc>
        <w:tc>
          <w:tcPr>
            <w:tcW w:w="3893" w:type="dxa"/>
            <w:shd w:val="clear" w:color="auto" w:fill="auto"/>
            <w:vAlign w:val="center"/>
          </w:tcPr>
          <w:p w14:paraId="62DBCA1F" w14:textId="3C5319E8" w:rsidR="000B3FC7" w:rsidRPr="0036551E" w:rsidRDefault="006A38F8" w:rsidP="000B3FC7">
            <w:pPr>
              <w:spacing w:line="276" w:lineRule="auto"/>
              <w:jc w:val="both"/>
              <w:rPr>
                <w:rFonts w:ascii="Book Antiqua" w:eastAsia="Calibri" w:hAnsi="Book Antiqua" w:cs="Arial"/>
              </w:rPr>
            </w:pPr>
            <w:r w:rsidRPr="006B14A6">
              <w:rPr>
                <w:rFonts w:ascii="Book Antiqua" w:eastAsia="Calibri" w:hAnsi="Book Antiqua" w:cs="Arial"/>
              </w:rPr>
              <w:t>Requerimiento DTI- mejora reparto por procedimiento</w:t>
            </w:r>
          </w:p>
        </w:tc>
        <w:tc>
          <w:tcPr>
            <w:tcW w:w="3835" w:type="dxa"/>
            <w:shd w:val="clear" w:color="auto" w:fill="auto"/>
            <w:noWrap/>
            <w:vAlign w:val="center"/>
          </w:tcPr>
          <w:p w14:paraId="24E5E91F" w14:textId="0FBC6328" w:rsidR="005D6BD8" w:rsidRPr="003E0D53" w:rsidRDefault="006A38F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4AA0A3E5">
                <v:shape id="_x0000_i1030" type="#_x0000_t75" style="width:76.8pt;height:57pt" o:ole="">
                  <v:imagedata r:id="rId41" o:title=""/>
                </v:shape>
                <o:OLEObject Type="Embed" ProgID="Acrobat.Document.DC" ShapeID="_x0000_i1030" DrawAspect="Icon" ObjectID="_1745989911" r:id="rId42"/>
              </w:object>
            </w:r>
          </w:p>
        </w:tc>
      </w:tr>
      <w:tr w:rsidR="000B3FC7" w:rsidRPr="00015673" w14:paraId="359D887A" w14:textId="77777777" w:rsidTr="003E0D53">
        <w:trPr>
          <w:trHeight w:val="335"/>
          <w:jc w:val="center"/>
        </w:trPr>
        <w:tc>
          <w:tcPr>
            <w:tcW w:w="0" w:type="auto"/>
            <w:shd w:val="clear" w:color="auto" w:fill="auto"/>
            <w:noWrap/>
            <w:vAlign w:val="center"/>
          </w:tcPr>
          <w:p w14:paraId="712C96D6" w14:textId="452CA7B0"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5</w:t>
            </w:r>
          </w:p>
        </w:tc>
        <w:tc>
          <w:tcPr>
            <w:tcW w:w="3893" w:type="dxa"/>
            <w:shd w:val="clear" w:color="auto" w:fill="auto"/>
            <w:vAlign w:val="center"/>
          </w:tcPr>
          <w:p w14:paraId="56A38049" w14:textId="4FF9FCD1" w:rsidR="000B3FC7" w:rsidRPr="0036551E" w:rsidRDefault="006A38F8" w:rsidP="000B3FC7">
            <w:pPr>
              <w:spacing w:line="276" w:lineRule="auto"/>
              <w:jc w:val="both"/>
              <w:rPr>
                <w:rFonts w:ascii="Book Antiqua" w:eastAsia="Calibri" w:hAnsi="Book Antiqua" w:cs="Arial"/>
              </w:rPr>
            </w:pPr>
            <w:r w:rsidRPr="006B14A6">
              <w:rPr>
                <w:rFonts w:ascii="Book Antiqua" w:eastAsia="Calibri" w:hAnsi="Book Antiqua" w:cs="Arial"/>
              </w:rPr>
              <w:t>Correo del Departamento de Trabajo Social y Psicología-Circular 29-2020</w:t>
            </w:r>
          </w:p>
        </w:tc>
        <w:tc>
          <w:tcPr>
            <w:tcW w:w="3835" w:type="dxa"/>
            <w:shd w:val="clear" w:color="auto" w:fill="auto"/>
            <w:noWrap/>
            <w:vAlign w:val="center"/>
          </w:tcPr>
          <w:p w14:paraId="597D43C3" w14:textId="6F3ADF1B" w:rsidR="000B3FC7" w:rsidRPr="003E0D53" w:rsidRDefault="006A38F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402043C3">
                <v:shape id="_x0000_i1031" type="#_x0000_t75" style="width:76.8pt;height:57pt" o:ole="">
                  <v:imagedata r:id="rId43" o:title=""/>
                </v:shape>
                <o:OLEObject Type="Embed" ProgID="Acrobat.Document.DC" ShapeID="_x0000_i1031" DrawAspect="Icon" ObjectID="_1745989912" r:id="rId44"/>
              </w:object>
            </w:r>
          </w:p>
        </w:tc>
      </w:tr>
      <w:tr w:rsidR="006A38F8" w:rsidRPr="00015673" w14:paraId="2250D356" w14:textId="77777777" w:rsidTr="003E0D53">
        <w:trPr>
          <w:trHeight w:val="335"/>
          <w:jc w:val="center"/>
        </w:trPr>
        <w:tc>
          <w:tcPr>
            <w:tcW w:w="0" w:type="auto"/>
            <w:shd w:val="clear" w:color="auto" w:fill="auto"/>
            <w:noWrap/>
            <w:vAlign w:val="center"/>
          </w:tcPr>
          <w:p w14:paraId="37FBC8F0" w14:textId="32941401" w:rsidR="006A38F8" w:rsidRPr="006B14A6" w:rsidRDefault="006A38F8" w:rsidP="006A38F8">
            <w:pPr>
              <w:spacing w:after="0" w:line="276" w:lineRule="auto"/>
              <w:jc w:val="center"/>
              <w:rPr>
                <w:rFonts w:ascii="Book Antiqua" w:eastAsia="Calibri" w:hAnsi="Book Antiqua" w:cs="Arial"/>
              </w:rPr>
            </w:pPr>
            <w:r w:rsidRPr="006B14A6">
              <w:rPr>
                <w:rFonts w:ascii="Book Antiqua" w:eastAsia="Calibri" w:hAnsi="Book Antiqua" w:cs="Arial"/>
              </w:rPr>
              <w:t xml:space="preserve">Anexo </w:t>
            </w:r>
            <w:r w:rsidR="0016612A">
              <w:rPr>
                <w:rFonts w:ascii="Book Antiqua" w:eastAsia="Calibri" w:hAnsi="Book Antiqua" w:cs="Arial"/>
              </w:rPr>
              <w:t>6</w:t>
            </w:r>
          </w:p>
        </w:tc>
        <w:tc>
          <w:tcPr>
            <w:tcW w:w="3893" w:type="dxa"/>
            <w:shd w:val="clear" w:color="auto" w:fill="auto"/>
            <w:vAlign w:val="center"/>
          </w:tcPr>
          <w:p w14:paraId="515872E2" w14:textId="0E293DFA"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Circular 0</w:t>
            </w:r>
            <w:r w:rsidR="00C16F42">
              <w:rPr>
                <w:rFonts w:ascii="Book Antiqua" w:eastAsia="Calibri" w:hAnsi="Book Antiqua" w:cs="Arial"/>
              </w:rPr>
              <w:t>2</w:t>
            </w:r>
            <w:r w:rsidRPr="006B14A6">
              <w:rPr>
                <w:rFonts w:ascii="Book Antiqua" w:eastAsia="Calibri" w:hAnsi="Book Antiqua" w:cs="Arial"/>
              </w:rPr>
              <w:t>-201</w:t>
            </w:r>
            <w:r w:rsidR="00C16F42">
              <w:rPr>
                <w:rFonts w:ascii="Book Antiqua" w:eastAsia="Calibri" w:hAnsi="Book Antiqua" w:cs="Arial"/>
              </w:rPr>
              <w:t>23</w:t>
            </w:r>
            <w:r w:rsidRPr="006B14A6">
              <w:rPr>
                <w:rFonts w:ascii="Book Antiqua" w:eastAsia="Calibri" w:hAnsi="Book Antiqua" w:cs="Arial"/>
              </w:rPr>
              <w:t>-DTSP del Departamento de Trabajo Social y Psicología</w:t>
            </w:r>
          </w:p>
        </w:tc>
        <w:tc>
          <w:tcPr>
            <w:tcW w:w="3835" w:type="dxa"/>
            <w:shd w:val="clear" w:color="auto" w:fill="auto"/>
            <w:noWrap/>
            <w:vAlign w:val="center"/>
          </w:tcPr>
          <w:p w14:paraId="493C1DD2" w14:textId="1B22DE08" w:rsidR="006A38F8" w:rsidRPr="003E0D53" w:rsidRDefault="00C16F4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3ACA629">
                <v:shape id="_x0000_i1032" type="#_x0000_t75" style="width:76.8pt;height:52.2pt" o:ole="">
                  <v:imagedata r:id="rId45" o:title=""/>
                </v:shape>
                <o:OLEObject Type="Embed" ProgID="Acrobat.Document.DC" ShapeID="_x0000_i1032" DrawAspect="Icon" ObjectID="_1745989913" r:id="rId46"/>
              </w:object>
            </w:r>
          </w:p>
        </w:tc>
      </w:tr>
      <w:tr w:rsidR="006A38F8" w:rsidRPr="00015673" w14:paraId="583ED982" w14:textId="77777777" w:rsidTr="003E0D53">
        <w:trPr>
          <w:trHeight w:val="335"/>
          <w:jc w:val="center"/>
        </w:trPr>
        <w:tc>
          <w:tcPr>
            <w:tcW w:w="0" w:type="auto"/>
            <w:shd w:val="clear" w:color="auto" w:fill="auto"/>
            <w:noWrap/>
            <w:vAlign w:val="center"/>
          </w:tcPr>
          <w:p w14:paraId="11939BB3" w14:textId="6BC30520" w:rsidR="006A38F8" w:rsidRPr="006B14A6" w:rsidRDefault="006A38F8" w:rsidP="006A38F8">
            <w:pPr>
              <w:spacing w:after="0" w:line="276" w:lineRule="auto"/>
              <w:jc w:val="center"/>
              <w:rPr>
                <w:rFonts w:ascii="Book Antiqua" w:eastAsia="Calibri" w:hAnsi="Book Antiqua" w:cs="Arial"/>
              </w:rPr>
            </w:pPr>
            <w:r>
              <w:rPr>
                <w:rFonts w:ascii="Book Antiqua" w:eastAsia="Calibri" w:hAnsi="Book Antiqua" w:cs="Arial"/>
              </w:rPr>
              <w:t>Anexo 7</w:t>
            </w:r>
          </w:p>
        </w:tc>
        <w:tc>
          <w:tcPr>
            <w:tcW w:w="3893" w:type="dxa"/>
            <w:shd w:val="clear" w:color="auto" w:fill="auto"/>
            <w:vAlign w:val="center"/>
          </w:tcPr>
          <w:p w14:paraId="66C8DF8B" w14:textId="138D6127" w:rsidR="006A38F8" w:rsidRPr="006B14A6" w:rsidRDefault="00865B8B" w:rsidP="006A38F8">
            <w:pPr>
              <w:spacing w:line="276" w:lineRule="auto"/>
              <w:jc w:val="both"/>
              <w:rPr>
                <w:rFonts w:ascii="Book Antiqua" w:eastAsia="Calibri" w:hAnsi="Book Antiqua" w:cs="Arial"/>
              </w:rPr>
            </w:pPr>
            <w:r>
              <w:rPr>
                <w:rFonts w:ascii="Book Antiqua" w:eastAsia="Calibri" w:hAnsi="Book Antiqua" w:cs="Arial"/>
              </w:rPr>
              <w:t>Correo Departamento de Trabajo Social y Psicología</w:t>
            </w:r>
          </w:p>
        </w:tc>
        <w:tc>
          <w:tcPr>
            <w:tcW w:w="3835" w:type="dxa"/>
            <w:shd w:val="clear" w:color="auto" w:fill="auto"/>
            <w:noWrap/>
            <w:vAlign w:val="center"/>
          </w:tcPr>
          <w:p w14:paraId="4334B635" w14:textId="1AD8598A" w:rsidR="006A38F8" w:rsidRPr="003E0D53" w:rsidRDefault="00071761"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78EFD361">
                <v:shape id="_x0000_i1033" type="#_x0000_t75" style="width:76.8pt;height:52.2pt" o:ole="">
                  <v:imagedata r:id="rId47" o:title=""/>
                </v:shape>
                <o:OLEObject Type="Embed" ProgID="Package" ShapeID="_x0000_i1033" DrawAspect="Icon" ObjectID="_1745989914" r:id="rId48"/>
              </w:object>
            </w:r>
          </w:p>
        </w:tc>
      </w:tr>
      <w:tr w:rsidR="007E0DBC" w:rsidRPr="00015673" w14:paraId="41388AAF" w14:textId="77777777" w:rsidTr="003E0D53">
        <w:trPr>
          <w:trHeight w:val="335"/>
          <w:jc w:val="center"/>
        </w:trPr>
        <w:tc>
          <w:tcPr>
            <w:tcW w:w="0" w:type="auto"/>
            <w:shd w:val="clear" w:color="auto" w:fill="auto"/>
            <w:noWrap/>
            <w:vAlign w:val="center"/>
          </w:tcPr>
          <w:p w14:paraId="05BE94D6" w14:textId="64862895" w:rsidR="007E0DBC" w:rsidRDefault="007E0DBC"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861846">
              <w:rPr>
                <w:rFonts w:ascii="Book Antiqua" w:eastAsia="Calibri" w:hAnsi="Book Antiqua" w:cs="Arial"/>
              </w:rPr>
              <w:t>8</w:t>
            </w:r>
          </w:p>
        </w:tc>
        <w:tc>
          <w:tcPr>
            <w:tcW w:w="3893" w:type="dxa"/>
            <w:shd w:val="clear" w:color="auto" w:fill="auto"/>
            <w:vAlign w:val="center"/>
          </w:tcPr>
          <w:p w14:paraId="7B6093B4" w14:textId="1DEC06E8" w:rsidR="007E0DBC" w:rsidRDefault="007E0DBC" w:rsidP="006A38F8">
            <w:pPr>
              <w:spacing w:line="276" w:lineRule="auto"/>
              <w:jc w:val="both"/>
              <w:rPr>
                <w:rFonts w:ascii="Book Antiqua" w:eastAsia="Calibri" w:hAnsi="Book Antiqua" w:cs="Arial"/>
              </w:rPr>
            </w:pPr>
            <w:r>
              <w:rPr>
                <w:rFonts w:ascii="Book Antiqua" w:eastAsia="Calibri" w:hAnsi="Book Antiqua" w:cs="Arial"/>
              </w:rPr>
              <w:t>Correo electrónico de la MSc. Alba Gutiérrez Villalobos, del DTSP</w:t>
            </w:r>
          </w:p>
        </w:tc>
        <w:tc>
          <w:tcPr>
            <w:tcW w:w="3835" w:type="dxa"/>
            <w:shd w:val="clear" w:color="auto" w:fill="auto"/>
            <w:noWrap/>
            <w:vAlign w:val="center"/>
          </w:tcPr>
          <w:p w14:paraId="430F68E9" w14:textId="4E1F3FD2" w:rsidR="007E0DBC" w:rsidRDefault="007E0DBC"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7A4F4537">
                <v:shape id="_x0000_i1034" type="#_x0000_t75" style="width:76.8pt;height:46.2pt" o:ole="">
                  <v:imagedata r:id="rId49" o:title=""/>
                </v:shape>
                <o:OLEObject Type="Embed" ProgID="Package" ShapeID="_x0000_i1034" DrawAspect="Icon" ObjectID="_1745989915" r:id="rId50"/>
              </w:object>
            </w:r>
          </w:p>
        </w:tc>
      </w:tr>
      <w:tr w:rsidR="006A38F8" w:rsidRPr="00015673" w14:paraId="7C9815C2" w14:textId="77777777" w:rsidTr="003E0D53">
        <w:trPr>
          <w:trHeight w:val="335"/>
          <w:jc w:val="center"/>
        </w:trPr>
        <w:tc>
          <w:tcPr>
            <w:tcW w:w="0" w:type="auto"/>
            <w:shd w:val="clear" w:color="auto" w:fill="auto"/>
            <w:noWrap/>
            <w:vAlign w:val="center"/>
          </w:tcPr>
          <w:p w14:paraId="2B0DA38A" w14:textId="24CD1209" w:rsidR="006A38F8" w:rsidRDefault="006A38F8" w:rsidP="006A38F8">
            <w:pPr>
              <w:spacing w:after="0" w:line="276" w:lineRule="auto"/>
              <w:jc w:val="center"/>
              <w:rPr>
                <w:rFonts w:ascii="Book Antiqua" w:eastAsia="Calibri" w:hAnsi="Book Antiqua" w:cs="Arial"/>
              </w:rPr>
            </w:pPr>
            <w:r w:rsidRPr="00861846">
              <w:rPr>
                <w:rFonts w:ascii="Book Antiqua" w:eastAsia="Calibri" w:hAnsi="Book Antiqua" w:cs="Arial"/>
              </w:rPr>
              <w:t xml:space="preserve">Anexo </w:t>
            </w:r>
            <w:r w:rsidR="00576B9C" w:rsidRPr="00861846">
              <w:rPr>
                <w:rFonts w:ascii="Book Antiqua" w:eastAsia="Calibri" w:hAnsi="Book Antiqua" w:cs="Arial"/>
              </w:rPr>
              <w:t>9</w:t>
            </w:r>
          </w:p>
        </w:tc>
        <w:tc>
          <w:tcPr>
            <w:tcW w:w="3893" w:type="dxa"/>
            <w:shd w:val="clear" w:color="auto" w:fill="auto"/>
            <w:vAlign w:val="center"/>
          </w:tcPr>
          <w:p w14:paraId="4547AE43" w14:textId="0C7DCC22" w:rsidR="006A38F8" w:rsidRPr="006B14A6" w:rsidRDefault="00865B8B" w:rsidP="006A38F8">
            <w:pPr>
              <w:spacing w:line="276" w:lineRule="auto"/>
              <w:jc w:val="both"/>
              <w:rPr>
                <w:rFonts w:ascii="Book Antiqua" w:eastAsia="Calibri" w:hAnsi="Book Antiqua" w:cs="Arial"/>
              </w:rPr>
            </w:pPr>
            <w:r>
              <w:rPr>
                <w:rFonts w:ascii="Book Antiqua" w:eastAsia="Calibri" w:hAnsi="Book Antiqua" w:cs="Arial"/>
              </w:rPr>
              <w:t>Minuta 49-PLA-MI-MNTA-2021 DTSP sesión de trabajo 29-1-21</w:t>
            </w:r>
          </w:p>
        </w:tc>
        <w:tc>
          <w:tcPr>
            <w:tcW w:w="3835" w:type="dxa"/>
            <w:shd w:val="clear" w:color="auto" w:fill="auto"/>
            <w:noWrap/>
            <w:vAlign w:val="center"/>
          </w:tcPr>
          <w:p w14:paraId="69F524F7" w14:textId="24A76AC3" w:rsidR="006A38F8" w:rsidRPr="003E0D53" w:rsidRDefault="001A76E5"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4C6D5B9">
                <v:shape id="_x0000_i1035" type="#_x0000_t75" style="width:76.8pt;height:52.2pt" o:ole="">
                  <v:imagedata r:id="rId51" o:title=""/>
                </v:shape>
                <o:OLEObject Type="Embed" ProgID="Acrobat.Document.DC" ShapeID="_x0000_i1035" DrawAspect="Icon" ObjectID="_1745989916" r:id="rId52"/>
              </w:object>
            </w:r>
          </w:p>
        </w:tc>
      </w:tr>
      <w:tr w:rsidR="006A38F8" w:rsidRPr="00015673" w14:paraId="372FA641" w14:textId="77777777" w:rsidTr="003E0D53">
        <w:trPr>
          <w:trHeight w:val="335"/>
          <w:jc w:val="center"/>
        </w:trPr>
        <w:tc>
          <w:tcPr>
            <w:tcW w:w="0" w:type="auto"/>
            <w:shd w:val="clear" w:color="auto" w:fill="auto"/>
            <w:noWrap/>
            <w:vAlign w:val="center"/>
          </w:tcPr>
          <w:p w14:paraId="340CCD0B" w14:textId="6418E957"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576B9C">
              <w:rPr>
                <w:rFonts w:ascii="Book Antiqua" w:eastAsia="Calibri" w:hAnsi="Book Antiqua" w:cs="Arial"/>
              </w:rPr>
              <w:t>10</w:t>
            </w:r>
          </w:p>
        </w:tc>
        <w:tc>
          <w:tcPr>
            <w:tcW w:w="3893" w:type="dxa"/>
            <w:shd w:val="clear" w:color="auto" w:fill="auto"/>
            <w:vAlign w:val="center"/>
          </w:tcPr>
          <w:p w14:paraId="6A22F529" w14:textId="2C9887BB"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Entregable 3.9. Informe de la Implantación de EV y mejoras a nivel de sistemas para CPF</w:t>
            </w:r>
          </w:p>
        </w:tc>
        <w:tc>
          <w:tcPr>
            <w:tcW w:w="3835" w:type="dxa"/>
            <w:shd w:val="clear" w:color="auto" w:fill="auto"/>
            <w:noWrap/>
            <w:vAlign w:val="center"/>
          </w:tcPr>
          <w:p w14:paraId="5A2421C0" w14:textId="1584C655"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1B95CB5">
                <v:shape id="_x0000_i1036" type="#_x0000_t75" style="width:76.8pt;height:57pt" o:ole="">
                  <v:imagedata r:id="rId53" o:title=""/>
                </v:shape>
                <o:OLEObject Type="Embed" ProgID="Acrobat.Document.DC" ShapeID="_x0000_i1036" DrawAspect="Icon" ObjectID="_1745989917" r:id="rId54"/>
              </w:object>
            </w:r>
          </w:p>
        </w:tc>
      </w:tr>
      <w:tr w:rsidR="006A38F8" w:rsidRPr="00015673" w14:paraId="2FE6BB8B" w14:textId="77777777" w:rsidTr="003E0D53">
        <w:trPr>
          <w:trHeight w:val="335"/>
          <w:jc w:val="center"/>
        </w:trPr>
        <w:tc>
          <w:tcPr>
            <w:tcW w:w="0" w:type="auto"/>
            <w:shd w:val="clear" w:color="auto" w:fill="auto"/>
            <w:noWrap/>
            <w:vAlign w:val="center"/>
          </w:tcPr>
          <w:p w14:paraId="0B138A79" w14:textId="6BB28C98"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74146B">
              <w:rPr>
                <w:rFonts w:ascii="Book Antiqua" w:eastAsia="Calibri" w:hAnsi="Book Antiqua" w:cs="Arial"/>
              </w:rPr>
              <w:t>11</w:t>
            </w:r>
          </w:p>
        </w:tc>
        <w:tc>
          <w:tcPr>
            <w:tcW w:w="3893" w:type="dxa"/>
            <w:shd w:val="clear" w:color="auto" w:fill="auto"/>
            <w:vAlign w:val="center"/>
          </w:tcPr>
          <w:p w14:paraId="07B3FA82" w14:textId="39C9B43A"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Circular 223-20</w:t>
            </w:r>
          </w:p>
        </w:tc>
        <w:tc>
          <w:tcPr>
            <w:tcW w:w="3835" w:type="dxa"/>
            <w:shd w:val="clear" w:color="auto" w:fill="auto"/>
            <w:noWrap/>
            <w:vAlign w:val="center"/>
          </w:tcPr>
          <w:p w14:paraId="1E9E09B2" w14:textId="45E3241A"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35ECDCA7">
                <v:shape id="_x0000_i1037" type="#_x0000_t75" style="width:76.8pt;height:57pt" o:ole="">
                  <v:imagedata r:id="rId55" o:title=""/>
                </v:shape>
                <o:OLEObject Type="Embed" ProgID="Acrobat.Document.DC" ShapeID="_x0000_i1037" DrawAspect="Icon" ObjectID="_1745989918" r:id="rId56"/>
              </w:object>
            </w:r>
          </w:p>
        </w:tc>
      </w:tr>
      <w:tr w:rsidR="006A38F8" w:rsidRPr="00015673" w14:paraId="7EA4630B" w14:textId="77777777" w:rsidTr="003E0D53">
        <w:trPr>
          <w:trHeight w:val="335"/>
          <w:jc w:val="center"/>
        </w:trPr>
        <w:tc>
          <w:tcPr>
            <w:tcW w:w="0" w:type="auto"/>
            <w:shd w:val="clear" w:color="auto" w:fill="auto"/>
            <w:noWrap/>
            <w:vAlign w:val="center"/>
          </w:tcPr>
          <w:p w14:paraId="775DD2C3" w14:textId="5D858D14"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74146B">
              <w:rPr>
                <w:rFonts w:ascii="Book Antiqua" w:eastAsia="Calibri" w:hAnsi="Book Antiqua" w:cs="Arial"/>
              </w:rPr>
              <w:t>12</w:t>
            </w:r>
          </w:p>
        </w:tc>
        <w:tc>
          <w:tcPr>
            <w:tcW w:w="3893" w:type="dxa"/>
            <w:shd w:val="clear" w:color="auto" w:fill="auto"/>
            <w:vAlign w:val="center"/>
          </w:tcPr>
          <w:p w14:paraId="656B7F12" w14:textId="7DB4E373"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Oficio 2374-DTI-2020</w:t>
            </w:r>
          </w:p>
        </w:tc>
        <w:bookmarkStart w:id="112" w:name="_MON_1708157640"/>
        <w:bookmarkEnd w:id="112"/>
        <w:tc>
          <w:tcPr>
            <w:tcW w:w="3835" w:type="dxa"/>
            <w:shd w:val="clear" w:color="auto" w:fill="auto"/>
            <w:noWrap/>
            <w:vAlign w:val="center"/>
          </w:tcPr>
          <w:p w14:paraId="67F6B5AC" w14:textId="36C22484"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50FFAEE6">
                <v:shape id="_x0000_i1038" type="#_x0000_t75" style="width:76.8pt;height:57pt" o:ole="">
                  <v:imagedata r:id="rId57" o:title=""/>
                </v:shape>
                <o:OLEObject Type="Embed" ProgID="Word.Document.8" ShapeID="_x0000_i1038" DrawAspect="Icon" ObjectID="_1745989919" r:id="rId58">
                  <o:FieldCodes>\s</o:FieldCodes>
                </o:OLEObject>
              </w:object>
            </w:r>
          </w:p>
        </w:tc>
      </w:tr>
      <w:tr w:rsidR="006A38F8" w:rsidRPr="00015673" w14:paraId="355D9D1A" w14:textId="77777777" w:rsidTr="003E0D53">
        <w:trPr>
          <w:trHeight w:val="335"/>
          <w:jc w:val="center"/>
        </w:trPr>
        <w:tc>
          <w:tcPr>
            <w:tcW w:w="0" w:type="auto"/>
            <w:shd w:val="clear" w:color="auto" w:fill="auto"/>
            <w:noWrap/>
            <w:vAlign w:val="center"/>
          </w:tcPr>
          <w:p w14:paraId="10E5816B" w14:textId="4F283B14"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151A76">
              <w:rPr>
                <w:rFonts w:ascii="Book Antiqua" w:eastAsia="Calibri" w:hAnsi="Book Antiqua" w:cs="Arial"/>
              </w:rPr>
              <w:t>13</w:t>
            </w:r>
          </w:p>
        </w:tc>
        <w:tc>
          <w:tcPr>
            <w:tcW w:w="3893" w:type="dxa"/>
            <w:shd w:val="clear" w:color="auto" w:fill="auto"/>
            <w:vAlign w:val="center"/>
          </w:tcPr>
          <w:p w14:paraId="4FA29E97" w14:textId="4D779E66" w:rsidR="006A38F8" w:rsidRPr="006B14A6" w:rsidRDefault="006A38F8" w:rsidP="006A38F8">
            <w:pPr>
              <w:spacing w:line="276" w:lineRule="auto"/>
              <w:jc w:val="both"/>
              <w:rPr>
                <w:rFonts w:ascii="Book Antiqua" w:eastAsia="Calibri" w:hAnsi="Book Antiqua" w:cs="Arial"/>
              </w:rPr>
            </w:pPr>
            <w:r w:rsidRPr="00A729AC">
              <w:rPr>
                <w:rFonts w:ascii="Book Antiqua" w:eastAsia="Calibri" w:hAnsi="Book Antiqua" w:cs="Arial"/>
              </w:rPr>
              <w:t>Circular 7-2021</w:t>
            </w:r>
          </w:p>
        </w:tc>
        <w:tc>
          <w:tcPr>
            <w:tcW w:w="3835" w:type="dxa"/>
            <w:shd w:val="clear" w:color="auto" w:fill="auto"/>
            <w:noWrap/>
            <w:vAlign w:val="center"/>
          </w:tcPr>
          <w:p w14:paraId="2CAAF3F4" w14:textId="45B7744F" w:rsidR="006A38F8" w:rsidRPr="003E0D53" w:rsidRDefault="00151A76"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6B04C46">
                <v:shape id="_x0000_i1039" type="#_x0000_t75" style="width:76.8pt;height:52.2pt" o:ole="">
                  <v:imagedata r:id="rId59" o:title=""/>
                </v:shape>
                <o:OLEObject Type="Embed" ProgID="Acrobat.Document.DC" ShapeID="_x0000_i1039" DrawAspect="Icon" ObjectID="_1745989920" r:id="rId60"/>
              </w:object>
            </w:r>
          </w:p>
        </w:tc>
      </w:tr>
      <w:tr w:rsidR="006A38F8" w:rsidRPr="00015673" w14:paraId="22BC3F01" w14:textId="77777777" w:rsidTr="00A729AC">
        <w:trPr>
          <w:trHeight w:val="335"/>
          <w:jc w:val="center"/>
        </w:trPr>
        <w:tc>
          <w:tcPr>
            <w:tcW w:w="0" w:type="auto"/>
            <w:shd w:val="clear" w:color="auto" w:fill="FFFFFF" w:themeFill="background1"/>
            <w:noWrap/>
            <w:vAlign w:val="center"/>
          </w:tcPr>
          <w:p w14:paraId="5935AF54" w14:textId="02C05FFE" w:rsidR="006A38F8" w:rsidRPr="00A729AC" w:rsidRDefault="006A38F8" w:rsidP="006A38F8">
            <w:pPr>
              <w:spacing w:after="0" w:line="276" w:lineRule="auto"/>
              <w:jc w:val="center"/>
              <w:rPr>
                <w:rFonts w:ascii="Book Antiqua" w:eastAsia="Calibri" w:hAnsi="Book Antiqua" w:cs="Arial"/>
              </w:rPr>
            </w:pPr>
            <w:r w:rsidRPr="00A729AC">
              <w:rPr>
                <w:rFonts w:ascii="Book Antiqua" w:eastAsia="Calibri" w:hAnsi="Book Antiqua" w:cs="Arial"/>
              </w:rPr>
              <w:t xml:space="preserve">Anexo </w:t>
            </w:r>
            <w:r w:rsidR="00217D4F" w:rsidRPr="00A729AC">
              <w:rPr>
                <w:rFonts w:ascii="Book Antiqua" w:eastAsia="Calibri" w:hAnsi="Book Antiqua" w:cs="Arial"/>
              </w:rPr>
              <w:t>1</w:t>
            </w:r>
            <w:r w:rsidR="00217D4F">
              <w:rPr>
                <w:rFonts w:ascii="Book Antiqua" w:eastAsia="Calibri" w:hAnsi="Book Antiqua" w:cs="Arial"/>
              </w:rPr>
              <w:t>4</w:t>
            </w:r>
          </w:p>
        </w:tc>
        <w:tc>
          <w:tcPr>
            <w:tcW w:w="3893" w:type="dxa"/>
            <w:shd w:val="clear" w:color="auto" w:fill="FFFFFF" w:themeFill="background1"/>
            <w:vAlign w:val="center"/>
          </w:tcPr>
          <w:p w14:paraId="7B93FC15" w14:textId="49DC6737" w:rsidR="006A38F8" w:rsidRPr="00A729AC" w:rsidRDefault="006A38F8" w:rsidP="006A38F8">
            <w:pPr>
              <w:spacing w:line="276" w:lineRule="auto"/>
              <w:jc w:val="both"/>
              <w:rPr>
                <w:rFonts w:ascii="Book Antiqua" w:eastAsia="Calibri" w:hAnsi="Book Antiqua" w:cs="Arial"/>
              </w:rPr>
            </w:pPr>
            <w:r w:rsidRPr="00A729AC">
              <w:rPr>
                <w:rFonts w:ascii="Book Antiqua" w:eastAsia="Calibri" w:hAnsi="Book Antiqua" w:cs="Arial"/>
              </w:rPr>
              <w:t>Circular 260-2020</w:t>
            </w:r>
          </w:p>
        </w:tc>
        <w:tc>
          <w:tcPr>
            <w:tcW w:w="3835" w:type="dxa"/>
            <w:shd w:val="clear" w:color="auto" w:fill="FFFFFF" w:themeFill="background1"/>
            <w:noWrap/>
            <w:vAlign w:val="center"/>
          </w:tcPr>
          <w:p w14:paraId="773AB846" w14:textId="6C420F7C" w:rsidR="006A38F8" w:rsidRPr="00A729AC" w:rsidRDefault="006A38F8" w:rsidP="006A38F8">
            <w:pPr>
              <w:spacing w:line="276" w:lineRule="auto"/>
              <w:jc w:val="center"/>
              <w:rPr>
                <w:rFonts w:ascii="Book Antiqua" w:hAnsi="Book Antiqua"/>
                <w:sz w:val="20"/>
                <w:szCs w:val="20"/>
              </w:rPr>
            </w:pPr>
            <w:r w:rsidRPr="00A729AC">
              <w:rPr>
                <w:rFonts w:ascii="Book Antiqua" w:hAnsi="Book Antiqua"/>
                <w:sz w:val="20"/>
                <w:szCs w:val="20"/>
              </w:rPr>
              <w:object w:dxaOrig="1508" w:dyaOrig="984" w14:anchorId="3D58F811">
                <v:shape id="_x0000_i1040" type="#_x0000_t75" style="width:76.8pt;height:57pt" o:ole="">
                  <v:imagedata r:id="rId61" o:title=""/>
                </v:shape>
                <o:OLEObject Type="Embed" ProgID="Acrobat.Document.DC" ShapeID="_x0000_i1040" DrawAspect="Icon" ObjectID="_1745989921" r:id="rId62"/>
              </w:object>
            </w:r>
          </w:p>
        </w:tc>
      </w:tr>
      <w:tr w:rsidR="006A38F8" w:rsidRPr="00015673" w14:paraId="0FE0916F" w14:textId="77777777" w:rsidTr="003E0D53">
        <w:trPr>
          <w:trHeight w:val="335"/>
          <w:jc w:val="center"/>
        </w:trPr>
        <w:tc>
          <w:tcPr>
            <w:tcW w:w="0" w:type="auto"/>
            <w:shd w:val="clear" w:color="auto" w:fill="auto"/>
            <w:noWrap/>
            <w:vAlign w:val="center"/>
          </w:tcPr>
          <w:p w14:paraId="347A28A7" w14:textId="550ACDB1"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15</w:t>
            </w:r>
          </w:p>
        </w:tc>
        <w:tc>
          <w:tcPr>
            <w:tcW w:w="3893" w:type="dxa"/>
            <w:shd w:val="clear" w:color="auto" w:fill="auto"/>
            <w:vAlign w:val="center"/>
          </w:tcPr>
          <w:p w14:paraId="4D766F06" w14:textId="57031686" w:rsidR="006A38F8" w:rsidRPr="006B14A6" w:rsidRDefault="006A38F8" w:rsidP="006A38F8">
            <w:pPr>
              <w:spacing w:line="276" w:lineRule="auto"/>
              <w:jc w:val="both"/>
              <w:rPr>
                <w:rFonts w:ascii="Book Antiqua" w:eastAsia="Calibri" w:hAnsi="Book Antiqua" w:cs="Arial"/>
              </w:rPr>
            </w:pPr>
            <w:r>
              <w:rPr>
                <w:rFonts w:ascii="Book Antiqua" w:eastAsia="Calibri" w:hAnsi="Book Antiqua" w:cs="Arial"/>
              </w:rPr>
              <w:t>Circular 244-2021</w:t>
            </w:r>
          </w:p>
        </w:tc>
        <w:tc>
          <w:tcPr>
            <w:tcW w:w="3835" w:type="dxa"/>
            <w:shd w:val="clear" w:color="auto" w:fill="auto"/>
            <w:noWrap/>
            <w:vAlign w:val="center"/>
          </w:tcPr>
          <w:p w14:paraId="538E29A5" w14:textId="7CA8A48D" w:rsidR="006A38F8"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CBDA9F5">
                <v:shape id="_x0000_i1041" type="#_x0000_t75" style="width:76.8pt;height:57pt" o:ole="">
                  <v:imagedata r:id="rId63" o:title=""/>
                </v:shape>
                <o:OLEObject Type="Embed" ProgID="Acrobat.Document.DC" ShapeID="_x0000_i1041" DrawAspect="Icon" ObjectID="_1745989922" r:id="rId64"/>
              </w:object>
            </w:r>
          </w:p>
        </w:tc>
      </w:tr>
      <w:tr w:rsidR="006A38F8" w:rsidRPr="00015673" w14:paraId="42903AC3" w14:textId="77777777" w:rsidTr="003E0D53">
        <w:trPr>
          <w:trHeight w:val="335"/>
          <w:jc w:val="center"/>
        </w:trPr>
        <w:tc>
          <w:tcPr>
            <w:tcW w:w="0" w:type="auto"/>
            <w:shd w:val="clear" w:color="auto" w:fill="auto"/>
            <w:noWrap/>
            <w:vAlign w:val="center"/>
          </w:tcPr>
          <w:p w14:paraId="45C42F50" w14:textId="5AFCEF00"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16</w:t>
            </w:r>
          </w:p>
        </w:tc>
        <w:tc>
          <w:tcPr>
            <w:tcW w:w="3893" w:type="dxa"/>
            <w:shd w:val="clear" w:color="auto" w:fill="auto"/>
            <w:vAlign w:val="center"/>
          </w:tcPr>
          <w:p w14:paraId="1257E82E" w14:textId="5B57B7AD"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Detalle de cantidad de casos que se desjudicializan con el CPF.</w:t>
            </w:r>
          </w:p>
        </w:tc>
        <w:tc>
          <w:tcPr>
            <w:tcW w:w="3835" w:type="dxa"/>
            <w:shd w:val="clear" w:color="auto" w:fill="auto"/>
            <w:noWrap/>
            <w:vAlign w:val="center"/>
          </w:tcPr>
          <w:p w14:paraId="5172F790" w14:textId="3BF761AE" w:rsidR="006A38F8" w:rsidRPr="003E0D53" w:rsidRDefault="00167ED1"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1C6B215C">
                <v:shape id="_x0000_i1042" type="#_x0000_t75" style="width:76.8pt;height:52.2pt" o:ole="">
                  <v:imagedata r:id="rId65" o:title=""/>
                </v:shape>
                <o:OLEObject Type="Embed" ProgID="Excel.Sheet.12" ShapeID="_x0000_i1042" DrawAspect="Icon" ObjectID="_1745989923" r:id="rId66"/>
              </w:object>
            </w:r>
          </w:p>
        </w:tc>
      </w:tr>
      <w:tr w:rsidR="006A38F8" w:rsidRPr="00015673" w14:paraId="749BDF75" w14:textId="77777777" w:rsidTr="003E0D53">
        <w:trPr>
          <w:trHeight w:val="335"/>
          <w:jc w:val="center"/>
        </w:trPr>
        <w:tc>
          <w:tcPr>
            <w:tcW w:w="0" w:type="auto"/>
            <w:shd w:val="clear" w:color="auto" w:fill="auto"/>
            <w:noWrap/>
            <w:vAlign w:val="center"/>
          </w:tcPr>
          <w:p w14:paraId="50E26CE0" w14:textId="56129A86"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17</w:t>
            </w:r>
          </w:p>
        </w:tc>
        <w:tc>
          <w:tcPr>
            <w:tcW w:w="3893" w:type="dxa"/>
            <w:shd w:val="clear" w:color="auto" w:fill="auto"/>
            <w:vAlign w:val="center"/>
          </w:tcPr>
          <w:p w14:paraId="1977A0C6" w14:textId="39C909E3" w:rsidR="006A38F8" w:rsidRPr="006B14A6" w:rsidRDefault="001D3588" w:rsidP="006A38F8">
            <w:pPr>
              <w:spacing w:line="276" w:lineRule="auto"/>
              <w:jc w:val="both"/>
              <w:rPr>
                <w:rFonts w:ascii="Book Antiqua" w:eastAsia="Calibri" w:hAnsi="Book Antiqua" w:cs="Arial"/>
              </w:rPr>
            </w:pPr>
            <w:r w:rsidRPr="00445D4D">
              <w:rPr>
                <w:rFonts w:ascii="Book Antiqua" w:eastAsia="Calibri" w:hAnsi="Book Antiqua" w:cs="Arial"/>
              </w:rPr>
              <w:t>Diagrama procesos Violencia Doméstica con duración</w:t>
            </w:r>
          </w:p>
        </w:tc>
        <w:tc>
          <w:tcPr>
            <w:tcW w:w="3835" w:type="dxa"/>
            <w:shd w:val="clear" w:color="auto" w:fill="auto"/>
            <w:noWrap/>
            <w:vAlign w:val="center"/>
          </w:tcPr>
          <w:p w14:paraId="1D5F85C7" w14:textId="60B2D0AA" w:rsidR="006A38F8" w:rsidRPr="003E0D53" w:rsidRDefault="001D358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39EDC9C">
                <v:shape id="_x0000_i1043" type="#_x0000_t75" style="width:76.8pt;height:57pt" o:ole="">
                  <v:imagedata r:id="rId67" o:title=""/>
                </v:shape>
                <o:OLEObject Type="Embed" ProgID="Excel.Sheet.12" ShapeID="_x0000_i1043" DrawAspect="Icon" ObjectID="_1745989924" r:id="rId68"/>
              </w:object>
            </w:r>
          </w:p>
        </w:tc>
      </w:tr>
      <w:tr w:rsidR="006A38F8" w:rsidRPr="00015673" w14:paraId="053F1C7D" w14:textId="77777777" w:rsidTr="003E0D53">
        <w:trPr>
          <w:trHeight w:val="335"/>
          <w:jc w:val="center"/>
        </w:trPr>
        <w:tc>
          <w:tcPr>
            <w:tcW w:w="0" w:type="auto"/>
            <w:shd w:val="clear" w:color="auto" w:fill="auto"/>
            <w:noWrap/>
            <w:vAlign w:val="center"/>
          </w:tcPr>
          <w:p w14:paraId="72BBF86C" w14:textId="409EA2F7"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19</w:t>
            </w:r>
          </w:p>
        </w:tc>
        <w:tc>
          <w:tcPr>
            <w:tcW w:w="3893" w:type="dxa"/>
            <w:shd w:val="clear" w:color="auto" w:fill="auto"/>
            <w:vAlign w:val="center"/>
          </w:tcPr>
          <w:p w14:paraId="303630F6" w14:textId="731AB97F" w:rsidR="006A38F8" w:rsidRPr="006B14A6" w:rsidRDefault="009D4EC2" w:rsidP="006A38F8">
            <w:pPr>
              <w:spacing w:line="276" w:lineRule="auto"/>
              <w:jc w:val="both"/>
              <w:rPr>
                <w:rFonts w:ascii="Book Antiqua" w:eastAsia="Calibri" w:hAnsi="Book Antiqua" w:cs="Arial"/>
              </w:rPr>
            </w:pPr>
            <w:r w:rsidRPr="00445D4D">
              <w:rPr>
                <w:rFonts w:ascii="Book Antiqua" w:eastAsia="Calibri" w:hAnsi="Book Antiqua" w:cs="Arial"/>
              </w:rPr>
              <w:t>Diagrama procesos de Pensiones Alimentarias con duración</w:t>
            </w:r>
          </w:p>
        </w:tc>
        <w:tc>
          <w:tcPr>
            <w:tcW w:w="3835" w:type="dxa"/>
            <w:shd w:val="clear" w:color="auto" w:fill="auto"/>
            <w:noWrap/>
            <w:vAlign w:val="center"/>
          </w:tcPr>
          <w:p w14:paraId="2A010C3C" w14:textId="49A4A740" w:rsidR="006A38F8" w:rsidRPr="003E0D53" w:rsidRDefault="009D4EC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178C1CE8">
                <v:shape id="_x0000_i1044" type="#_x0000_t75" style="width:76.8pt;height:57pt" o:ole="">
                  <v:imagedata r:id="rId69" o:title=""/>
                </v:shape>
                <o:OLEObject Type="Embed" ProgID="Excel.Sheet.12" ShapeID="_x0000_i1044" DrawAspect="Icon" ObjectID="_1745989925" r:id="rId70"/>
              </w:object>
            </w:r>
          </w:p>
        </w:tc>
      </w:tr>
      <w:tr w:rsidR="006A38F8" w:rsidRPr="00015673" w14:paraId="63A5FF30" w14:textId="77777777" w:rsidTr="009D4EC2">
        <w:trPr>
          <w:trHeight w:val="335"/>
          <w:jc w:val="center"/>
        </w:trPr>
        <w:tc>
          <w:tcPr>
            <w:tcW w:w="0" w:type="auto"/>
            <w:shd w:val="clear" w:color="auto" w:fill="auto"/>
            <w:noWrap/>
            <w:vAlign w:val="center"/>
          </w:tcPr>
          <w:p w14:paraId="2858AB2C" w14:textId="1A3EBE5B"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20</w:t>
            </w:r>
          </w:p>
        </w:tc>
        <w:tc>
          <w:tcPr>
            <w:tcW w:w="3893" w:type="dxa"/>
            <w:shd w:val="clear" w:color="auto" w:fill="auto"/>
            <w:vAlign w:val="center"/>
          </w:tcPr>
          <w:p w14:paraId="6CAB8369" w14:textId="114049D3" w:rsidR="006A38F8" w:rsidRPr="00445D4D" w:rsidRDefault="005743F2" w:rsidP="006A38F8">
            <w:pPr>
              <w:spacing w:line="276" w:lineRule="auto"/>
              <w:jc w:val="both"/>
              <w:rPr>
                <w:rFonts w:ascii="Book Antiqua" w:eastAsia="Calibri" w:hAnsi="Book Antiqua" w:cs="Arial"/>
              </w:rPr>
            </w:pPr>
            <w:r w:rsidRPr="005743F2">
              <w:rPr>
                <w:rFonts w:ascii="Book Antiqua" w:eastAsia="Calibri" w:hAnsi="Book Antiqua" w:cs="Arial"/>
              </w:rPr>
              <w:t>Oficio 0</w:t>
            </w:r>
            <w:r w:rsidR="00D938F6">
              <w:rPr>
                <w:rFonts w:ascii="Book Antiqua" w:eastAsia="Calibri" w:hAnsi="Book Antiqua" w:cs="Arial"/>
              </w:rPr>
              <w:t>5</w:t>
            </w:r>
            <w:r w:rsidRPr="005743F2">
              <w:rPr>
                <w:rFonts w:ascii="Book Antiqua" w:eastAsia="Calibri" w:hAnsi="Book Antiqua" w:cs="Arial"/>
              </w:rPr>
              <w:t>9-CACMFJ-JEF-202</w:t>
            </w:r>
            <w:r w:rsidR="00D938F6">
              <w:rPr>
                <w:rFonts w:ascii="Book Antiqua" w:eastAsia="Calibri" w:hAnsi="Book Antiqua" w:cs="Arial"/>
              </w:rPr>
              <w:t>3</w:t>
            </w:r>
            <w:r w:rsidR="00761074">
              <w:rPr>
                <w:rFonts w:ascii="Book Antiqua" w:eastAsia="Calibri" w:hAnsi="Book Antiqua" w:cs="Arial"/>
              </w:rPr>
              <w:t xml:space="preserve"> del CACMFJ</w:t>
            </w:r>
          </w:p>
        </w:tc>
        <w:bookmarkStart w:id="113" w:name="_MON_1739245554"/>
        <w:bookmarkEnd w:id="113"/>
        <w:tc>
          <w:tcPr>
            <w:tcW w:w="3835" w:type="dxa"/>
            <w:shd w:val="clear" w:color="auto" w:fill="auto"/>
            <w:noWrap/>
            <w:vAlign w:val="center"/>
          </w:tcPr>
          <w:p w14:paraId="0ADD377A" w14:textId="7C349477" w:rsidR="006A38F8" w:rsidRDefault="000E03BA"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830A0B4">
                <v:shape id="_x0000_i1045" type="#_x0000_t75" style="width:76.8pt;height:46.2pt" o:ole="">
                  <v:imagedata r:id="rId71" o:title=""/>
                </v:shape>
                <o:OLEObject Type="Embed" ProgID="Word.Document.12" ShapeID="_x0000_i1045" DrawAspect="Icon" ObjectID="_1745989926" r:id="rId72">
                  <o:FieldCodes>\s</o:FieldCodes>
                </o:OLEObject>
              </w:object>
            </w:r>
          </w:p>
        </w:tc>
      </w:tr>
      <w:tr w:rsidR="006A38F8" w:rsidRPr="00015673" w14:paraId="66F48AC8" w14:textId="77777777" w:rsidTr="003E0D53">
        <w:trPr>
          <w:trHeight w:val="335"/>
          <w:jc w:val="center"/>
        </w:trPr>
        <w:tc>
          <w:tcPr>
            <w:tcW w:w="0" w:type="auto"/>
            <w:shd w:val="clear" w:color="auto" w:fill="auto"/>
            <w:noWrap/>
            <w:vAlign w:val="center"/>
          </w:tcPr>
          <w:p w14:paraId="411DCBE0" w14:textId="61053E4D"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w:t>
            </w:r>
            <w:r w:rsidR="003A7EFB">
              <w:rPr>
                <w:rFonts w:ascii="Book Antiqua" w:eastAsia="Calibri" w:hAnsi="Book Antiqua" w:cs="Arial"/>
              </w:rPr>
              <w:t>1</w:t>
            </w:r>
          </w:p>
        </w:tc>
        <w:tc>
          <w:tcPr>
            <w:tcW w:w="3893" w:type="dxa"/>
            <w:shd w:val="clear" w:color="auto" w:fill="auto"/>
            <w:vAlign w:val="center"/>
          </w:tcPr>
          <w:p w14:paraId="2F2319F5" w14:textId="5E9FDA16" w:rsidR="006A38F8" w:rsidRPr="00DB4512" w:rsidRDefault="00A761D3" w:rsidP="006A38F8">
            <w:pPr>
              <w:spacing w:line="276" w:lineRule="auto"/>
              <w:jc w:val="both"/>
              <w:rPr>
                <w:rFonts w:ascii="Book Antiqua" w:eastAsia="Calibri" w:hAnsi="Book Antiqua" w:cs="Arial"/>
              </w:rPr>
            </w:pPr>
            <w:r w:rsidRPr="00DB4512">
              <w:rPr>
                <w:rFonts w:ascii="Book Antiqua" w:eastAsia="Calibri" w:hAnsi="Book Antiqua" w:cs="Arial"/>
              </w:rPr>
              <w:t>Oficio EJ-</w:t>
            </w:r>
            <w:r w:rsidR="00761074">
              <w:rPr>
                <w:rFonts w:ascii="Book Antiqua" w:eastAsia="Calibri" w:hAnsi="Book Antiqua" w:cs="Arial"/>
              </w:rPr>
              <w:t>ACAD</w:t>
            </w:r>
            <w:r w:rsidRPr="00DB4512">
              <w:rPr>
                <w:rFonts w:ascii="Book Antiqua" w:eastAsia="Calibri" w:hAnsi="Book Antiqua" w:cs="Arial"/>
              </w:rPr>
              <w:t>-</w:t>
            </w:r>
            <w:r w:rsidR="00761074">
              <w:rPr>
                <w:rFonts w:ascii="Book Antiqua" w:eastAsia="Calibri" w:hAnsi="Book Antiqua" w:cs="Arial"/>
              </w:rPr>
              <w:t>002-</w:t>
            </w:r>
            <w:r w:rsidRPr="00DB4512">
              <w:rPr>
                <w:rFonts w:ascii="Book Antiqua" w:eastAsia="Calibri" w:hAnsi="Book Antiqua" w:cs="Arial"/>
              </w:rPr>
              <w:t>2022 de la Escuela Judicial</w:t>
            </w:r>
          </w:p>
        </w:tc>
        <w:tc>
          <w:tcPr>
            <w:tcW w:w="3835" w:type="dxa"/>
            <w:shd w:val="clear" w:color="auto" w:fill="auto"/>
            <w:noWrap/>
            <w:vAlign w:val="center"/>
          </w:tcPr>
          <w:p w14:paraId="70A78DB7" w14:textId="64E75A51" w:rsidR="006A38F8" w:rsidRPr="00DB4512" w:rsidRDefault="00761074"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1A80C5E5">
                <v:shape id="_x0000_i1046" type="#_x0000_t75" style="width:76.8pt;height:46.2pt" o:ole="">
                  <v:imagedata r:id="rId73" o:title=""/>
                </v:shape>
                <o:OLEObject Type="Embed" ProgID="Acrobat.Document.DC" ShapeID="_x0000_i1046" DrawAspect="Icon" ObjectID="_1745989927" r:id="rId74"/>
              </w:object>
            </w:r>
          </w:p>
        </w:tc>
      </w:tr>
      <w:tr w:rsidR="006A38F8" w:rsidRPr="00015673" w14:paraId="7C049E72" w14:textId="77777777" w:rsidTr="003E0D53">
        <w:trPr>
          <w:trHeight w:val="335"/>
          <w:jc w:val="center"/>
        </w:trPr>
        <w:tc>
          <w:tcPr>
            <w:tcW w:w="0" w:type="auto"/>
            <w:shd w:val="clear" w:color="auto" w:fill="auto"/>
            <w:noWrap/>
            <w:vAlign w:val="center"/>
          </w:tcPr>
          <w:p w14:paraId="17443C52" w14:textId="377F09C2"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w:t>
            </w:r>
            <w:r w:rsidR="00761074">
              <w:rPr>
                <w:rFonts w:ascii="Book Antiqua" w:eastAsia="Calibri" w:hAnsi="Book Antiqua" w:cs="Arial"/>
              </w:rPr>
              <w:t>2</w:t>
            </w:r>
          </w:p>
        </w:tc>
        <w:tc>
          <w:tcPr>
            <w:tcW w:w="3893" w:type="dxa"/>
            <w:shd w:val="clear" w:color="auto" w:fill="auto"/>
            <w:vAlign w:val="center"/>
          </w:tcPr>
          <w:p w14:paraId="2FCAE3DE" w14:textId="219893CB" w:rsidR="006A38F8" w:rsidRPr="00DB4512" w:rsidRDefault="00842279" w:rsidP="006A38F8">
            <w:pPr>
              <w:spacing w:line="276" w:lineRule="auto"/>
              <w:jc w:val="both"/>
              <w:rPr>
                <w:rFonts w:ascii="Book Antiqua" w:eastAsia="Calibri" w:hAnsi="Book Antiqua" w:cs="Arial"/>
              </w:rPr>
            </w:pPr>
            <w:r w:rsidRPr="00DB4512">
              <w:rPr>
                <w:rFonts w:ascii="Book Antiqua" w:eastAsia="Calibri" w:hAnsi="Book Antiqua" w:cs="Arial"/>
              </w:rPr>
              <w:t>Correo de la Dirección de Tecnología de la Información y Comunicaciones</w:t>
            </w:r>
          </w:p>
        </w:tc>
        <w:tc>
          <w:tcPr>
            <w:tcW w:w="3835" w:type="dxa"/>
            <w:shd w:val="clear" w:color="auto" w:fill="auto"/>
            <w:noWrap/>
            <w:vAlign w:val="center"/>
          </w:tcPr>
          <w:p w14:paraId="15947978" w14:textId="5E310648" w:rsidR="006A38F8" w:rsidRPr="00DB4512" w:rsidRDefault="004F0D1E"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19CAE81A">
                <v:shape id="_x0000_i1047" type="#_x0000_t75" style="width:76.8pt;height:46.2pt" o:ole="">
                  <v:imagedata r:id="rId75" o:title=""/>
                </v:shape>
                <o:OLEObject Type="Embed" ProgID="Package" ShapeID="_x0000_i1047" DrawAspect="Icon" ObjectID="_1745989928" r:id="rId76"/>
              </w:object>
            </w:r>
          </w:p>
        </w:tc>
      </w:tr>
      <w:tr w:rsidR="006A38F8" w:rsidRPr="00015673" w14:paraId="015928B0" w14:textId="77777777" w:rsidTr="003E0D53">
        <w:trPr>
          <w:trHeight w:val="335"/>
          <w:jc w:val="center"/>
        </w:trPr>
        <w:tc>
          <w:tcPr>
            <w:tcW w:w="0" w:type="auto"/>
            <w:shd w:val="clear" w:color="auto" w:fill="auto"/>
            <w:noWrap/>
            <w:vAlign w:val="center"/>
          </w:tcPr>
          <w:p w14:paraId="58876617" w14:textId="42BC64C2"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w:t>
            </w:r>
            <w:r w:rsidR="00761074">
              <w:rPr>
                <w:rFonts w:ascii="Book Antiqua" w:eastAsia="Calibri" w:hAnsi="Book Antiqua" w:cs="Arial"/>
              </w:rPr>
              <w:t>3</w:t>
            </w:r>
          </w:p>
        </w:tc>
        <w:tc>
          <w:tcPr>
            <w:tcW w:w="3893" w:type="dxa"/>
            <w:shd w:val="clear" w:color="auto" w:fill="auto"/>
            <w:vAlign w:val="center"/>
          </w:tcPr>
          <w:p w14:paraId="5D646369" w14:textId="48BE3B18" w:rsidR="006A38F8" w:rsidRPr="00DB4512" w:rsidRDefault="00842279" w:rsidP="006A38F8">
            <w:pPr>
              <w:spacing w:line="276" w:lineRule="auto"/>
              <w:jc w:val="both"/>
              <w:rPr>
                <w:rFonts w:ascii="Book Antiqua" w:eastAsia="Calibri" w:hAnsi="Book Antiqua" w:cs="Arial"/>
              </w:rPr>
            </w:pPr>
            <w:r w:rsidRPr="00DB4512">
              <w:rPr>
                <w:rFonts w:ascii="Book Antiqua" w:eastAsia="Calibri" w:hAnsi="Book Antiqua" w:cs="Arial"/>
              </w:rPr>
              <w:t>Correo de la Dirección de Gestión Humana</w:t>
            </w:r>
          </w:p>
        </w:tc>
        <w:tc>
          <w:tcPr>
            <w:tcW w:w="3835" w:type="dxa"/>
            <w:shd w:val="clear" w:color="auto" w:fill="auto"/>
            <w:noWrap/>
            <w:vAlign w:val="center"/>
          </w:tcPr>
          <w:p w14:paraId="6F4691ED" w14:textId="3D7BCC28" w:rsidR="006A38F8" w:rsidRPr="00DB4512" w:rsidRDefault="004F0D1E"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5153E66F">
                <v:shape id="_x0000_i1048" type="#_x0000_t75" style="width:76.8pt;height:46.2pt" o:ole="">
                  <v:imagedata r:id="rId77" o:title=""/>
                </v:shape>
                <o:OLEObject Type="Embed" ProgID="Package" ShapeID="_x0000_i1048" DrawAspect="Icon" ObjectID="_1745989929" r:id="rId78"/>
              </w:object>
            </w:r>
          </w:p>
        </w:tc>
      </w:tr>
      <w:tr w:rsidR="002C3A29" w:rsidRPr="00015673" w14:paraId="676ED749" w14:textId="77777777" w:rsidTr="003E0D53">
        <w:trPr>
          <w:trHeight w:val="335"/>
          <w:jc w:val="center"/>
        </w:trPr>
        <w:tc>
          <w:tcPr>
            <w:tcW w:w="0" w:type="auto"/>
            <w:shd w:val="clear" w:color="auto" w:fill="auto"/>
            <w:noWrap/>
            <w:vAlign w:val="center"/>
          </w:tcPr>
          <w:p w14:paraId="39D8209A" w14:textId="133A8FD8" w:rsidR="002C3A29" w:rsidRPr="00DB4512" w:rsidRDefault="002C3A29" w:rsidP="006A38F8">
            <w:pPr>
              <w:spacing w:after="0" w:line="276" w:lineRule="auto"/>
              <w:jc w:val="center"/>
              <w:rPr>
                <w:rFonts w:ascii="Book Antiqua" w:eastAsia="Calibri" w:hAnsi="Book Antiqua" w:cs="Arial"/>
              </w:rPr>
            </w:pPr>
            <w:r>
              <w:rPr>
                <w:rFonts w:ascii="Book Antiqua" w:eastAsia="Calibri" w:hAnsi="Book Antiqua" w:cs="Arial"/>
              </w:rPr>
              <w:t>Anexo 24</w:t>
            </w:r>
          </w:p>
        </w:tc>
        <w:tc>
          <w:tcPr>
            <w:tcW w:w="3893" w:type="dxa"/>
            <w:shd w:val="clear" w:color="auto" w:fill="auto"/>
            <w:vAlign w:val="center"/>
          </w:tcPr>
          <w:p w14:paraId="3367943B" w14:textId="69645BF5" w:rsidR="002C3A29" w:rsidRPr="00DB4512" w:rsidRDefault="002C3A29" w:rsidP="006A38F8">
            <w:pPr>
              <w:spacing w:line="276" w:lineRule="auto"/>
              <w:jc w:val="both"/>
              <w:rPr>
                <w:rFonts w:ascii="Book Antiqua" w:eastAsia="Calibri" w:hAnsi="Book Antiqua" w:cs="Arial"/>
              </w:rPr>
            </w:pPr>
            <w:r>
              <w:rPr>
                <w:rFonts w:ascii="Book Antiqua" w:eastAsia="Calibri" w:hAnsi="Book Antiqua" w:cs="Arial"/>
              </w:rPr>
              <w:t>Correo de la Dirección Ejecutiva</w:t>
            </w:r>
          </w:p>
        </w:tc>
        <w:tc>
          <w:tcPr>
            <w:tcW w:w="3835" w:type="dxa"/>
            <w:shd w:val="clear" w:color="auto" w:fill="auto"/>
            <w:noWrap/>
            <w:vAlign w:val="center"/>
          </w:tcPr>
          <w:p w14:paraId="27AE5E92" w14:textId="79E4CD05" w:rsidR="002C3A29" w:rsidRDefault="00BA386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599A448E">
                <v:shape id="_x0000_i1049" type="#_x0000_t75" style="width:76.8pt;height:52.2pt" o:ole="">
                  <v:imagedata r:id="rId79" o:title=""/>
                </v:shape>
                <o:OLEObject Type="Embed" ProgID="Package" ShapeID="_x0000_i1049" DrawAspect="Icon" ObjectID="_1745989930" r:id="rId80"/>
              </w:object>
            </w:r>
          </w:p>
        </w:tc>
      </w:tr>
      <w:tr w:rsidR="00B94CB6" w:rsidRPr="00015673" w14:paraId="20C66CF7" w14:textId="77777777" w:rsidTr="003E0D53">
        <w:trPr>
          <w:trHeight w:val="335"/>
          <w:jc w:val="center"/>
        </w:trPr>
        <w:tc>
          <w:tcPr>
            <w:tcW w:w="0" w:type="auto"/>
            <w:shd w:val="clear" w:color="auto" w:fill="auto"/>
            <w:noWrap/>
            <w:vAlign w:val="center"/>
          </w:tcPr>
          <w:p w14:paraId="62249DFB" w14:textId="64200472" w:rsidR="00B94CB6" w:rsidRDefault="00B94CB6" w:rsidP="006A38F8">
            <w:pPr>
              <w:spacing w:after="0" w:line="276" w:lineRule="auto"/>
              <w:jc w:val="center"/>
              <w:rPr>
                <w:rFonts w:ascii="Book Antiqua" w:eastAsia="Calibri" w:hAnsi="Book Antiqua" w:cs="Arial"/>
              </w:rPr>
            </w:pPr>
            <w:r>
              <w:rPr>
                <w:rFonts w:ascii="Book Antiqua" w:eastAsia="Calibri" w:hAnsi="Book Antiqua" w:cs="Arial"/>
              </w:rPr>
              <w:t>Anexo 25</w:t>
            </w:r>
          </w:p>
        </w:tc>
        <w:tc>
          <w:tcPr>
            <w:tcW w:w="3893" w:type="dxa"/>
            <w:shd w:val="clear" w:color="auto" w:fill="auto"/>
            <w:vAlign w:val="center"/>
          </w:tcPr>
          <w:p w14:paraId="31CD81D2" w14:textId="6759228A" w:rsidR="00B94CB6" w:rsidRDefault="006320DA" w:rsidP="006A38F8">
            <w:pPr>
              <w:spacing w:line="276" w:lineRule="auto"/>
              <w:jc w:val="both"/>
              <w:rPr>
                <w:rFonts w:ascii="Book Antiqua" w:eastAsia="Calibri" w:hAnsi="Book Antiqua" w:cs="Arial"/>
              </w:rPr>
            </w:pPr>
            <w:r w:rsidRPr="006320DA">
              <w:rPr>
                <w:rFonts w:ascii="Book Antiqua" w:eastAsia="Calibri" w:hAnsi="Book Antiqua" w:cs="Arial"/>
              </w:rPr>
              <w:t>Propuesta de circular para comunicar modificación de la competencia territorial del Juzgado de Familia, de Niñez y Adolescencia, así como el cambio de competencias territoriales del Juzgado de Familia del Primer Circuito Judicial de la Zona Sur, Juzgado Civil, Trabajo y Familia de Puriscal y del Juzgado de Familia de Cartago</w:t>
            </w:r>
          </w:p>
        </w:tc>
        <w:bookmarkStart w:id="114" w:name="_MON_1741420213"/>
        <w:bookmarkEnd w:id="114"/>
        <w:tc>
          <w:tcPr>
            <w:tcW w:w="3835" w:type="dxa"/>
            <w:shd w:val="clear" w:color="auto" w:fill="auto"/>
            <w:noWrap/>
            <w:vAlign w:val="center"/>
          </w:tcPr>
          <w:p w14:paraId="33FA34C0" w14:textId="14FCB19A" w:rsidR="00B94CB6" w:rsidRDefault="00C3558B"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3D362A73">
                <v:shape id="_x0000_i1050" type="#_x0000_t75" style="width:76.8pt;height:52.2pt" o:ole="">
                  <v:imagedata r:id="rId81" o:title=""/>
                </v:shape>
                <o:OLEObject Type="Embed" ProgID="Word.Document.12" ShapeID="_x0000_i1050" DrawAspect="Icon" ObjectID="_1745989931" r:id="rId82">
                  <o:FieldCodes>\s</o:FieldCodes>
                </o:OLEObject>
              </w:object>
            </w:r>
          </w:p>
        </w:tc>
      </w:tr>
      <w:tr w:rsidR="00325BBD" w:rsidRPr="00015673" w14:paraId="5B9BEC51" w14:textId="77777777" w:rsidTr="003E0D53">
        <w:trPr>
          <w:trHeight w:val="335"/>
          <w:jc w:val="center"/>
        </w:trPr>
        <w:tc>
          <w:tcPr>
            <w:tcW w:w="0" w:type="auto"/>
            <w:shd w:val="clear" w:color="auto" w:fill="auto"/>
            <w:noWrap/>
            <w:vAlign w:val="center"/>
          </w:tcPr>
          <w:p w14:paraId="28DF6E9B" w14:textId="00F971E2" w:rsidR="00325BBD" w:rsidRDefault="00110E4A" w:rsidP="006A38F8">
            <w:pPr>
              <w:spacing w:after="0" w:line="276" w:lineRule="auto"/>
              <w:jc w:val="center"/>
              <w:rPr>
                <w:rFonts w:ascii="Book Antiqua" w:eastAsia="Calibri" w:hAnsi="Book Antiqua" w:cs="Arial"/>
              </w:rPr>
            </w:pPr>
            <w:r>
              <w:rPr>
                <w:rFonts w:ascii="Book Antiqua" w:eastAsia="Calibri" w:hAnsi="Book Antiqua" w:cs="Arial"/>
              </w:rPr>
              <w:t>Anexo 25</w:t>
            </w:r>
          </w:p>
        </w:tc>
        <w:tc>
          <w:tcPr>
            <w:tcW w:w="3893" w:type="dxa"/>
            <w:shd w:val="clear" w:color="auto" w:fill="auto"/>
            <w:vAlign w:val="center"/>
          </w:tcPr>
          <w:p w14:paraId="1EA307AD" w14:textId="5B4378F4" w:rsidR="00325BBD" w:rsidRPr="006320DA" w:rsidRDefault="00110E4A" w:rsidP="006A38F8">
            <w:pPr>
              <w:spacing w:line="276" w:lineRule="auto"/>
              <w:jc w:val="both"/>
              <w:rPr>
                <w:rFonts w:ascii="Book Antiqua" w:eastAsia="Calibri" w:hAnsi="Book Antiqua" w:cs="Arial"/>
              </w:rPr>
            </w:pPr>
            <w:r>
              <w:rPr>
                <w:rFonts w:ascii="Book Antiqua" w:eastAsia="Calibri" w:hAnsi="Book Antiqua" w:cs="Arial"/>
              </w:rPr>
              <w:t xml:space="preserve">Oficio </w:t>
            </w:r>
            <w:r w:rsidRPr="00110E4A">
              <w:rPr>
                <w:rFonts w:ascii="Book Antiqua" w:eastAsia="Calibri" w:hAnsi="Book Antiqua" w:cs="Arial"/>
              </w:rPr>
              <w:t>22-CJF-2023</w:t>
            </w:r>
            <w:r>
              <w:rPr>
                <w:rFonts w:ascii="Book Antiqua" w:eastAsia="Calibri" w:hAnsi="Book Antiqua" w:cs="Arial"/>
              </w:rPr>
              <w:t xml:space="preserve"> </w:t>
            </w:r>
            <w:r w:rsidRPr="00110E4A">
              <w:rPr>
                <w:rFonts w:ascii="Book Antiqua" w:eastAsia="Calibri" w:hAnsi="Book Antiqua" w:cs="Arial"/>
              </w:rPr>
              <w:t>del CACMFJ</w:t>
            </w:r>
          </w:p>
        </w:tc>
        <w:tc>
          <w:tcPr>
            <w:tcW w:w="3835" w:type="dxa"/>
            <w:shd w:val="clear" w:color="auto" w:fill="auto"/>
            <w:noWrap/>
            <w:vAlign w:val="center"/>
          </w:tcPr>
          <w:p w14:paraId="6F6A49BE" w14:textId="28A624F9" w:rsidR="00325BBD" w:rsidRDefault="00110E4A"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8E526D9">
                <v:shape id="_x0000_i1051" type="#_x0000_t75" style="width:76.8pt;height:52.2pt" o:ole="">
                  <v:imagedata r:id="rId83" o:title=""/>
                </v:shape>
                <o:OLEObject Type="Embed" ProgID="Word.Document.12" ShapeID="_x0000_i1051" DrawAspect="Icon" ObjectID="_1745989932" r:id="rId84">
                  <o:FieldCodes>\s</o:FieldCodes>
                </o:OLEObject>
              </w:object>
            </w:r>
          </w:p>
        </w:tc>
      </w:tr>
    </w:tbl>
    <w:p w14:paraId="3AD44A3B" w14:textId="6B8B0807" w:rsidR="000E23D4" w:rsidRPr="003E0D53" w:rsidRDefault="000E23D4" w:rsidP="009E73B0">
      <w:pPr>
        <w:tabs>
          <w:tab w:val="left" w:pos="1740"/>
        </w:tabs>
        <w:spacing w:line="276" w:lineRule="auto"/>
        <w:rPr>
          <w:rFonts w:ascii="Book Antiqua" w:hAnsi="Book Antiqua"/>
          <w:sz w:val="24"/>
          <w:szCs w:val="24"/>
          <w:lang w:eastAsia="es-CR"/>
        </w:rPr>
      </w:pPr>
    </w:p>
    <w:p w14:paraId="420364C7" w14:textId="67B594D1" w:rsidR="000E23D4" w:rsidRPr="001A3DA6" w:rsidRDefault="000E23D4" w:rsidP="000E23D4">
      <w:pPr>
        <w:suppressAutoHyphens/>
        <w:spacing w:line="276" w:lineRule="auto"/>
        <w:jc w:val="both"/>
        <w:rPr>
          <w:rFonts w:ascii="Book Antiqua" w:hAnsi="Book Antiqua" w:cs="Book Antiqua"/>
          <w:lang w:eastAsia="ar-SA"/>
        </w:rPr>
      </w:pPr>
      <w:r w:rsidRPr="001A3DA6">
        <w:rPr>
          <w:rFonts w:ascii="Book Antiqua" w:hAnsi="Book Antiqua" w:cs="Book Antiqua"/>
          <w:i/>
          <w:iCs/>
          <w:lang w:eastAsia="ar-SA"/>
        </w:rPr>
        <w:t>Este informe cuenta con las revisiones y ajustes correspondientes de las jefaturas indicadas</w:t>
      </w:r>
      <w:r w:rsidR="0095347D">
        <w:rPr>
          <w:rFonts w:ascii="Book Antiqua" w:hAnsi="Book Antiqua" w:cs="Book Antiqua"/>
          <w:lang w:eastAsia="ar-SA"/>
        </w:rPr>
        <w:t>.</w:t>
      </w:r>
    </w:p>
    <w:tbl>
      <w:tblPr>
        <w:tblW w:w="612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3968"/>
        <w:gridCol w:w="4859"/>
      </w:tblGrid>
      <w:tr w:rsidR="00C047E6" w:rsidRPr="001A3DA6" w14:paraId="6F24042B" w14:textId="77777777" w:rsidTr="00D6795A">
        <w:trPr>
          <w:trHeight w:val="332"/>
          <w:jc w:val="center"/>
        </w:trPr>
        <w:tc>
          <w:tcPr>
            <w:tcW w:w="916" w:type="pct"/>
            <w:shd w:val="clear" w:color="auto" w:fill="2F5496" w:themeFill="accent1" w:themeFillShade="BF"/>
            <w:vAlign w:val="center"/>
          </w:tcPr>
          <w:p w14:paraId="173E030F" w14:textId="4DC8493F" w:rsidR="00C047E6" w:rsidRPr="001A3DA6" w:rsidRDefault="00C047E6" w:rsidP="00C047E6">
            <w:pPr>
              <w:spacing w:line="276" w:lineRule="auto"/>
              <w:jc w:val="center"/>
              <w:rPr>
                <w:rFonts w:ascii="Book Antiqua" w:hAnsi="Book Antiqua" w:cs="Arial"/>
                <w:b/>
              </w:rPr>
            </w:pPr>
            <w:r w:rsidRPr="008C74F9">
              <w:rPr>
                <w:rFonts w:ascii="Book Antiqua" w:eastAsia="Times New Roman" w:hAnsi="Book Antiqua" w:cs="Arial"/>
                <w:b/>
                <w:color w:val="FFFFFF" w:themeColor="background1"/>
                <w:sz w:val="20"/>
                <w:szCs w:val="20"/>
                <w:lang w:val="es-ES" w:eastAsia="es-CR"/>
              </w:rPr>
              <w:t>INFORME</w:t>
            </w:r>
          </w:p>
        </w:tc>
        <w:tc>
          <w:tcPr>
            <w:tcW w:w="1836" w:type="pct"/>
            <w:shd w:val="clear" w:color="auto" w:fill="2F5496" w:themeFill="accent1" w:themeFillShade="BF"/>
            <w:vAlign w:val="center"/>
            <w:hideMark/>
          </w:tcPr>
          <w:p w14:paraId="410804FB" w14:textId="26EE350E" w:rsidR="00C047E6" w:rsidRPr="001A3DA6" w:rsidRDefault="00C047E6" w:rsidP="00C047E6">
            <w:pPr>
              <w:spacing w:line="276" w:lineRule="auto"/>
              <w:jc w:val="center"/>
              <w:rPr>
                <w:rFonts w:ascii="Book Antiqua" w:hAnsi="Book Antiqua"/>
                <w:b/>
                <w:color w:val="FFFFFF"/>
              </w:rPr>
            </w:pPr>
            <w:r w:rsidRPr="008C74F9">
              <w:rPr>
                <w:rFonts w:ascii="Book Antiqua" w:eastAsia="Times New Roman" w:hAnsi="Book Antiqua" w:cs="Arial"/>
                <w:b/>
                <w:color w:val="FFFFFF" w:themeColor="background1"/>
                <w:sz w:val="20"/>
                <w:szCs w:val="20"/>
                <w:lang w:val="es-ES" w:eastAsia="es-ES"/>
              </w:rPr>
              <w:t>NOMBRE</w:t>
            </w:r>
          </w:p>
        </w:tc>
        <w:tc>
          <w:tcPr>
            <w:tcW w:w="2248" w:type="pct"/>
            <w:shd w:val="clear" w:color="auto" w:fill="2F5496" w:themeFill="accent1" w:themeFillShade="BF"/>
            <w:vAlign w:val="center"/>
            <w:hideMark/>
          </w:tcPr>
          <w:p w14:paraId="6BB3E34D" w14:textId="206DDFE0" w:rsidR="00C047E6" w:rsidRPr="001A3DA6" w:rsidRDefault="00C047E6" w:rsidP="00C047E6">
            <w:pPr>
              <w:spacing w:line="276" w:lineRule="auto"/>
              <w:jc w:val="center"/>
              <w:rPr>
                <w:rFonts w:ascii="Book Antiqua" w:hAnsi="Book Antiqua"/>
                <w:b/>
                <w:color w:val="FFFFFF"/>
              </w:rPr>
            </w:pPr>
            <w:r w:rsidRPr="008C74F9">
              <w:rPr>
                <w:rFonts w:ascii="Book Antiqua" w:eastAsia="Times New Roman" w:hAnsi="Book Antiqua" w:cs="Arial"/>
                <w:b/>
                <w:color w:val="FFFFFF" w:themeColor="background1"/>
                <w:sz w:val="20"/>
                <w:szCs w:val="20"/>
                <w:lang w:val="es-ES" w:eastAsia="es-ES"/>
              </w:rPr>
              <w:t>PUESTO</w:t>
            </w:r>
          </w:p>
        </w:tc>
      </w:tr>
      <w:tr w:rsidR="00CB70C4" w:rsidRPr="001A3DA6" w14:paraId="1CFD8934" w14:textId="77777777" w:rsidTr="00612E7C">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45E9AD75" w14:textId="42DD6FBF" w:rsidR="00CB70C4" w:rsidRPr="001A3DA6" w:rsidRDefault="00CB70C4" w:rsidP="00612E7C">
            <w:pPr>
              <w:spacing w:after="0" w:line="240" w:lineRule="auto"/>
              <w:jc w:val="center"/>
              <w:rPr>
                <w:rFonts w:ascii="Book Antiqua" w:hAnsi="Book Antiqua"/>
                <w:b/>
                <w:color w:val="000000"/>
                <w:lang w:eastAsia="es-CR"/>
              </w:rPr>
            </w:pPr>
            <w:r w:rsidRPr="001A3DA6">
              <w:rPr>
                <w:rFonts w:ascii="Book Antiqua" w:hAnsi="Book Antiqua"/>
                <w:b/>
                <w:color w:val="000000"/>
                <w:lang w:eastAsia="es-CR"/>
              </w:rPr>
              <w:t>Elaborado por</w:t>
            </w:r>
            <w:r>
              <w:rPr>
                <w:rFonts w:ascii="Book Antiqua" w:hAnsi="Book Antiqua"/>
                <w:b/>
                <w:color w:val="000000"/>
                <w:lang w:eastAsia="es-CR"/>
              </w:rPr>
              <w:t>:</w:t>
            </w:r>
          </w:p>
        </w:tc>
        <w:tc>
          <w:tcPr>
            <w:tcW w:w="1836" w:type="pct"/>
            <w:tcBorders>
              <w:top w:val="single" w:sz="4" w:space="0" w:color="000000"/>
              <w:left w:val="single" w:sz="4" w:space="0" w:color="000000"/>
              <w:bottom w:val="single" w:sz="4" w:space="0" w:color="000000"/>
              <w:right w:val="single" w:sz="4" w:space="0" w:color="000000"/>
            </w:tcBorders>
            <w:vAlign w:val="center"/>
          </w:tcPr>
          <w:p w14:paraId="30B03713" w14:textId="5A0E5B38" w:rsidR="00CB70C4" w:rsidRPr="001A3DA6" w:rsidRDefault="00CB70C4" w:rsidP="00612E7C">
            <w:pPr>
              <w:spacing w:after="0" w:line="276" w:lineRule="auto"/>
              <w:rPr>
                <w:rFonts w:ascii="Book Antiqua" w:hAnsi="Book Antiqua"/>
              </w:rPr>
            </w:pPr>
            <w:r>
              <w:rPr>
                <w:rFonts w:ascii="Book Antiqua" w:hAnsi="Book Antiqua"/>
              </w:rPr>
              <w:t>Licda. Yahaira Meléndez Benavides</w:t>
            </w:r>
          </w:p>
        </w:tc>
        <w:tc>
          <w:tcPr>
            <w:tcW w:w="2248" w:type="pct"/>
            <w:vMerge w:val="restart"/>
            <w:tcBorders>
              <w:top w:val="single" w:sz="4" w:space="0" w:color="000000"/>
              <w:left w:val="single" w:sz="4" w:space="0" w:color="000000"/>
              <w:right w:val="single" w:sz="4" w:space="0" w:color="000000"/>
            </w:tcBorders>
            <w:vAlign w:val="center"/>
          </w:tcPr>
          <w:p w14:paraId="733D9802" w14:textId="513CE25D" w:rsidR="00CB70C4" w:rsidRPr="001A3DA6" w:rsidRDefault="00CB70C4" w:rsidP="00612E7C">
            <w:pPr>
              <w:spacing w:after="0" w:line="276" w:lineRule="auto"/>
              <w:jc w:val="both"/>
              <w:rPr>
                <w:rFonts w:ascii="Book Antiqua" w:hAnsi="Book Antiqua"/>
              </w:rPr>
            </w:pPr>
            <w:r>
              <w:rPr>
                <w:rFonts w:ascii="Book Antiqua" w:hAnsi="Book Antiqua"/>
              </w:rPr>
              <w:t xml:space="preserve">Profesional 2 </w:t>
            </w:r>
            <w:r w:rsidR="00C047E6">
              <w:rPr>
                <w:rFonts w:ascii="Book Antiqua" w:hAnsi="Book Antiqua"/>
              </w:rPr>
              <w:t>a.í</w:t>
            </w:r>
            <w:r w:rsidRPr="00742BB8">
              <w:rPr>
                <w:rFonts w:ascii="Book Antiqua" w:hAnsi="Book Antiqua"/>
              </w:rPr>
              <w:t xml:space="preserve"> del</w:t>
            </w:r>
            <w:r>
              <w:t xml:space="preserve"> </w:t>
            </w:r>
            <w:r w:rsidRPr="00742BB8">
              <w:rPr>
                <w:rFonts w:ascii="Book Antiqua" w:hAnsi="Book Antiqua"/>
              </w:rPr>
              <w:t>Subproceso de Modernización Institucional</w:t>
            </w:r>
          </w:p>
        </w:tc>
      </w:tr>
      <w:tr w:rsidR="00CB70C4" w:rsidRPr="001A3DA6" w14:paraId="61FCEA76" w14:textId="77777777" w:rsidTr="00612E7C">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1A2C5B4" w14:textId="73541B84" w:rsidR="00CB70C4" w:rsidRPr="001A3DA6" w:rsidRDefault="00CB70C4" w:rsidP="00612E7C">
            <w:pPr>
              <w:spacing w:after="0" w:line="240" w:lineRule="auto"/>
              <w:jc w:val="center"/>
              <w:rPr>
                <w:rFonts w:ascii="Book Antiqua" w:hAnsi="Book Antiqua"/>
                <w:b/>
                <w:color w:val="000000"/>
                <w:lang w:eastAsia="es-CR"/>
              </w:rPr>
            </w:pPr>
            <w:r>
              <w:rPr>
                <w:rFonts w:ascii="Book Antiqua" w:hAnsi="Book Antiqua"/>
                <w:b/>
                <w:color w:val="000000"/>
                <w:lang w:eastAsia="es-CR"/>
              </w:rPr>
              <w:t>Actualización estadística:</w:t>
            </w:r>
          </w:p>
        </w:tc>
        <w:tc>
          <w:tcPr>
            <w:tcW w:w="1836" w:type="pct"/>
            <w:tcBorders>
              <w:top w:val="single" w:sz="4" w:space="0" w:color="000000"/>
              <w:left w:val="single" w:sz="4" w:space="0" w:color="000000"/>
              <w:bottom w:val="single" w:sz="4" w:space="0" w:color="000000"/>
              <w:right w:val="single" w:sz="4" w:space="0" w:color="000000"/>
            </w:tcBorders>
            <w:vAlign w:val="center"/>
          </w:tcPr>
          <w:p w14:paraId="0C878799" w14:textId="6396478B" w:rsidR="00CB70C4" w:rsidRDefault="00CB70C4" w:rsidP="00612E7C">
            <w:pPr>
              <w:spacing w:after="0" w:line="276" w:lineRule="auto"/>
              <w:jc w:val="both"/>
              <w:rPr>
                <w:rFonts w:ascii="Book Antiqua" w:hAnsi="Book Antiqua"/>
              </w:rPr>
            </w:pPr>
            <w:r>
              <w:rPr>
                <w:rFonts w:ascii="Book Antiqua" w:hAnsi="Book Antiqua"/>
              </w:rPr>
              <w:t>Lic. Gabriel Salas Gutiérrez</w:t>
            </w:r>
          </w:p>
        </w:tc>
        <w:tc>
          <w:tcPr>
            <w:tcW w:w="2248" w:type="pct"/>
            <w:vMerge/>
            <w:tcBorders>
              <w:left w:val="single" w:sz="4" w:space="0" w:color="000000"/>
              <w:bottom w:val="single" w:sz="4" w:space="0" w:color="000000"/>
              <w:right w:val="single" w:sz="4" w:space="0" w:color="000000"/>
            </w:tcBorders>
            <w:vAlign w:val="center"/>
          </w:tcPr>
          <w:p w14:paraId="4669C023" w14:textId="77777777" w:rsidR="00CB70C4" w:rsidRDefault="00CB70C4" w:rsidP="00612E7C">
            <w:pPr>
              <w:spacing w:after="0" w:line="276" w:lineRule="auto"/>
              <w:jc w:val="both"/>
              <w:rPr>
                <w:rFonts w:ascii="Book Antiqua" w:hAnsi="Book Antiqua"/>
              </w:rPr>
            </w:pPr>
          </w:p>
        </w:tc>
      </w:tr>
      <w:tr w:rsidR="00742BB8" w:rsidRPr="001A3DA6" w14:paraId="4806C04A" w14:textId="77777777" w:rsidTr="00612E7C">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53C0E7EC" w14:textId="1DFDA67A" w:rsidR="00742BB8" w:rsidRPr="001A3DA6" w:rsidRDefault="00742BB8" w:rsidP="00612E7C">
            <w:pPr>
              <w:spacing w:after="0" w:line="240" w:lineRule="auto"/>
              <w:jc w:val="center"/>
              <w:rPr>
                <w:rFonts w:ascii="Book Antiqua" w:hAnsi="Book Antiqua"/>
                <w:b/>
                <w:color w:val="000000"/>
                <w:lang w:eastAsia="es-CR"/>
              </w:rPr>
            </w:pPr>
            <w:r>
              <w:rPr>
                <w:rFonts w:ascii="Book Antiqua" w:hAnsi="Book Antiqua"/>
                <w:b/>
                <w:color w:val="000000"/>
                <w:lang w:eastAsia="es-CR"/>
              </w:rPr>
              <w:t>Revisado</w:t>
            </w:r>
            <w:r w:rsidRPr="001A3DA6">
              <w:rPr>
                <w:rFonts w:ascii="Book Antiqua" w:hAnsi="Book Antiqua"/>
                <w:b/>
                <w:color w:val="000000"/>
                <w:lang w:eastAsia="es-CR"/>
              </w:rPr>
              <w:t xml:space="preserve"> por</w:t>
            </w:r>
            <w:r w:rsidR="00541D99">
              <w:rPr>
                <w:rFonts w:ascii="Book Antiqua" w:hAnsi="Book Antiqua"/>
                <w:b/>
                <w:color w:val="000000"/>
                <w:lang w:eastAsia="es-CR"/>
              </w:rPr>
              <w:t>:</w:t>
            </w:r>
          </w:p>
        </w:tc>
        <w:tc>
          <w:tcPr>
            <w:tcW w:w="1836" w:type="pct"/>
            <w:tcBorders>
              <w:top w:val="single" w:sz="4" w:space="0" w:color="000000"/>
              <w:left w:val="single" w:sz="4" w:space="0" w:color="000000"/>
              <w:bottom w:val="single" w:sz="4" w:space="0" w:color="000000"/>
              <w:right w:val="single" w:sz="4" w:space="0" w:color="000000"/>
            </w:tcBorders>
            <w:vAlign w:val="center"/>
          </w:tcPr>
          <w:p w14:paraId="071CF2BB" w14:textId="77777777" w:rsidR="00C047E6" w:rsidRDefault="00D64585" w:rsidP="00612E7C">
            <w:pPr>
              <w:spacing w:after="0" w:line="276" w:lineRule="auto"/>
              <w:jc w:val="both"/>
              <w:rPr>
                <w:rFonts w:ascii="Book Antiqua" w:hAnsi="Book Antiqua"/>
              </w:rPr>
            </w:pPr>
            <w:r>
              <w:rPr>
                <w:rFonts w:ascii="Book Antiqua" w:hAnsi="Book Antiqua"/>
              </w:rPr>
              <w:t xml:space="preserve">MSc. Melissa Durán Gamboa </w:t>
            </w:r>
          </w:p>
          <w:p w14:paraId="2A8E1DC8" w14:textId="2D1B3069" w:rsidR="00742BB8" w:rsidRPr="001A3DA6" w:rsidRDefault="00742BB8" w:rsidP="00612E7C">
            <w:pPr>
              <w:spacing w:after="0" w:line="276" w:lineRule="auto"/>
              <w:jc w:val="both"/>
              <w:rPr>
                <w:rFonts w:ascii="Book Antiqua" w:hAnsi="Book Antiqua"/>
              </w:rPr>
            </w:pPr>
            <w:r w:rsidRPr="001A3DA6">
              <w:rPr>
                <w:rFonts w:ascii="Book Antiqua" w:hAnsi="Book Antiqua"/>
              </w:rPr>
              <w:t xml:space="preserve">Ing. </w:t>
            </w:r>
            <w:r w:rsidR="0016612A">
              <w:rPr>
                <w:rFonts w:ascii="Book Antiqua" w:hAnsi="Book Antiqua"/>
              </w:rPr>
              <w:t>Yesenia</w:t>
            </w:r>
            <w:r w:rsidRPr="001A3DA6">
              <w:rPr>
                <w:rFonts w:ascii="Book Antiqua" w:hAnsi="Book Antiqua"/>
              </w:rPr>
              <w:t xml:space="preserve"> Salazar</w:t>
            </w:r>
            <w:r w:rsidR="0016612A">
              <w:rPr>
                <w:rFonts w:ascii="Book Antiqua" w:hAnsi="Book Antiqua"/>
              </w:rPr>
              <w:t xml:space="preserve"> Guzmán</w:t>
            </w:r>
          </w:p>
        </w:tc>
        <w:tc>
          <w:tcPr>
            <w:tcW w:w="2248" w:type="pct"/>
            <w:tcBorders>
              <w:top w:val="single" w:sz="4" w:space="0" w:color="000000"/>
              <w:left w:val="single" w:sz="4" w:space="0" w:color="000000"/>
              <w:bottom w:val="single" w:sz="4" w:space="0" w:color="000000"/>
              <w:right w:val="single" w:sz="4" w:space="0" w:color="000000"/>
            </w:tcBorders>
            <w:vAlign w:val="center"/>
          </w:tcPr>
          <w:p w14:paraId="62CA393C" w14:textId="77777777" w:rsidR="00C047E6" w:rsidRDefault="00D64585" w:rsidP="00612E7C">
            <w:pPr>
              <w:spacing w:after="0" w:line="276" w:lineRule="auto"/>
              <w:jc w:val="both"/>
              <w:rPr>
                <w:rFonts w:ascii="Book Antiqua" w:hAnsi="Book Antiqua"/>
                <w:color w:val="000000"/>
                <w:lang w:eastAsia="es-CR"/>
              </w:rPr>
            </w:pPr>
            <w:r>
              <w:rPr>
                <w:rFonts w:ascii="Book Antiqua" w:hAnsi="Book Antiqua"/>
                <w:color w:val="000000"/>
                <w:lang w:eastAsia="es-CR"/>
              </w:rPr>
              <w:t xml:space="preserve">Coordinadora de Unidad 3 </w:t>
            </w:r>
            <w:r w:rsidR="00C047E6">
              <w:rPr>
                <w:rFonts w:ascii="Book Antiqua" w:hAnsi="Book Antiqua"/>
                <w:color w:val="000000"/>
                <w:lang w:eastAsia="es-CR"/>
              </w:rPr>
              <w:t>a.í</w:t>
            </w:r>
            <w:r>
              <w:rPr>
                <w:rFonts w:ascii="Book Antiqua" w:hAnsi="Book Antiqua"/>
                <w:color w:val="000000"/>
                <w:lang w:eastAsia="es-CR"/>
              </w:rPr>
              <w:t xml:space="preserve"> </w:t>
            </w:r>
          </w:p>
          <w:p w14:paraId="29193B5A" w14:textId="77E940BB" w:rsidR="00742BB8" w:rsidRPr="00C047E6" w:rsidRDefault="00D64585" w:rsidP="00612E7C">
            <w:pPr>
              <w:spacing w:after="0" w:line="276" w:lineRule="auto"/>
              <w:jc w:val="both"/>
              <w:rPr>
                <w:rFonts w:ascii="Book Antiqua" w:hAnsi="Book Antiqua"/>
                <w:color w:val="000000"/>
                <w:lang w:eastAsia="es-CR"/>
              </w:rPr>
            </w:pPr>
            <w:r>
              <w:rPr>
                <w:rFonts w:ascii="Book Antiqua" w:hAnsi="Book Antiqua"/>
                <w:color w:val="000000"/>
                <w:lang w:eastAsia="es-CR"/>
              </w:rPr>
              <w:t xml:space="preserve"> </w:t>
            </w:r>
            <w:r w:rsidR="00742BB8" w:rsidRPr="001A3DA6">
              <w:rPr>
                <w:rFonts w:ascii="Book Antiqua" w:hAnsi="Book Antiqua"/>
                <w:color w:val="000000"/>
                <w:lang w:eastAsia="es-CR"/>
              </w:rPr>
              <w:t xml:space="preserve">Jefe </w:t>
            </w:r>
            <w:r w:rsidR="00C047E6" w:rsidRPr="001A3DA6">
              <w:rPr>
                <w:rFonts w:ascii="Book Antiqua" w:hAnsi="Book Antiqua"/>
                <w:color w:val="000000"/>
                <w:lang w:eastAsia="es-CR"/>
              </w:rPr>
              <w:t>a.í del</w:t>
            </w:r>
            <w:r w:rsidR="00742BB8">
              <w:rPr>
                <w:rFonts w:ascii="Book Antiqua" w:hAnsi="Book Antiqua"/>
                <w:color w:val="000000"/>
                <w:lang w:eastAsia="es-CR"/>
              </w:rPr>
              <w:t xml:space="preserve"> </w:t>
            </w:r>
            <w:r w:rsidR="00742BB8" w:rsidRPr="001A3DA6">
              <w:rPr>
                <w:rFonts w:ascii="Book Antiqua" w:hAnsi="Book Antiqua"/>
                <w:color w:val="000000"/>
                <w:lang w:eastAsia="es-CR"/>
              </w:rPr>
              <w:t>Subproceso de Modernización Institucional</w:t>
            </w:r>
            <w:r w:rsidR="00C047E6">
              <w:rPr>
                <w:rFonts w:ascii="Book Antiqua" w:hAnsi="Book Antiqua"/>
                <w:color w:val="000000"/>
                <w:lang w:eastAsia="es-CR"/>
              </w:rPr>
              <w:t>-No Penal</w:t>
            </w:r>
          </w:p>
        </w:tc>
      </w:tr>
      <w:tr w:rsidR="00742BB8" w:rsidRPr="001A3DA6" w14:paraId="79BE145E" w14:textId="77777777" w:rsidTr="00612E7C">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E4CF8F3" w14:textId="05D9F072" w:rsidR="00742BB8" w:rsidRPr="001A3DA6" w:rsidRDefault="00742BB8" w:rsidP="00612E7C">
            <w:pPr>
              <w:spacing w:after="0" w:line="240" w:lineRule="auto"/>
              <w:jc w:val="center"/>
              <w:rPr>
                <w:rFonts w:ascii="Book Antiqua" w:hAnsi="Book Antiqua"/>
                <w:b/>
                <w:color w:val="000000"/>
                <w:lang w:eastAsia="es-CR"/>
              </w:rPr>
            </w:pPr>
            <w:r w:rsidRPr="00742BB8">
              <w:rPr>
                <w:rFonts w:ascii="Book Antiqua" w:hAnsi="Book Antiqua"/>
                <w:b/>
                <w:color w:val="000000"/>
                <w:lang w:eastAsia="es-CR"/>
              </w:rPr>
              <w:t>A</w:t>
            </w:r>
            <w:r w:rsidR="001338C9">
              <w:rPr>
                <w:rFonts w:ascii="Book Antiqua" w:hAnsi="Book Antiqua"/>
                <w:b/>
                <w:color w:val="000000"/>
                <w:lang w:eastAsia="es-CR"/>
              </w:rPr>
              <w:t>probado</w:t>
            </w:r>
            <w:r>
              <w:rPr>
                <w:rFonts w:ascii="Book Antiqua" w:hAnsi="Book Antiqua"/>
                <w:b/>
                <w:color w:val="000000"/>
                <w:lang w:eastAsia="es-CR"/>
              </w:rPr>
              <w:t xml:space="preserve"> por:</w:t>
            </w:r>
          </w:p>
        </w:tc>
        <w:tc>
          <w:tcPr>
            <w:tcW w:w="1836" w:type="pct"/>
            <w:tcBorders>
              <w:top w:val="single" w:sz="4" w:space="0" w:color="000000"/>
              <w:left w:val="single" w:sz="4" w:space="0" w:color="000000"/>
              <w:bottom w:val="single" w:sz="4" w:space="0" w:color="000000"/>
              <w:right w:val="single" w:sz="4" w:space="0" w:color="000000"/>
            </w:tcBorders>
            <w:vAlign w:val="center"/>
          </w:tcPr>
          <w:p w14:paraId="49F76302" w14:textId="6ACB0E4E" w:rsidR="00742BB8" w:rsidRPr="00742BB8" w:rsidRDefault="00742BB8" w:rsidP="00612E7C">
            <w:pPr>
              <w:spacing w:after="0" w:line="276" w:lineRule="auto"/>
              <w:jc w:val="both"/>
              <w:rPr>
                <w:rFonts w:ascii="Book Antiqua" w:hAnsi="Book Antiqua"/>
                <w:color w:val="000000"/>
                <w:lang w:eastAsia="es-CR"/>
              </w:rPr>
            </w:pPr>
            <w:r w:rsidRPr="00742BB8">
              <w:rPr>
                <w:rFonts w:ascii="Book Antiqua" w:hAnsi="Book Antiqua"/>
                <w:color w:val="000000"/>
                <w:lang w:eastAsia="es-CR"/>
              </w:rPr>
              <w:t>Licda. Nacira Valverde Bermúdez</w:t>
            </w:r>
          </w:p>
        </w:tc>
        <w:tc>
          <w:tcPr>
            <w:tcW w:w="2248" w:type="pct"/>
            <w:tcBorders>
              <w:top w:val="single" w:sz="4" w:space="0" w:color="000000"/>
              <w:left w:val="single" w:sz="4" w:space="0" w:color="000000"/>
              <w:bottom w:val="single" w:sz="4" w:space="0" w:color="000000"/>
              <w:right w:val="single" w:sz="4" w:space="0" w:color="000000"/>
            </w:tcBorders>
            <w:vAlign w:val="center"/>
          </w:tcPr>
          <w:p w14:paraId="329E30AC" w14:textId="140D3667" w:rsidR="00742BB8" w:rsidRPr="00742BB8" w:rsidRDefault="00742BB8" w:rsidP="00612E7C">
            <w:pPr>
              <w:spacing w:after="0" w:line="276" w:lineRule="auto"/>
              <w:jc w:val="both"/>
              <w:rPr>
                <w:rFonts w:ascii="Book Antiqua" w:hAnsi="Book Antiqua"/>
                <w:color w:val="000000"/>
                <w:lang w:eastAsia="es-CR"/>
              </w:rPr>
            </w:pPr>
            <w:r w:rsidRPr="00742BB8">
              <w:rPr>
                <w:rFonts w:ascii="Book Antiqua" w:hAnsi="Book Antiqua"/>
                <w:color w:val="000000"/>
                <w:lang w:eastAsia="es-CR"/>
              </w:rPr>
              <w:t xml:space="preserve">Directora </w:t>
            </w:r>
            <w:r w:rsidR="002603DF" w:rsidRPr="00742BB8">
              <w:rPr>
                <w:rFonts w:ascii="Book Antiqua" w:hAnsi="Book Antiqua"/>
                <w:color w:val="000000"/>
                <w:lang w:eastAsia="es-CR"/>
              </w:rPr>
              <w:t>a.í</w:t>
            </w:r>
            <w:r w:rsidRPr="00742BB8">
              <w:rPr>
                <w:rFonts w:ascii="Book Antiqua" w:hAnsi="Book Antiqua"/>
                <w:color w:val="000000"/>
                <w:lang w:eastAsia="es-CR"/>
              </w:rPr>
              <w:t xml:space="preserve"> de Planificación</w:t>
            </w:r>
          </w:p>
        </w:tc>
      </w:tr>
    </w:tbl>
    <w:p w14:paraId="4238973A" w14:textId="77777777" w:rsidR="00A92C7B" w:rsidRDefault="00A92C7B" w:rsidP="002B283D">
      <w:pPr>
        <w:spacing w:line="276" w:lineRule="auto"/>
        <w:jc w:val="both"/>
        <w:rPr>
          <w:rFonts w:ascii="Book Antiqua" w:hAnsi="Book Antiqua" w:cs="Book Antiqua"/>
          <w:snapToGrid w:val="0"/>
          <w:sz w:val="24"/>
          <w:szCs w:val="24"/>
        </w:rPr>
      </w:pPr>
    </w:p>
    <w:sectPr w:rsidR="00A92C7B" w:rsidSect="00A132C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451868" w14:textId="77777777" w:rsidR="00655A4B" w:rsidRDefault="00655A4B" w:rsidP="00CF1091">
      <w:pPr>
        <w:spacing w:after="0" w:line="240" w:lineRule="auto"/>
      </w:pPr>
      <w:r>
        <w:separator/>
      </w:r>
    </w:p>
  </w:endnote>
  <w:endnote w:type="continuationSeparator" w:id="0">
    <w:p w14:paraId="2E3E2CAF" w14:textId="77777777" w:rsidR="00655A4B" w:rsidRDefault="00655A4B" w:rsidP="00CF1091">
      <w:pPr>
        <w:spacing w:after="0" w:line="240" w:lineRule="auto"/>
      </w:pPr>
      <w:r>
        <w:continuationSeparator/>
      </w:r>
    </w:p>
  </w:endnote>
  <w:endnote w:type="continuationNotice" w:id="1">
    <w:p w14:paraId="4DB24F96" w14:textId="77777777" w:rsidR="00655A4B" w:rsidRDefault="00655A4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11">
    <w:altName w:val="Arial"/>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TimesNewRomanPSMT">
    <w:altName w:val="Malgun Gothic"/>
    <w:panose1 w:val="00000000000000000000"/>
    <w:charset w:val="00"/>
    <w:family w:val="roman"/>
    <w:notTrueType/>
    <w:pitch w:val="default"/>
  </w:font>
  <w:font w:name="Arial-BoldMT">
    <w:altName w:val="Impac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Arial-6245-Identity-H">
    <w:altName w:val="Calibri"/>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589681"/>
      <w:docPartObj>
        <w:docPartGallery w:val="Page Numbers (Bottom of Page)"/>
        <w:docPartUnique/>
      </w:docPartObj>
    </w:sdtPr>
    <w:sdtContent>
      <w:bookmarkStart w:id="0" w:name="_Hlk53580075" w:displacedByCustomXml="prev"/>
      <w:p w14:paraId="1D7E03FC" w14:textId="77777777" w:rsidR="00EB3C62" w:rsidRDefault="00EB3C62" w:rsidP="00EB3C62">
        <w:pPr>
          <w:pBdr>
            <w:top w:val="single" w:sz="4" w:space="0" w:color="auto"/>
          </w:pBdr>
          <w:spacing w:after="0" w:line="240" w:lineRule="auto"/>
          <w:jc w:val="center"/>
          <w:rPr>
            <w:rFonts w:ascii="Book Antiqua" w:hAnsi="Book Antiqua" w:cs="Times New Roman"/>
            <w:b/>
            <w:bCs/>
            <w:color w:val="000000"/>
          </w:rPr>
        </w:pPr>
        <w:r w:rsidRPr="0062562D">
          <w:rPr>
            <w:rFonts w:ascii="Book Antiqua" w:hAnsi="Book Antiqua" w:cs="Times New Roman"/>
            <w:b/>
            <w:bCs/>
            <w:color w:val="000000"/>
          </w:rPr>
          <w:t xml:space="preserve">Trabajamos por el desarrollo de la administración de justicia </w:t>
        </w:r>
      </w:p>
      <w:p w14:paraId="066BA94D" w14:textId="77777777" w:rsidR="00EB3C62" w:rsidRPr="0062562D" w:rsidRDefault="00EB3C62" w:rsidP="00EB3C62">
        <w:pPr>
          <w:pBdr>
            <w:top w:val="single" w:sz="4" w:space="0" w:color="auto"/>
          </w:pBdr>
          <w:spacing w:after="0" w:line="240" w:lineRule="auto"/>
          <w:jc w:val="center"/>
          <w:rPr>
            <w:rFonts w:ascii="Book Antiqua" w:hAnsi="Book Antiqua" w:cs="Times New Roman"/>
            <w:b/>
            <w:bCs/>
            <w:color w:val="000000"/>
          </w:rPr>
        </w:pPr>
        <w:r w:rsidRPr="0062562D">
          <w:rPr>
            <w:rFonts w:ascii="Book Antiqua" w:hAnsi="Book Antiqua" w:cs="Times New Roman"/>
            <w:b/>
            <w:bCs/>
            <w:color w:val="000000"/>
          </w:rPr>
          <w:t>con proyección e innovación</w:t>
        </w:r>
      </w:p>
      <w:bookmarkEnd w:id="0"/>
      <w:p w14:paraId="3772C478" w14:textId="6B4A9EC6" w:rsidR="00EB3C62" w:rsidRDefault="00EB3C62">
        <w:pPr>
          <w:pStyle w:val="Piedepgina"/>
          <w:jc w:val="right"/>
        </w:pPr>
        <w:r>
          <w:fldChar w:fldCharType="begin"/>
        </w:r>
        <w:r>
          <w:instrText>PAGE   \* MERGEFORMAT</w:instrText>
        </w:r>
        <w:r>
          <w:fldChar w:fldCharType="separate"/>
        </w:r>
        <w:r>
          <w:rPr>
            <w:lang w:val="es-ES"/>
          </w:rPr>
          <w:t>2</w:t>
        </w:r>
        <w:r>
          <w:fldChar w:fldCharType="end"/>
        </w:r>
      </w:p>
    </w:sdtContent>
  </w:sdt>
  <w:p w14:paraId="1AD4E739" w14:textId="77777777" w:rsidR="00035934" w:rsidRDefault="0003593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1941086"/>
      <w:docPartObj>
        <w:docPartGallery w:val="Page Numbers (Bottom of Page)"/>
        <w:docPartUnique/>
      </w:docPartObj>
    </w:sdtPr>
    <w:sdtContent>
      <w:p w14:paraId="08D2B6F2" w14:textId="06F71F2B" w:rsidR="00035934" w:rsidRDefault="00035934">
        <w:pPr>
          <w:pStyle w:val="Piedepgina"/>
          <w:jc w:val="right"/>
        </w:pPr>
        <w:r>
          <w:fldChar w:fldCharType="begin"/>
        </w:r>
        <w:r>
          <w:instrText>PAGE   \* MERGEFORMAT</w:instrText>
        </w:r>
        <w:r>
          <w:fldChar w:fldCharType="separate"/>
        </w:r>
        <w:r>
          <w:rPr>
            <w:lang w:val="es-ES"/>
          </w:rPr>
          <w:t>2</w:t>
        </w:r>
        <w:r>
          <w:fldChar w:fldCharType="end"/>
        </w:r>
      </w:p>
    </w:sdtContent>
  </w:sdt>
  <w:p w14:paraId="2C1E42E1" w14:textId="77777777" w:rsidR="00035934" w:rsidRDefault="0003593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994435"/>
      <w:docPartObj>
        <w:docPartGallery w:val="Page Numbers (Bottom of Page)"/>
        <w:docPartUnique/>
      </w:docPartObj>
    </w:sdtPr>
    <w:sdtContent>
      <w:p w14:paraId="5654428D" w14:textId="77777777" w:rsidR="002354A9" w:rsidRDefault="002354A9">
        <w:pPr>
          <w:pStyle w:val="Piedepgina"/>
          <w:jc w:val="right"/>
        </w:pPr>
        <w:r>
          <w:fldChar w:fldCharType="begin"/>
        </w:r>
        <w:r>
          <w:instrText>PAGE   \* MERGEFORMAT</w:instrText>
        </w:r>
        <w:r>
          <w:fldChar w:fldCharType="separate"/>
        </w:r>
        <w:r>
          <w:rPr>
            <w:lang w:val="es-ES"/>
          </w:rPr>
          <w:t>2</w:t>
        </w:r>
        <w:r>
          <w:fldChar w:fldCharType="end"/>
        </w:r>
      </w:p>
    </w:sdtContent>
  </w:sdt>
  <w:p w14:paraId="7989ED7E" w14:textId="77777777" w:rsidR="002354A9" w:rsidRDefault="002354A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B5F9C8" w14:textId="77777777" w:rsidR="00655A4B" w:rsidRDefault="00655A4B" w:rsidP="00CF1091">
      <w:pPr>
        <w:spacing w:after="0" w:line="240" w:lineRule="auto"/>
      </w:pPr>
      <w:r>
        <w:separator/>
      </w:r>
    </w:p>
  </w:footnote>
  <w:footnote w:type="continuationSeparator" w:id="0">
    <w:p w14:paraId="1C22953C" w14:textId="77777777" w:rsidR="00655A4B" w:rsidRDefault="00655A4B" w:rsidP="00CF1091">
      <w:pPr>
        <w:spacing w:after="0" w:line="240" w:lineRule="auto"/>
      </w:pPr>
      <w:r>
        <w:continuationSeparator/>
      </w:r>
    </w:p>
  </w:footnote>
  <w:footnote w:type="continuationNotice" w:id="1">
    <w:p w14:paraId="78070F54" w14:textId="77777777" w:rsidR="00655A4B" w:rsidRDefault="00655A4B">
      <w:pPr>
        <w:spacing w:after="0" w:line="240" w:lineRule="auto"/>
      </w:pPr>
    </w:p>
  </w:footnote>
  <w:footnote w:id="2">
    <w:p w14:paraId="6E2691DD" w14:textId="00FF25FB" w:rsidR="00035934" w:rsidRPr="001D0C10" w:rsidRDefault="00035934" w:rsidP="001D0C10">
      <w:pPr>
        <w:pStyle w:val="Textonotapie"/>
        <w:jc w:val="both"/>
        <w:rPr>
          <w:lang w:val="es-ES"/>
        </w:rPr>
      </w:pPr>
      <w:r>
        <w:rPr>
          <w:rStyle w:val="Refdenotaalpie"/>
        </w:rPr>
        <w:footnoteRef/>
      </w:r>
      <w:r>
        <w:t xml:space="preserve"> </w:t>
      </w:r>
      <w:bookmarkStart w:id="6" w:name="_Hlk128031802"/>
      <w:r w:rsidRPr="001D0C10">
        <w:rPr>
          <w:rFonts w:ascii="Book Antiqua" w:hAnsi="Book Antiqua"/>
          <w:sz w:val="18"/>
          <w:szCs w:val="18"/>
        </w:rPr>
        <w:t>Como estudio complementario al informe 389-PLA-RH-MI-2021 relacionado con Requerimiento Humano sobre el Impacto organizacional y presupuestario en el Poder Judicial a partir de la promulgación del Código Procesal de Familia para el 2022, aprobado en sesión extraordinaria (presupuesto) del Consejo Superior 30-2021 celebrada el 16 de abril del 2021, artículo XX y por Corte Plena en sesión 21-2021 del primero de junio de 2023, artículo II; se indicó que, para el segundo semestre del 2021, le remito el Estudio de factibilidad de creación de un Juzgado de Familia con una competencia limitada al conocimiento de una clase de proceso (segunda instancia en Pensiones Alimentarias)</w:t>
      </w:r>
      <w:bookmarkEnd w:id="6"/>
      <w:r w:rsidRPr="001D0C10">
        <w:rPr>
          <w:rFonts w:ascii="Book Antiqua" w:hAnsi="Book Antiqua"/>
          <w:sz w:val="18"/>
          <w:szCs w:val="18"/>
        </w:rPr>
        <w:t xml:space="preserve">.  </w:t>
      </w:r>
      <w:bookmarkStart w:id="7" w:name="_Hlk128031901"/>
      <w:r w:rsidRPr="001D0C10">
        <w:rPr>
          <w:rFonts w:ascii="Book Antiqua" w:hAnsi="Book Antiqua"/>
          <w:b/>
          <w:bCs/>
          <w:sz w:val="18"/>
          <w:szCs w:val="18"/>
        </w:rPr>
        <w:t>Referencia interna 1680-2021</w:t>
      </w:r>
      <w:bookmarkEnd w:id="7"/>
      <w:r w:rsidRPr="001D0C10">
        <w:rPr>
          <w:rFonts w:ascii="Book Antiqua" w:hAnsi="Book Antiqua"/>
          <w:b/>
          <w:bCs/>
          <w:sz w:val="18"/>
          <w:szCs w:val="18"/>
        </w:rPr>
        <w:t>.</w:t>
      </w:r>
      <w:r>
        <w:t xml:space="preserve"> </w:t>
      </w:r>
    </w:p>
  </w:footnote>
  <w:footnote w:id="3">
    <w:p w14:paraId="4FE20A6C" w14:textId="6BEE3FDD"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 xml:space="preserve">Actualmente la Sala conoce estos asuntos, sin embargo, a partir de la entrada en vigencia del CPF se espera un incremento en la entrada de </w:t>
      </w:r>
      <w:r>
        <w:rPr>
          <w:rFonts w:ascii="Book Antiqua" w:hAnsi="Book Antiqua"/>
          <w:lang w:val="es-ES"/>
        </w:rPr>
        <w:t>estos casos, ya que se adicionan causales para la procedencia de este recurso. Situación similar a la ocurrida en 2018 con la entrada en vigencia del Código Procesal Civil que es norma supletoria para estos recursos también en materia de Trabajo, donde los recursos de revisión pasaron de 28 recursos nuevos al año (promedio de 2016-2018) a 61 nuevos por año (promedio de 2019-2021), según datos aportados por el Secretario de la Sala el 9-3-22, un incremento de 33 recursos al año solo por el cambio procesal al incluir como causas “</w:t>
      </w:r>
      <w:r w:rsidRPr="001D0C10">
        <w:rPr>
          <w:rFonts w:ascii="Book Antiqua" w:hAnsi="Book Antiqua"/>
          <w:i/>
          <w:iCs/>
          <w:lang w:val="es-ES"/>
        </w:rPr>
        <w:t>la violación al debido proceso”.</w:t>
      </w:r>
    </w:p>
  </w:footnote>
  <w:footnote w:id="4">
    <w:p w14:paraId="62964C4E" w14:textId="49A7CAC3"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Estos asuntos hasta el 30 de setiembre 2022 son competencia del Tribunal de Familia (ingreso promedio de 2017-2021 de 28 en esos 5 años= 6 por año).</w:t>
      </w:r>
      <w:r>
        <w:rPr>
          <w:lang w:val="es-ES"/>
        </w:rPr>
        <w:t xml:space="preserve"> </w:t>
      </w:r>
    </w:p>
  </w:footnote>
  <w:footnote w:id="5">
    <w:p w14:paraId="41D802A7" w14:textId="4E55CFAD" w:rsidR="00035934" w:rsidRDefault="00035934" w:rsidP="001D0C10">
      <w:pPr>
        <w:pStyle w:val="Textonotapie"/>
        <w:jc w:val="both"/>
        <w:rPr>
          <w:rFonts w:ascii="Book Antiqua" w:hAnsi="Book Antiqua"/>
          <w:lang w:val="es-ES"/>
        </w:rPr>
      </w:pPr>
      <w:r>
        <w:rPr>
          <w:rStyle w:val="Refdenotaalpie"/>
        </w:rPr>
        <w:footnoteRef/>
      </w:r>
      <w:r>
        <w:t xml:space="preserve"> </w:t>
      </w:r>
      <w:r w:rsidRPr="001D0C10">
        <w:rPr>
          <w:rFonts w:ascii="Book Antiqua" w:hAnsi="Book Antiqua"/>
          <w:lang w:val="es-ES"/>
        </w:rPr>
        <w:t xml:space="preserve">Los conflictos entre oficinas de distinta materia donde el que lo </w:t>
      </w:r>
      <w:r>
        <w:rPr>
          <w:rFonts w:ascii="Book Antiqua" w:hAnsi="Book Antiqua"/>
          <w:lang w:val="es-ES"/>
        </w:rPr>
        <w:t>previene</w:t>
      </w:r>
      <w:r w:rsidRPr="001D0C10">
        <w:rPr>
          <w:rFonts w:ascii="Book Antiqua" w:hAnsi="Book Antiqua"/>
          <w:lang w:val="es-ES"/>
        </w:rPr>
        <w:t xml:space="preserve"> es un Juzgado de Familia actualmente </w:t>
      </w:r>
      <w:r>
        <w:rPr>
          <w:rFonts w:ascii="Book Antiqua" w:hAnsi="Book Antiqua"/>
          <w:lang w:val="es-ES"/>
        </w:rPr>
        <w:t xml:space="preserve">ya </w:t>
      </w:r>
      <w:r w:rsidRPr="001D0C10">
        <w:rPr>
          <w:rFonts w:ascii="Book Antiqua" w:hAnsi="Book Antiqua"/>
          <w:lang w:val="es-ES"/>
        </w:rPr>
        <w:t>lo conoce la Sala Segunda</w:t>
      </w:r>
      <w:r>
        <w:rPr>
          <w:rFonts w:ascii="Book Antiqua" w:hAnsi="Book Antiqua"/>
          <w:lang w:val="es-ES"/>
        </w:rPr>
        <w:t>. P</w:t>
      </w:r>
      <w:r w:rsidRPr="001D0C10">
        <w:rPr>
          <w:rFonts w:ascii="Book Antiqua" w:hAnsi="Book Antiqua"/>
          <w:lang w:val="es-ES"/>
        </w:rPr>
        <w:t xml:space="preserve">ero la reforma al artículo 55 bis de la LOPJ incluye también conflictos de competencia </w:t>
      </w:r>
      <w:r>
        <w:rPr>
          <w:rFonts w:ascii="Book Antiqua" w:hAnsi="Book Antiqua"/>
          <w:lang w:val="es-ES"/>
        </w:rPr>
        <w:t xml:space="preserve">territorial </w:t>
      </w:r>
      <w:r w:rsidRPr="001D0C10">
        <w:rPr>
          <w:rFonts w:ascii="Book Antiqua" w:hAnsi="Book Antiqua"/>
          <w:lang w:val="es-ES"/>
        </w:rPr>
        <w:t xml:space="preserve">entre </w:t>
      </w:r>
      <w:r>
        <w:rPr>
          <w:rFonts w:ascii="Book Antiqua" w:hAnsi="Book Antiqua"/>
          <w:lang w:val="es-ES"/>
        </w:rPr>
        <w:t xml:space="preserve">2 </w:t>
      </w:r>
      <w:r w:rsidRPr="001D0C10">
        <w:rPr>
          <w:rFonts w:ascii="Book Antiqua" w:hAnsi="Book Antiqua"/>
          <w:lang w:val="es-ES"/>
        </w:rPr>
        <w:t>Juzgados de Familia</w:t>
      </w:r>
      <w:r>
        <w:rPr>
          <w:rFonts w:ascii="Book Antiqua" w:hAnsi="Book Antiqua"/>
          <w:lang w:val="es-ES"/>
        </w:rPr>
        <w:t xml:space="preserve"> (esta competencia es idéntica a la que se establece para el Tribunal de Familia, en el inciso B de lo que se conoce unipersonalmente del a</w:t>
      </w:r>
      <w:r w:rsidRPr="001D0C10">
        <w:rPr>
          <w:rFonts w:ascii="Book Antiqua" w:hAnsi="Book Antiqua"/>
          <w:lang w:val="es-ES"/>
        </w:rPr>
        <w:t xml:space="preserve">rt. </w:t>
      </w:r>
      <w:r>
        <w:rPr>
          <w:rFonts w:ascii="Book Antiqua" w:hAnsi="Book Antiqua"/>
          <w:lang w:val="es-ES"/>
        </w:rPr>
        <w:t xml:space="preserve">99 LOPJ. Sobre este tema se consultó al Juez Gestor quién indica que pareciera que la Sala solo vería los conflictos entre juzgados de Familia de diferente territorio, pero habría que estar a la espera de </w:t>
      </w:r>
      <w:r w:rsidR="00BC185D">
        <w:rPr>
          <w:rFonts w:ascii="Book Antiqua" w:hAnsi="Book Antiqua"/>
          <w:lang w:val="es-ES"/>
        </w:rPr>
        <w:t>cuál</w:t>
      </w:r>
      <w:r>
        <w:rPr>
          <w:rFonts w:ascii="Book Antiqua" w:hAnsi="Book Antiqua"/>
          <w:lang w:val="es-ES"/>
        </w:rPr>
        <w:t xml:space="preserve"> va a ser el criterio o línea que de la Sala Segunda, si lo van a conocer ellos o el Tribunal.</w:t>
      </w:r>
    </w:p>
    <w:p w14:paraId="09AB0A97" w14:textId="16EA9D48" w:rsidR="00035934" w:rsidRPr="001D0C10" w:rsidRDefault="00035934" w:rsidP="001D0C10">
      <w:pPr>
        <w:pStyle w:val="Textonotapie"/>
        <w:jc w:val="both"/>
        <w:rPr>
          <w:lang w:val="es-ES"/>
        </w:rPr>
      </w:pPr>
      <w:r>
        <w:rPr>
          <w:rFonts w:ascii="Book Antiqua" w:hAnsi="Book Antiqua"/>
          <w:lang w:val="es-ES"/>
        </w:rPr>
        <w:t>L</w:t>
      </w:r>
      <w:r w:rsidRPr="001D0C10">
        <w:rPr>
          <w:rFonts w:ascii="Book Antiqua" w:hAnsi="Book Antiqua"/>
          <w:lang w:val="es-ES"/>
        </w:rPr>
        <w:t xml:space="preserve">a entrada de </w:t>
      </w:r>
      <w:r>
        <w:rPr>
          <w:rFonts w:ascii="Book Antiqua" w:hAnsi="Book Antiqua"/>
          <w:lang w:val="es-ES"/>
        </w:rPr>
        <w:t xml:space="preserve">conflictos de competencia (no específica el tipo) según la estadística del Tribunal es </w:t>
      </w:r>
      <w:r w:rsidRPr="001D0C10">
        <w:rPr>
          <w:rFonts w:ascii="Book Antiqua" w:hAnsi="Book Antiqua"/>
          <w:lang w:val="es-ES"/>
        </w:rPr>
        <w:t xml:space="preserve">en promedio </w:t>
      </w:r>
      <w:r>
        <w:rPr>
          <w:rFonts w:ascii="Book Antiqua" w:hAnsi="Book Antiqua"/>
          <w:lang w:val="es-ES"/>
        </w:rPr>
        <w:t xml:space="preserve">de 2020 a 2021 de 60 recursos. </w:t>
      </w:r>
    </w:p>
  </w:footnote>
  <w:footnote w:id="6">
    <w:p w14:paraId="6FFC4620" w14:textId="5868349C"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 xml:space="preserve">Esta competencia se incluye en esta reforma, sin embargo en la </w:t>
      </w:r>
      <w:r w:rsidRPr="0060750C">
        <w:rPr>
          <w:rFonts w:ascii="Book Antiqua" w:hAnsi="Book Antiqua"/>
          <w:lang w:val="es-ES"/>
        </w:rPr>
        <w:t>práctica</w:t>
      </w:r>
      <w:r w:rsidRPr="001D0C10">
        <w:rPr>
          <w:rFonts w:ascii="Book Antiqua" w:hAnsi="Book Antiqua"/>
          <w:lang w:val="es-ES"/>
        </w:rPr>
        <w:t xml:space="preserve">, estos procesos </w:t>
      </w:r>
      <w:r w:rsidRPr="0060750C">
        <w:rPr>
          <w:rFonts w:ascii="Book Antiqua" w:hAnsi="Book Antiqua"/>
          <w:lang w:val="es-ES"/>
        </w:rPr>
        <w:t>ingresaban</w:t>
      </w:r>
      <w:r w:rsidRPr="001D0C10">
        <w:rPr>
          <w:rFonts w:ascii="Book Antiqua" w:hAnsi="Book Antiqua"/>
          <w:lang w:val="es-ES"/>
        </w:rPr>
        <w:t xml:space="preserve"> al Tribunal de Familia y este se declara incompetente </w:t>
      </w:r>
      <w:r w:rsidRPr="0060750C">
        <w:rPr>
          <w:rFonts w:ascii="Book Antiqua" w:hAnsi="Book Antiqua"/>
          <w:lang w:val="es-ES"/>
        </w:rPr>
        <w:t>remi</w:t>
      </w:r>
      <w:r>
        <w:rPr>
          <w:rFonts w:ascii="Book Antiqua" w:hAnsi="Book Antiqua"/>
          <w:lang w:val="es-ES"/>
        </w:rPr>
        <w:t>tiéndolo</w:t>
      </w:r>
      <w:r w:rsidRPr="001D0C10">
        <w:rPr>
          <w:rFonts w:ascii="Book Antiqua" w:hAnsi="Book Antiqua"/>
          <w:lang w:val="es-ES"/>
        </w:rPr>
        <w:t xml:space="preserve"> a cono</w:t>
      </w:r>
      <w:r>
        <w:rPr>
          <w:rFonts w:ascii="Book Antiqua" w:hAnsi="Book Antiqua"/>
          <w:lang w:val="es-ES"/>
        </w:rPr>
        <w:t>ci</w:t>
      </w:r>
      <w:r w:rsidRPr="001D0C10">
        <w:rPr>
          <w:rFonts w:ascii="Book Antiqua" w:hAnsi="Book Antiqua"/>
          <w:lang w:val="es-ES"/>
        </w:rPr>
        <w:t>miento de la Sala, es decir, ya ellos en este momento conocen de estos asuntos</w:t>
      </w:r>
      <w:r>
        <w:rPr>
          <w:rFonts w:ascii="Book Antiqua" w:hAnsi="Book Antiqua"/>
          <w:lang w:val="es-ES"/>
        </w:rPr>
        <w:t>, según información indicado por el Secretario de la Sala el 9-3-22.</w:t>
      </w:r>
    </w:p>
  </w:footnote>
  <w:footnote w:id="7">
    <w:p w14:paraId="009BBD13" w14:textId="77777777" w:rsidR="00035934" w:rsidRPr="001D0C10" w:rsidRDefault="00035934" w:rsidP="00684AE9">
      <w:pPr>
        <w:pStyle w:val="Textonotapie"/>
        <w:rPr>
          <w:lang w:val="es-ES"/>
        </w:rPr>
      </w:pPr>
      <w:r>
        <w:rPr>
          <w:rStyle w:val="Refdenotaalpie"/>
        </w:rPr>
        <w:footnoteRef/>
      </w:r>
      <w:r>
        <w:t xml:space="preserve"> </w:t>
      </w:r>
      <w:r>
        <w:rPr>
          <w:rFonts w:ascii="Book Antiqua" w:hAnsi="Book Antiqua"/>
          <w:lang w:val="es-ES"/>
        </w:rPr>
        <w:t xml:space="preserve">Esto ya hoy en día es competencia del Tribunal de Familia. La Sala solo conoce cuando el conflicto es entre un Juzgado de Familia y uno de otra materia, pero cuando fue el que previno primero es un despacho de Familia. </w:t>
      </w:r>
      <w:r w:rsidRPr="001D0C10">
        <w:rPr>
          <w:rFonts w:ascii="Book Antiqua" w:hAnsi="Book Antiqua"/>
          <w:lang w:val="es-ES"/>
        </w:rPr>
        <w:t xml:space="preserve"> </w:t>
      </w:r>
    </w:p>
  </w:footnote>
  <w:footnote w:id="8">
    <w:p w14:paraId="71B12664" w14:textId="77777777" w:rsidR="00035934" w:rsidRPr="00CB6847" w:rsidRDefault="00035934" w:rsidP="00684AE9">
      <w:pPr>
        <w:pStyle w:val="Textonotapie"/>
        <w:jc w:val="both"/>
        <w:rPr>
          <w:lang w:val="es-ES"/>
        </w:rPr>
      </w:pPr>
      <w:r>
        <w:rPr>
          <w:rStyle w:val="Refdenotaalpie"/>
        </w:rPr>
        <w:footnoteRef/>
      </w:r>
      <w:r>
        <w:t xml:space="preserve"> </w:t>
      </w:r>
      <w:r w:rsidRPr="00556644">
        <w:rPr>
          <w:rFonts w:ascii="Book Antiqua" w:hAnsi="Book Antiqua"/>
          <w:lang w:val="es-ES"/>
        </w:rPr>
        <w:t xml:space="preserve">Este inciso es idéntico a la segunda parte del inciso 3 del artículo </w:t>
      </w:r>
      <w:r w:rsidRPr="001D0C10">
        <w:rPr>
          <w:rFonts w:ascii="Book Antiqua" w:hAnsi="Book Antiqua"/>
          <w:lang w:val="es-ES"/>
        </w:rPr>
        <w:t xml:space="preserve">55 bis reformado LOPJ, </w:t>
      </w:r>
      <w:r>
        <w:rPr>
          <w:rFonts w:ascii="Book Antiqua" w:hAnsi="Book Antiqua"/>
          <w:lang w:val="es-ES"/>
        </w:rPr>
        <w:t>y</w:t>
      </w:r>
      <w:r w:rsidRPr="001D0C10">
        <w:rPr>
          <w:rFonts w:ascii="Book Antiqua" w:hAnsi="Book Antiqua"/>
          <w:lang w:val="es-ES"/>
        </w:rPr>
        <w:t xml:space="preserve"> establece </w:t>
      </w:r>
      <w:r>
        <w:rPr>
          <w:rFonts w:ascii="Book Antiqua" w:hAnsi="Book Antiqua"/>
          <w:lang w:val="es-ES"/>
        </w:rPr>
        <w:t xml:space="preserve">esta </w:t>
      </w:r>
      <w:r w:rsidRPr="001D0C10">
        <w:rPr>
          <w:rFonts w:ascii="Book Antiqua" w:hAnsi="Book Antiqua"/>
          <w:lang w:val="es-ES"/>
        </w:rPr>
        <w:t xml:space="preserve">competencia </w:t>
      </w:r>
      <w:r>
        <w:rPr>
          <w:rFonts w:ascii="Book Antiqua" w:hAnsi="Book Antiqua"/>
          <w:lang w:val="es-ES"/>
        </w:rPr>
        <w:t xml:space="preserve">a cargo </w:t>
      </w:r>
      <w:r w:rsidRPr="001D0C10">
        <w:rPr>
          <w:rFonts w:ascii="Book Antiqua" w:hAnsi="Book Antiqua"/>
          <w:lang w:val="es-ES"/>
        </w:rPr>
        <w:t>de la Sala Segunda.</w:t>
      </w:r>
    </w:p>
  </w:footnote>
  <w:footnote w:id="9">
    <w:p w14:paraId="1EF25D7F" w14:textId="77777777" w:rsidR="00035934" w:rsidRPr="005D4610" w:rsidRDefault="00035934" w:rsidP="006154CF">
      <w:pPr>
        <w:pStyle w:val="Textonotapie"/>
        <w:rPr>
          <w:rFonts w:ascii="Times New Roman" w:hAnsi="Times New Roman" w:cs="Times New Roman"/>
          <w:lang w:val="es-MX"/>
        </w:rPr>
      </w:pPr>
      <w:r>
        <w:rPr>
          <w:rStyle w:val="Refdenotaalpie"/>
        </w:rPr>
        <w:footnoteRef/>
      </w:r>
      <w:r>
        <w:t xml:space="preserve"> </w:t>
      </w:r>
      <w:r w:rsidRPr="000E1A4F">
        <w:rPr>
          <w:rFonts w:ascii="Times New Roman" w:hAnsi="Times New Roman" w:cs="Times New Roman"/>
          <w:lang w:val="es-MX"/>
        </w:rPr>
        <w:t>Adicionalmente hay un análisis de la necesidad de recurso por la Ley 9593 (población indígena).</w:t>
      </w:r>
      <w:r w:rsidRPr="005D4610">
        <w:rPr>
          <w:rFonts w:ascii="Times New Roman" w:hAnsi="Times New Roman" w:cs="Times New Roman"/>
          <w:lang w:val="es-MX"/>
        </w:rPr>
        <w:t xml:space="preserve"> </w:t>
      </w:r>
    </w:p>
  </w:footnote>
  <w:footnote w:id="10">
    <w:p w14:paraId="52F996AB" w14:textId="77777777" w:rsidR="00035934" w:rsidRPr="005D4610" w:rsidRDefault="00035934" w:rsidP="006154CF">
      <w:pPr>
        <w:pStyle w:val="Textonotapie"/>
        <w:jc w:val="both"/>
        <w:rPr>
          <w:rFonts w:ascii="Times New Roman" w:hAnsi="Times New Roman" w:cs="Times New Roman"/>
        </w:rPr>
      </w:pPr>
      <w:r w:rsidRPr="005D4610">
        <w:rPr>
          <w:rStyle w:val="Refdenotaalpie"/>
          <w:rFonts w:ascii="Times New Roman" w:hAnsi="Times New Roman" w:cs="Times New Roman"/>
        </w:rPr>
        <w:footnoteRef/>
      </w:r>
      <w:r w:rsidRPr="005D4610">
        <w:rPr>
          <w:rFonts w:ascii="Times New Roman" w:hAnsi="Times New Roman" w:cs="Times New Roman"/>
        </w:rPr>
        <w:t xml:space="preserve"> </w:t>
      </w:r>
      <w:r w:rsidRPr="005D4610">
        <w:rPr>
          <w:rFonts w:ascii="Times New Roman" w:hAnsi="Times New Roman" w:cs="Times New Roman"/>
          <w:lang w:val="es-MX"/>
        </w:rPr>
        <w:t xml:space="preserve">Respecto al criterio técnico que recomendó 33 plazas, se remonta al informe de la Dirección de Planificación 34-PLA-EV-2017, en donde se consideró el servicio para la parte actora conforme al proyecto de ley del expediente 19455 que estaba en la Asamblea Legislativa pendiente de ser convocado por el Poder Ejecutivo para su respectiva discusión y aprobación.   </w:t>
      </w:r>
    </w:p>
  </w:footnote>
  <w:footnote w:id="11">
    <w:p w14:paraId="2F828816" w14:textId="0D7BC9F3" w:rsidR="008B26B0" w:rsidRDefault="008B26B0" w:rsidP="00612E7C">
      <w:pPr>
        <w:pStyle w:val="Textonotapie"/>
        <w:jc w:val="both"/>
      </w:pPr>
      <w:r>
        <w:rPr>
          <w:rStyle w:val="Refdenotaalpie"/>
        </w:rPr>
        <w:footnoteRef/>
      </w:r>
      <w:r>
        <w:t xml:space="preserve"> </w:t>
      </w:r>
      <w:r w:rsidRPr="00612E7C">
        <w:rPr>
          <w:rFonts w:ascii="Book Antiqua" w:hAnsi="Book Antiqua"/>
        </w:rPr>
        <w:t xml:space="preserve">El requerimiento </w:t>
      </w:r>
      <w:r>
        <w:rPr>
          <w:rFonts w:ascii="Book Antiqua" w:hAnsi="Book Antiqua"/>
        </w:rPr>
        <w:t xml:space="preserve">inicial </w:t>
      </w:r>
      <w:r w:rsidRPr="00612E7C">
        <w:rPr>
          <w:rFonts w:ascii="Book Antiqua" w:hAnsi="Book Antiqua"/>
        </w:rPr>
        <w:t>de mejora fue presentado por la Gestora en materia Civil la Licda. Adriana Sequeira Muñoz y la Dirección de Planificación mediante correo electrónico del 15 de diciembre de 2020 (anexo 4), la cual se aplicará para las materias de Civil</w:t>
      </w:r>
      <w:r w:rsidR="00755DAC">
        <w:rPr>
          <w:rFonts w:ascii="Book Antiqua" w:hAnsi="Book Antiqua"/>
        </w:rPr>
        <w:t>,</w:t>
      </w:r>
      <w:r w:rsidRPr="00612E7C">
        <w:rPr>
          <w:rFonts w:ascii="Book Antiqua" w:hAnsi="Book Antiqua"/>
        </w:rPr>
        <w:t xml:space="preserve"> Cobro, </w:t>
      </w:r>
      <w:r w:rsidR="0018628E">
        <w:rPr>
          <w:rFonts w:ascii="Book Antiqua" w:hAnsi="Book Antiqua"/>
        </w:rPr>
        <w:t>Familia, Pensiones Alimentarias y Violencia Doméstica</w:t>
      </w:r>
      <w:r w:rsidRPr="00612E7C">
        <w:rPr>
          <w:rFonts w:ascii="Book Antiqua" w:hAnsi="Book Antiqua"/>
        </w:rPr>
        <w:t>.</w:t>
      </w:r>
    </w:p>
  </w:footnote>
  <w:footnote w:id="12">
    <w:p w14:paraId="519F3655" w14:textId="349E6BED" w:rsidR="00035934" w:rsidRPr="00545C67" w:rsidRDefault="00035934">
      <w:pPr>
        <w:pStyle w:val="Textonotapie"/>
        <w:rPr>
          <w:lang w:val="es-ES"/>
        </w:rPr>
      </w:pPr>
      <w:r>
        <w:rPr>
          <w:rStyle w:val="Refdenotaalpie"/>
        </w:rPr>
        <w:footnoteRef/>
      </w:r>
      <w:r>
        <w:t xml:space="preserve"> </w:t>
      </w:r>
      <w:r w:rsidRPr="00545C67">
        <w:rPr>
          <w:rFonts w:ascii="Book Antiqua" w:hAnsi="Book Antiqua"/>
          <w:lang w:val="es-ES"/>
        </w:rPr>
        <w:t xml:space="preserve">Pendiente de aprobación </w:t>
      </w:r>
      <w:r>
        <w:rPr>
          <w:rFonts w:ascii="Book Antiqua" w:hAnsi="Book Antiqua"/>
          <w:lang w:val="es-ES"/>
        </w:rPr>
        <w:t>por parte d</w:t>
      </w:r>
      <w:r w:rsidRPr="00545C67">
        <w:rPr>
          <w:rFonts w:ascii="Book Antiqua" w:hAnsi="Book Antiqua"/>
          <w:lang w:val="es-ES"/>
        </w:rPr>
        <w:t>el Consejo Superior.</w:t>
      </w:r>
      <w:r>
        <w:rPr>
          <w:lang w:val="es-ES"/>
        </w:rPr>
        <w:t xml:space="preserve"> </w:t>
      </w:r>
    </w:p>
  </w:footnote>
  <w:footnote w:id="13">
    <w:p w14:paraId="1FB9EDB7" w14:textId="086D6A5C" w:rsidR="0052491B" w:rsidRPr="0052491B" w:rsidRDefault="0052491B">
      <w:pPr>
        <w:pStyle w:val="Textonotapie"/>
        <w:rPr>
          <w:rFonts w:ascii="Book Antiqua" w:hAnsi="Book Antiqua"/>
        </w:rPr>
      </w:pPr>
      <w:r w:rsidRPr="0052491B">
        <w:rPr>
          <w:rStyle w:val="Refdenotaalpie"/>
          <w:rFonts w:ascii="Book Antiqua" w:hAnsi="Book Antiqua"/>
        </w:rPr>
        <w:footnoteRef/>
      </w:r>
      <w:r w:rsidRPr="0052491B">
        <w:rPr>
          <w:rFonts w:ascii="Book Antiqua" w:hAnsi="Book Antiqua"/>
        </w:rPr>
        <w:t xml:space="preserve"> Aprobado por Consejo Superior en la Sesión Extraordinaria 45-20 (Presupuesto 2020), celebrada el 8 de mayo del 2020, artículo XIX y Sesión Extraordinaria 48-20 del 14 de mayo de 2020, artículo XIII. Y sesión de Corte Plena 31-2020, del 2 de junio del 2020, artículo I.</w:t>
      </w:r>
    </w:p>
  </w:footnote>
  <w:footnote w:id="14">
    <w:p w14:paraId="2B7FD884" w14:textId="50E82F59" w:rsidR="0052491B" w:rsidRPr="0052491B" w:rsidRDefault="0052491B">
      <w:pPr>
        <w:pStyle w:val="Textonotapie"/>
        <w:rPr>
          <w:rFonts w:ascii="Book Antiqua" w:hAnsi="Book Antiqua"/>
        </w:rPr>
      </w:pPr>
      <w:r w:rsidRPr="0052491B">
        <w:rPr>
          <w:rStyle w:val="Refdenotaalpie"/>
          <w:rFonts w:ascii="Book Antiqua" w:hAnsi="Book Antiqua"/>
        </w:rPr>
        <w:footnoteRef/>
      </w:r>
      <w:r w:rsidRPr="0052491B">
        <w:rPr>
          <w:rFonts w:ascii="Book Antiqua" w:hAnsi="Book Antiqua"/>
        </w:rPr>
        <w:t xml:space="preserve"> </w:t>
      </w:r>
      <w:r w:rsidRPr="0052491B">
        <w:rPr>
          <w:rFonts w:ascii="Book Antiqua" w:hAnsi="Book Antiqua"/>
          <w:lang w:val="es-ES"/>
        </w:rPr>
        <w:t>Aprobado en sesión extraordinaria (presupuesto) del Consejo Superior 30-2021 celebrada el 16 de abril del 2021, artículo XX.   Incorpora el acuerdo del Consejo Superior en sesión 35-21 extraordinaria de presupuesto del 30 de abril 2021, artículo XII.  Y aprobado por Corte Plena en sesión 21-21, del 1 de junio de 2021, artículo II.</w:t>
      </w:r>
    </w:p>
  </w:footnote>
  <w:footnote w:id="15">
    <w:p w14:paraId="37E59E2B" w14:textId="72A6190B" w:rsidR="0052491B" w:rsidRPr="0052491B" w:rsidRDefault="0052491B" w:rsidP="0052491B">
      <w:pPr>
        <w:pStyle w:val="Textonotapie"/>
        <w:jc w:val="both"/>
        <w:rPr>
          <w:rFonts w:ascii="Book Antiqua" w:hAnsi="Book Antiqua"/>
          <w:lang w:val="es-ES"/>
        </w:rPr>
      </w:pPr>
      <w:r w:rsidRPr="0052491B">
        <w:rPr>
          <w:rStyle w:val="Refdenotaalpie"/>
          <w:rFonts w:ascii="Book Antiqua" w:hAnsi="Book Antiqua"/>
        </w:rPr>
        <w:footnoteRef/>
      </w:r>
      <w:r w:rsidRPr="0052491B">
        <w:rPr>
          <w:rFonts w:ascii="Book Antiqua" w:hAnsi="Book Antiqua"/>
        </w:rPr>
        <w:t xml:space="preserve"> Aprobado en sesión extraordinaria (presupuesto) del Consejo Superior 36-2022 celebrada el 29 de abril de 2022, artículo XXI y por Corte Plena en sesión del primero de junio 2022, artículo II</w:t>
      </w:r>
      <w:r>
        <w:rPr>
          <w:rFonts w:ascii="Book Antiqua" w:hAnsi="Book Antiqua"/>
        </w:rPr>
        <w:t>.</w:t>
      </w:r>
    </w:p>
    <w:p w14:paraId="07CCB630" w14:textId="7EF1A312" w:rsidR="0052491B" w:rsidRDefault="0052491B">
      <w:pPr>
        <w:pStyle w:val="Textonotapie"/>
      </w:pPr>
    </w:p>
  </w:footnote>
  <w:footnote w:id="16">
    <w:p w14:paraId="32E763D0" w14:textId="77777777" w:rsidR="00035934" w:rsidRPr="00F40CD6" w:rsidRDefault="00035934" w:rsidP="00340FF2">
      <w:pPr>
        <w:pStyle w:val="Textonotapie"/>
        <w:rPr>
          <w:lang w:val="es-ES"/>
        </w:rPr>
      </w:pPr>
      <w:r>
        <w:rPr>
          <w:rStyle w:val="Refdenotaalpie"/>
        </w:rPr>
        <w:footnoteRef/>
      </w:r>
      <w:r>
        <w:t xml:space="preserve"> </w:t>
      </w:r>
      <w:r w:rsidRPr="001D0C10">
        <w:rPr>
          <w:rFonts w:ascii="Book Antiqua" w:hAnsi="Book Antiqua"/>
        </w:rPr>
        <w:t>10 asuntos nuevos por mes en promedio según datos estadísticos del trienio 2014-2016 y un circulante de 45 expedientes por plaza al finalizar diciembre 2016.Informe 26-PLA-MI-2017</w:t>
      </w:r>
      <w:r>
        <w:t xml:space="preserve">. </w:t>
      </w:r>
    </w:p>
  </w:footnote>
  <w:footnote w:id="17">
    <w:p w14:paraId="71ECF01C" w14:textId="77777777" w:rsidR="00035934" w:rsidRPr="001D0C10" w:rsidRDefault="00035934" w:rsidP="00340FF2">
      <w:pPr>
        <w:pStyle w:val="Textonotapie"/>
        <w:rPr>
          <w:lang w:val="es-ES"/>
        </w:rPr>
      </w:pPr>
      <w:r>
        <w:rPr>
          <w:rStyle w:val="Refdenotaalpie"/>
        </w:rPr>
        <w:footnoteRef/>
      </w:r>
      <w:r>
        <w:t xml:space="preserve"> </w:t>
      </w:r>
      <w:r w:rsidRPr="001D0C10">
        <w:rPr>
          <w:rFonts w:ascii="Book Antiqua" w:hAnsi="Book Antiqua"/>
          <w:lang w:val="es-ES"/>
        </w:rPr>
        <w:t>Dato proporcionado por el Subproceso de Estadística de la Dirección de Planificación.</w:t>
      </w:r>
      <w:r>
        <w:rPr>
          <w:lang w:val="es-ES"/>
        </w:rPr>
        <w:t xml:space="preserve"> </w:t>
      </w:r>
    </w:p>
  </w:footnote>
  <w:footnote w:id="18">
    <w:p w14:paraId="11B28DB7" w14:textId="77777777" w:rsidR="00035934" w:rsidRPr="00C25A71" w:rsidRDefault="00035934" w:rsidP="009B71C9">
      <w:pPr>
        <w:pStyle w:val="Textonotapie"/>
        <w:ind w:right="-376"/>
        <w:jc w:val="both"/>
        <w:rPr>
          <w:lang w:val="es-ES"/>
        </w:rPr>
      </w:pPr>
      <w:r>
        <w:rPr>
          <w:rStyle w:val="Refdenotaalpie"/>
        </w:rPr>
        <w:footnoteRef/>
      </w:r>
      <w:r>
        <w:t xml:space="preserve"> </w:t>
      </w:r>
      <w:r w:rsidRPr="001D0C10">
        <w:rPr>
          <w:rFonts w:ascii="Book Antiqua" w:hAnsi="Book Antiqua"/>
          <w:lang w:val="es-ES"/>
        </w:rPr>
        <w:t>Conforme al acuerdo del CS punto 7b, la Dirección de Gestión Humana una vez que se cuente con el contrato de limpieza privada deberá valorar el perfil competencial de puestos de la plaza Auxiliar de Servicios Generales que se encuentra compartida con el Juzgado de Pensiones Alimentarias y Contravencional de Sarapiquí.</w:t>
      </w:r>
    </w:p>
  </w:footnote>
  <w:footnote w:id="19">
    <w:p w14:paraId="1CFC08AA" w14:textId="0F7C4279" w:rsidR="00682B24" w:rsidRPr="00030CBA" w:rsidRDefault="00682B24">
      <w:pPr>
        <w:pStyle w:val="Textonotapie"/>
        <w:rPr>
          <w:lang w:val="es-ES"/>
        </w:rPr>
      </w:pPr>
      <w:r>
        <w:rPr>
          <w:rStyle w:val="Refdenotaalpie"/>
        </w:rPr>
        <w:footnoteRef/>
      </w:r>
      <w:r>
        <w:t xml:space="preserve"> </w:t>
      </w:r>
      <w:r w:rsidR="00C639C2">
        <w:rPr>
          <w:rFonts w:ascii="Book Antiqua" w:hAnsi="Book Antiqua"/>
          <w:lang w:val="es-ES"/>
        </w:rPr>
        <w:t>6</w:t>
      </w:r>
      <w:r w:rsidR="00C639C2" w:rsidRPr="009B71C9">
        <w:rPr>
          <w:rFonts w:ascii="Book Antiqua" w:hAnsi="Book Antiqua"/>
          <w:lang w:val="es-ES"/>
        </w:rPr>
        <w:t xml:space="preserve"> </w:t>
      </w:r>
      <w:r w:rsidRPr="009B71C9">
        <w:rPr>
          <w:rFonts w:ascii="Book Antiqua" w:hAnsi="Book Antiqua"/>
          <w:lang w:val="es-ES"/>
        </w:rPr>
        <w:t xml:space="preserve">técnicos </w:t>
      </w:r>
      <w:r w:rsidR="00BF7EAD">
        <w:rPr>
          <w:rFonts w:ascii="Book Antiqua" w:hAnsi="Book Antiqua"/>
          <w:lang w:val="es-ES"/>
        </w:rPr>
        <w:t xml:space="preserve">y 1 coordinador judicial del </w:t>
      </w:r>
      <w:r w:rsidRPr="009B71C9">
        <w:rPr>
          <w:rFonts w:ascii="Book Antiqua" w:hAnsi="Book Antiqua"/>
          <w:lang w:val="es-ES"/>
        </w:rPr>
        <w:t xml:space="preserve">CACMFJ, 2 </w:t>
      </w:r>
      <w:r>
        <w:rPr>
          <w:rFonts w:ascii="Book Antiqua" w:hAnsi="Book Antiqua"/>
          <w:lang w:val="es-ES"/>
        </w:rPr>
        <w:t>t</w:t>
      </w:r>
      <w:r w:rsidRPr="009B71C9">
        <w:rPr>
          <w:rFonts w:ascii="Book Antiqua" w:hAnsi="Book Antiqua"/>
          <w:lang w:val="es-ES"/>
        </w:rPr>
        <w:t xml:space="preserve">écnicos de Sala, 2 </w:t>
      </w:r>
      <w:r>
        <w:rPr>
          <w:rFonts w:ascii="Book Antiqua" w:hAnsi="Book Antiqua"/>
          <w:lang w:val="es-ES"/>
        </w:rPr>
        <w:t>t</w:t>
      </w:r>
      <w:r w:rsidRPr="009B71C9">
        <w:rPr>
          <w:rFonts w:ascii="Book Antiqua" w:hAnsi="Book Antiqua"/>
          <w:lang w:val="es-ES"/>
        </w:rPr>
        <w:t xml:space="preserve">écnicos 3 Sala II, 1 </w:t>
      </w:r>
      <w:r>
        <w:rPr>
          <w:rFonts w:ascii="Book Antiqua" w:hAnsi="Book Antiqua"/>
          <w:lang w:val="es-ES"/>
        </w:rPr>
        <w:t>t</w:t>
      </w:r>
      <w:r w:rsidRPr="009B71C9">
        <w:rPr>
          <w:rFonts w:ascii="Book Antiqua" w:hAnsi="Book Antiqua"/>
          <w:lang w:val="es-ES"/>
        </w:rPr>
        <w:t xml:space="preserve">écnico Buenos Aires, 1 </w:t>
      </w:r>
      <w:r>
        <w:rPr>
          <w:rFonts w:ascii="Book Antiqua" w:hAnsi="Book Antiqua"/>
          <w:lang w:val="es-ES"/>
        </w:rPr>
        <w:t xml:space="preserve">técnico </w:t>
      </w:r>
      <w:r w:rsidRPr="009B71C9">
        <w:rPr>
          <w:rFonts w:ascii="Book Antiqua" w:hAnsi="Book Antiqua"/>
          <w:lang w:val="es-ES"/>
        </w:rPr>
        <w:t>San Carlos</w:t>
      </w:r>
      <w:r>
        <w:rPr>
          <w:rFonts w:ascii="Book Antiqua" w:hAnsi="Book Antiqua"/>
          <w:lang w:val="es-ES"/>
        </w:rPr>
        <w:t>,</w:t>
      </w:r>
      <w:r w:rsidRPr="009B71C9">
        <w:rPr>
          <w:rFonts w:ascii="Book Antiqua" w:hAnsi="Book Antiqua"/>
          <w:lang w:val="es-ES"/>
        </w:rPr>
        <w:t xml:space="preserve"> 1 </w:t>
      </w:r>
      <w:r>
        <w:rPr>
          <w:rFonts w:ascii="Book Antiqua" w:hAnsi="Book Antiqua"/>
          <w:lang w:val="es-ES"/>
        </w:rPr>
        <w:t xml:space="preserve">técnico </w:t>
      </w:r>
      <w:r w:rsidRPr="009B71C9">
        <w:rPr>
          <w:rFonts w:ascii="Book Antiqua" w:hAnsi="Book Antiqua"/>
          <w:lang w:val="es-ES"/>
        </w:rPr>
        <w:t>de Liberia</w:t>
      </w:r>
      <w:r>
        <w:rPr>
          <w:rFonts w:ascii="Book Antiqua" w:hAnsi="Book Antiqua"/>
          <w:lang w:val="es-ES"/>
        </w:rPr>
        <w:t xml:space="preserve">, </w:t>
      </w:r>
      <w:r w:rsidR="00252243">
        <w:rPr>
          <w:rFonts w:ascii="Book Antiqua" w:hAnsi="Book Antiqua"/>
          <w:lang w:val="es-ES"/>
        </w:rPr>
        <w:t>17</w:t>
      </w:r>
      <w:r>
        <w:rPr>
          <w:rFonts w:ascii="Book Antiqua" w:hAnsi="Book Antiqua"/>
          <w:lang w:val="es-ES"/>
        </w:rPr>
        <w:t xml:space="preserve"> técnicos para </w:t>
      </w:r>
      <w:r w:rsidR="00252243">
        <w:rPr>
          <w:rFonts w:ascii="Book Antiqua" w:hAnsi="Book Antiqua"/>
          <w:lang w:val="es-ES"/>
        </w:rPr>
        <w:t xml:space="preserve">Modelo de </w:t>
      </w:r>
      <w:r w:rsidR="00DF654E">
        <w:rPr>
          <w:rFonts w:ascii="Book Antiqua" w:hAnsi="Book Antiqua"/>
          <w:lang w:val="es-ES"/>
        </w:rPr>
        <w:t>T</w:t>
      </w:r>
      <w:r w:rsidR="00252243">
        <w:rPr>
          <w:rFonts w:ascii="Book Antiqua" w:hAnsi="Book Antiqua"/>
          <w:lang w:val="es-ES"/>
        </w:rPr>
        <w:t xml:space="preserve">ramitación </w:t>
      </w:r>
      <w:r>
        <w:rPr>
          <w:rFonts w:ascii="Book Antiqua" w:hAnsi="Book Antiqua"/>
          <w:lang w:val="es-ES"/>
        </w:rPr>
        <w:t xml:space="preserve">VD </w:t>
      </w:r>
      <w:r w:rsidRPr="009B71C9">
        <w:rPr>
          <w:rFonts w:ascii="Book Antiqua" w:hAnsi="Book Antiqua"/>
          <w:lang w:val="es-ES"/>
        </w:rPr>
        <w:t xml:space="preserve">= </w:t>
      </w:r>
      <w:r w:rsidR="00ED32CD">
        <w:rPr>
          <w:rFonts w:ascii="Book Antiqua" w:hAnsi="Book Antiqua"/>
          <w:lang w:val="es-ES"/>
        </w:rPr>
        <w:t>31</w:t>
      </w:r>
      <w:r w:rsidRPr="009B71C9">
        <w:rPr>
          <w:rFonts w:ascii="Book Antiqua" w:hAnsi="Book Antiqua"/>
          <w:lang w:val="es-ES"/>
        </w:rPr>
        <w:t xml:space="preserve"> puestos</w:t>
      </w:r>
    </w:p>
  </w:footnote>
  <w:footnote w:id="20">
    <w:p w14:paraId="79A5DD5D" w14:textId="00793FEA" w:rsidR="005B4060" w:rsidRPr="00030CBA" w:rsidRDefault="005B4060">
      <w:pPr>
        <w:pStyle w:val="Textonotapie"/>
        <w:rPr>
          <w:lang w:val="es-ES"/>
        </w:rPr>
      </w:pPr>
      <w:r>
        <w:rPr>
          <w:rStyle w:val="Refdenotaalpie"/>
        </w:rPr>
        <w:footnoteRef/>
      </w:r>
      <w:r>
        <w:t xml:space="preserve"> 1</w:t>
      </w:r>
      <w:r w:rsidRPr="009B71C9">
        <w:rPr>
          <w:rFonts w:ascii="Book Antiqua" w:hAnsi="Book Antiqua"/>
          <w:lang w:val="es-ES"/>
        </w:rPr>
        <w:t xml:space="preserve"> letrado</w:t>
      </w:r>
      <w:r>
        <w:rPr>
          <w:rFonts w:ascii="Book Antiqua" w:hAnsi="Book Antiqua"/>
          <w:lang w:val="es-ES"/>
        </w:rPr>
        <w:t xml:space="preserve"> Sala Segunda</w:t>
      </w:r>
      <w:r w:rsidRPr="009B71C9">
        <w:rPr>
          <w:rFonts w:ascii="Book Antiqua" w:hAnsi="Book Antiqua"/>
          <w:lang w:val="es-ES"/>
        </w:rPr>
        <w:t xml:space="preserve">, </w:t>
      </w:r>
      <w:r>
        <w:rPr>
          <w:rFonts w:ascii="Book Antiqua" w:hAnsi="Book Antiqua"/>
          <w:lang w:val="es-ES"/>
        </w:rPr>
        <w:t xml:space="preserve">1 Juez Paraíso, </w:t>
      </w:r>
      <w:r w:rsidR="00E728BD">
        <w:rPr>
          <w:rFonts w:ascii="Book Antiqua" w:hAnsi="Book Antiqua"/>
          <w:lang w:val="es-ES"/>
        </w:rPr>
        <w:t>2</w:t>
      </w:r>
      <w:r w:rsidR="00E728BD" w:rsidRPr="009B71C9">
        <w:rPr>
          <w:rFonts w:ascii="Book Antiqua" w:hAnsi="Book Antiqua"/>
          <w:lang w:val="es-ES"/>
        </w:rPr>
        <w:t xml:space="preserve"> </w:t>
      </w:r>
      <w:r w:rsidRPr="009B71C9">
        <w:rPr>
          <w:rFonts w:ascii="Book Antiqua" w:hAnsi="Book Antiqua"/>
          <w:lang w:val="es-ES"/>
        </w:rPr>
        <w:t xml:space="preserve">profesional CACMFJ, 1 Juez Gestor, </w:t>
      </w:r>
      <w:r w:rsidR="009743EF">
        <w:rPr>
          <w:rFonts w:ascii="Book Antiqua" w:hAnsi="Book Antiqua"/>
          <w:lang w:val="es-ES"/>
        </w:rPr>
        <w:t>8</w:t>
      </w:r>
      <w:r w:rsidR="009743EF" w:rsidRPr="009B71C9">
        <w:rPr>
          <w:rFonts w:ascii="Book Antiqua" w:hAnsi="Book Antiqua"/>
          <w:lang w:val="es-ES"/>
        </w:rPr>
        <w:t xml:space="preserve"> </w:t>
      </w:r>
      <w:r w:rsidRPr="009B71C9">
        <w:rPr>
          <w:rFonts w:ascii="Book Antiqua" w:hAnsi="Book Antiqua"/>
          <w:lang w:val="es-ES"/>
        </w:rPr>
        <w:t xml:space="preserve">Jueces </w:t>
      </w:r>
      <w:r w:rsidR="009743EF">
        <w:rPr>
          <w:rFonts w:ascii="Book Antiqua" w:hAnsi="Book Antiqua"/>
          <w:lang w:val="es-ES"/>
        </w:rPr>
        <w:t xml:space="preserve">3 para </w:t>
      </w:r>
      <w:r w:rsidRPr="009B71C9">
        <w:rPr>
          <w:rFonts w:ascii="Book Antiqua" w:hAnsi="Book Antiqua"/>
          <w:lang w:val="es-ES"/>
        </w:rPr>
        <w:t xml:space="preserve">plan FA, </w:t>
      </w:r>
      <w:r w:rsidR="003240BB">
        <w:rPr>
          <w:rFonts w:ascii="Book Antiqua" w:hAnsi="Book Antiqua"/>
          <w:lang w:val="es-ES"/>
        </w:rPr>
        <w:t>VD y Niñez y Adolescencia</w:t>
      </w:r>
      <w:r w:rsidR="009743EF">
        <w:rPr>
          <w:rFonts w:ascii="Book Antiqua" w:hAnsi="Book Antiqua"/>
          <w:lang w:val="es-ES"/>
        </w:rPr>
        <w:t xml:space="preserve">, </w:t>
      </w:r>
      <w:r w:rsidR="00EC4773">
        <w:rPr>
          <w:rFonts w:ascii="Book Antiqua" w:hAnsi="Book Antiqua"/>
          <w:lang w:val="es-ES"/>
        </w:rPr>
        <w:t>12</w:t>
      </w:r>
      <w:r w:rsidR="00EC4773" w:rsidRPr="009B71C9">
        <w:rPr>
          <w:rFonts w:ascii="Book Antiqua" w:hAnsi="Book Antiqua"/>
          <w:lang w:val="es-ES"/>
        </w:rPr>
        <w:t xml:space="preserve"> </w:t>
      </w:r>
      <w:r w:rsidRPr="009B71C9">
        <w:rPr>
          <w:rFonts w:ascii="Book Antiqua" w:hAnsi="Book Antiqua"/>
          <w:lang w:val="es-ES"/>
        </w:rPr>
        <w:t xml:space="preserve">jueces </w:t>
      </w:r>
      <w:r w:rsidR="00CB5234">
        <w:rPr>
          <w:rFonts w:ascii="Book Antiqua" w:hAnsi="Book Antiqua"/>
          <w:lang w:val="es-ES"/>
        </w:rPr>
        <w:t xml:space="preserve">supernumerarios </w:t>
      </w:r>
      <w:r w:rsidR="00EC4773">
        <w:rPr>
          <w:rFonts w:ascii="Book Antiqua" w:hAnsi="Book Antiqua"/>
          <w:lang w:val="es-ES"/>
        </w:rPr>
        <w:t xml:space="preserve">para </w:t>
      </w:r>
      <w:r w:rsidRPr="009B71C9">
        <w:rPr>
          <w:rFonts w:ascii="Book Antiqua" w:hAnsi="Book Antiqua"/>
          <w:lang w:val="es-ES"/>
        </w:rPr>
        <w:t xml:space="preserve">plan PA, </w:t>
      </w:r>
      <w:r w:rsidR="00DE0777">
        <w:rPr>
          <w:rFonts w:ascii="Book Antiqua" w:hAnsi="Book Antiqua"/>
          <w:lang w:val="es-ES"/>
        </w:rPr>
        <w:t>3 jueces</w:t>
      </w:r>
      <w:r w:rsidR="000A11CF">
        <w:rPr>
          <w:rFonts w:ascii="Book Antiqua" w:hAnsi="Book Antiqua"/>
          <w:lang w:val="es-ES"/>
        </w:rPr>
        <w:t xml:space="preserve"> 4 para plan Segunda Instancia, </w:t>
      </w:r>
      <w:r w:rsidRPr="009B71C9">
        <w:rPr>
          <w:rFonts w:ascii="Book Antiqua" w:hAnsi="Book Antiqua"/>
          <w:lang w:val="es-ES"/>
        </w:rPr>
        <w:t xml:space="preserve">2 Jueces </w:t>
      </w:r>
      <w:r w:rsidR="00E37C6A">
        <w:rPr>
          <w:rFonts w:ascii="Book Antiqua" w:hAnsi="Book Antiqua"/>
          <w:lang w:val="es-ES"/>
        </w:rPr>
        <w:t xml:space="preserve">para </w:t>
      </w:r>
      <w:r w:rsidR="009A3C13">
        <w:rPr>
          <w:rFonts w:ascii="Book Antiqua" w:hAnsi="Book Antiqua"/>
          <w:lang w:val="es-ES"/>
        </w:rPr>
        <w:t xml:space="preserve">el modelo estructura </w:t>
      </w:r>
      <w:r w:rsidRPr="009B71C9">
        <w:rPr>
          <w:rFonts w:ascii="Book Antiqua" w:hAnsi="Book Antiqua"/>
          <w:lang w:val="es-ES"/>
        </w:rPr>
        <w:t>VD</w:t>
      </w:r>
      <w:r>
        <w:rPr>
          <w:rFonts w:ascii="Book Antiqua" w:hAnsi="Book Antiqua"/>
          <w:lang w:val="es-ES"/>
        </w:rPr>
        <w:t>, 10 jueces plan Apelaciones</w:t>
      </w:r>
      <w:r w:rsidRPr="009B71C9">
        <w:rPr>
          <w:rFonts w:ascii="Book Antiqua" w:hAnsi="Book Antiqua"/>
          <w:lang w:val="es-ES"/>
        </w:rPr>
        <w:t>=</w:t>
      </w:r>
      <w:r>
        <w:rPr>
          <w:rFonts w:ascii="Book Antiqua" w:hAnsi="Book Antiqua"/>
          <w:lang w:val="es-ES"/>
        </w:rPr>
        <w:t>4</w:t>
      </w:r>
      <w:r w:rsidR="00B84CFD">
        <w:rPr>
          <w:rFonts w:ascii="Book Antiqua" w:hAnsi="Book Antiqua"/>
          <w:lang w:val="es-ES"/>
        </w:rPr>
        <w:t>0</w:t>
      </w:r>
      <w:r w:rsidRPr="009B71C9">
        <w:rPr>
          <w:rFonts w:ascii="Book Antiqua" w:hAnsi="Book Antiqua"/>
          <w:lang w:val="es-ES"/>
        </w:rPr>
        <w:t xml:space="preserve"> puestos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429AA" w14:textId="68E3D724" w:rsidR="00FE7423" w:rsidRPr="00FE7423" w:rsidRDefault="00FE7423" w:rsidP="00FE7423">
    <w:pPr>
      <w:pStyle w:val="Encabezado"/>
      <w:tabs>
        <w:tab w:val="center" w:pos="8804"/>
        <w:tab w:val="right" w:pos="8875"/>
      </w:tabs>
      <w:jc w:val="center"/>
      <w:rPr>
        <w:rFonts w:ascii="Book Antiqua" w:eastAsia="Times New Roman" w:hAnsi="Book Antiqua" w:cs="Book Antiqua"/>
        <w:i/>
        <w:iCs/>
        <w:sz w:val="18"/>
        <w:szCs w:val="18"/>
        <w:lang w:eastAsia="es-ES"/>
      </w:rPr>
    </w:pPr>
    <w:r w:rsidRPr="00FE7423">
      <w:rPr>
        <w:rFonts w:ascii="Book Antiqua" w:eastAsia="Times New Roman" w:hAnsi="Book Antiqua" w:cs="Book Antiqua"/>
        <w:i/>
        <w:iCs/>
        <w:sz w:val="18"/>
        <w:szCs w:val="18"/>
        <w:lang w:eastAsia="es-ES"/>
      </w:rPr>
      <w:t>Poder Judicial – Dirección de Planificación</w:t>
    </w:r>
    <w:r w:rsidR="00000000">
      <w:rPr>
        <w:rFonts w:ascii="Times New Roman" w:eastAsia="Times New Roman" w:hAnsi="Times New Roman" w:cs="Times New Roman"/>
        <w:sz w:val="24"/>
        <w:szCs w:val="24"/>
        <w:lang w:eastAsia="es-ES"/>
      </w:rPr>
      <w:pict w14:anchorId="0A933F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pt;height:32.4pt" o:ole="">
          <v:imagedata r:id="rId1" o:title=""/>
        </v:shape>
      </w:pict>
    </w:r>
  </w:p>
  <w:p w14:paraId="10BF3873" w14:textId="77777777" w:rsidR="00FE7423" w:rsidRPr="00FE7423" w:rsidRDefault="00FE7423" w:rsidP="00FE7423">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FE7423">
      <w:rPr>
        <w:rFonts w:ascii="Book Antiqua" w:eastAsia="Times New Roman" w:hAnsi="Book Antiqua" w:cs="Book Antiqua"/>
        <w:i/>
        <w:iCs/>
        <w:sz w:val="18"/>
        <w:szCs w:val="18"/>
        <w:lang w:eastAsia="es-ES"/>
      </w:rPr>
      <w:t>San José - Costa Rica</w:t>
    </w:r>
  </w:p>
  <w:p w14:paraId="12E55784" w14:textId="77777777" w:rsidR="00FE7423" w:rsidRPr="00FE7423" w:rsidRDefault="00FE7423" w:rsidP="00FE7423">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FE7423">
      <w:rPr>
        <w:rFonts w:ascii="Book Antiqua" w:eastAsia="Times New Roman" w:hAnsi="Book Antiqua" w:cs="Book Antiqua"/>
        <w:i/>
        <w:iCs/>
        <w:sz w:val="18"/>
        <w:szCs w:val="18"/>
        <w:lang w:val="es-ES" w:eastAsia="es-ES"/>
      </w:rPr>
      <w:t xml:space="preserve">Telf.   </w:t>
    </w:r>
    <w:r w:rsidRPr="00FE7423">
      <w:rPr>
        <w:rFonts w:ascii="Book Antiqua" w:eastAsia="Times New Roman" w:hAnsi="Book Antiqua" w:cs="Book Antiqua"/>
        <w:i/>
        <w:iCs/>
        <w:sz w:val="18"/>
        <w:szCs w:val="18"/>
        <w:lang w:eastAsia="es-ES"/>
      </w:rPr>
      <w:t>2295-3600 / 3599 / Apdo.  95-1003 / planificacion@poder-judicial.go.cr</w:t>
    </w:r>
  </w:p>
  <w:p w14:paraId="035B1E3A" w14:textId="77777777" w:rsidR="00FE7423" w:rsidRPr="00FE7423" w:rsidRDefault="00FE7423" w:rsidP="00FE7423">
    <w:pPr>
      <w:pBdr>
        <w:bottom w:val="single" w:sz="6" w:space="0" w:color="auto"/>
      </w:pBdr>
      <w:spacing w:after="20" w:line="240" w:lineRule="auto"/>
      <w:jc w:val="center"/>
      <w:rPr>
        <w:rFonts w:ascii="Times New Roman" w:eastAsia="Times New Roman" w:hAnsi="Times New Roman" w:cs="Times New Roman"/>
        <w:sz w:val="20"/>
        <w:szCs w:val="20"/>
        <w:lang w:eastAsia="es-ES"/>
      </w:rPr>
    </w:pPr>
  </w:p>
  <w:p w14:paraId="1AD4E737" w14:textId="77777777" w:rsidR="00035934" w:rsidRDefault="0003593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34218BE"/>
    <w:multiLevelType w:val="hybridMultilevel"/>
    <w:tmpl w:val="AA8A1048"/>
    <w:lvl w:ilvl="0" w:tplc="05E474BC">
      <w:start w:val="1"/>
      <w:numFmt w:val="bullet"/>
      <w:lvlText w:val=""/>
      <w:lvlJc w:val="left"/>
      <w:pPr>
        <w:tabs>
          <w:tab w:val="num" w:pos="720"/>
        </w:tabs>
        <w:ind w:left="720" w:hanging="360"/>
      </w:pPr>
      <w:rPr>
        <w:rFonts w:ascii="Wingdings" w:hAnsi="Wingdings" w:hint="default"/>
      </w:rPr>
    </w:lvl>
    <w:lvl w:ilvl="1" w:tplc="F1F6F37C" w:tentative="1">
      <w:start w:val="1"/>
      <w:numFmt w:val="bullet"/>
      <w:lvlText w:val=""/>
      <w:lvlJc w:val="left"/>
      <w:pPr>
        <w:tabs>
          <w:tab w:val="num" w:pos="1440"/>
        </w:tabs>
        <w:ind w:left="1440" w:hanging="360"/>
      </w:pPr>
      <w:rPr>
        <w:rFonts w:ascii="Wingdings" w:hAnsi="Wingdings" w:hint="default"/>
      </w:rPr>
    </w:lvl>
    <w:lvl w:ilvl="2" w:tplc="784ED5CC" w:tentative="1">
      <w:start w:val="1"/>
      <w:numFmt w:val="bullet"/>
      <w:lvlText w:val=""/>
      <w:lvlJc w:val="left"/>
      <w:pPr>
        <w:tabs>
          <w:tab w:val="num" w:pos="2160"/>
        </w:tabs>
        <w:ind w:left="2160" w:hanging="360"/>
      </w:pPr>
      <w:rPr>
        <w:rFonts w:ascii="Wingdings" w:hAnsi="Wingdings" w:hint="default"/>
      </w:rPr>
    </w:lvl>
    <w:lvl w:ilvl="3" w:tplc="8BA6C10A" w:tentative="1">
      <w:start w:val="1"/>
      <w:numFmt w:val="bullet"/>
      <w:lvlText w:val=""/>
      <w:lvlJc w:val="left"/>
      <w:pPr>
        <w:tabs>
          <w:tab w:val="num" w:pos="2880"/>
        </w:tabs>
        <w:ind w:left="2880" w:hanging="360"/>
      </w:pPr>
      <w:rPr>
        <w:rFonts w:ascii="Wingdings" w:hAnsi="Wingdings" w:hint="default"/>
      </w:rPr>
    </w:lvl>
    <w:lvl w:ilvl="4" w:tplc="1CCABBAA" w:tentative="1">
      <w:start w:val="1"/>
      <w:numFmt w:val="bullet"/>
      <w:lvlText w:val=""/>
      <w:lvlJc w:val="left"/>
      <w:pPr>
        <w:tabs>
          <w:tab w:val="num" w:pos="3600"/>
        </w:tabs>
        <w:ind w:left="3600" w:hanging="360"/>
      </w:pPr>
      <w:rPr>
        <w:rFonts w:ascii="Wingdings" w:hAnsi="Wingdings" w:hint="default"/>
      </w:rPr>
    </w:lvl>
    <w:lvl w:ilvl="5" w:tplc="F14454B4" w:tentative="1">
      <w:start w:val="1"/>
      <w:numFmt w:val="bullet"/>
      <w:lvlText w:val=""/>
      <w:lvlJc w:val="left"/>
      <w:pPr>
        <w:tabs>
          <w:tab w:val="num" w:pos="4320"/>
        </w:tabs>
        <w:ind w:left="4320" w:hanging="360"/>
      </w:pPr>
      <w:rPr>
        <w:rFonts w:ascii="Wingdings" w:hAnsi="Wingdings" w:hint="default"/>
      </w:rPr>
    </w:lvl>
    <w:lvl w:ilvl="6" w:tplc="00EE21DC" w:tentative="1">
      <w:start w:val="1"/>
      <w:numFmt w:val="bullet"/>
      <w:lvlText w:val=""/>
      <w:lvlJc w:val="left"/>
      <w:pPr>
        <w:tabs>
          <w:tab w:val="num" w:pos="5040"/>
        </w:tabs>
        <w:ind w:left="5040" w:hanging="360"/>
      </w:pPr>
      <w:rPr>
        <w:rFonts w:ascii="Wingdings" w:hAnsi="Wingdings" w:hint="default"/>
      </w:rPr>
    </w:lvl>
    <w:lvl w:ilvl="7" w:tplc="7DC08BD2" w:tentative="1">
      <w:start w:val="1"/>
      <w:numFmt w:val="bullet"/>
      <w:lvlText w:val=""/>
      <w:lvlJc w:val="left"/>
      <w:pPr>
        <w:tabs>
          <w:tab w:val="num" w:pos="5760"/>
        </w:tabs>
        <w:ind w:left="5760" w:hanging="360"/>
      </w:pPr>
      <w:rPr>
        <w:rFonts w:ascii="Wingdings" w:hAnsi="Wingdings" w:hint="default"/>
      </w:rPr>
    </w:lvl>
    <w:lvl w:ilvl="8" w:tplc="778CD4D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4264EE"/>
    <w:multiLevelType w:val="multilevel"/>
    <w:tmpl w:val="80BE8A4E"/>
    <w:lvl w:ilvl="0">
      <w:start w:val="9"/>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704F6D"/>
    <w:multiLevelType w:val="hybridMultilevel"/>
    <w:tmpl w:val="9DF2B8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105000"/>
    <w:multiLevelType w:val="hybridMultilevel"/>
    <w:tmpl w:val="997A57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284CF5"/>
    <w:multiLevelType w:val="hybridMultilevel"/>
    <w:tmpl w:val="9C56000C"/>
    <w:lvl w:ilvl="0" w:tplc="140A0001">
      <w:start w:val="1"/>
      <w:numFmt w:val="bullet"/>
      <w:lvlText w:val=""/>
      <w:lvlJc w:val="left"/>
      <w:pPr>
        <w:ind w:left="1077" w:hanging="360"/>
      </w:pPr>
      <w:rPr>
        <w:rFonts w:ascii="Symbol" w:hAnsi="Symbol" w:hint="default"/>
      </w:rPr>
    </w:lvl>
    <w:lvl w:ilvl="1" w:tplc="140A0003" w:tentative="1">
      <w:start w:val="1"/>
      <w:numFmt w:val="bullet"/>
      <w:lvlText w:val="o"/>
      <w:lvlJc w:val="left"/>
      <w:pPr>
        <w:ind w:left="1797" w:hanging="360"/>
      </w:pPr>
      <w:rPr>
        <w:rFonts w:ascii="Courier New" w:hAnsi="Courier New" w:cs="Courier New" w:hint="default"/>
      </w:rPr>
    </w:lvl>
    <w:lvl w:ilvl="2" w:tplc="140A0005" w:tentative="1">
      <w:start w:val="1"/>
      <w:numFmt w:val="bullet"/>
      <w:lvlText w:val=""/>
      <w:lvlJc w:val="left"/>
      <w:pPr>
        <w:ind w:left="2517" w:hanging="360"/>
      </w:pPr>
      <w:rPr>
        <w:rFonts w:ascii="Wingdings" w:hAnsi="Wingdings" w:hint="default"/>
      </w:rPr>
    </w:lvl>
    <w:lvl w:ilvl="3" w:tplc="140A0001" w:tentative="1">
      <w:start w:val="1"/>
      <w:numFmt w:val="bullet"/>
      <w:lvlText w:val=""/>
      <w:lvlJc w:val="left"/>
      <w:pPr>
        <w:ind w:left="3237" w:hanging="360"/>
      </w:pPr>
      <w:rPr>
        <w:rFonts w:ascii="Symbol" w:hAnsi="Symbol" w:hint="default"/>
      </w:rPr>
    </w:lvl>
    <w:lvl w:ilvl="4" w:tplc="140A0003" w:tentative="1">
      <w:start w:val="1"/>
      <w:numFmt w:val="bullet"/>
      <w:lvlText w:val="o"/>
      <w:lvlJc w:val="left"/>
      <w:pPr>
        <w:ind w:left="3957" w:hanging="360"/>
      </w:pPr>
      <w:rPr>
        <w:rFonts w:ascii="Courier New" w:hAnsi="Courier New" w:cs="Courier New" w:hint="default"/>
      </w:rPr>
    </w:lvl>
    <w:lvl w:ilvl="5" w:tplc="140A0005" w:tentative="1">
      <w:start w:val="1"/>
      <w:numFmt w:val="bullet"/>
      <w:lvlText w:val=""/>
      <w:lvlJc w:val="left"/>
      <w:pPr>
        <w:ind w:left="4677" w:hanging="360"/>
      </w:pPr>
      <w:rPr>
        <w:rFonts w:ascii="Wingdings" w:hAnsi="Wingdings" w:hint="default"/>
      </w:rPr>
    </w:lvl>
    <w:lvl w:ilvl="6" w:tplc="140A0001" w:tentative="1">
      <w:start w:val="1"/>
      <w:numFmt w:val="bullet"/>
      <w:lvlText w:val=""/>
      <w:lvlJc w:val="left"/>
      <w:pPr>
        <w:ind w:left="5397" w:hanging="360"/>
      </w:pPr>
      <w:rPr>
        <w:rFonts w:ascii="Symbol" w:hAnsi="Symbol" w:hint="default"/>
      </w:rPr>
    </w:lvl>
    <w:lvl w:ilvl="7" w:tplc="140A0003" w:tentative="1">
      <w:start w:val="1"/>
      <w:numFmt w:val="bullet"/>
      <w:lvlText w:val="o"/>
      <w:lvlJc w:val="left"/>
      <w:pPr>
        <w:ind w:left="6117" w:hanging="360"/>
      </w:pPr>
      <w:rPr>
        <w:rFonts w:ascii="Courier New" w:hAnsi="Courier New" w:cs="Courier New" w:hint="default"/>
      </w:rPr>
    </w:lvl>
    <w:lvl w:ilvl="8" w:tplc="140A0005" w:tentative="1">
      <w:start w:val="1"/>
      <w:numFmt w:val="bullet"/>
      <w:lvlText w:val=""/>
      <w:lvlJc w:val="left"/>
      <w:pPr>
        <w:ind w:left="6837" w:hanging="360"/>
      </w:pPr>
      <w:rPr>
        <w:rFonts w:ascii="Wingdings" w:hAnsi="Wingdings" w:hint="default"/>
      </w:rPr>
    </w:lvl>
  </w:abstractNum>
  <w:abstractNum w:abstractNumId="7" w15:restartNumberingAfterBreak="0">
    <w:nsid w:val="0E2C4F7C"/>
    <w:multiLevelType w:val="hybridMultilevel"/>
    <w:tmpl w:val="10F60EA2"/>
    <w:lvl w:ilvl="0" w:tplc="140A0001">
      <w:start w:val="1"/>
      <w:numFmt w:val="bullet"/>
      <w:lvlText w:val=""/>
      <w:lvlJc w:val="left"/>
      <w:pPr>
        <w:ind w:left="928" w:hanging="360"/>
      </w:pPr>
      <w:rPr>
        <w:rFonts w:ascii="Symbol" w:hAnsi="Symbol" w:hint="default"/>
      </w:rPr>
    </w:lvl>
    <w:lvl w:ilvl="1" w:tplc="140A0003">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8" w15:restartNumberingAfterBreak="0">
    <w:nsid w:val="0FCD5830"/>
    <w:multiLevelType w:val="hybridMultilevel"/>
    <w:tmpl w:val="C77C76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1" w15:restartNumberingAfterBreak="0">
    <w:nsid w:val="20686D82"/>
    <w:multiLevelType w:val="hybridMultilevel"/>
    <w:tmpl w:val="3B6E3D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25C6245"/>
    <w:multiLevelType w:val="hybridMultilevel"/>
    <w:tmpl w:val="76480C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56D050B"/>
    <w:multiLevelType w:val="hybridMultilevel"/>
    <w:tmpl w:val="72D24F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61C3CB5"/>
    <w:multiLevelType w:val="hybridMultilevel"/>
    <w:tmpl w:val="7590B8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D5A0184"/>
    <w:multiLevelType w:val="multilevel"/>
    <w:tmpl w:val="C840D84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1733D79"/>
    <w:multiLevelType w:val="hybridMultilevel"/>
    <w:tmpl w:val="ECD64B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0" w15:restartNumberingAfterBreak="0">
    <w:nsid w:val="374E67D7"/>
    <w:multiLevelType w:val="hybridMultilevel"/>
    <w:tmpl w:val="54B87DA8"/>
    <w:lvl w:ilvl="0" w:tplc="140A0001">
      <w:start w:val="1"/>
      <w:numFmt w:val="bullet"/>
      <w:lvlText w:val=""/>
      <w:lvlJc w:val="left"/>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9035A0F"/>
    <w:multiLevelType w:val="hybridMultilevel"/>
    <w:tmpl w:val="B22CC2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D6F7904"/>
    <w:multiLevelType w:val="multilevel"/>
    <w:tmpl w:val="9BC2D366"/>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E18646E"/>
    <w:multiLevelType w:val="hybridMultilevel"/>
    <w:tmpl w:val="2F229C04"/>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4C745CB"/>
    <w:multiLevelType w:val="hybridMultilevel"/>
    <w:tmpl w:val="849AA2CA"/>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7"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68633C5"/>
    <w:multiLevelType w:val="multilevel"/>
    <w:tmpl w:val="2D3CE2C4"/>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47C5224E"/>
    <w:multiLevelType w:val="hybridMultilevel"/>
    <w:tmpl w:val="12F0BE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4DE101C7"/>
    <w:multiLevelType w:val="multilevel"/>
    <w:tmpl w:val="24FC37D6"/>
    <w:name w:val="List1183154982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32"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573566EF"/>
    <w:multiLevelType w:val="hybridMultilevel"/>
    <w:tmpl w:val="C0E824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58B56337"/>
    <w:multiLevelType w:val="multilevel"/>
    <w:tmpl w:val="EF74B380"/>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945715F"/>
    <w:multiLevelType w:val="hybridMultilevel"/>
    <w:tmpl w:val="8A58EA0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59E56994"/>
    <w:multiLevelType w:val="hybridMultilevel"/>
    <w:tmpl w:val="2176EE9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8"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624F474C"/>
    <w:multiLevelType w:val="multilevel"/>
    <w:tmpl w:val="026EB250"/>
    <w:lvl w:ilvl="0">
      <w:start w:val="12"/>
      <w:numFmt w:val="decimal"/>
      <w:lvlText w:val="%1."/>
      <w:lvlJc w:val="left"/>
      <w:pPr>
        <w:ind w:left="480" w:hanging="480"/>
      </w:pPr>
      <w:rPr>
        <w:rFonts w:eastAsia="Calibri" w:cs="Arial" w:hint="default"/>
      </w:rPr>
    </w:lvl>
    <w:lvl w:ilvl="1">
      <w:start w:val="1"/>
      <w:numFmt w:val="decimal"/>
      <w:lvlText w:val="%1.%2."/>
      <w:lvlJc w:val="left"/>
      <w:pPr>
        <w:ind w:left="720" w:hanging="720"/>
      </w:pPr>
      <w:rPr>
        <w:rFonts w:eastAsia="Calibri" w:cs="Arial" w:hint="default"/>
      </w:rPr>
    </w:lvl>
    <w:lvl w:ilvl="2">
      <w:start w:val="1"/>
      <w:numFmt w:val="decimal"/>
      <w:lvlText w:val="%1.%2.%3."/>
      <w:lvlJc w:val="left"/>
      <w:pPr>
        <w:ind w:left="720" w:hanging="720"/>
      </w:pPr>
      <w:rPr>
        <w:rFonts w:eastAsia="Calibri" w:cs="Arial" w:hint="default"/>
      </w:rPr>
    </w:lvl>
    <w:lvl w:ilvl="3">
      <w:start w:val="1"/>
      <w:numFmt w:val="decimal"/>
      <w:lvlText w:val="%1.%2.%3.%4."/>
      <w:lvlJc w:val="left"/>
      <w:pPr>
        <w:ind w:left="1080" w:hanging="1080"/>
      </w:pPr>
      <w:rPr>
        <w:rFonts w:eastAsia="Calibri" w:cs="Arial" w:hint="default"/>
      </w:rPr>
    </w:lvl>
    <w:lvl w:ilvl="4">
      <w:start w:val="1"/>
      <w:numFmt w:val="decimal"/>
      <w:lvlText w:val="%1.%2.%3.%4.%5."/>
      <w:lvlJc w:val="left"/>
      <w:pPr>
        <w:ind w:left="1440" w:hanging="1440"/>
      </w:pPr>
      <w:rPr>
        <w:rFonts w:eastAsia="Calibri" w:cs="Arial" w:hint="default"/>
      </w:rPr>
    </w:lvl>
    <w:lvl w:ilvl="5">
      <w:start w:val="1"/>
      <w:numFmt w:val="decimal"/>
      <w:lvlText w:val="%1.%2.%3.%4.%5.%6."/>
      <w:lvlJc w:val="left"/>
      <w:pPr>
        <w:ind w:left="1440" w:hanging="1440"/>
      </w:pPr>
      <w:rPr>
        <w:rFonts w:eastAsia="Calibri" w:cs="Arial" w:hint="default"/>
      </w:rPr>
    </w:lvl>
    <w:lvl w:ilvl="6">
      <w:start w:val="1"/>
      <w:numFmt w:val="decimal"/>
      <w:lvlText w:val="%1.%2.%3.%4.%5.%6.%7."/>
      <w:lvlJc w:val="left"/>
      <w:pPr>
        <w:ind w:left="1800" w:hanging="1800"/>
      </w:pPr>
      <w:rPr>
        <w:rFonts w:eastAsia="Calibri" w:cs="Arial" w:hint="default"/>
      </w:rPr>
    </w:lvl>
    <w:lvl w:ilvl="7">
      <w:start w:val="1"/>
      <w:numFmt w:val="decimal"/>
      <w:lvlText w:val="%1.%2.%3.%4.%5.%6.%7.%8."/>
      <w:lvlJc w:val="left"/>
      <w:pPr>
        <w:ind w:left="2160" w:hanging="2160"/>
      </w:pPr>
      <w:rPr>
        <w:rFonts w:eastAsia="Calibri" w:cs="Arial" w:hint="default"/>
      </w:rPr>
    </w:lvl>
    <w:lvl w:ilvl="8">
      <w:start w:val="1"/>
      <w:numFmt w:val="decimal"/>
      <w:lvlText w:val="%1.%2.%3.%4.%5.%6.%7.%8.%9."/>
      <w:lvlJc w:val="left"/>
      <w:pPr>
        <w:ind w:left="2160" w:hanging="2160"/>
      </w:pPr>
      <w:rPr>
        <w:rFonts w:eastAsia="Calibri" w:cs="Arial" w:hint="default"/>
      </w:rPr>
    </w:lvl>
  </w:abstractNum>
  <w:abstractNum w:abstractNumId="40" w15:restartNumberingAfterBreak="0">
    <w:nsid w:val="64FA1BE3"/>
    <w:multiLevelType w:val="multilevel"/>
    <w:tmpl w:val="205E15CA"/>
    <w:styleLink w:val="Estilo1"/>
    <w:lvl w:ilvl="0">
      <w:start w:val="1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68FE2513"/>
    <w:multiLevelType w:val="hybridMultilevel"/>
    <w:tmpl w:val="E9D2C5F6"/>
    <w:lvl w:ilvl="0" w:tplc="140A0001">
      <w:start w:val="1"/>
      <w:numFmt w:val="bullet"/>
      <w:lvlText w:val=""/>
      <w:lvlJc w:val="left"/>
      <w:pPr>
        <w:ind w:left="775" w:hanging="360"/>
      </w:pPr>
      <w:rPr>
        <w:rFonts w:ascii="Symbol" w:hAnsi="Symbol" w:hint="default"/>
      </w:rPr>
    </w:lvl>
    <w:lvl w:ilvl="1" w:tplc="140A0003" w:tentative="1">
      <w:start w:val="1"/>
      <w:numFmt w:val="bullet"/>
      <w:lvlText w:val="o"/>
      <w:lvlJc w:val="left"/>
      <w:pPr>
        <w:ind w:left="1495" w:hanging="360"/>
      </w:pPr>
      <w:rPr>
        <w:rFonts w:ascii="Courier New" w:hAnsi="Courier New" w:cs="Courier New" w:hint="default"/>
      </w:rPr>
    </w:lvl>
    <w:lvl w:ilvl="2" w:tplc="140A0005" w:tentative="1">
      <w:start w:val="1"/>
      <w:numFmt w:val="bullet"/>
      <w:lvlText w:val=""/>
      <w:lvlJc w:val="left"/>
      <w:pPr>
        <w:ind w:left="2215" w:hanging="360"/>
      </w:pPr>
      <w:rPr>
        <w:rFonts w:ascii="Wingdings" w:hAnsi="Wingdings" w:hint="default"/>
      </w:rPr>
    </w:lvl>
    <w:lvl w:ilvl="3" w:tplc="140A0001" w:tentative="1">
      <w:start w:val="1"/>
      <w:numFmt w:val="bullet"/>
      <w:lvlText w:val=""/>
      <w:lvlJc w:val="left"/>
      <w:pPr>
        <w:ind w:left="2935" w:hanging="360"/>
      </w:pPr>
      <w:rPr>
        <w:rFonts w:ascii="Symbol" w:hAnsi="Symbol" w:hint="default"/>
      </w:rPr>
    </w:lvl>
    <w:lvl w:ilvl="4" w:tplc="140A0003" w:tentative="1">
      <w:start w:val="1"/>
      <w:numFmt w:val="bullet"/>
      <w:lvlText w:val="o"/>
      <w:lvlJc w:val="left"/>
      <w:pPr>
        <w:ind w:left="3655" w:hanging="360"/>
      </w:pPr>
      <w:rPr>
        <w:rFonts w:ascii="Courier New" w:hAnsi="Courier New" w:cs="Courier New" w:hint="default"/>
      </w:rPr>
    </w:lvl>
    <w:lvl w:ilvl="5" w:tplc="140A0005" w:tentative="1">
      <w:start w:val="1"/>
      <w:numFmt w:val="bullet"/>
      <w:lvlText w:val=""/>
      <w:lvlJc w:val="left"/>
      <w:pPr>
        <w:ind w:left="4375" w:hanging="360"/>
      </w:pPr>
      <w:rPr>
        <w:rFonts w:ascii="Wingdings" w:hAnsi="Wingdings" w:hint="default"/>
      </w:rPr>
    </w:lvl>
    <w:lvl w:ilvl="6" w:tplc="140A0001" w:tentative="1">
      <w:start w:val="1"/>
      <w:numFmt w:val="bullet"/>
      <w:lvlText w:val=""/>
      <w:lvlJc w:val="left"/>
      <w:pPr>
        <w:ind w:left="5095" w:hanging="360"/>
      </w:pPr>
      <w:rPr>
        <w:rFonts w:ascii="Symbol" w:hAnsi="Symbol" w:hint="default"/>
      </w:rPr>
    </w:lvl>
    <w:lvl w:ilvl="7" w:tplc="140A0003" w:tentative="1">
      <w:start w:val="1"/>
      <w:numFmt w:val="bullet"/>
      <w:lvlText w:val="o"/>
      <w:lvlJc w:val="left"/>
      <w:pPr>
        <w:ind w:left="5815" w:hanging="360"/>
      </w:pPr>
      <w:rPr>
        <w:rFonts w:ascii="Courier New" w:hAnsi="Courier New" w:cs="Courier New" w:hint="default"/>
      </w:rPr>
    </w:lvl>
    <w:lvl w:ilvl="8" w:tplc="140A0005" w:tentative="1">
      <w:start w:val="1"/>
      <w:numFmt w:val="bullet"/>
      <w:lvlText w:val=""/>
      <w:lvlJc w:val="left"/>
      <w:pPr>
        <w:ind w:left="6535" w:hanging="360"/>
      </w:pPr>
      <w:rPr>
        <w:rFonts w:ascii="Wingdings" w:hAnsi="Wingdings" w:hint="default"/>
      </w:rPr>
    </w:lvl>
  </w:abstractNum>
  <w:abstractNum w:abstractNumId="43" w15:restartNumberingAfterBreak="0">
    <w:nsid w:val="69DD7EEF"/>
    <w:multiLevelType w:val="hybridMultilevel"/>
    <w:tmpl w:val="4A5E5C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6D436910"/>
    <w:multiLevelType w:val="hybridMultilevel"/>
    <w:tmpl w:val="D1D2E4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6EA2023F"/>
    <w:multiLevelType w:val="hybridMultilevel"/>
    <w:tmpl w:val="2B04A3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711341EC"/>
    <w:multiLevelType w:val="hybridMultilevel"/>
    <w:tmpl w:val="7C8A19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74F1075C"/>
    <w:multiLevelType w:val="hybridMultilevel"/>
    <w:tmpl w:val="D6B6B4FC"/>
    <w:lvl w:ilvl="0" w:tplc="2598ABDE">
      <w:start w:val="1"/>
      <w:numFmt w:val="decimal"/>
      <w:lvlText w:val="%1)"/>
      <w:lvlJc w:val="left"/>
      <w:pPr>
        <w:ind w:left="750" w:hanging="390"/>
      </w:pPr>
      <w:rPr>
        <w:rFonts w:hint="default"/>
        <w:b/>
        <w:i/>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754A5D1F"/>
    <w:multiLevelType w:val="multilevel"/>
    <w:tmpl w:val="2558E7EB"/>
    <w:name w:val="List1194553348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49" w15:restartNumberingAfterBreak="0">
    <w:nsid w:val="754A5D20"/>
    <w:multiLevelType w:val="multilevel"/>
    <w:tmpl w:val="2558E7EC"/>
    <w:name w:val="List1196789101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50" w15:restartNumberingAfterBreak="0">
    <w:nsid w:val="754A5D21"/>
    <w:multiLevelType w:val="multilevel"/>
    <w:tmpl w:val="4D6A2F75"/>
    <w:name w:val="List1197488935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51" w15:restartNumberingAfterBreak="0">
    <w:nsid w:val="754A5D22"/>
    <w:multiLevelType w:val="multilevel"/>
    <w:tmpl w:val="4D6A2F76"/>
    <w:name w:val="List1197488949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52"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53" w15:restartNumberingAfterBreak="0">
    <w:nsid w:val="7C150630"/>
    <w:multiLevelType w:val="hybridMultilevel"/>
    <w:tmpl w:val="E500D9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7CC26863"/>
    <w:multiLevelType w:val="multilevel"/>
    <w:tmpl w:val="C3BC8CBC"/>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suff w:val="space"/>
      <w:lvlText w:val="%1.%2"/>
      <w:lvlJc w:val="left"/>
      <w:pPr>
        <w:ind w:left="576" w:hanging="576"/>
      </w:pPr>
      <w:rPr>
        <w:rFonts w:hint="default"/>
      </w:rPr>
    </w:lvl>
    <w:lvl w:ilvl="2">
      <w:start w:val="1"/>
      <w:numFmt w:val="decimal"/>
      <w:pStyle w:val="Ttulo2"/>
      <w:lvlText w:val="%3."/>
      <w:lvlJc w:val="left"/>
      <w:pPr>
        <w:ind w:left="360" w:hanging="360"/>
      </w:p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16cid:durableId="932125610">
    <w:abstractNumId w:val="54"/>
  </w:num>
  <w:num w:numId="2" w16cid:durableId="667827687">
    <w:abstractNumId w:val="16"/>
  </w:num>
  <w:num w:numId="3" w16cid:durableId="665128917">
    <w:abstractNumId w:val="41"/>
  </w:num>
  <w:num w:numId="4" w16cid:durableId="296957143">
    <w:abstractNumId w:val="20"/>
  </w:num>
  <w:num w:numId="5" w16cid:durableId="1205604456">
    <w:abstractNumId w:val="28"/>
  </w:num>
  <w:num w:numId="6" w16cid:durableId="1824346021">
    <w:abstractNumId w:val="9"/>
  </w:num>
  <w:num w:numId="7" w16cid:durableId="2055956679">
    <w:abstractNumId w:val="47"/>
  </w:num>
  <w:num w:numId="8" w16cid:durableId="1994406413">
    <w:abstractNumId w:val="37"/>
  </w:num>
  <w:num w:numId="9" w16cid:durableId="1264805860">
    <w:abstractNumId w:val="0"/>
  </w:num>
  <w:num w:numId="10" w16cid:durableId="609581158">
    <w:abstractNumId w:val="24"/>
  </w:num>
  <w:num w:numId="11" w16cid:durableId="90703126">
    <w:abstractNumId w:val="32"/>
  </w:num>
  <w:num w:numId="12" w16cid:durableId="889415231">
    <w:abstractNumId w:val="10"/>
  </w:num>
  <w:num w:numId="13" w16cid:durableId="164441632">
    <w:abstractNumId w:val="27"/>
  </w:num>
  <w:num w:numId="14" w16cid:durableId="823738225">
    <w:abstractNumId w:val="13"/>
  </w:num>
  <w:num w:numId="15" w16cid:durableId="1509099611">
    <w:abstractNumId w:val="36"/>
  </w:num>
  <w:num w:numId="16" w16cid:durableId="1215198921">
    <w:abstractNumId w:val="29"/>
  </w:num>
  <w:num w:numId="17" w16cid:durableId="1686249495">
    <w:abstractNumId w:val="33"/>
  </w:num>
  <w:num w:numId="18" w16cid:durableId="2071612661">
    <w:abstractNumId w:val="11"/>
  </w:num>
  <w:num w:numId="19" w16cid:durableId="431707357">
    <w:abstractNumId w:val="6"/>
  </w:num>
  <w:num w:numId="20" w16cid:durableId="135682072">
    <w:abstractNumId w:val="46"/>
  </w:num>
  <w:num w:numId="21" w16cid:durableId="789789322">
    <w:abstractNumId w:val="44"/>
  </w:num>
  <w:num w:numId="22" w16cid:durableId="2129623990">
    <w:abstractNumId w:val="54"/>
    <w:lvlOverride w:ilvl="0">
      <w:startOverride w:val="5"/>
    </w:lvlOverride>
  </w:num>
  <w:num w:numId="23" w16cid:durableId="1253777263">
    <w:abstractNumId w:val="25"/>
  </w:num>
  <w:num w:numId="24" w16cid:durableId="1670403888">
    <w:abstractNumId w:val="18"/>
  </w:num>
  <w:num w:numId="25" w16cid:durableId="1500778982">
    <w:abstractNumId w:val="21"/>
  </w:num>
  <w:num w:numId="26" w16cid:durableId="1978141117">
    <w:abstractNumId w:val="5"/>
  </w:num>
  <w:num w:numId="27" w16cid:durableId="399866869">
    <w:abstractNumId w:val="19"/>
  </w:num>
  <w:num w:numId="28" w16cid:durableId="1520194357">
    <w:abstractNumId w:val="38"/>
  </w:num>
  <w:num w:numId="29" w16cid:durableId="855772740">
    <w:abstractNumId w:val="52"/>
  </w:num>
  <w:num w:numId="30" w16cid:durableId="531725934">
    <w:abstractNumId w:val="17"/>
  </w:num>
  <w:num w:numId="31" w16cid:durableId="56562097">
    <w:abstractNumId w:val="40"/>
  </w:num>
  <w:num w:numId="32" w16cid:durableId="822162799">
    <w:abstractNumId w:val="42"/>
  </w:num>
  <w:num w:numId="33" w16cid:durableId="1592859060">
    <w:abstractNumId w:val="12"/>
  </w:num>
  <w:num w:numId="34" w16cid:durableId="488057191">
    <w:abstractNumId w:val="7"/>
  </w:num>
  <w:num w:numId="35" w16cid:durableId="784812934">
    <w:abstractNumId w:val="53"/>
  </w:num>
  <w:num w:numId="36" w16cid:durableId="870150233">
    <w:abstractNumId w:val="43"/>
  </w:num>
  <w:num w:numId="37" w16cid:durableId="1221742933">
    <w:abstractNumId w:val="15"/>
  </w:num>
  <w:num w:numId="38" w16cid:durableId="45374703">
    <w:abstractNumId w:val="3"/>
  </w:num>
  <w:num w:numId="39" w16cid:durableId="1610116226">
    <w:abstractNumId w:val="22"/>
  </w:num>
  <w:num w:numId="40" w16cid:durableId="1164976866">
    <w:abstractNumId w:val="23"/>
  </w:num>
  <w:num w:numId="41" w16cid:durableId="1776439874">
    <w:abstractNumId w:val="45"/>
  </w:num>
  <w:num w:numId="42" w16cid:durableId="368645053">
    <w:abstractNumId w:val="4"/>
  </w:num>
  <w:num w:numId="43" w16cid:durableId="2092702602">
    <w:abstractNumId w:val="1"/>
  </w:num>
  <w:num w:numId="44" w16cid:durableId="793135346">
    <w:abstractNumId w:val="30"/>
  </w:num>
  <w:num w:numId="45" w16cid:durableId="755250729">
    <w:abstractNumId w:val="8"/>
  </w:num>
  <w:num w:numId="46" w16cid:durableId="272061154">
    <w:abstractNumId w:val="54"/>
  </w:num>
  <w:num w:numId="47" w16cid:durableId="100806890">
    <w:abstractNumId w:val="54"/>
  </w:num>
  <w:num w:numId="48" w16cid:durableId="463542196">
    <w:abstractNumId w:val="2"/>
  </w:num>
  <w:num w:numId="49" w16cid:durableId="1065490314">
    <w:abstractNumId w:val="34"/>
  </w:num>
  <w:num w:numId="50" w16cid:durableId="1496533723">
    <w:abstractNumId w:val="35"/>
  </w:num>
  <w:num w:numId="51" w16cid:durableId="1200242492">
    <w:abstractNumId w:val="14"/>
  </w:num>
  <w:num w:numId="52" w16cid:durableId="1691685668">
    <w:abstractNumId w:val="54"/>
    <w:lvlOverride w:ilvl="0">
      <w:startOverride w:val="12"/>
    </w:lvlOverride>
  </w:num>
  <w:num w:numId="53" w16cid:durableId="304431925">
    <w:abstractNumId w:val="39"/>
  </w:num>
  <w:num w:numId="54" w16cid:durableId="1485468904">
    <w:abstractNumId w:val="2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5D1"/>
    <w:rsid w:val="00000A15"/>
    <w:rsid w:val="000012B5"/>
    <w:rsid w:val="00001F2F"/>
    <w:rsid w:val="0000224A"/>
    <w:rsid w:val="00002B23"/>
    <w:rsid w:val="000034BF"/>
    <w:rsid w:val="00003FFC"/>
    <w:rsid w:val="000041CA"/>
    <w:rsid w:val="0000446B"/>
    <w:rsid w:val="000047FE"/>
    <w:rsid w:val="00005269"/>
    <w:rsid w:val="000052A9"/>
    <w:rsid w:val="00005309"/>
    <w:rsid w:val="000057E4"/>
    <w:rsid w:val="00005CDE"/>
    <w:rsid w:val="00005FA9"/>
    <w:rsid w:val="000069A7"/>
    <w:rsid w:val="00006DE2"/>
    <w:rsid w:val="00006F6C"/>
    <w:rsid w:val="00007130"/>
    <w:rsid w:val="0000734D"/>
    <w:rsid w:val="00007BA0"/>
    <w:rsid w:val="0001082E"/>
    <w:rsid w:val="000108F6"/>
    <w:rsid w:val="0001202E"/>
    <w:rsid w:val="00012593"/>
    <w:rsid w:val="000130F6"/>
    <w:rsid w:val="000131B2"/>
    <w:rsid w:val="00014416"/>
    <w:rsid w:val="000148BC"/>
    <w:rsid w:val="00014F41"/>
    <w:rsid w:val="000150A9"/>
    <w:rsid w:val="00015673"/>
    <w:rsid w:val="0001593C"/>
    <w:rsid w:val="00015E9B"/>
    <w:rsid w:val="0001700D"/>
    <w:rsid w:val="00017295"/>
    <w:rsid w:val="00017480"/>
    <w:rsid w:val="00017967"/>
    <w:rsid w:val="00017F5A"/>
    <w:rsid w:val="00020508"/>
    <w:rsid w:val="00020532"/>
    <w:rsid w:val="00020F9E"/>
    <w:rsid w:val="00021A0A"/>
    <w:rsid w:val="00021A44"/>
    <w:rsid w:val="00021A7E"/>
    <w:rsid w:val="00021C0F"/>
    <w:rsid w:val="00021F61"/>
    <w:rsid w:val="00021FAB"/>
    <w:rsid w:val="000224E5"/>
    <w:rsid w:val="00022ED0"/>
    <w:rsid w:val="000233B7"/>
    <w:rsid w:val="00023558"/>
    <w:rsid w:val="00023F0B"/>
    <w:rsid w:val="00024278"/>
    <w:rsid w:val="00024BE3"/>
    <w:rsid w:val="00024C0F"/>
    <w:rsid w:val="0002521D"/>
    <w:rsid w:val="00025A42"/>
    <w:rsid w:val="00026705"/>
    <w:rsid w:val="00026A8D"/>
    <w:rsid w:val="00026CE3"/>
    <w:rsid w:val="00026D20"/>
    <w:rsid w:val="000271A2"/>
    <w:rsid w:val="00030344"/>
    <w:rsid w:val="000306FA"/>
    <w:rsid w:val="00030CBA"/>
    <w:rsid w:val="00032565"/>
    <w:rsid w:val="000330F0"/>
    <w:rsid w:val="00033B8C"/>
    <w:rsid w:val="00033F56"/>
    <w:rsid w:val="00034EB7"/>
    <w:rsid w:val="000352E8"/>
    <w:rsid w:val="00035487"/>
    <w:rsid w:val="00035934"/>
    <w:rsid w:val="00035AF6"/>
    <w:rsid w:val="00035CF6"/>
    <w:rsid w:val="00035DA0"/>
    <w:rsid w:val="00036364"/>
    <w:rsid w:val="00036971"/>
    <w:rsid w:val="00036974"/>
    <w:rsid w:val="00036A55"/>
    <w:rsid w:val="00036F7A"/>
    <w:rsid w:val="000379A3"/>
    <w:rsid w:val="00037B10"/>
    <w:rsid w:val="00037D5A"/>
    <w:rsid w:val="00040602"/>
    <w:rsid w:val="00040A5C"/>
    <w:rsid w:val="00041C09"/>
    <w:rsid w:val="00041CEB"/>
    <w:rsid w:val="00042225"/>
    <w:rsid w:val="000426FF"/>
    <w:rsid w:val="00042C64"/>
    <w:rsid w:val="000439A6"/>
    <w:rsid w:val="00043B61"/>
    <w:rsid w:val="00043D0C"/>
    <w:rsid w:val="00043F17"/>
    <w:rsid w:val="00044043"/>
    <w:rsid w:val="00044AC3"/>
    <w:rsid w:val="00044B01"/>
    <w:rsid w:val="0004535C"/>
    <w:rsid w:val="00045505"/>
    <w:rsid w:val="0004556C"/>
    <w:rsid w:val="00045974"/>
    <w:rsid w:val="00045B73"/>
    <w:rsid w:val="00045C7B"/>
    <w:rsid w:val="00045F5B"/>
    <w:rsid w:val="00046002"/>
    <w:rsid w:val="000460B6"/>
    <w:rsid w:val="000464DA"/>
    <w:rsid w:val="000474DB"/>
    <w:rsid w:val="00047706"/>
    <w:rsid w:val="0005009F"/>
    <w:rsid w:val="000507C8"/>
    <w:rsid w:val="0005081C"/>
    <w:rsid w:val="00050A00"/>
    <w:rsid w:val="00050D25"/>
    <w:rsid w:val="000511CF"/>
    <w:rsid w:val="00051AAF"/>
    <w:rsid w:val="00052220"/>
    <w:rsid w:val="00052FA0"/>
    <w:rsid w:val="000530AB"/>
    <w:rsid w:val="000530C0"/>
    <w:rsid w:val="00053578"/>
    <w:rsid w:val="00054B06"/>
    <w:rsid w:val="00055ECF"/>
    <w:rsid w:val="000562A5"/>
    <w:rsid w:val="00056442"/>
    <w:rsid w:val="00056578"/>
    <w:rsid w:val="00057275"/>
    <w:rsid w:val="000607D6"/>
    <w:rsid w:val="000611D4"/>
    <w:rsid w:val="0006184F"/>
    <w:rsid w:val="000625D9"/>
    <w:rsid w:val="00062792"/>
    <w:rsid w:val="00062D2A"/>
    <w:rsid w:val="00062EEC"/>
    <w:rsid w:val="00063BE5"/>
    <w:rsid w:val="00064254"/>
    <w:rsid w:val="000645CE"/>
    <w:rsid w:val="00065203"/>
    <w:rsid w:val="00066E59"/>
    <w:rsid w:val="00067F9C"/>
    <w:rsid w:val="00067FBC"/>
    <w:rsid w:val="00071171"/>
    <w:rsid w:val="000712B7"/>
    <w:rsid w:val="00071761"/>
    <w:rsid w:val="000717AA"/>
    <w:rsid w:val="00072069"/>
    <w:rsid w:val="000727BD"/>
    <w:rsid w:val="000735EA"/>
    <w:rsid w:val="00073719"/>
    <w:rsid w:val="00073A93"/>
    <w:rsid w:val="00073BED"/>
    <w:rsid w:val="00073E67"/>
    <w:rsid w:val="0007461A"/>
    <w:rsid w:val="00076115"/>
    <w:rsid w:val="00076547"/>
    <w:rsid w:val="00076886"/>
    <w:rsid w:val="00076E7E"/>
    <w:rsid w:val="00076F20"/>
    <w:rsid w:val="000776B9"/>
    <w:rsid w:val="00077AC4"/>
    <w:rsid w:val="00077CF2"/>
    <w:rsid w:val="00077F09"/>
    <w:rsid w:val="00080B94"/>
    <w:rsid w:val="00081148"/>
    <w:rsid w:val="000819A3"/>
    <w:rsid w:val="00081D82"/>
    <w:rsid w:val="00081FC2"/>
    <w:rsid w:val="0008308E"/>
    <w:rsid w:val="00083201"/>
    <w:rsid w:val="0008345B"/>
    <w:rsid w:val="00083D33"/>
    <w:rsid w:val="000843DA"/>
    <w:rsid w:val="000847EB"/>
    <w:rsid w:val="00084B02"/>
    <w:rsid w:val="00084BE8"/>
    <w:rsid w:val="00084CB8"/>
    <w:rsid w:val="000852D1"/>
    <w:rsid w:val="000867D0"/>
    <w:rsid w:val="00086ADD"/>
    <w:rsid w:val="00087210"/>
    <w:rsid w:val="00087582"/>
    <w:rsid w:val="0008797E"/>
    <w:rsid w:val="0009019B"/>
    <w:rsid w:val="00090CF2"/>
    <w:rsid w:val="00090F1D"/>
    <w:rsid w:val="0009103C"/>
    <w:rsid w:val="00091267"/>
    <w:rsid w:val="00092220"/>
    <w:rsid w:val="00092334"/>
    <w:rsid w:val="00092A37"/>
    <w:rsid w:val="00092DA3"/>
    <w:rsid w:val="00093ECD"/>
    <w:rsid w:val="0009415F"/>
    <w:rsid w:val="00095260"/>
    <w:rsid w:val="000959C3"/>
    <w:rsid w:val="00095F28"/>
    <w:rsid w:val="00096417"/>
    <w:rsid w:val="00096C73"/>
    <w:rsid w:val="00096C76"/>
    <w:rsid w:val="000972C6"/>
    <w:rsid w:val="00097586"/>
    <w:rsid w:val="000975A6"/>
    <w:rsid w:val="00097669"/>
    <w:rsid w:val="00097996"/>
    <w:rsid w:val="00097C1D"/>
    <w:rsid w:val="000A073C"/>
    <w:rsid w:val="000A07F6"/>
    <w:rsid w:val="000A094F"/>
    <w:rsid w:val="000A0DAA"/>
    <w:rsid w:val="000A1195"/>
    <w:rsid w:val="000A11CF"/>
    <w:rsid w:val="000A13EA"/>
    <w:rsid w:val="000A153F"/>
    <w:rsid w:val="000A1761"/>
    <w:rsid w:val="000A17D3"/>
    <w:rsid w:val="000A1BF0"/>
    <w:rsid w:val="000A20D7"/>
    <w:rsid w:val="000A2DEC"/>
    <w:rsid w:val="000A33F2"/>
    <w:rsid w:val="000A3E21"/>
    <w:rsid w:val="000A4028"/>
    <w:rsid w:val="000A5674"/>
    <w:rsid w:val="000A5CEC"/>
    <w:rsid w:val="000A75C1"/>
    <w:rsid w:val="000A76E2"/>
    <w:rsid w:val="000A7A5A"/>
    <w:rsid w:val="000A7D6A"/>
    <w:rsid w:val="000B025E"/>
    <w:rsid w:val="000B036D"/>
    <w:rsid w:val="000B06F0"/>
    <w:rsid w:val="000B0740"/>
    <w:rsid w:val="000B0FC4"/>
    <w:rsid w:val="000B2154"/>
    <w:rsid w:val="000B262F"/>
    <w:rsid w:val="000B2A5F"/>
    <w:rsid w:val="000B2B43"/>
    <w:rsid w:val="000B2E03"/>
    <w:rsid w:val="000B307B"/>
    <w:rsid w:val="000B38D4"/>
    <w:rsid w:val="000B3FC7"/>
    <w:rsid w:val="000B4675"/>
    <w:rsid w:val="000B524F"/>
    <w:rsid w:val="000B64CF"/>
    <w:rsid w:val="000B6C61"/>
    <w:rsid w:val="000B745B"/>
    <w:rsid w:val="000B7781"/>
    <w:rsid w:val="000C08F6"/>
    <w:rsid w:val="000C0BAE"/>
    <w:rsid w:val="000C0F0F"/>
    <w:rsid w:val="000C18E7"/>
    <w:rsid w:val="000C1B0F"/>
    <w:rsid w:val="000C1B82"/>
    <w:rsid w:val="000C2247"/>
    <w:rsid w:val="000C2758"/>
    <w:rsid w:val="000C2B7F"/>
    <w:rsid w:val="000C2CAA"/>
    <w:rsid w:val="000C343A"/>
    <w:rsid w:val="000C356C"/>
    <w:rsid w:val="000C367B"/>
    <w:rsid w:val="000C38CF"/>
    <w:rsid w:val="000C3B05"/>
    <w:rsid w:val="000C455F"/>
    <w:rsid w:val="000C5D6D"/>
    <w:rsid w:val="000C650E"/>
    <w:rsid w:val="000C668C"/>
    <w:rsid w:val="000C6BFF"/>
    <w:rsid w:val="000D0A66"/>
    <w:rsid w:val="000D0EC3"/>
    <w:rsid w:val="000D104D"/>
    <w:rsid w:val="000D12C2"/>
    <w:rsid w:val="000D1807"/>
    <w:rsid w:val="000D1A47"/>
    <w:rsid w:val="000D1E1E"/>
    <w:rsid w:val="000D1FD6"/>
    <w:rsid w:val="000D26DF"/>
    <w:rsid w:val="000D3457"/>
    <w:rsid w:val="000D3E44"/>
    <w:rsid w:val="000D4A2C"/>
    <w:rsid w:val="000D4DE1"/>
    <w:rsid w:val="000D57CB"/>
    <w:rsid w:val="000D6076"/>
    <w:rsid w:val="000D6969"/>
    <w:rsid w:val="000D7346"/>
    <w:rsid w:val="000D7944"/>
    <w:rsid w:val="000D7B5A"/>
    <w:rsid w:val="000D7B97"/>
    <w:rsid w:val="000D7D6D"/>
    <w:rsid w:val="000D7DAF"/>
    <w:rsid w:val="000E0054"/>
    <w:rsid w:val="000E01D9"/>
    <w:rsid w:val="000E03BA"/>
    <w:rsid w:val="000E0912"/>
    <w:rsid w:val="000E0A62"/>
    <w:rsid w:val="000E1A4F"/>
    <w:rsid w:val="000E2254"/>
    <w:rsid w:val="000E235D"/>
    <w:rsid w:val="000E23D4"/>
    <w:rsid w:val="000E2815"/>
    <w:rsid w:val="000E2C4D"/>
    <w:rsid w:val="000E32F4"/>
    <w:rsid w:val="000E3CCF"/>
    <w:rsid w:val="000E4015"/>
    <w:rsid w:val="000E4A95"/>
    <w:rsid w:val="000E4B98"/>
    <w:rsid w:val="000E61CB"/>
    <w:rsid w:val="000E6FFB"/>
    <w:rsid w:val="000E72A7"/>
    <w:rsid w:val="000F0749"/>
    <w:rsid w:val="000F0B1E"/>
    <w:rsid w:val="000F0B81"/>
    <w:rsid w:val="000F0D2B"/>
    <w:rsid w:val="000F1409"/>
    <w:rsid w:val="000F2398"/>
    <w:rsid w:val="000F29E7"/>
    <w:rsid w:val="000F3D13"/>
    <w:rsid w:val="000F419E"/>
    <w:rsid w:val="000F4272"/>
    <w:rsid w:val="000F46CF"/>
    <w:rsid w:val="000F5376"/>
    <w:rsid w:val="000F60E9"/>
    <w:rsid w:val="000F66DC"/>
    <w:rsid w:val="000F788B"/>
    <w:rsid w:val="000F7924"/>
    <w:rsid w:val="0010040D"/>
    <w:rsid w:val="0010080A"/>
    <w:rsid w:val="0010096E"/>
    <w:rsid w:val="001009FB"/>
    <w:rsid w:val="00100A4D"/>
    <w:rsid w:val="00100D3A"/>
    <w:rsid w:val="00100EAF"/>
    <w:rsid w:val="00100EE5"/>
    <w:rsid w:val="00101057"/>
    <w:rsid w:val="00101060"/>
    <w:rsid w:val="00101A76"/>
    <w:rsid w:val="001020DC"/>
    <w:rsid w:val="001023BA"/>
    <w:rsid w:val="00104596"/>
    <w:rsid w:val="00104842"/>
    <w:rsid w:val="001048B6"/>
    <w:rsid w:val="001052E3"/>
    <w:rsid w:val="00105542"/>
    <w:rsid w:val="00105BB7"/>
    <w:rsid w:val="00105F4A"/>
    <w:rsid w:val="00105FA7"/>
    <w:rsid w:val="00106148"/>
    <w:rsid w:val="00106553"/>
    <w:rsid w:val="00106DFC"/>
    <w:rsid w:val="0010739F"/>
    <w:rsid w:val="001073C1"/>
    <w:rsid w:val="00110E4A"/>
    <w:rsid w:val="00111229"/>
    <w:rsid w:val="00111388"/>
    <w:rsid w:val="0011178D"/>
    <w:rsid w:val="00111AE3"/>
    <w:rsid w:val="00111B07"/>
    <w:rsid w:val="00111D25"/>
    <w:rsid w:val="00112B89"/>
    <w:rsid w:val="00112E39"/>
    <w:rsid w:val="001146C5"/>
    <w:rsid w:val="00115BEF"/>
    <w:rsid w:val="00115F07"/>
    <w:rsid w:val="00116B89"/>
    <w:rsid w:val="00117164"/>
    <w:rsid w:val="00117240"/>
    <w:rsid w:val="001178FF"/>
    <w:rsid w:val="00117E77"/>
    <w:rsid w:val="0012040D"/>
    <w:rsid w:val="0012076F"/>
    <w:rsid w:val="00120BDF"/>
    <w:rsid w:val="0012126E"/>
    <w:rsid w:val="001212F0"/>
    <w:rsid w:val="00121331"/>
    <w:rsid w:val="0012190F"/>
    <w:rsid w:val="00121C07"/>
    <w:rsid w:val="00121D12"/>
    <w:rsid w:val="00122B18"/>
    <w:rsid w:val="001231F3"/>
    <w:rsid w:val="00123ACF"/>
    <w:rsid w:val="00124002"/>
    <w:rsid w:val="00124AC1"/>
    <w:rsid w:val="0012522B"/>
    <w:rsid w:val="00125BC1"/>
    <w:rsid w:val="00125C45"/>
    <w:rsid w:val="00126146"/>
    <w:rsid w:val="00126715"/>
    <w:rsid w:val="001271A9"/>
    <w:rsid w:val="001271E4"/>
    <w:rsid w:val="00127B38"/>
    <w:rsid w:val="00130663"/>
    <w:rsid w:val="00130CC7"/>
    <w:rsid w:val="001313EC"/>
    <w:rsid w:val="001314D6"/>
    <w:rsid w:val="00132563"/>
    <w:rsid w:val="00132F0A"/>
    <w:rsid w:val="001332E8"/>
    <w:rsid w:val="001338C9"/>
    <w:rsid w:val="00133DBA"/>
    <w:rsid w:val="00133F8D"/>
    <w:rsid w:val="00134B6E"/>
    <w:rsid w:val="00134F58"/>
    <w:rsid w:val="00135A80"/>
    <w:rsid w:val="0013619B"/>
    <w:rsid w:val="0013620C"/>
    <w:rsid w:val="001367B9"/>
    <w:rsid w:val="001367ED"/>
    <w:rsid w:val="00137076"/>
    <w:rsid w:val="001374AE"/>
    <w:rsid w:val="001375EC"/>
    <w:rsid w:val="00137CE8"/>
    <w:rsid w:val="00141350"/>
    <w:rsid w:val="001423C5"/>
    <w:rsid w:val="00142439"/>
    <w:rsid w:val="0014263B"/>
    <w:rsid w:val="0014286C"/>
    <w:rsid w:val="001428C9"/>
    <w:rsid w:val="00142F13"/>
    <w:rsid w:val="00143DEB"/>
    <w:rsid w:val="00143EFA"/>
    <w:rsid w:val="00144288"/>
    <w:rsid w:val="0014496E"/>
    <w:rsid w:val="00145542"/>
    <w:rsid w:val="00145805"/>
    <w:rsid w:val="00145D63"/>
    <w:rsid w:val="00146198"/>
    <w:rsid w:val="00146748"/>
    <w:rsid w:val="00147EDF"/>
    <w:rsid w:val="001502D0"/>
    <w:rsid w:val="00151051"/>
    <w:rsid w:val="001519FD"/>
    <w:rsid w:val="00151A76"/>
    <w:rsid w:val="00151D14"/>
    <w:rsid w:val="00151D7B"/>
    <w:rsid w:val="00151F1D"/>
    <w:rsid w:val="00152357"/>
    <w:rsid w:val="00153198"/>
    <w:rsid w:val="0015333B"/>
    <w:rsid w:val="00153B31"/>
    <w:rsid w:val="00153DF3"/>
    <w:rsid w:val="00153FAE"/>
    <w:rsid w:val="001540BD"/>
    <w:rsid w:val="001550D6"/>
    <w:rsid w:val="0015530E"/>
    <w:rsid w:val="001555A7"/>
    <w:rsid w:val="00155993"/>
    <w:rsid w:val="00155D5C"/>
    <w:rsid w:val="00156DBD"/>
    <w:rsid w:val="00156EBD"/>
    <w:rsid w:val="00157EB1"/>
    <w:rsid w:val="001601D3"/>
    <w:rsid w:val="00160230"/>
    <w:rsid w:val="00160BEA"/>
    <w:rsid w:val="001614AA"/>
    <w:rsid w:val="00162841"/>
    <w:rsid w:val="00162B19"/>
    <w:rsid w:val="0016355B"/>
    <w:rsid w:val="00163587"/>
    <w:rsid w:val="00163644"/>
    <w:rsid w:val="00163B11"/>
    <w:rsid w:val="001646AD"/>
    <w:rsid w:val="00164786"/>
    <w:rsid w:val="001648A1"/>
    <w:rsid w:val="00164A5A"/>
    <w:rsid w:val="00164F4B"/>
    <w:rsid w:val="00164FC7"/>
    <w:rsid w:val="00165A2D"/>
    <w:rsid w:val="00165D1F"/>
    <w:rsid w:val="0016612A"/>
    <w:rsid w:val="00166C08"/>
    <w:rsid w:val="00166D35"/>
    <w:rsid w:val="00166E23"/>
    <w:rsid w:val="001677C8"/>
    <w:rsid w:val="00167ED1"/>
    <w:rsid w:val="001707D9"/>
    <w:rsid w:val="00170CF3"/>
    <w:rsid w:val="00170CF7"/>
    <w:rsid w:val="00171FAE"/>
    <w:rsid w:val="00172744"/>
    <w:rsid w:val="00173612"/>
    <w:rsid w:val="001741E7"/>
    <w:rsid w:val="001743B9"/>
    <w:rsid w:val="0017456C"/>
    <w:rsid w:val="00174DEB"/>
    <w:rsid w:val="00175423"/>
    <w:rsid w:val="00176109"/>
    <w:rsid w:val="00176A6D"/>
    <w:rsid w:val="001770E2"/>
    <w:rsid w:val="00177201"/>
    <w:rsid w:val="001777D7"/>
    <w:rsid w:val="00177AF2"/>
    <w:rsid w:val="00177EEC"/>
    <w:rsid w:val="00180158"/>
    <w:rsid w:val="0018031F"/>
    <w:rsid w:val="0018062D"/>
    <w:rsid w:val="00180869"/>
    <w:rsid w:val="00180B1E"/>
    <w:rsid w:val="00180F92"/>
    <w:rsid w:val="0018131B"/>
    <w:rsid w:val="00181400"/>
    <w:rsid w:val="00181700"/>
    <w:rsid w:val="001818B9"/>
    <w:rsid w:val="00181B54"/>
    <w:rsid w:val="00182355"/>
    <w:rsid w:val="00182741"/>
    <w:rsid w:val="00182807"/>
    <w:rsid w:val="00182AA5"/>
    <w:rsid w:val="00182B25"/>
    <w:rsid w:val="001848FE"/>
    <w:rsid w:val="0018511D"/>
    <w:rsid w:val="00185160"/>
    <w:rsid w:val="00185168"/>
    <w:rsid w:val="0018628E"/>
    <w:rsid w:val="0018633E"/>
    <w:rsid w:val="00186C08"/>
    <w:rsid w:val="00186DAA"/>
    <w:rsid w:val="00187732"/>
    <w:rsid w:val="00187B0F"/>
    <w:rsid w:val="00190577"/>
    <w:rsid w:val="00191270"/>
    <w:rsid w:val="001912C5"/>
    <w:rsid w:val="00191691"/>
    <w:rsid w:val="00191754"/>
    <w:rsid w:val="00191B99"/>
    <w:rsid w:val="00191E2A"/>
    <w:rsid w:val="0019244F"/>
    <w:rsid w:val="0019262A"/>
    <w:rsid w:val="00192EFC"/>
    <w:rsid w:val="00193E0B"/>
    <w:rsid w:val="00194598"/>
    <w:rsid w:val="001949BE"/>
    <w:rsid w:val="001953F9"/>
    <w:rsid w:val="00196C8D"/>
    <w:rsid w:val="00196EBC"/>
    <w:rsid w:val="001A0CDA"/>
    <w:rsid w:val="001A1177"/>
    <w:rsid w:val="001A118B"/>
    <w:rsid w:val="001A1D4E"/>
    <w:rsid w:val="001A2A1B"/>
    <w:rsid w:val="001A3064"/>
    <w:rsid w:val="001A31B9"/>
    <w:rsid w:val="001A3D83"/>
    <w:rsid w:val="001A4267"/>
    <w:rsid w:val="001A4394"/>
    <w:rsid w:val="001A4A80"/>
    <w:rsid w:val="001A4BBA"/>
    <w:rsid w:val="001A6B56"/>
    <w:rsid w:val="001A6FAB"/>
    <w:rsid w:val="001A75AE"/>
    <w:rsid w:val="001A7624"/>
    <w:rsid w:val="001A768F"/>
    <w:rsid w:val="001A76E5"/>
    <w:rsid w:val="001B043F"/>
    <w:rsid w:val="001B05D9"/>
    <w:rsid w:val="001B17C7"/>
    <w:rsid w:val="001B1883"/>
    <w:rsid w:val="001B1A62"/>
    <w:rsid w:val="001B2136"/>
    <w:rsid w:val="001B29C3"/>
    <w:rsid w:val="001B2EAA"/>
    <w:rsid w:val="001B2F6C"/>
    <w:rsid w:val="001B35A8"/>
    <w:rsid w:val="001B3BAC"/>
    <w:rsid w:val="001B3BC2"/>
    <w:rsid w:val="001B444C"/>
    <w:rsid w:val="001B65FC"/>
    <w:rsid w:val="001B7614"/>
    <w:rsid w:val="001B79B4"/>
    <w:rsid w:val="001C084C"/>
    <w:rsid w:val="001C08DD"/>
    <w:rsid w:val="001C0CC9"/>
    <w:rsid w:val="001C0DBC"/>
    <w:rsid w:val="001C19BD"/>
    <w:rsid w:val="001C1BBE"/>
    <w:rsid w:val="001C1D47"/>
    <w:rsid w:val="001C1FF2"/>
    <w:rsid w:val="001C230A"/>
    <w:rsid w:val="001C2867"/>
    <w:rsid w:val="001C29B6"/>
    <w:rsid w:val="001C2C50"/>
    <w:rsid w:val="001C2CB6"/>
    <w:rsid w:val="001C3F31"/>
    <w:rsid w:val="001C46D6"/>
    <w:rsid w:val="001C484A"/>
    <w:rsid w:val="001C4EC0"/>
    <w:rsid w:val="001C4F24"/>
    <w:rsid w:val="001C58B7"/>
    <w:rsid w:val="001C6000"/>
    <w:rsid w:val="001C68C9"/>
    <w:rsid w:val="001C6A12"/>
    <w:rsid w:val="001C6B64"/>
    <w:rsid w:val="001D013F"/>
    <w:rsid w:val="001D0A36"/>
    <w:rsid w:val="001D0C10"/>
    <w:rsid w:val="001D0ED5"/>
    <w:rsid w:val="001D1604"/>
    <w:rsid w:val="001D2B19"/>
    <w:rsid w:val="001D2E10"/>
    <w:rsid w:val="001D2F26"/>
    <w:rsid w:val="001D2F4F"/>
    <w:rsid w:val="001D328F"/>
    <w:rsid w:val="001D3588"/>
    <w:rsid w:val="001D3719"/>
    <w:rsid w:val="001D3BC8"/>
    <w:rsid w:val="001D5116"/>
    <w:rsid w:val="001D5B68"/>
    <w:rsid w:val="001D5DE6"/>
    <w:rsid w:val="001D60F3"/>
    <w:rsid w:val="001D6E3C"/>
    <w:rsid w:val="001D7394"/>
    <w:rsid w:val="001D78D2"/>
    <w:rsid w:val="001D7F6A"/>
    <w:rsid w:val="001E064B"/>
    <w:rsid w:val="001E086B"/>
    <w:rsid w:val="001E0D4C"/>
    <w:rsid w:val="001E16E7"/>
    <w:rsid w:val="001E23AD"/>
    <w:rsid w:val="001E399A"/>
    <w:rsid w:val="001E40B1"/>
    <w:rsid w:val="001E44AE"/>
    <w:rsid w:val="001E4D82"/>
    <w:rsid w:val="001E5D27"/>
    <w:rsid w:val="001E70CD"/>
    <w:rsid w:val="001E7CED"/>
    <w:rsid w:val="001F1609"/>
    <w:rsid w:val="001F1938"/>
    <w:rsid w:val="001F19D3"/>
    <w:rsid w:val="001F28AF"/>
    <w:rsid w:val="001F2C57"/>
    <w:rsid w:val="001F2E3C"/>
    <w:rsid w:val="001F3440"/>
    <w:rsid w:val="001F41B2"/>
    <w:rsid w:val="001F492C"/>
    <w:rsid w:val="001F4D49"/>
    <w:rsid w:val="001F5115"/>
    <w:rsid w:val="001F5390"/>
    <w:rsid w:val="001F623A"/>
    <w:rsid w:val="001F6351"/>
    <w:rsid w:val="001F6367"/>
    <w:rsid w:val="001F64B9"/>
    <w:rsid w:val="001F7A16"/>
    <w:rsid w:val="001F7EC3"/>
    <w:rsid w:val="002001E7"/>
    <w:rsid w:val="00200489"/>
    <w:rsid w:val="00200787"/>
    <w:rsid w:val="00200D8B"/>
    <w:rsid w:val="00200E18"/>
    <w:rsid w:val="00201519"/>
    <w:rsid w:val="00201670"/>
    <w:rsid w:val="00201FFB"/>
    <w:rsid w:val="00202315"/>
    <w:rsid w:val="002025A7"/>
    <w:rsid w:val="002025EE"/>
    <w:rsid w:val="0020272E"/>
    <w:rsid w:val="00202A40"/>
    <w:rsid w:val="0020402E"/>
    <w:rsid w:val="00204DC3"/>
    <w:rsid w:val="002050F6"/>
    <w:rsid w:val="0020521D"/>
    <w:rsid w:val="00205674"/>
    <w:rsid w:val="002058DC"/>
    <w:rsid w:val="00205BD3"/>
    <w:rsid w:val="00206044"/>
    <w:rsid w:val="00206268"/>
    <w:rsid w:val="00206734"/>
    <w:rsid w:val="0020673F"/>
    <w:rsid w:val="00207003"/>
    <w:rsid w:val="00207C56"/>
    <w:rsid w:val="00207CC9"/>
    <w:rsid w:val="00210159"/>
    <w:rsid w:val="00210386"/>
    <w:rsid w:val="00210718"/>
    <w:rsid w:val="00210C15"/>
    <w:rsid w:val="00210D0A"/>
    <w:rsid w:val="00210FF6"/>
    <w:rsid w:val="00211D84"/>
    <w:rsid w:val="002124D9"/>
    <w:rsid w:val="00212CC6"/>
    <w:rsid w:val="00212CDC"/>
    <w:rsid w:val="0021407B"/>
    <w:rsid w:val="00214115"/>
    <w:rsid w:val="00214295"/>
    <w:rsid w:val="0021556B"/>
    <w:rsid w:val="00215B30"/>
    <w:rsid w:val="00215CAB"/>
    <w:rsid w:val="00215EEA"/>
    <w:rsid w:val="002162E2"/>
    <w:rsid w:val="002162F2"/>
    <w:rsid w:val="00216DCE"/>
    <w:rsid w:val="00217569"/>
    <w:rsid w:val="00217C85"/>
    <w:rsid w:val="00217D4F"/>
    <w:rsid w:val="00220829"/>
    <w:rsid w:val="00220CA4"/>
    <w:rsid w:val="00220CA5"/>
    <w:rsid w:val="00220D47"/>
    <w:rsid w:val="00221B46"/>
    <w:rsid w:val="00221B93"/>
    <w:rsid w:val="002221CC"/>
    <w:rsid w:val="00222593"/>
    <w:rsid w:val="0022278A"/>
    <w:rsid w:val="0022291D"/>
    <w:rsid w:val="002238F9"/>
    <w:rsid w:val="00224C9C"/>
    <w:rsid w:val="00224F58"/>
    <w:rsid w:val="0022506E"/>
    <w:rsid w:val="0022556D"/>
    <w:rsid w:val="00225927"/>
    <w:rsid w:val="002259AC"/>
    <w:rsid w:val="00225C5A"/>
    <w:rsid w:val="00225D13"/>
    <w:rsid w:val="00226DC2"/>
    <w:rsid w:val="00226EC7"/>
    <w:rsid w:val="00226F11"/>
    <w:rsid w:val="00227DBE"/>
    <w:rsid w:val="00227EBF"/>
    <w:rsid w:val="00230DDD"/>
    <w:rsid w:val="002326AC"/>
    <w:rsid w:val="002329B4"/>
    <w:rsid w:val="00232B9A"/>
    <w:rsid w:val="002332C5"/>
    <w:rsid w:val="00234461"/>
    <w:rsid w:val="00234A2B"/>
    <w:rsid w:val="0023528D"/>
    <w:rsid w:val="00235373"/>
    <w:rsid w:val="002354A9"/>
    <w:rsid w:val="00236BEC"/>
    <w:rsid w:val="00236DE5"/>
    <w:rsid w:val="00237182"/>
    <w:rsid w:val="0023736E"/>
    <w:rsid w:val="002378D4"/>
    <w:rsid w:val="00237A51"/>
    <w:rsid w:val="00237BDA"/>
    <w:rsid w:val="0024012F"/>
    <w:rsid w:val="00240371"/>
    <w:rsid w:val="0024077A"/>
    <w:rsid w:val="002407FC"/>
    <w:rsid w:val="00240DEA"/>
    <w:rsid w:val="00240E4E"/>
    <w:rsid w:val="002416CD"/>
    <w:rsid w:val="0024200A"/>
    <w:rsid w:val="00242181"/>
    <w:rsid w:val="00242EE7"/>
    <w:rsid w:val="0024326F"/>
    <w:rsid w:val="00243342"/>
    <w:rsid w:val="002435EC"/>
    <w:rsid w:val="0024373A"/>
    <w:rsid w:val="002438C4"/>
    <w:rsid w:val="002438DD"/>
    <w:rsid w:val="00243AAC"/>
    <w:rsid w:val="0024417F"/>
    <w:rsid w:val="002444F1"/>
    <w:rsid w:val="00244FF8"/>
    <w:rsid w:val="002450CC"/>
    <w:rsid w:val="002458B4"/>
    <w:rsid w:val="00245DB9"/>
    <w:rsid w:val="0024633D"/>
    <w:rsid w:val="00246394"/>
    <w:rsid w:val="0024690B"/>
    <w:rsid w:val="00246AF6"/>
    <w:rsid w:val="00246CFE"/>
    <w:rsid w:val="00246E54"/>
    <w:rsid w:val="002474BB"/>
    <w:rsid w:val="0024750A"/>
    <w:rsid w:val="002478A7"/>
    <w:rsid w:val="00247DDF"/>
    <w:rsid w:val="00247E02"/>
    <w:rsid w:val="00250E37"/>
    <w:rsid w:val="002512A7"/>
    <w:rsid w:val="00252243"/>
    <w:rsid w:val="00252364"/>
    <w:rsid w:val="00252996"/>
    <w:rsid w:val="00252DA2"/>
    <w:rsid w:val="00253CB8"/>
    <w:rsid w:val="002544C1"/>
    <w:rsid w:val="002545CC"/>
    <w:rsid w:val="002548CE"/>
    <w:rsid w:val="0025554E"/>
    <w:rsid w:val="00255ECF"/>
    <w:rsid w:val="00256DEE"/>
    <w:rsid w:val="002603DF"/>
    <w:rsid w:val="002609AA"/>
    <w:rsid w:val="002610B1"/>
    <w:rsid w:val="00261E8B"/>
    <w:rsid w:val="00261FCB"/>
    <w:rsid w:val="00262766"/>
    <w:rsid w:val="00262B68"/>
    <w:rsid w:val="002635E0"/>
    <w:rsid w:val="00263DDD"/>
    <w:rsid w:val="00264B82"/>
    <w:rsid w:val="002659BB"/>
    <w:rsid w:val="002659CE"/>
    <w:rsid w:val="0026676F"/>
    <w:rsid w:val="00266A4F"/>
    <w:rsid w:val="00266E80"/>
    <w:rsid w:val="0026763C"/>
    <w:rsid w:val="00267967"/>
    <w:rsid w:val="00267D8A"/>
    <w:rsid w:val="002702EB"/>
    <w:rsid w:val="002706C2"/>
    <w:rsid w:val="00270764"/>
    <w:rsid w:val="00271247"/>
    <w:rsid w:val="0027156B"/>
    <w:rsid w:val="002715A2"/>
    <w:rsid w:val="00271750"/>
    <w:rsid w:val="00272183"/>
    <w:rsid w:val="00272467"/>
    <w:rsid w:val="0027266E"/>
    <w:rsid w:val="00272D02"/>
    <w:rsid w:val="00272E3B"/>
    <w:rsid w:val="00273755"/>
    <w:rsid w:val="00273B7F"/>
    <w:rsid w:val="00273C60"/>
    <w:rsid w:val="00273FF4"/>
    <w:rsid w:val="0027515B"/>
    <w:rsid w:val="00275211"/>
    <w:rsid w:val="0027551B"/>
    <w:rsid w:val="002757F8"/>
    <w:rsid w:val="00275F8B"/>
    <w:rsid w:val="00276257"/>
    <w:rsid w:val="00276272"/>
    <w:rsid w:val="00276841"/>
    <w:rsid w:val="002768C1"/>
    <w:rsid w:val="002768D4"/>
    <w:rsid w:val="0028050D"/>
    <w:rsid w:val="002805D3"/>
    <w:rsid w:val="00280C2F"/>
    <w:rsid w:val="002819AB"/>
    <w:rsid w:val="00282F95"/>
    <w:rsid w:val="002834CB"/>
    <w:rsid w:val="00283F15"/>
    <w:rsid w:val="00285044"/>
    <w:rsid w:val="00287142"/>
    <w:rsid w:val="0028730E"/>
    <w:rsid w:val="00287555"/>
    <w:rsid w:val="0028766C"/>
    <w:rsid w:val="002878FA"/>
    <w:rsid w:val="00287C39"/>
    <w:rsid w:val="00287D7A"/>
    <w:rsid w:val="00287F87"/>
    <w:rsid w:val="00290085"/>
    <w:rsid w:val="0029048C"/>
    <w:rsid w:val="002904D8"/>
    <w:rsid w:val="002905F8"/>
    <w:rsid w:val="00291682"/>
    <w:rsid w:val="00291748"/>
    <w:rsid w:val="00291A16"/>
    <w:rsid w:val="002921C5"/>
    <w:rsid w:val="00292A3C"/>
    <w:rsid w:val="00292F21"/>
    <w:rsid w:val="00292FFD"/>
    <w:rsid w:val="00293549"/>
    <w:rsid w:val="002936E1"/>
    <w:rsid w:val="00293FB2"/>
    <w:rsid w:val="0029413D"/>
    <w:rsid w:val="002946EB"/>
    <w:rsid w:val="0029474E"/>
    <w:rsid w:val="00294936"/>
    <w:rsid w:val="002951C3"/>
    <w:rsid w:val="00295791"/>
    <w:rsid w:val="00295AC5"/>
    <w:rsid w:val="00296731"/>
    <w:rsid w:val="0029774D"/>
    <w:rsid w:val="00297AC4"/>
    <w:rsid w:val="002A0C3C"/>
    <w:rsid w:val="002A0FA3"/>
    <w:rsid w:val="002A101E"/>
    <w:rsid w:val="002A25AE"/>
    <w:rsid w:val="002A271D"/>
    <w:rsid w:val="002A3B19"/>
    <w:rsid w:val="002A4252"/>
    <w:rsid w:val="002A47AC"/>
    <w:rsid w:val="002A4CF5"/>
    <w:rsid w:val="002A54B2"/>
    <w:rsid w:val="002A5641"/>
    <w:rsid w:val="002A58D2"/>
    <w:rsid w:val="002A5E14"/>
    <w:rsid w:val="002A6232"/>
    <w:rsid w:val="002A63C1"/>
    <w:rsid w:val="002A661C"/>
    <w:rsid w:val="002A6659"/>
    <w:rsid w:val="002A6772"/>
    <w:rsid w:val="002A73A9"/>
    <w:rsid w:val="002A7447"/>
    <w:rsid w:val="002A75AC"/>
    <w:rsid w:val="002B01D7"/>
    <w:rsid w:val="002B05F9"/>
    <w:rsid w:val="002B073F"/>
    <w:rsid w:val="002B09FC"/>
    <w:rsid w:val="002B12F1"/>
    <w:rsid w:val="002B171B"/>
    <w:rsid w:val="002B1A57"/>
    <w:rsid w:val="002B1E31"/>
    <w:rsid w:val="002B272C"/>
    <w:rsid w:val="002B283D"/>
    <w:rsid w:val="002B33AA"/>
    <w:rsid w:val="002B3DB0"/>
    <w:rsid w:val="002B4BC0"/>
    <w:rsid w:val="002B4F1E"/>
    <w:rsid w:val="002B50D1"/>
    <w:rsid w:val="002B563A"/>
    <w:rsid w:val="002B5851"/>
    <w:rsid w:val="002B6974"/>
    <w:rsid w:val="002B6BE5"/>
    <w:rsid w:val="002B7112"/>
    <w:rsid w:val="002B7BD4"/>
    <w:rsid w:val="002C009E"/>
    <w:rsid w:val="002C0365"/>
    <w:rsid w:val="002C0543"/>
    <w:rsid w:val="002C05E4"/>
    <w:rsid w:val="002C0893"/>
    <w:rsid w:val="002C0D97"/>
    <w:rsid w:val="002C1407"/>
    <w:rsid w:val="002C155B"/>
    <w:rsid w:val="002C193F"/>
    <w:rsid w:val="002C1E6E"/>
    <w:rsid w:val="002C211F"/>
    <w:rsid w:val="002C2267"/>
    <w:rsid w:val="002C2A54"/>
    <w:rsid w:val="002C2B8B"/>
    <w:rsid w:val="002C30B5"/>
    <w:rsid w:val="002C337D"/>
    <w:rsid w:val="002C347E"/>
    <w:rsid w:val="002C37D8"/>
    <w:rsid w:val="002C3A29"/>
    <w:rsid w:val="002C3B26"/>
    <w:rsid w:val="002C3D8E"/>
    <w:rsid w:val="002C4192"/>
    <w:rsid w:val="002C5C8B"/>
    <w:rsid w:val="002C5E9B"/>
    <w:rsid w:val="002C62D7"/>
    <w:rsid w:val="002C6854"/>
    <w:rsid w:val="002C7F01"/>
    <w:rsid w:val="002D0327"/>
    <w:rsid w:val="002D0A74"/>
    <w:rsid w:val="002D12E7"/>
    <w:rsid w:val="002D1AD4"/>
    <w:rsid w:val="002D23A1"/>
    <w:rsid w:val="002D3314"/>
    <w:rsid w:val="002D45FB"/>
    <w:rsid w:val="002D50A9"/>
    <w:rsid w:val="002D59AC"/>
    <w:rsid w:val="002D5F89"/>
    <w:rsid w:val="002D60FC"/>
    <w:rsid w:val="002D7915"/>
    <w:rsid w:val="002D7A1B"/>
    <w:rsid w:val="002D7B9B"/>
    <w:rsid w:val="002D7FB0"/>
    <w:rsid w:val="002E032F"/>
    <w:rsid w:val="002E0565"/>
    <w:rsid w:val="002E0577"/>
    <w:rsid w:val="002E0698"/>
    <w:rsid w:val="002E08F5"/>
    <w:rsid w:val="002E0D1B"/>
    <w:rsid w:val="002E123C"/>
    <w:rsid w:val="002E13B0"/>
    <w:rsid w:val="002E1709"/>
    <w:rsid w:val="002E1DFD"/>
    <w:rsid w:val="002E1F3A"/>
    <w:rsid w:val="002E217A"/>
    <w:rsid w:val="002E227F"/>
    <w:rsid w:val="002E2349"/>
    <w:rsid w:val="002E29DD"/>
    <w:rsid w:val="002E42E8"/>
    <w:rsid w:val="002E440C"/>
    <w:rsid w:val="002E583C"/>
    <w:rsid w:val="002E5C9A"/>
    <w:rsid w:val="002E6406"/>
    <w:rsid w:val="002E6598"/>
    <w:rsid w:val="002E675E"/>
    <w:rsid w:val="002E6C53"/>
    <w:rsid w:val="002E7334"/>
    <w:rsid w:val="002F0BE9"/>
    <w:rsid w:val="002F0BF2"/>
    <w:rsid w:val="002F0EBD"/>
    <w:rsid w:val="002F19C6"/>
    <w:rsid w:val="002F24B6"/>
    <w:rsid w:val="002F32B9"/>
    <w:rsid w:val="002F3B7A"/>
    <w:rsid w:val="002F3C80"/>
    <w:rsid w:val="002F4281"/>
    <w:rsid w:val="002F459D"/>
    <w:rsid w:val="002F4EFD"/>
    <w:rsid w:val="002F600E"/>
    <w:rsid w:val="002F6C6F"/>
    <w:rsid w:val="002F786E"/>
    <w:rsid w:val="002F78AD"/>
    <w:rsid w:val="002F78E8"/>
    <w:rsid w:val="003001A9"/>
    <w:rsid w:val="00300450"/>
    <w:rsid w:val="00300974"/>
    <w:rsid w:val="003012D1"/>
    <w:rsid w:val="00301803"/>
    <w:rsid w:val="00302EC3"/>
    <w:rsid w:val="0030369F"/>
    <w:rsid w:val="003038FB"/>
    <w:rsid w:val="00303AE6"/>
    <w:rsid w:val="00304604"/>
    <w:rsid w:val="00304C4E"/>
    <w:rsid w:val="00304EC2"/>
    <w:rsid w:val="0030512B"/>
    <w:rsid w:val="00306313"/>
    <w:rsid w:val="003065CD"/>
    <w:rsid w:val="003069F0"/>
    <w:rsid w:val="00306AD4"/>
    <w:rsid w:val="00306C0C"/>
    <w:rsid w:val="0030761F"/>
    <w:rsid w:val="00307724"/>
    <w:rsid w:val="003100D2"/>
    <w:rsid w:val="0031018E"/>
    <w:rsid w:val="00310561"/>
    <w:rsid w:val="003110EF"/>
    <w:rsid w:val="00311AE2"/>
    <w:rsid w:val="003122A3"/>
    <w:rsid w:val="003125A4"/>
    <w:rsid w:val="00313126"/>
    <w:rsid w:val="003137B7"/>
    <w:rsid w:val="00313FBD"/>
    <w:rsid w:val="0031419D"/>
    <w:rsid w:val="00314220"/>
    <w:rsid w:val="00314E1D"/>
    <w:rsid w:val="00315D17"/>
    <w:rsid w:val="00316234"/>
    <w:rsid w:val="003164F0"/>
    <w:rsid w:val="00316C41"/>
    <w:rsid w:val="00317139"/>
    <w:rsid w:val="00317BF9"/>
    <w:rsid w:val="003207C6"/>
    <w:rsid w:val="00320C4C"/>
    <w:rsid w:val="00320EB1"/>
    <w:rsid w:val="00321F31"/>
    <w:rsid w:val="003221D1"/>
    <w:rsid w:val="00322FC0"/>
    <w:rsid w:val="00323D0E"/>
    <w:rsid w:val="003240BB"/>
    <w:rsid w:val="00324317"/>
    <w:rsid w:val="003243DD"/>
    <w:rsid w:val="003244E0"/>
    <w:rsid w:val="00324621"/>
    <w:rsid w:val="00325777"/>
    <w:rsid w:val="00325836"/>
    <w:rsid w:val="00325BBD"/>
    <w:rsid w:val="003260BB"/>
    <w:rsid w:val="00326277"/>
    <w:rsid w:val="003269A2"/>
    <w:rsid w:val="00326D72"/>
    <w:rsid w:val="0032739F"/>
    <w:rsid w:val="0032784D"/>
    <w:rsid w:val="00327FDF"/>
    <w:rsid w:val="0033044E"/>
    <w:rsid w:val="00330700"/>
    <w:rsid w:val="00330C8D"/>
    <w:rsid w:val="00330E7E"/>
    <w:rsid w:val="00331FAC"/>
    <w:rsid w:val="00331FEE"/>
    <w:rsid w:val="00332294"/>
    <w:rsid w:val="003323D3"/>
    <w:rsid w:val="003325D0"/>
    <w:rsid w:val="0033314F"/>
    <w:rsid w:val="003334CB"/>
    <w:rsid w:val="00333E0C"/>
    <w:rsid w:val="00334424"/>
    <w:rsid w:val="003345A5"/>
    <w:rsid w:val="003346C0"/>
    <w:rsid w:val="003348BF"/>
    <w:rsid w:val="00334D91"/>
    <w:rsid w:val="00334E89"/>
    <w:rsid w:val="003351C8"/>
    <w:rsid w:val="00335808"/>
    <w:rsid w:val="00335C6E"/>
    <w:rsid w:val="00335DF7"/>
    <w:rsid w:val="0033628C"/>
    <w:rsid w:val="00336DD6"/>
    <w:rsid w:val="0033770B"/>
    <w:rsid w:val="003378BE"/>
    <w:rsid w:val="00337A8F"/>
    <w:rsid w:val="00337B40"/>
    <w:rsid w:val="00337CE4"/>
    <w:rsid w:val="00340465"/>
    <w:rsid w:val="00340FF2"/>
    <w:rsid w:val="003419D1"/>
    <w:rsid w:val="003426C5"/>
    <w:rsid w:val="00342D22"/>
    <w:rsid w:val="003434A1"/>
    <w:rsid w:val="003438F5"/>
    <w:rsid w:val="00343BFF"/>
    <w:rsid w:val="00344167"/>
    <w:rsid w:val="003450B9"/>
    <w:rsid w:val="0034537D"/>
    <w:rsid w:val="00345D7D"/>
    <w:rsid w:val="003466F3"/>
    <w:rsid w:val="0034680A"/>
    <w:rsid w:val="003469C6"/>
    <w:rsid w:val="00346AC9"/>
    <w:rsid w:val="00347246"/>
    <w:rsid w:val="003472C3"/>
    <w:rsid w:val="0034741D"/>
    <w:rsid w:val="00350A95"/>
    <w:rsid w:val="0035192D"/>
    <w:rsid w:val="0035206B"/>
    <w:rsid w:val="003520A3"/>
    <w:rsid w:val="00352635"/>
    <w:rsid w:val="00352675"/>
    <w:rsid w:val="00352848"/>
    <w:rsid w:val="00353DFD"/>
    <w:rsid w:val="00353F5B"/>
    <w:rsid w:val="003540BE"/>
    <w:rsid w:val="003541AC"/>
    <w:rsid w:val="003547F3"/>
    <w:rsid w:val="0035512A"/>
    <w:rsid w:val="00355456"/>
    <w:rsid w:val="00355630"/>
    <w:rsid w:val="0035601F"/>
    <w:rsid w:val="00356305"/>
    <w:rsid w:val="00356683"/>
    <w:rsid w:val="003569B3"/>
    <w:rsid w:val="00357D09"/>
    <w:rsid w:val="00357FCB"/>
    <w:rsid w:val="003600C8"/>
    <w:rsid w:val="00360D1C"/>
    <w:rsid w:val="00361456"/>
    <w:rsid w:val="00362107"/>
    <w:rsid w:val="003627FD"/>
    <w:rsid w:val="003634FC"/>
    <w:rsid w:val="003639EA"/>
    <w:rsid w:val="00363D51"/>
    <w:rsid w:val="00364116"/>
    <w:rsid w:val="00364499"/>
    <w:rsid w:val="0036458A"/>
    <w:rsid w:val="003647DC"/>
    <w:rsid w:val="00364929"/>
    <w:rsid w:val="00364B4E"/>
    <w:rsid w:val="00364D68"/>
    <w:rsid w:val="00364E71"/>
    <w:rsid w:val="0036551E"/>
    <w:rsid w:val="00366060"/>
    <w:rsid w:val="0036617F"/>
    <w:rsid w:val="00366465"/>
    <w:rsid w:val="0036731D"/>
    <w:rsid w:val="003673E3"/>
    <w:rsid w:val="00367484"/>
    <w:rsid w:val="0036752F"/>
    <w:rsid w:val="00367E46"/>
    <w:rsid w:val="00367EE2"/>
    <w:rsid w:val="00371D5C"/>
    <w:rsid w:val="00372031"/>
    <w:rsid w:val="0037217C"/>
    <w:rsid w:val="003723E1"/>
    <w:rsid w:val="003725B9"/>
    <w:rsid w:val="00372A6E"/>
    <w:rsid w:val="003735CF"/>
    <w:rsid w:val="0037362B"/>
    <w:rsid w:val="00373941"/>
    <w:rsid w:val="00373957"/>
    <w:rsid w:val="0037397E"/>
    <w:rsid w:val="00373A3D"/>
    <w:rsid w:val="00373D5E"/>
    <w:rsid w:val="00373F24"/>
    <w:rsid w:val="003744DF"/>
    <w:rsid w:val="0037455E"/>
    <w:rsid w:val="00374D38"/>
    <w:rsid w:val="00374FC8"/>
    <w:rsid w:val="00375441"/>
    <w:rsid w:val="003754D4"/>
    <w:rsid w:val="0037580D"/>
    <w:rsid w:val="0037611D"/>
    <w:rsid w:val="00376141"/>
    <w:rsid w:val="003765D6"/>
    <w:rsid w:val="003766B5"/>
    <w:rsid w:val="00376DC9"/>
    <w:rsid w:val="00377360"/>
    <w:rsid w:val="00377CFC"/>
    <w:rsid w:val="0038046C"/>
    <w:rsid w:val="00380ACA"/>
    <w:rsid w:val="00382137"/>
    <w:rsid w:val="00382C28"/>
    <w:rsid w:val="0038397A"/>
    <w:rsid w:val="00383E24"/>
    <w:rsid w:val="00384E3E"/>
    <w:rsid w:val="00385055"/>
    <w:rsid w:val="00385494"/>
    <w:rsid w:val="003855DB"/>
    <w:rsid w:val="0038591D"/>
    <w:rsid w:val="003867E2"/>
    <w:rsid w:val="00386BB3"/>
    <w:rsid w:val="00386C33"/>
    <w:rsid w:val="00386E47"/>
    <w:rsid w:val="0038771D"/>
    <w:rsid w:val="00387924"/>
    <w:rsid w:val="00390C29"/>
    <w:rsid w:val="003910C3"/>
    <w:rsid w:val="00391382"/>
    <w:rsid w:val="00391493"/>
    <w:rsid w:val="00391C8F"/>
    <w:rsid w:val="00392DE0"/>
    <w:rsid w:val="00393328"/>
    <w:rsid w:val="0039389F"/>
    <w:rsid w:val="00393A9A"/>
    <w:rsid w:val="0039476D"/>
    <w:rsid w:val="0039527E"/>
    <w:rsid w:val="003952B9"/>
    <w:rsid w:val="003957EF"/>
    <w:rsid w:val="003969BA"/>
    <w:rsid w:val="00397619"/>
    <w:rsid w:val="00397CE2"/>
    <w:rsid w:val="00397DC3"/>
    <w:rsid w:val="003A09C0"/>
    <w:rsid w:val="003A1A2A"/>
    <w:rsid w:val="003A1AB6"/>
    <w:rsid w:val="003A2362"/>
    <w:rsid w:val="003A2509"/>
    <w:rsid w:val="003A26CE"/>
    <w:rsid w:val="003A293B"/>
    <w:rsid w:val="003A2D33"/>
    <w:rsid w:val="003A2D6A"/>
    <w:rsid w:val="003A30AE"/>
    <w:rsid w:val="003A3402"/>
    <w:rsid w:val="003A3CE9"/>
    <w:rsid w:val="003A3D9E"/>
    <w:rsid w:val="003A42B6"/>
    <w:rsid w:val="003A4C6A"/>
    <w:rsid w:val="003A4CA7"/>
    <w:rsid w:val="003A4F3B"/>
    <w:rsid w:val="003A5664"/>
    <w:rsid w:val="003A5A9F"/>
    <w:rsid w:val="003A5B2E"/>
    <w:rsid w:val="003A5CB8"/>
    <w:rsid w:val="003A61B0"/>
    <w:rsid w:val="003A6FA3"/>
    <w:rsid w:val="003A7033"/>
    <w:rsid w:val="003A7EFB"/>
    <w:rsid w:val="003B0E3D"/>
    <w:rsid w:val="003B21F4"/>
    <w:rsid w:val="003B21FD"/>
    <w:rsid w:val="003B267A"/>
    <w:rsid w:val="003B2788"/>
    <w:rsid w:val="003B2DF1"/>
    <w:rsid w:val="003B2E6F"/>
    <w:rsid w:val="003B3842"/>
    <w:rsid w:val="003B3D1C"/>
    <w:rsid w:val="003B3F4E"/>
    <w:rsid w:val="003B427F"/>
    <w:rsid w:val="003B428D"/>
    <w:rsid w:val="003B512E"/>
    <w:rsid w:val="003B52A8"/>
    <w:rsid w:val="003B5B98"/>
    <w:rsid w:val="003B5FA6"/>
    <w:rsid w:val="003B6BBD"/>
    <w:rsid w:val="003B6F2D"/>
    <w:rsid w:val="003B7077"/>
    <w:rsid w:val="003B7281"/>
    <w:rsid w:val="003B74B6"/>
    <w:rsid w:val="003B7F1F"/>
    <w:rsid w:val="003C05ED"/>
    <w:rsid w:val="003C0616"/>
    <w:rsid w:val="003C0C6A"/>
    <w:rsid w:val="003C0F52"/>
    <w:rsid w:val="003C132B"/>
    <w:rsid w:val="003C1699"/>
    <w:rsid w:val="003C1858"/>
    <w:rsid w:val="003C18A3"/>
    <w:rsid w:val="003C1BA6"/>
    <w:rsid w:val="003C1C29"/>
    <w:rsid w:val="003C1E02"/>
    <w:rsid w:val="003C301B"/>
    <w:rsid w:val="003C362B"/>
    <w:rsid w:val="003C3841"/>
    <w:rsid w:val="003C3C9B"/>
    <w:rsid w:val="003C4844"/>
    <w:rsid w:val="003C49AC"/>
    <w:rsid w:val="003C58A3"/>
    <w:rsid w:val="003C68A1"/>
    <w:rsid w:val="003C768F"/>
    <w:rsid w:val="003D0709"/>
    <w:rsid w:val="003D0892"/>
    <w:rsid w:val="003D0E93"/>
    <w:rsid w:val="003D1226"/>
    <w:rsid w:val="003D1D50"/>
    <w:rsid w:val="003D2135"/>
    <w:rsid w:val="003D2939"/>
    <w:rsid w:val="003D357B"/>
    <w:rsid w:val="003D3B8D"/>
    <w:rsid w:val="003D4191"/>
    <w:rsid w:val="003D42D0"/>
    <w:rsid w:val="003D5F63"/>
    <w:rsid w:val="003D6239"/>
    <w:rsid w:val="003D6803"/>
    <w:rsid w:val="003D6C15"/>
    <w:rsid w:val="003D6C37"/>
    <w:rsid w:val="003D7140"/>
    <w:rsid w:val="003D7398"/>
    <w:rsid w:val="003D7459"/>
    <w:rsid w:val="003D772C"/>
    <w:rsid w:val="003E0107"/>
    <w:rsid w:val="003E0D53"/>
    <w:rsid w:val="003E110D"/>
    <w:rsid w:val="003E29A2"/>
    <w:rsid w:val="003E2E0A"/>
    <w:rsid w:val="003E3E77"/>
    <w:rsid w:val="003E561C"/>
    <w:rsid w:val="003E60BA"/>
    <w:rsid w:val="003E60ED"/>
    <w:rsid w:val="003E6D52"/>
    <w:rsid w:val="003E74E4"/>
    <w:rsid w:val="003E78B2"/>
    <w:rsid w:val="003E7C6B"/>
    <w:rsid w:val="003F05A8"/>
    <w:rsid w:val="003F0D02"/>
    <w:rsid w:val="003F1467"/>
    <w:rsid w:val="003F18BF"/>
    <w:rsid w:val="003F1D3D"/>
    <w:rsid w:val="003F2B68"/>
    <w:rsid w:val="003F2BBC"/>
    <w:rsid w:val="003F4542"/>
    <w:rsid w:val="003F4B76"/>
    <w:rsid w:val="003F4E6E"/>
    <w:rsid w:val="003F575C"/>
    <w:rsid w:val="003F5D0B"/>
    <w:rsid w:val="003F5D86"/>
    <w:rsid w:val="003F602A"/>
    <w:rsid w:val="003F64F8"/>
    <w:rsid w:val="003F652E"/>
    <w:rsid w:val="003F65B2"/>
    <w:rsid w:val="003F6C93"/>
    <w:rsid w:val="003F6DED"/>
    <w:rsid w:val="003F7369"/>
    <w:rsid w:val="003F7757"/>
    <w:rsid w:val="003F7A0D"/>
    <w:rsid w:val="003F7B1B"/>
    <w:rsid w:val="003F7F78"/>
    <w:rsid w:val="00400189"/>
    <w:rsid w:val="0040176B"/>
    <w:rsid w:val="00401D77"/>
    <w:rsid w:val="00402BF4"/>
    <w:rsid w:val="00404333"/>
    <w:rsid w:val="00404722"/>
    <w:rsid w:val="00404BA3"/>
    <w:rsid w:val="00405D2C"/>
    <w:rsid w:val="00405F47"/>
    <w:rsid w:val="004060E1"/>
    <w:rsid w:val="004066A7"/>
    <w:rsid w:val="004068E8"/>
    <w:rsid w:val="0040692E"/>
    <w:rsid w:val="004069D9"/>
    <w:rsid w:val="00406B13"/>
    <w:rsid w:val="00406C58"/>
    <w:rsid w:val="00406E38"/>
    <w:rsid w:val="00406E72"/>
    <w:rsid w:val="00406E91"/>
    <w:rsid w:val="004070FD"/>
    <w:rsid w:val="00407661"/>
    <w:rsid w:val="00407748"/>
    <w:rsid w:val="00407BED"/>
    <w:rsid w:val="00407D7F"/>
    <w:rsid w:val="00407F65"/>
    <w:rsid w:val="0041173F"/>
    <w:rsid w:val="0041176A"/>
    <w:rsid w:val="00411BF6"/>
    <w:rsid w:val="00411EA2"/>
    <w:rsid w:val="00411EB4"/>
    <w:rsid w:val="00413776"/>
    <w:rsid w:val="0041384A"/>
    <w:rsid w:val="0041393A"/>
    <w:rsid w:val="004139DB"/>
    <w:rsid w:val="00414603"/>
    <w:rsid w:val="00414D7E"/>
    <w:rsid w:val="004150EA"/>
    <w:rsid w:val="004156C3"/>
    <w:rsid w:val="0041599A"/>
    <w:rsid w:val="0041643F"/>
    <w:rsid w:val="0041657C"/>
    <w:rsid w:val="00416648"/>
    <w:rsid w:val="00416C0A"/>
    <w:rsid w:val="00417F46"/>
    <w:rsid w:val="00420D75"/>
    <w:rsid w:val="0042149B"/>
    <w:rsid w:val="0042161D"/>
    <w:rsid w:val="0042166D"/>
    <w:rsid w:val="004216D9"/>
    <w:rsid w:val="00421C5B"/>
    <w:rsid w:val="00421F81"/>
    <w:rsid w:val="00421FE9"/>
    <w:rsid w:val="00422656"/>
    <w:rsid w:val="00422F8C"/>
    <w:rsid w:val="00423092"/>
    <w:rsid w:val="00423197"/>
    <w:rsid w:val="00423A96"/>
    <w:rsid w:val="00423D3D"/>
    <w:rsid w:val="00423D53"/>
    <w:rsid w:val="00423D64"/>
    <w:rsid w:val="00423DE2"/>
    <w:rsid w:val="00423F0F"/>
    <w:rsid w:val="004248CC"/>
    <w:rsid w:val="00424D48"/>
    <w:rsid w:val="00424E09"/>
    <w:rsid w:val="0042562F"/>
    <w:rsid w:val="004264B9"/>
    <w:rsid w:val="004266F2"/>
    <w:rsid w:val="00426FB3"/>
    <w:rsid w:val="004274E9"/>
    <w:rsid w:val="00430011"/>
    <w:rsid w:val="00430F3B"/>
    <w:rsid w:val="004311C7"/>
    <w:rsid w:val="00431358"/>
    <w:rsid w:val="00431673"/>
    <w:rsid w:val="00431681"/>
    <w:rsid w:val="00431DDA"/>
    <w:rsid w:val="00432A11"/>
    <w:rsid w:val="00432BDF"/>
    <w:rsid w:val="00432C6F"/>
    <w:rsid w:val="00433066"/>
    <w:rsid w:val="00433D01"/>
    <w:rsid w:val="00434059"/>
    <w:rsid w:val="00435F90"/>
    <w:rsid w:val="004375D5"/>
    <w:rsid w:val="004378D2"/>
    <w:rsid w:val="004407B8"/>
    <w:rsid w:val="00440BE7"/>
    <w:rsid w:val="004411E1"/>
    <w:rsid w:val="004412A7"/>
    <w:rsid w:val="0044152C"/>
    <w:rsid w:val="00441B1F"/>
    <w:rsid w:val="00441CAB"/>
    <w:rsid w:val="00441DCB"/>
    <w:rsid w:val="00442434"/>
    <w:rsid w:val="00443052"/>
    <w:rsid w:val="004435B4"/>
    <w:rsid w:val="004436ED"/>
    <w:rsid w:val="00443B6B"/>
    <w:rsid w:val="00445D4D"/>
    <w:rsid w:val="00445F35"/>
    <w:rsid w:val="00446672"/>
    <w:rsid w:val="00447B31"/>
    <w:rsid w:val="0045047E"/>
    <w:rsid w:val="00450866"/>
    <w:rsid w:val="00450CDB"/>
    <w:rsid w:val="00451518"/>
    <w:rsid w:val="00451611"/>
    <w:rsid w:val="00451AE9"/>
    <w:rsid w:val="004526E6"/>
    <w:rsid w:val="0045291E"/>
    <w:rsid w:val="0045294E"/>
    <w:rsid w:val="00454418"/>
    <w:rsid w:val="004547AF"/>
    <w:rsid w:val="00454FC1"/>
    <w:rsid w:val="00455735"/>
    <w:rsid w:val="00455FE9"/>
    <w:rsid w:val="004566F4"/>
    <w:rsid w:val="00456779"/>
    <w:rsid w:val="00456804"/>
    <w:rsid w:val="00456AAF"/>
    <w:rsid w:val="00457203"/>
    <w:rsid w:val="004575FB"/>
    <w:rsid w:val="00457A3E"/>
    <w:rsid w:val="00457CD6"/>
    <w:rsid w:val="004601C0"/>
    <w:rsid w:val="00460680"/>
    <w:rsid w:val="00460742"/>
    <w:rsid w:val="004610E2"/>
    <w:rsid w:val="00461604"/>
    <w:rsid w:val="00462133"/>
    <w:rsid w:val="00462E4A"/>
    <w:rsid w:val="00463838"/>
    <w:rsid w:val="00464E4E"/>
    <w:rsid w:val="004663EC"/>
    <w:rsid w:val="00466CE3"/>
    <w:rsid w:val="00467580"/>
    <w:rsid w:val="00467DFD"/>
    <w:rsid w:val="00467F6A"/>
    <w:rsid w:val="00470F96"/>
    <w:rsid w:val="004713FC"/>
    <w:rsid w:val="00471A4D"/>
    <w:rsid w:val="0047232A"/>
    <w:rsid w:val="004724EC"/>
    <w:rsid w:val="00472EFA"/>
    <w:rsid w:val="00473218"/>
    <w:rsid w:val="004740B6"/>
    <w:rsid w:val="00474474"/>
    <w:rsid w:val="00474ABD"/>
    <w:rsid w:val="00475A7F"/>
    <w:rsid w:val="00476A54"/>
    <w:rsid w:val="00476E11"/>
    <w:rsid w:val="00476F13"/>
    <w:rsid w:val="00476F32"/>
    <w:rsid w:val="00477AA2"/>
    <w:rsid w:val="00477E5E"/>
    <w:rsid w:val="0048034B"/>
    <w:rsid w:val="00480A87"/>
    <w:rsid w:val="00481292"/>
    <w:rsid w:val="00481677"/>
    <w:rsid w:val="0048204A"/>
    <w:rsid w:val="004823B4"/>
    <w:rsid w:val="00482CC9"/>
    <w:rsid w:val="00483946"/>
    <w:rsid w:val="00483A86"/>
    <w:rsid w:val="00484D38"/>
    <w:rsid w:val="00484DCD"/>
    <w:rsid w:val="00485C6B"/>
    <w:rsid w:val="00485C77"/>
    <w:rsid w:val="00485CAA"/>
    <w:rsid w:val="00486123"/>
    <w:rsid w:val="00486320"/>
    <w:rsid w:val="00486439"/>
    <w:rsid w:val="004869C5"/>
    <w:rsid w:val="00486B77"/>
    <w:rsid w:val="004875E6"/>
    <w:rsid w:val="0048776E"/>
    <w:rsid w:val="0049073E"/>
    <w:rsid w:val="004908ED"/>
    <w:rsid w:val="00492141"/>
    <w:rsid w:val="004929E2"/>
    <w:rsid w:val="00492CB9"/>
    <w:rsid w:val="00492D80"/>
    <w:rsid w:val="00493457"/>
    <w:rsid w:val="0049372F"/>
    <w:rsid w:val="004939B8"/>
    <w:rsid w:val="00493A86"/>
    <w:rsid w:val="00494831"/>
    <w:rsid w:val="00494ADF"/>
    <w:rsid w:val="00494B11"/>
    <w:rsid w:val="00494EB9"/>
    <w:rsid w:val="0049531D"/>
    <w:rsid w:val="004953B7"/>
    <w:rsid w:val="004954FB"/>
    <w:rsid w:val="004957EA"/>
    <w:rsid w:val="00495801"/>
    <w:rsid w:val="00495DAC"/>
    <w:rsid w:val="004961DF"/>
    <w:rsid w:val="00496287"/>
    <w:rsid w:val="004967D4"/>
    <w:rsid w:val="00496DD2"/>
    <w:rsid w:val="00496ECC"/>
    <w:rsid w:val="004972FA"/>
    <w:rsid w:val="004978B6"/>
    <w:rsid w:val="004A0635"/>
    <w:rsid w:val="004A0D16"/>
    <w:rsid w:val="004A0EAA"/>
    <w:rsid w:val="004A1405"/>
    <w:rsid w:val="004A2FD0"/>
    <w:rsid w:val="004A3198"/>
    <w:rsid w:val="004A31AE"/>
    <w:rsid w:val="004A324F"/>
    <w:rsid w:val="004A387E"/>
    <w:rsid w:val="004A38F6"/>
    <w:rsid w:val="004A4038"/>
    <w:rsid w:val="004A4269"/>
    <w:rsid w:val="004A4552"/>
    <w:rsid w:val="004A5EDB"/>
    <w:rsid w:val="004A6281"/>
    <w:rsid w:val="004A64E7"/>
    <w:rsid w:val="004A6CA2"/>
    <w:rsid w:val="004A7398"/>
    <w:rsid w:val="004B01D6"/>
    <w:rsid w:val="004B01DA"/>
    <w:rsid w:val="004B0664"/>
    <w:rsid w:val="004B0B52"/>
    <w:rsid w:val="004B0BF5"/>
    <w:rsid w:val="004B0D48"/>
    <w:rsid w:val="004B12FE"/>
    <w:rsid w:val="004B17CE"/>
    <w:rsid w:val="004B2A45"/>
    <w:rsid w:val="004B2E6C"/>
    <w:rsid w:val="004B3C2D"/>
    <w:rsid w:val="004B4881"/>
    <w:rsid w:val="004B4BC4"/>
    <w:rsid w:val="004B5AE9"/>
    <w:rsid w:val="004B5B4D"/>
    <w:rsid w:val="004B621A"/>
    <w:rsid w:val="004B6BF7"/>
    <w:rsid w:val="004B7164"/>
    <w:rsid w:val="004B72FE"/>
    <w:rsid w:val="004B73B8"/>
    <w:rsid w:val="004B7550"/>
    <w:rsid w:val="004B777C"/>
    <w:rsid w:val="004B7E99"/>
    <w:rsid w:val="004C00D7"/>
    <w:rsid w:val="004C02C7"/>
    <w:rsid w:val="004C062D"/>
    <w:rsid w:val="004C072F"/>
    <w:rsid w:val="004C08C0"/>
    <w:rsid w:val="004C0C2B"/>
    <w:rsid w:val="004C1310"/>
    <w:rsid w:val="004C1358"/>
    <w:rsid w:val="004C18A9"/>
    <w:rsid w:val="004C1F37"/>
    <w:rsid w:val="004C2467"/>
    <w:rsid w:val="004C2BEA"/>
    <w:rsid w:val="004C3088"/>
    <w:rsid w:val="004C34E8"/>
    <w:rsid w:val="004C3D9C"/>
    <w:rsid w:val="004C4287"/>
    <w:rsid w:val="004C4C40"/>
    <w:rsid w:val="004C518F"/>
    <w:rsid w:val="004C5809"/>
    <w:rsid w:val="004C5B0C"/>
    <w:rsid w:val="004C5B6E"/>
    <w:rsid w:val="004C6035"/>
    <w:rsid w:val="004C6CE7"/>
    <w:rsid w:val="004C6D67"/>
    <w:rsid w:val="004C700E"/>
    <w:rsid w:val="004C741D"/>
    <w:rsid w:val="004C77BB"/>
    <w:rsid w:val="004C7DDB"/>
    <w:rsid w:val="004C7F2E"/>
    <w:rsid w:val="004D034B"/>
    <w:rsid w:val="004D0697"/>
    <w:rsid w:val="004D0CBA"/>
    <w:rsid w:val="004D0FE3"/>
    <w:rsid w:val="004D1673"/>
    <w:rsid w:val="004D1B39"/>
    <w:rsid w:val="004D2823"/>
    <w:rsid w:val="004D298F"/>
    <w:rsid w:val="004D2BA8"/>
    <w:rsid w:val="004D2D6E"/>
    <w:rsid w:val="004D306D"/>
    <w:rsid w:val="004D311D"/>
    <w:rsid w:val="004D31DA"/>
    <w:rsid w:val="004D3A40"/>
    <w:rsid w:val="004D492B"/>
    <w:rsid w:val="004D53CF"/>
    <w:rsid w:val="004D57D2"/>
    <w:rsid w:val="004D5887"/>
    <w:rsid w:val="004D5F14"/>
    <w:rsid w:val="004D6013"/>
    <w:rsid w:val="004D6EE2"/>
    <w:rsid w:val="004D74A3"/>
    <w:rsid w:val="004D77D0"/>
    <w:rsid w:val="004E03ED"/>
    <w:rsid w:val="004E0B02"/>
    <w:rsid w:val="004E0F05"/>
    <w:rsid w:val="004E1910"/>
    <w:rsid w:val="004E204B"/>
    <w:rsid w:val="004E2B2F"/>
    <w:rsid w:val="004E2D7D"/>
    <w:rsid w:val="004E2FAD"/>
    <w:rsid w:val="004E3394"/>
    <w:rsid w:val="004E3B33"/>
    <w:rsid w:val="004E3E45"/>
    <w:rsid w:val="004E4D36"/>
    <w:rsid w:val="004E4FAF"/>
    <w:rsid w:val="004E5780"/>
    <w:rsid w:val="004E5B88"/>
    <w:rsid w:val="004E5C4C"/>
    <w:rsid w:val="004E60D1"/>
    <w:rsid w:val="004E6621"/>
    <w:rsid w:val="004E69AF"/>
    <w:rsid w:val="004E6EE6"/>
    <w:rsid w:val="004E78FB"/>
    <w:rsid w:val="004E7F8C"/>
    <w:rsid w:val="004F0D1E"/>
    <w:rsid w:val="004F1144"/>
    <w:rsid w:val="004F137B"/>
    <w:rsid w:val="004F1725"/>
    <w:rsid w:val="004F19FB"/>
    <w:rsid w:val="004F2315"/>
    <w:rsid w:val="004F2CD6"/>
    <w:rsid w:val="004F2EC7"/>
    <w:rsid w:val="004F2FFA"/>
    <w:rsid w:val="004F3883"/>
    <w:rsid w:val="004F3DCB"/>
    <w:rsid w:val="004F4985"/>
    <w:rsid w:val="004F4D50"/>
    <w:rsid w:val="004F5EF7"/>
    <w:rsid w:val="004F6393"/>
    <w:rsid w:val="004F691B"/>
    <w:rsid w:val="004F692D"/>
    <w:rsid w:val="005002C0"/>
    <w:rsid w:val="005007F9"/>
    <w:rsid w:val="005008DD"/>
    <w:rsid w:val="00500D68"/>
    <w:rsid w:val="00502170"/>
    <w:rsid w:val="00502A2A"/>
    <w:rsid w:val="00502D53"/>
    <w:rsid w:val="00503A24"/>
    <w:rsid w:val="00505A99"/>
    <w:rsid w:val="00505ADE"/>
    <w:rsid w:val="005064EA"/>
    <w:rsid w:val="00506B11"/>
    <w:rsid w:val="0051019E"/>
    <w:rsid w:val="00511517"/>
    <w:rsid w:val="00511736"/>
    <w:rsid w:val="00511838"/>
    <w:rsid w:val="00511BCC"/>
    <w:rsid w:val="00511E38"/>
    <w:rsid w:val="005137F5"/>
    <w:rsid w:val="0051443C"/>
    <w:rsid w:val="00514D80"/>
    <w:rsid w:val="00515521"/>
    <w:rsid w:val="0051552D"/>
    <w:rsid w:val="005158AA"/>
    <w:rsid w:val="00515CD4"/>
    <w:rsid w:val="00515E34"/>
    <w:rsid w:val="0051658E"/>
    <w:rsid w:val="00516E49"/>
    <w:rsid w:val="005172B7"/>
    <w:rsid w:val="00517583"/>
    <w:rsid w:val="005200C5"/>
    <w:rsid w:val="00520362"/>
    <w:rsid w:val="005216B2"/>
    <w:rsid w:val="005227A7"/>
    <w:rsid w:val="00522C54"/>
    <w:rsid w:val="00522EC8"/>
    <w:rsid w:val="00523108"/>
    <w:rsid w:val="00523EC3"/>
    <w:rsid w:val="005241AA"/>
    <w:rsid w:val="0052491B"/>
    <w:rsid w:val="00524F9E"/>
    <w:rsid w:val="005252CC"/>
    <w:rsid w:val="00525590"/>
    <w:rsid w:val="00526D1F"/>
    <w:rsid w:val="0052747E"/>
    <w:rsid w:val="00527BC2"/>
    <w:rsid w:val="00527F3A"/>
    <w:rsid w:val="00530123"/>
    <w:rsid w:val="0053030A"/>
    <w:rsid w:val="005310CC"/>
    <w:rsid w:val="00531AED"/>
    <w:rsid w:val="00531CE7"/>
    <w:rsid w:val="00531FC5"/>
    <w:rsid w:val="005327DB"/>
    <w:rsid w:val="005330A4"/>
    <w:rsid w:val="00533BEB"/>
    <w:rsid w:val="005346D0"/>
    <w:rsid w:val="005350BC"/>
    <w:rsid w:val="005361A0"/>
    <w:rsid w:val="005361C6"/>
    <w:rsid w:val="00537B3F"/>
    <w:rsid w:val="00540146"/>
    <w:rsid w:val="0054045E"/>
    <w:rsid w:val="005405C6"/>
    <w:rsid w:val="00540A95"/>
    <w:rsid w:val="00540C7F"/>
    <w:rsid w:val="005410F4"/>
    <w:rsid w:val="00541173"/>
    <w:rsid w:val="00541689"/>
    <w:rsid w:val="0054188B"/>
    <w:rsid w:val="00541D99"/>
    <w:rsid w:val="0054258A"/>
    <w:rsid w:val="005433EC"/>
    <w:rsid w:val="005439A2"/>
    <w:rsid w:val="00543D70"/>
    <w:rsid w:val="00543FA9"/>
    <w:rsid w:val="005445CE"/>
    <w:rsid w:val="00544941"/>
    <w:rsid w:val="00545071"/>
    <w:rsid w:val="005455B0"/>
    <w:rsid w:val="00545C67"/>
    <w:rsid w:val="00546E44"/>
    <w:rsid w:val="00546E7C"/>
    <w:rsid w:val="005476E8"/>
    <w:rsid w:val="00547D69"/>
    <w:rsid w:val="00547E8A"/>
    <w:rsid w:val="0055032F"/>
    <w:rsid w:val="00550598"/>
    <w:rsid w:val="0055226F"/>
    <w:rsid w:val="0055233A"/>
    <w:rsid w:val="00554151"/>
    <w:rsid w:val="00554696"/>
    <w:rsid w:val="0055481D"/>
    <w:rsid w:val="00554C33"/>
    <w:rsid w:val="005558F4"/>
    <w:rsid w:val="00555D00"/>
    <w:rsid w:val="0055600A"/>
    <w:rsid w:val="00556515"/>
    <w:rsid w:val="00556644"/>
    <w:rsid w:val="00557680"/>
    <w:rsid w:val="00557EF0"/>
    <w:rsid w:val="00560054"/>
    <w:rsid w:val="005609EE"/>
    <w:rsid w:val="00560C81"/>
    <w:rsid w:val="00560E06"/>
    <w:rsid w:val="00560EF9"/>
    <w:rsid w:val="00561C46"/>
    <w:rsid w:val="005622A6"/>
    <w:rsid w:val="00562911"/>
    <w:rsid w:val="00562CBA"/>
    <w:rsid w:val="00562D38"/>
    <w:rsid w:val="00562E95"/>
    <w:rsid w:val="005631D3"/>
    <w:rsid w:val="005638A4"/>
    <w:rsid w:val="00563C5B"/>
    <w:rsid w:val="0056407B"/>
    <w:rsid w:val="00564170"/>
    <w:rsid w:val="005644B0"/>
    <w:rsid w:val="00564C1A"/>
    <w:rsid w:val="00564EED"/>
    <w:rsid w:val="0056529F"/>
    <w:rsid w:val="005655C1"/>
    <w:rsid w:val="00565659"/>
    <w:rsid w:val="00565865"/>
    <w:rsid w:val="00565CAB"/>
    <w:rsid w:val="00566189"/>
    <w:rsid w:val="005664B0"/>
    <w:rsid w:val="00567704"/>
    <w:rsid w:val="005677D9"/>
    <w:rsid w:val="0057017A"/>
    <w:rsid w:val="0057062C"/>
    <w:rsid w:val="005706C6"/>
    <w:rsid w:val="005707FA"/>
    <w:rsid w:val="00570CCE"/>
    <w:rsid w:val="005716D9"/>
    <w:rsid w:val="005718B0"/>
    <w:rsid w:val="0057217C"/>
    <w:rsid w:val="005729B8"/>
    <w:rsid w:val="00572A8A"/>
    <w:rsid w:val="00572C9C"/>
    <w:rsid w:val="00572DB3"/>
    <w:rsid w:val="005743F2"/>
    <w:rsid w:val="00574829"/>
    <w:rsid w:val="005750D6"/>
    <w:rsid w:val="005755EA"/>
    <w:rsid w:val="0057579B"/>
    <w:rsid w:val="00576AE0"/>
    <w:rsid w:val="00576B87"/>
    <w:rsid w:val="00576B9C"/>
    <w:rsid w:val="00577095"/>
    <w:rsid w:val="00577257"/>
    <w:rsid w:val="0058016D"/>
    <w:rsid w:val="005805D1"/>
    <w:rsid w:val="0058096D"/>
    <w:rsid w:val="00580EFF"/>
    <w:rsid w:val="00582522"/>
    <w:rsid w:val="00582BCB"/>
    <w:rsid w:val="00582D6B"/>
    <w:rsid w:val="0058304D"/>
    <w:rsid w:val="00583717"/>
    <w:rsid w:val="00583F5E"/>
    <w:rsid w:val="005846E4"/>
    <w:rsid w:val="00584BE8"/>
    <w:rsid w:val="00585486"/>
    <w:rsid w:val="005864F7"/>
    <w:rsid w:val="00586771"/>
    <w:rsid w:val="00586D0E"/>
    <w:rsid w:val="00587B81"/>
    <w:rsid w:val="00587D35"/>
    <w:rsid w:val="00587DE0"/>
    <w:rsid w:val="00587FB8"/>
    <w:rsid w:val="00590258"/>
    <w:rsid w:val="00590358"/>
    <w:rsid w:val="00590523"/>
    <w:rsid w:val="005905E3"/>
    <w:rsid w:val="00590B03"/>
    <w:rsid w:val="00590D84"/>
    <w:rsid w:val="00590DEE"/>
    <w:rsid w:val="005912DE"/>
    <w:rsid w:val="0059141A"/>
    <w:rsid w:val="005915FB"/>
    <w:rsid w:val="0059207A"/>
    <w:rsid w:val="005932CA"/>
    <w:rsid w:val="0059349B"/>
    <w:rsid w:val="00593993"/>
    <w:rsid w:val="0059442B"/>
    <w:rsid w:val="005946F2"/>
    <w:rsid w:val="00594C46"/>
    <w:rsid w:val="00595227"/>
    <w:rsid w:val="00595C2E"/>
    <w:rsid w:val="005966B3"/>
    <w:rsid w:val="00596F43"/>
    <w:rsid w:val="005979C1"/>
    <w:rsid w:val="00597B04"/>
    <w:rsid w:val="00597D79"/>
    <w:rsid w:val="00597DD4"/>
    <w:rsid w:val="00597E97"/>
    <w:rsid w:val="005A00D0"/>
    <w:rsid w:val="005A0138"/>
    <w:rsid w:val="005A052C"/>
    <w:rsid w:val="005A08AA"/>
    <w:rsid w:val="005A1583"/>
    <w:rsid w:val="005A16EF"/>
    <w:rsid w:val="005A219F"/>
    <w:rsid w:val="005A2926"/>
    <w:rsid w:val="005A29D3"/>
    <w:rsid w:val="005A2A8F"/>
    <w:rsid w:val="005A2CCC"/>
    <w:rsid w:val="005A308A"/>
    <w:rsid w:val="005A3C14"/>
    <w:rsid w:val="005A4357"/>
    <w:rsid w:val="005A4B07"/>
    <w:rsid w:val="005A5414"/>
    <w:rsid w:val="005A609B"/>
    <w:rsid w:val="005A6E0C"/>
    <w:rsid w:val="005A7E44"/>
    <w:rsid w:val="005B010F"/>
    <w:rsid w:val="005B0D64"/>
    <w:rsid w:val="005B0D68"/>
    <w:rsid w:val="005B126C"/>
    <w:rsid w:val="005B13A1"/>
    <w:rsid w:val="005B1B85"/>
    <w:rsid w:val="005B1C31"/>
    <w:rsid w:val="005B1F7E"/>
    <w:rsid w:val="005B25E0"/>
    <w:rsid w:val="005B2B26"/>
    <w:rsid w:val="005B3625"/>
    <w:rsid w:val="005B3A30"/>
    <w:rsid w:val="005B3BC9"/>
    <w:rsid w:val="005B3BE1"/>
    <w:rsid w:val="005B3FAA"/>
    <w:rsid w:val="005B4060"/>
    <w:rsid w:val="005B4146"/>
    <w:rsid w:val="005B468B"/>
    <w:rsid w:val="005B46C6"/>
    <w:rsid w:val="005B4759"/>
    <w:rsid w:val="005B51B7"/>
    <w:rsid w:val="005B55D6"/>
    <w:rsid w:val="005B55E0"/>
    <w:rsid w:val="005B593A"/>
    <w:rsid w:val="005B693F"/>
    <w:rsid w:val="005B78EF"/>
    <w:rsid w:val="005C0133"/>
    <w:rsid w:val="005C0591"/>
    <w:rsid w:val="005C1068"/>
    <w:rsid w:val="005C1494"/>
    <w:rsid w:val="005C19C3"/>
    <w:rsid w:val="005C2046"/>
    <w:rsid w:val="005C23E6"/>
    <w:rsid w:val="005C35B6"/>
    <w:rsid w:val="005C4CBE"/>
    <w:rsid w:val="005C4D3D"/>
    <w:rsid w:val="005C5054"/>
    <w:rsid w:val="005C59E8"/>
    <w:rsid w:val="005C5C7F"/>
    <w:rsid w:val="005C5D35"/>
    <w:rsid w:val="005C6786"/>
    <w:rsid w:val="005C73B9"/>
    <w:rsid w:val="005C7E30"/>
    <w:rsid w:val="005D01AA"/>
    <w:rsid w:val="005D030D"/>
    <w:rsid w:val="005D0BDB"/>
    <w:rsid w:val="005D0D6B"/>
    <w:rsid w:val="005D189D"/>
    <w:rsid w:val="005D2069"/>
    <w:rsid w:val="005D220B"/>
    <w:rsid w:val="005D28B7"/>
    <w:rsid w:val="005D3138"/>
    <w:rsid w:val="005D34D7"/>
    <w:rsid w:val="005D3601"/>
    <w:rsid w:val="005D38A7"/>
    <w:rsid w:val="005D43E2"/>
    <w:rsid w:val="005D4610"/>
    <w:rsid w:val="005D4C41"/>
    <w:rsid w:val="005D4C58"/>
    <w:rsid w:val="005D4D16"/>
    <w:rsid w:val="005D4D52"/>
    <w:rsid w:val="005D4D70"/>
    <w:rsid w:val="005D5370"/>
    <w:rsid w:val="005D56E5"/>
    <w:rsid w:val="005D5C2B"/>
    <w:rsid w:val="005D6067"/>
    <w:rsid w:val="005D680D"/>
    <w:rsid w:val="005D6BD8"/>
    <w:rsid w:val="005D7461"/>
    <w:rsid w:val="005D749E"/>
    <w:rsid w:val="005E08C0"/>
    <w:rsid w:val="005E0D77"/>
    <w:rsid w:val="005E1212"/>
    <w:rsid w:val="005E176B"/>
    <w:rsid w:val="005E1E11"/>
    <w:rsid w:val="005E4103"/>
    <w:rsid w:val="005E4603"/>
    <w:rsid w:val="005E503B"/>
    <w:rsid w:val="005E55DD"/>
    <w:rsid w:val="005E587F"/>
    <w:rsid w:val="005E612E"/>
    <w:rsid w:val="005E6770"/>
    <w:rsid w:val="005F057B"/>
    <w:rsid w:val="005F0796"/>
    <w:rsid w:val="005F07B6"/>
    <w:rsid w:val="005F1281"/>
    <w:rsid w:val="005F19D3"/>
    <w:rsid w:val="005F1C65"/>
    <w:rsid w:val="005F1CA6"/>
    <w:rsid w:val="005F1FC4"/>
    <w:rsid w:val="005F216F"/>
    <w:rsid w:val="005F285B"/>
    <w:rsid w:val="005F2B3A"/>
    <w:rsid w:val="005F3D33"/>
    <w:rsid w:val="005F40B3"/>
    <w:rsid w:val="005F41C1"/>
    <w:rsid w:val="005F41EA"/>
    <w:rsid w:val="005F444B"/>
    <w:rsid w:val="005F4F02"/>
    <w:rsid w:val="005F506D"/>
    <w:rsid w:val="005F693A"/>
    <w:rsid w:val="005F6D5E"/>
    <w:rsid w:val="005F72B1"/>
    <w:rsid w:val="00600578"/>
    <w:rsid w:val="00601A8C"/>
    <w:rsid w:val="0060399C"/>
    <w:rsid w:val="00603D0A"/>
    <w:rsid w:val="00604280"/>
    <w:rsid w:val="0060576A"/>
    <w:rsid w:val="00605B13"/>
    <w:rsid w:val="00605FD2"/>
    <w:rsid w:val="00606C65"/>
    <w:rsid w:val="00606C8A"/>
    <w:rsid w:val="00606CFA"/>
    <w:rsid w:val="0060750C"/>
    <w:rsid w:val="00607661"/>
    <w:rsid w:val="006107FB"/>
    <w:rsid w:val="0061120C"/>
    <w:rsid w:val="00612142"/>
    <w:rsid w:val="00612A95"/>
    <w:rsid w:val="00612B54"/>
    <w:rsid w:val="00612E7C"/>
    <w:rsid w:val="006140C0"/>
    <w:rsid w:val="00615312"/>
    <w:rsid w:val="0061536D"/>
    <w:rsid w:val="0061537F"/>
    <w:rsid w:val="006154CF"/>
    <w:rsid w:val="00615AC9"/>
    <w:rsid w:val="00616071"/>
    <w:rsid w:val="00616220"/>
    <w:rsid w:val="00617559"/>
    <w:rsid w:val="006175F7"/>
    <w:rsid w:val="00617AD9"/>
    <w:rsid w:val="0062071B"/>
    <w:rsid w:val="0062099D"/>
    <w:rsid w:val="00621752"/>
    <w:rsid w:val="00621981"/>
    <w:rsid w:val="006219F9"/>
    <w:rsid w:val="006222C8"/>
    <w:rsid w:val="006225AC"/>
    <w:rsid w:val="00623821"/>
    <w:rsid w:val="00623B33"/>
    <w:rsid w:val="006240BA"/>
    <w:rsid w:val="0062466A"/>
    <w:rsid w:val="00624AF8"/>
    <w:rsid w:val="00624F6E"/>
    <w:rsid w:val="0062531D"/>
    <w:rsid w:val="00625442"/>
    <w:rsid w:val="00625931"/>
    <w:rsid w:val="00625B69"/>
    <w:rsid w:val="0062603E"/>
    <w:rsid w:val="006262D0"/>
    <w:rsid w:val="00626FAD"/>
    <w:rsid w:val="006271E9"/>
    <w:rsid w:val="0062749F"/>
    <w:rsid w:val="00627701"/>
    <w:rsid w:val="006277DC"/>
    <w:rsid w:val="00630000"/>
    <w:rsid w:val="00630265"/>
    <w:rsid w:val="006308A6"/>
    <w:rsid w:val="006310ED"/>
    <w:rsid w:val="006314C6"/>
    <w:rsid w:val="006319EB"/>
    <w:rsid w:val="0063205C"/>
    <w:rsid w:val="006320DA"/>
    <w:rsid w:val="006321B4"/>
    <w:rsid w:val="00632247"/>
    <w:rsid w:val="006323DC"/>
    <w:rsid w:val="00632C16"/>
    <w:rsid w:val="00632CF0"/>
    <w:rsid w:val="0063349F"/>
    <w:rsid w:val="00633589"/>
    <w:rsid w:val="0063429B"/>
    <w:rsid w:val="0063490E"/>
    <w:rsid w:val="00635117"/>
    <w:rsid w:val="00635ABA"/>
    <w:rsid w:val="00635C2D"/>
    <w:rsid w:val="00636D21"/>
    <w:rsid w:val="006374B4"/>
    <w:rsid w:val="00637508"/>
    <w:rsid w:val="0063789D"/>
    <w:rsid w:val="00637E74"/>
    <w:rsid w:val="0064071D"/>
    <w:rsid w:val="006409E3"/>
    <w:rsid w:val="00640E39"/>
    <w:rsid w:val="006419A0"/>
    <w:rsid w:val="00641FB7"/>
    <w:rsid w:val="0064277D"/>
    <w:rsid w:val="00642CC9"/>
    <w:rsid w:val="00642DD1"/>
    <w:rsid w:val="00643CED"/>
    <w:rsid w:val="0064431C"/>
    <w:rsid w:val="0064475C"/>
    <w:rsid w:val="00644EC2"/>
    <w:rsid w:val="00645471"/>
    <w:rsid w:val="0064552E"/>
    <w:rsid w:val="00645DAD"/>
    <w:rsid w:val="0064630B"/>
    <w:rsid w:val="00646F2C"/>
    <w:rsid w:val="0064710D"/>
    <w:rsid w:val="00647A87"/>
    <w:rsid w:val="00647FF0"/>
    <w:rsid w:val="006503A7"/>
    <w:rsid w:val="0065054D"/>
    <w:rsid w:val="00650E01"/>
    <w:rsid w:val="00652A5B"/>
    <w:rsid w:val="00652E30"/>
    <w:rsid w:val="00652E51"/>
    <w:rsid w:val="006530E3"/>
    <w:rsid w:val="00653697"/>
    <w:rsid w:val="00653AE1"/>
    <w:rsid w:val="00654343"/>
    <w:rsid w:val="006549C1"/>
    <w:rsid w:val="00654F75"/>
    <w:rsid w:val="0065534E"/>
    <w:rsid w:val="006554C6"/>
    <w:rsid w:val="006555AA"/>
    <w:rsid w:val="00655852"/>
    <w:rsid w:val="00655A4B"/>
    <w:rsid w:val="00655D0C"/>
    <w:rsid w:val="006566E3"/>
    <w:rsid w:val="00656DD4"/>
    <w:rsid w:val="006602D4"/>
    <w:rsid w:val="006616A3"/>
    <w:rsid w:val="0066195A"/>
    <w:rsid w:val="00661A24"/>
    <w:rsid w:val="00661AD3"/>
    <w:rsid w:val="00661B2A"/>
    <w:rsid w:val="00661CC4"/>
    <w:rsid w:val="00662E4D"/>
    <w:rsid w:val="006659BC"/>
    <w:rsid w:val="0066609D"/>
    <w:rsid w:val="006661BC"/>
    <w:rsid w:val="00666726"/>
    <w:rsid w:val="00667A68"/>
    <w:rsid w:val="00667E33"/>
    <w:rsid w:val="00667F89"/>
    <w:rsid w:val="006700A1"/>
    <w:rsid w:val="00670A91"/>
    <w:rsid w:val="00671025"/>
    <w:rsid w:val="00671CF5"/>
    <w:rsid w:val="00671EA6"/>
    <w:rsid w:val="00672074"/>
    <w:rsid w:val="006723BB"/>
    <w:rsid w:val="00672E75"/>
    <w:rsid w:val="00672F59"/>
    <w:rsid w:val="006731FB"/>
    <w:rsid w:val="00673CDB"/>
    <w:rsid w:val="00673E13"/>
    <w:rsid w:val="0067526D"/>
    <w:rsid w:val="00675289"/>
    <w:rsid w:val="00675C67"/>
    <w:rsid w:val="006762A3"/>
    <w:rsid w:val="00676F8C"/>
    <w:rsid w:val="0067770C"/>
    <w:rsid w:val="006778A8"/>
    <w:rsid w:val="00680269"/>
    <w:rsid w:val="0068062E"/>
    <w:rsid w:val="00680793"/>
    <w:rsid w:val="006807D0"/>
    <w:rsid w:val="0068165B"/>
    <w:rsid w:val="0068196B"/>
    <w:rsid w:val="00681EDC"/>
    <w:rsid w:val="00682B24"/>
    <w:rsid w:val="006845CB"/>
    <w:rsid w:val="006848CF"/>
    <w:rsid w:val="00684AE9"/>
    <w:rsid w:val="00684B68"/>
    <w:rsid w:val="00685D35"/>
    <w:rsid w:val="00686059"/>
    <w:rsid w:val="00686982"/>
    <w:rsid w:val="00686ACF"/>
    <w:rsid w:val="00687BCA"/>
    <w:rsid w:val="00690189"/>
    <w:rsid w:val="006906D4"/>
    <w:rsid w:val="00691535"/>
    <w:rsid w:val="00691736"/>
    <w:rsid w:val="00691CFF"/>
    <w:rsid w:val="00691D86"/>
    <w:rsid w:val="00692388"/>
    <w:rsid w:val="00694038"/>
    <w:rsid w:val="00694987"/>
    <w:rsid w:val="00694C30"/>
    <w:rsid w:val="00695918"/>
    <w:rsid w:val="00695AC8"/>
    <w:rsid w:val="00695AE8"/>
    <w:rsid w:val="00695C65"/>
    <w:rsid w:val="00695CAD"/>
    <w:rsid w:val="00695D9F"/>
    <w:rsid w:val="006960B1"/>
    <w:rsid w:val="0069615E"/>
    <w:rsid w:val="006968DC"/>
    <w:rsid w:val="006971ED"/>
    <w:rsid w:val="0069724A"/>
    <w:rsid w:val="006974DA"/>
    <w:rsid w:val="006976D3"/>
    <w:rsid w:val="006978F8"/>
    <w:rsid w:val="00697D56"/>
    <w:rsid w:val="00697FA3"/>
    <w:rsid w:val="006A064D"/>
    <w:rsid w:val="006A0CE7"/>
    <w:rsid w:val="006A10DE"/>
    <w:rsid w:val="006A1552"/>
    <w:rsid w:val="006A1671"/>
    <w:rsid w:val="006A1A1C"/>
    <w:rsid w:val="006A1F2E"/>
    <w:rsid w:val="006A218C"/>
    <w:rsid w:val="006A2A24"/>
    <w:rsid w:val="006A2A64"/>
    <w:rsid w:val="006A358F"/>
    <w:rsid w:val="006A38F8"/>
    <w:rsid w:val="006A397A"/>
    <w:rsid w:val="006A3B56"/>
    <w:rsid w:val="006A4264"/>
    <w:rsid w:val="006A4524"/>
    <w:rsid w:val="006A4938"/>
    <w:rsid w:val="006A4BA6"/>
    <w:rsid w:val="006A4BA8"/>
    <w:rsid w:val="006A533C"/>
    <w:rsid w:val="006A551F"/>
    <w:rsid w:val="006A5AF4"/>
    <w:rsid w:val="006A5C9E"/>
    <w:rsid w:val="006A68BB"/>
    <w:rsid w:val="006A71E4"/>
    <w:rsid w:val="006A72DE"/>
    <w:rsid w:val="006A7470"/>
    <w:rsid w:val="006A7582"/>
    <w:rsid w:val="006B016B"/>
    <w:rsid w:val="006B021A"/>
    <w:rsid w:val="006B0B70"/>
    <w:rsid w:val="006B0C69"/>
    <w:rsid w:val="006B0E72"/>
    <w:rsid w:val="006B0E83"/>
    <w:rsid w:val="006B0FA1"/>
    <w:rsid w:val="006B0FCC"/>
    <w:rsid w:val="006B1195"/>
    <w:rsid w:val="006B14A6"/>
    <w:rsid w:val="006B15C5"/>
    <w:rsid w:val="006B18DE"/>
    <w:rsid w:val="006B19D5"/>
    <w:rsid w:val="006B229A"/>
    <w:rsid w:val="006B236A"/>
    <w:rsid w:val="006B2621"/>
    <w:rsid w:val="006B2922"/>
    <w:rsid w:val="006B2D47"/>
    <w:rsid w:val="006B2DA9"/>
    <w:rsid w:val="006B337D"/>
    <w:rsid w:val="006B4632"/>
    <w:rsid w:val="006B47AE"/>
    <w:rsid w:val="006B47C8"/>
    <w:rsid w:val="006B501C"/>
    <w:rsid w:val="006B6242"/>
    <w:rsid w:val="006B6676"/>
    <w:rsid w:val="006B6768"/>
    <w:rsid w:val="006B68AA"/>
    <w:rsid w:val="006B7670"/>
    <w:rsid w:val="006C0440"/>
    <w:rsid w:val="006C04D3"/>
    <w:rsid w:val="006C0A2A"/>
    <w:rsid w:val="006C11D9"/>
    <w:rsid w:val="006C13B9"/>
    <w:rsid w:val="006C1F56"/>
    <w:rsid w:val="006C2B36"/>
    <w:rsid w:val="006C2B77"/>
    <w:rsid w:val="006C3975"/>
    <w:rsid w:val="006C3D1F"/>
    <w:rsid w:val="006C3F71"/>
    <w:rsid w:val="006C43E7"/>
    <w:rsid w:val="006C4450"/>
    <w:rsid w:val="006C46B1"/>
    <w:rsid w:val="006C471D"/>
    <w:rsid w:val="006C4B6F"/>
    <w:rsid w:val="006C5325"/>
    <w:rsid w:val="006C53EA"/>
    <w:rsid w:val="006C5705"/>
    <w:rsid w:val="006C571A"/>
    <w:rsid w:val="006C5AA4"/>
    <w:rsid w:val="006C7243"/>
    <w:rsid w:val="006D0772"/>
    <w:rsid w:val="006D0E9B"/>
    <w:rsid w:val="006D3AC6"/>
    <w:rsid w:val="006D4298"/>
    <w:rsid w:val="006D5885"/>
    <w:rsid w:val="006D610C"/>
    <w:rsid w:val="006D67F5"/>
    <w:rsid w:val="006D6823"/>
    <w:rsid w:val="006D695A"/>
    <w:rsid w:val="006D7016"/>
    <w:rsid w:val="006D756B"/>
    <w:rsid w:val="006D7F88"/>
    <w:rsid w:val="006E02D4"/>
    <w:rsid w:val="006E08AC"/>
    <w:rsid w:val="006E0C89"/>
    <w:rsid w:val="006E0F2D"/>
    <w:rsid w:val="006E1254"/>
    <w:rsid w:val="006E1713"/>
    <w:rsid w:val="006E172D"/>
    <w:rsid w:val="006E1777"/>
    <w:rsid w:val="006E226F"/>
    <w:rsid w:val="006E2F7F"/>
    <w:rsid w:val="006E2FBE"/>
    <w:rsid w:val="006E41C2"/>
    <w:rsid w:val="006E42D2"/>
    <w:rsid w:val="006E52AB"/>
    <w:rsid w:val="006E5934"/>
    <w:rsid w:val="006E5E2F"/>
    <w:rsid w:val="006E5F52"/>
    <w:rsid w:val="006E61F9"/>
    <w:rsid w:val="006E6302"/>
    <w:rsid w:val="006E666C"/>
    <w:rsid w:val="006E6743"/>
    <w:rsid w:val="006E694D"/>
    <w:rsid w:val="006E6AD2"/>
    <w:rsid w:val="006E72B2"/>
    <w:rsid w:val="006E7B10"/>
    <w:rsid w:val="006E7FF7"/>
    <w:rsid w:val="006F0107"/>
    <w:rsid w:val="006F0447"/>
    <w:rsid w:val="006F0D8B"/>
    <w:rsid w:val="006F0DC6"/>
    <w:rsid w:val="006F0DEA"/>
    <w:rsid w:val="006F10C7"/>
    <w:rsid w:val="006F15ED"/>
    <w:rsid w:val="006F1968"/>
    <w:rsid w:val="006F1CAC"/>
    <w:rsid w:val="006F1E0C"/>
    <w:rsid w:val="006F20B8"/>
    <w:rsid w:val="006F2440"/>
    <w:rsid w:val="006F27B4"/>
    <w:rsid w:val="006F280B"/>
    <w:rsid w:val="006F33C3"/>
    <w:rsid w:val="006F3622"/>
    <w:rsid w:val="006F4D7C"/>
    <w:rsid w:val="006F5394"/>
    <w:rsid w:val="006F6088"/>
    <w:rsid w:val="006F62C6"/>
    <w:rsid w:val="006F62E7"/>
    <w:rsid w:val="006F6A1D"/>
    <w:rsid w:val="006F6A23"/>
    <w:rsid w:val="006F704F"/>
    <w:rsid w:val="006F7A6B"/>
    <w:rsid w:val="0070008A"/>
    <w:rsid w:val="00700A5E"/>
    <w:rsid w:val="0070112A"/>
    <w:rsid w:val="00701561"/>
    <w:rsid w:val="00701897"/>
    <w:rsid w:val="00702095"/>
    <w:rsid w:val="00702F1C"/>
    <w:rsid w:val="0070358F"/>
    <w:rsid w:val="00703693"/>
    <w:rsid w:val="00703951"/>
    <w:rsid w:val="00703F36"/>
    <w:rsid w:val="007048A2"/>
    <w:rsid w:val="00705079"/>
    <w:rsid w:val="00705594"/>
    <w:rsid w:val="00706BB0"/>
    <w:rsid w:val="00707CDE"/>
    <w:rsid w:val="00710374"/>
    <w:rsid w:val="00710ADE"/>
    <w:rsid w:val="00711214"/>
    <w:rsid w:val="007118DB"/>
    <w:rsid w:val="007118DC"/>
    <w:rsid w:val="007120D6"/>
    <w:rsid w:val="007121AD"/>
    <w:rsid w:val="00712505"/>
    <w:rsid w:val="007127CC"/>
    <w:rsid w:val="00712B04"/>
    <w:rsid w:val="00713214"/>
    <w:rsid w:val="0071335C"/>
    <w:rsid w:val="00714073"/>
    <w:rsid w:val="00714B9F"/>
    <w:rsid w:val="0071570B"/>
    <w:rsid w:val="007158DA"/>
    <w:rsid w:val="00715C5A"/>
    <w:rsid w:val="00715ECF"/>
    <w:rsid w:val="00716C37"/>
    <w:rsid w:val="007175F0"/>
    <w:rsid w:val="007208F1"/>
    <w:rsid w:val="00720B32"/>
    <w:rsid w:val="007220B5"/>
    <w:rsid w:val="00723957"/>
    <w:rsid w:val="00724352"/>
    <w:rsid w:val="007245BE"/>
    <w:rsid w:val="00724A05"/>
    <w:rsid w:val="00724CC8"/>
    <w:rsid w:val="00724F8B"/>
    <w:rsid w:val="007252E4"/>
    <w:rsid w:val="00725746"/>
    <w:rsid w:val="00725DCB"/>
    <w:rsid w:val="00726555"/>
    <w:rsid w:val="007265D5"/>
    <w:rsid w:val="00726A87"/>
    <w:rsid w:val="00726AF6"/>
    <w:rsid w:val="00726DA7"/>
    <w:rsid w:val="007275A2"/>
    <w:rsid w:val="00727B0C"/>
    <w:rsid w:val="00730492"/>
    <w:rsid w:val="00730CBB"/>
    <w:rsid w:val="00730ECE"/>
    <w:rsid w:val="007316D8"/>
    <w:rsid w:val="00731B3A"/>
    <w:rsid w:val="0073220A"/>
    <w:rsid w:val="00732931"/>
    <w:rsid w:val="00732B48"/>
    <w:rsid w:val="007331D8"/>
    <w:rsid w:val="0073349B"/>
    <w:rsid w:val="007339CB"/>
    <w:rsid w:val="00733D6D"/>
    <w:rsid w:val="00733E85"/>
    <w:rsid w:val="0073424C"/>
    <w:rsid w:val="007342E8"/>
    <w:rsid w:val="0073511E"/>
    <w:rsid w:val="00735198"/>
    <w:rsid w:val="00735209"/>
    <w:rsid w:val="00735651"/>
    <w:rsid w:val="0073640E"/>
    <w:rsid w:val="007365AA"/>
    <w:rsid w:val="00736DD3"/>
    <w:rsid w:val="007400D7"/>
    <w:rsid w:val="00740C03"/>
    <w:rsid w:val="00740C10"/>
    <w:rsid w:val="0074108D"/>
    <w:rsid w:val="0074146B"/>
    <w:rsid w:val="00741774"/>
    <w:rsid w:val="00741DD2"/>
    <w:rsid w:val="00741F9B"/>
    <w:rsid w:val="00742240"/>
    <w:rsid w:val="00742B0B"/>
    <w:rsid w:val="00742BB8"/>
    <w:rsid w:val="00743154"/>
    <w:rsid w:val="00743FCB"/>
    <w:rsid w:val="007442EC"/>
    <w:rsid w:val="00744359"/>
    <w:rsid w:val="007448FF"/>
    <w:rsid w:val="00744C54"/>
    <w:rsid w:val="0074581D"/>
    <w:rsid w:val="00745B86"/>
    <w:rsid w:val="00745ED6"/>
    <w:rsid w:val="0074690B"/>
    <w:rsid w:val="00746995"/>
    <w:rsid w:val="00747169"/>
    <w:rsid w:val="00747287"/>
    <w:rsid w:val="007472E9"/>
    <w:rsid w:val="00747408"/>
    <w:rsid w:val="007479DF"/>
    <w:rsid w:val="00750AEB"/>
    <w:rsid w:val="0075101E"/>
    <w:rsid w:val="00752AE3"/>
    <w:rsid w:val="00753055"/>
    <w:rsid w:val="00753393"/>
    <w:rsid w:val="00753712"/>
    <w:rsid w:val="007538E9"/>
    <w:rsid w:val="00754652"/>
    <w:rsid w:val="00754790"/>
    <w:rsid w:val="0075521A"/>
    <w:rsid w:val="007555A1"/>
    <w:rsid w:val="00755ABB"/>
    <w:rsid w:val="00755C51"/>
    <w:rsid w:val="00755D3C"/>
    <w:rsid w:val="00755DAC"/>
    <w:rsid w:val="007561CB"/>
    <w:rsid w:val="007561DF"/>
    <w:rsid w:val="00756438"/>
    <w:rsid w:val="00756646"/>
    <w:rsid w:val="007566AA"/>
    <w:rsid w:val="00756FAF"/>
    <w:rsid w:val="0075776D"/>
    <w:rsid w:val="00757ED6"/>
    <w:rsid w:val="0076032A"/>
    <w:rsid w:val="0076068A"/>
    <w:rsid w:val="00760C18"/>
    <w:rsid w:val="00761074"/>
    <w:rsid w:val="007612FD"/>
    <w:rsid w:val="00761307"/>
    <w:rsid w:val="00761C1F"/>
    <w:rsid w:val="00762841"/>
    <w:rsid w:val="00762A79"/>
    <w:rsid w:val="00762E6E"/>
    <w:rsid w:val="00763644"/>
    <w:rsid w:val="00763BAF"/>
    <w:rsid w:val="00763C95"/>
    <w:rsid w:val="00763C9D"/>
    <w:rsid w:val="00764641"/>
    <w:rsid w:val="00764887"/>
    <w:rsid w:val="00764E16"/>
    <w:rsid w:val="007655D5"/>
    <w:rsid w:val="0076637F"/>
    <w:rsid w:val="007668DC"/>
    <w:rsid w:val="00766F7E"/>
    <w:rsid w:val="0076767F"/>
    <w:rsid w:val="007676A5"/>
    <w:rsid w:val="007677C1"/>
    <w:rsid w:val="00770255"/>
    <w:rsid w:val="00770727"/>
    <w:rsid w:val="00770766"/>
    <w:rsid w:val="00770CA5"/>
    <w:rsid w:val="007713CD"/>
    <w:rsid w:val="00771757"/>
    <w:rsid w:val="00772169"/>
    <w:rsid w:val="007726C6"/>
    <w:rsid w:val="007727F8"/>
    <w:rsid w:val="007728EC"/>
    <w:rsid w:val="00772C47"/>
    <w:rsid w:val="0077356F"/>
    <w:rsid w:val="00773B90"/>
    <w:rsid w:val="0077411C"/>
    <w:rsid w:val="00774D41"/>
    <w:rsid w:val="00775061"/>
    <w:rsid w:val="00775B81"/>
    <w:rsid w:val="00775E23"/>
    <w:rsid w:val="00776040"/>
    <w:rsid w:val="007765AD"/>
    <w:rsid w:val="007768B7"/>
    <w:rsid w:val="00776FD2"/>
    <w:rsid w:val="00777260"/>
    <w:rsid w:val="007776D0"/>
    <w:rsid w:val="007779FA"/>
    <w:rsid w:val="00781ACC"/>
    <w:rsid w:val="00782222"/>
    <w:rsid w:val="00782987"/>
    <w:rsid w:val="00782E9A"/>
    <w:rsid w:val="00782EBC"/>
    <w:rsid w:val="00783306"/>
    <w:rsid w:val="00784FA0"/>
    <w:rsid w:val="007856BA"/>
    <w:rsid w:val="007858F3"/>
    <w:rsid w:val="00785B58"/>
    <w:rsid w:val="00786519"/>
    <w:rsid w:val="00786C71"/>
    <w:rsid w:val="0078786A"/>
    <w:rsid w:val="0078794D"/>
    <w:rsid w:val="00790445"/>
    <w:rsid w:val="00790571"/>
    <w:rsid w:val="0079091F"/>
    <w:rsid w:val="007911F4"/>
    <w:rsid w:val="00791446"/>
    <w:rsid w:val="00791D7B"/>
    <w:rsid w:val="00792A85"/>
    <w:rsid w:val="00792D9B"/>
    <w:rsid w:val="00792DD6"/>
    <w:rsid w:val="00792F0C"/>
    <w:rsid w:val="007931ED"/>
    <w:rsid w:val="00793734"/>
    <w:rsid w:val="00793A98"/>
    <w:rsid w:val="00793CC6"/>
    <w:rsid w:val="00793DFA"/>
    <w:rsid w:val="007948A1"/>
    <w:rsid w:val="007949FB"/>
    <w:rsid w:val="00794C57"/>
    <w:rsid w:val="00794D3D"/>
    <w:rsid w:val="00795C3F"/>
    <w:rsid w:val="00795EE6"/>
    <w:rsid w:val="00796B41"/>
    <w:rsid w:val="00797860"/>
    <w:rsid w:val="00797957"/>
    <w:rsid w:val="00797B0C"/>
    <w:rsid w:val="007A0A25"/>
    <w:rsid w:val="007A1880"/>
    <w:rsid w:val="007A2242"/>
    <w:rsid w:val="007A238D"/>
    <w:rsid w:val="007A2659"/>
    <w:rsid w:val="007A2C6E"/>
    <w:rsid w:val="007A3DAF"/>
    <w:rsid w:val="007A5B76"/>
    <w:rsid w:val="007A5D34"/>
    <w:rsid w:val="007A5DC5"/>
    <w:rsid w:val="007A65FD"/>
    <w:rsid w:val="007A6D89"/>
    <w:rsid w:val="007A73A8"/>
    <w:rsid w:val="007A778D"/>
    <w:rsid w:val="007A77CA"/>
    <w:rsid w:val="007A7A0D"/>
    <w:rsid w:val="007A7B60"/>
    <w:rsid w:val="007A7FF6"/>
    <w:rsid w:val="007B0088"/>
    <w:rsid w:val="007B009C"/>
    <w:rsid w:val="007B0384"/>
    <w:rsid w:val="007B0709"/>
    <w:rsid w:val="007B092C"/>
    <w:rsid w:val="007B0B9E"/>
    <w:rsid w:val="007B1A75"/>
    <w:rsid w:val="007B1CD3"/>
    <w:rsid w:val="007B21E8"/>
    <w:rsid w:val="007B23D6"/>
    <w:rsid w:val="007B2480"/>
    <w:rsid w:val="007B24B2"/>
    <w:rsid w:val="007B2F87"/>
    <w:rsid w:val="007B31B0"/>
    <w:rsid w:val="007B3EAC"/>
    <w:rsid w:val="007B4726"/>
    <w:rsid w:val="007B5AC7"/>
    <w:rsid w:val="007B5CF4"/>
    <w:rsid w:val="007B5D39"/>
    <w:rsid w:val="007B5DA7"/>
    <w:rsid w:val="007B5DEC"/>
    <w:rsid w:val="007B62F8"/>
    <w:rsid w:val="007B6C82"/>
    <w:rsid w:val="007B701C"/>
    <w:rsid w:val="007B74DC"/>
    <w:rsid w:val="007B7957"/>
    <w:rsid w:val="007C0093"/>
    <w:rsid w:val="007C01A4"/>
    <w:rsid w:val="007C0526"/>
    <w:rsid w:val="007C091F"/>
    <w:rsid w:val="007C14A1"/>
    <w:rsid w:val="007C1C62"/>
    <w:rsid w:val="007C29D2"/>
    <w:rsid w:val="007C30CC"/>
    <w:rsid w:val="007C38A1"/>
    <w:rsid w:val="007C3B04"/>
    <w:rsid w:val="007C530C"/>
    <w:rsid w:val="007C557C"/>
    <w:rsid w:val="007C5EC0"/>
    <w:rsid w:val="007C5ECF"/>
    <w:rsid w:val="007C6172"/>
    <w:rsid w:val="007C6DD0"/>
    <w:rsid w:val="007C77AA"/>
    <w:rsid w:val="007C78FF"/>
    <w:rsid w:val="007D0FCF"/>
    <w:rsid w:val="007D1674"/>
    <w:rsid w:val="007D1859"/>
    <w:rsid w:val="007D1B76"/>
    <w:rsid w:val="007D1FD9"/>
    <w:rsid w:val="007D3766"/>
    <w:rsid w:val="007D3A71"/>
    <w:rsid w:val="007D3CD8"/>
    <w:rsid w:val="007D422A"/>
    <w:rsid w:val="007D4541"/>
    <w:rsid w:val="007D540B"/>
    <w:rsid w:val="007D5850"/>
    <w:rsid w:val="007D608F"/>
    <w:rsid w:val="007D60D8"/>
    <w:rsid w:val="007D6653"/>
    <w:rsid w:val="007D6B1F"/>
    <w:rsid w:val="007D7751"/>
    <w:rsid w:val="007D7D94"/>
    <w:rsid w:val="007E0010"/>
    <w:rsid w:val="007E00F5"/>
    <w:rsid w:val="007E0DBC"/>
    <w:rsid w:val="007E10FD"/>
    <w:rsid w:val="007E117C"/>
    <w:rsid w:val="007E153E"/>
    <w:rsid w:val="007E19AE"/>
    <w:rsid w:val="007E21C5"/>
    <w:rsid w:val="007E24B2"/>
    <w:rsid w:val="007E3EA4"/>
    <w:rsid w:val="007E4094"/>
    <w:rsid w:val="007E4331"/>
    <w:rsid w:val="007E5453"/>
    <w:rsid w:val="007E5F0E"/>
    <w:rsid w:val="007E625D"/>
    <w:rsid w:val="007E627E"/>
    <w:rsid w:val="007E652B"/>
    <w:rsid w:val="007E65B0"/>
    <w:rsid w:val="007E70CD"/>
    <w:rsid w:val="007E7F0F"/>
    <w:rsid w:val="007F0248"/>
    <w:rsid w:val="007F1D62"/>
    <w:rsid w:val="007F1DBE"/>
    <w:rsid w:val="007F2284"/>
    <w:rsid w:val="007F24CE"/>
    <w:rsid w:val="007F29A3"/>
    <w:rsid w:val="007F3528"/>
    <w:rsid w:val="007F35DF"/>
    <w:rsid w:val="007F3BF9"/>
    <w:rsid w:val="007F45F6"/>
    <w:rsid w:val="007F4749"/>
    <w:rsid w:val="007F485F"/>
    <w:rsid w:val="007F553F"/>
    <w:rsid w:val="007F57CE"/>
    <w:rsid w:val="007F58BD"/>
    <w:rsid w:val="007F59AE"/>
    <w:rsid w:val="007F6EF7"/>
    <w:rsid w:val="007F737C"/>
    <w:rsid w:val="007F7463"/>
    <w:rsid w:val="007F7D79"/>
    <w:rsid w:val="007F7FCA"/>
    <w:rsid w:val="0080031C"/>
    <w:rsid w:val="00800888"/>
    <w:rsid w:val="0080175A"/>
    <w:rsid w:val="00801A62"/>
    <w:rsid w:val="00801ECD"/>
    <w:rsid w:val="00802294"/>
    <w:rsid w:val="00802338"/>
    <w:rsid w:val="00802C49"/>
    <w:rsid w:val="00802F67"/>
    <w:rsid w:val="00803089"/>
    <w:rsid w:val="00803686"/>
    <w:rsid w:val="00803B4E"/>
    <w:rsid w:val="0080427B"/>
    <w:rsid w:val="008051A1"/>
    <w:rsid w:val="0080523D"/>
    <w:rsid w:val="00805F0A"/>
    <w:rsid w:val="00805F8F"/>
    <w:rsid w:val="0080666E"/>
    <w:rsid w:val="00810234"/>
    <w:rsid w:val="00810396"/>
    <w:rsid w:val="0081043E"/>
    <w:rsid w:val="00810C8A"/>
    <w:rsid w:val="008112C6"/>
    <w:rsid w:val="008128A1"/>
    <w:rsid w:val="00812A7D"/>
    <w:rsid w:val="00812E6C"/>
    <w:rsid w:val="00813706"/>
    <w:rsid w:val="00813A57"/>
    <w:rsid w:val="00813EE6"/>
    <w:rsid w:val="0081415B"/>
    <w:rsid w:val="008142B1"/>
    <w:rsid w:val="00815332"/>
    <w:rsid w:val="00815F91"/>
    <w:rsid w:val="00815FF6"/>
    <w:rsid w:val="008163AB"/>
    <w:rsid w:val="00817243"/>
    <w:rsid w:val="00817670"/>
    <w:rsid w:val="0081776A"/>
    <w:rsid w:val="00820AA5"/>
    <w:rsid w:val="0082155E"/>
    <w:rsid w:val="008215CE"/>
    <w:rsid w:val="008218B6"/>
    <w:rsid w:val="008218E9"/>
    <w:rsid w:val="00821ADB"/>
    <w:rsid w:val="00822115"/>
    <w:rsid w:val="008223DF"/>
    <w:rsid w:val="00822795"/>
    <w:rsid w:val="008236FA"/>
    <w:rsid w:val="00823D34"/>
    <w:rsid w:val="008243CB"/>
    <w:rsid w:val="00824A34"/>
    <w:rsid w:val="00825B97"/>
    <w:rsid w:val="00825FD5"/>
    <w:rsid w:val="0082633E"/>
    <w:rsid w:val="00826A36"/>
    <w:rsid w:val="00826B13"/>
    <w:rsid w:val="00826CA5"/>
    <w:rsid w:val="00826EA7"/>
    <w:rsid w:val="008270BA"/>
    <w:rsid w:val="00827857"/>
    <w:rsid w:val="00827DDE"/>
    <w:rsid w:val="008309C1"/>
    <w:rsid w:val="00830C36"/>
    <w:rsid w:val="00830C5D"/>
    <w:rsid w:val="00830FE1"/>
    <w:rsid w:val="008313F2"/>
    <w:rsid w:val="00831435"/>
    <w:rsid w:val="00831520"/>
    <w:rsid w:val="00831847"/>
    <w:rsid w:val="00831D1C"/>
    <w:rsid w:val="00831FC8"/>
    <w:rsid w:val="00832B59"/>
    <w:rsid w:val="0083365F"/>
    <w:rsid w:val="00833E7E"/>
    <w:rsid w:val="00834B17"/>
    <w:rsid w:val="00834E2E"/>
    <w:rsid w:val="008352D6"/>
    <w:rsid w:val="00835544"/>
    <w:rsid w:val="00836090"/>
    <w:rsid w:val="00836271"/>
    <w:rsid w:val="0083673A"/>
    <w:rsid w:val="008367CD"/>
    <w:rsid w:val="00836896"/>
    <w:rsid w:val="0083693E"/>
    <w:rsid w:val="00836976"/>
    <w:rsid w:val="00836AE0"/>
    <w:rsid w:val="00836F00"/>
    <w:rsid w:val="008379E9"/>
    <w:rsid w:val="00837D55"/>
    <w:rsid w:val="00837FB0"/>
    <w:rsid w:val="0084011F"/>
    <w:rsid w:val="008401EA"/>
    <w:rsid w:val="00840205"/>
    <w:rsid w:val="008406A1"/>
    <w:rsid w:val="00842217"/>
    <w:rsid w:val="00842279"/>
    <w:rsid w:val="0084274C"/>
    <w:rsid w:val="008427DA"/>
    <w:rsid w:val="0084305B"/>
    <w:rsid w:val="00843DD4"/>
    <w:rsid w:val="008440CA"/>
    <w:rsid w:val="0084425A"/>
    <w:rsid w:val="00844766"/>
    <w:rsid w:val="00844FD7"/>
    <w:rsid w:val="008451F8"/>
    <w:rsid w:val="008456A9"/>
    <w:rsid w:val="00845957"/>
    <w:rsid w:val="00845ADF"/>
    <w:rsid w:val="00845FBF"/>
    <w:rsid w:val="008464F6"/>
    <w:rsid w:val="0084665A"/>
    <w:rsid w:val="0084758D"/>
    <w:rsid w:val="00847ED1"/>
    <w:rsid w:val="00847F2D"/>
    <w:rsid w:val="00847F91"/>
    <w:rsid w:val="00850051"/>
    <w:rsid w:val="0085082B"/>
    <w:rsid w:val="00850BB9"/>
    <w:rsid w:val="00850C67"/>
    <w:rsid w:val="00850CDC"/>
    <w:rsid w:val="00851A75"/>
    <w:rsid w:val="00851F5D"/>
    <w:rsid w:val="008520F8"/>
    <w:rsid w:val="00852115"/>
    <w:rsid w:val="008528CC"/>
    <w:rsid w:val="00852A4D"/>
    <w:rsid w:val="008532A0"/>
    <w:rsid w:val="00853713"/>
    <w:rsid w:val="008543BE"/>
    <w:rsid w:val="0085474D"/>
    <w:rsid w:val="008548BD"/>
    <w:rsid w:val="00856619"/>
    <w:rsid w:val="00856A3C"/>
    <w:rsid w:val="00856FDD"/>
    <w:rsid w:val="008571E9"/>
    <w:rsid w:val="00857547"/>
    <w:rsid w:val="00857B2D"/>
    <w:rsid w:val="00857C61"/>
    <w:rsid w:val="00857EB2"/>
    <w:rsid w:val="00857FB2"/>
    <w:rsid w:val="008605BF"/>
    <w:rsid w:val="00861846"/>
    <w:rsid w:val="00862201"/>
    <w:rsid w:val="00863341"/>
    <w:rsid w:val="0086380E"/>
    <w:rsid w:val="00863860"/>
    <w:rsid w:val="0086555C"/>
    <w:rsid w:val="00865B8B"/>
    <w:rsid w:val="00866849"/>
    <w:rsid w:val="0086688D"/>
    <w:rsid w:val="00866B87"/>
    <w:rsid w:val="00866EAD"/>
    <w:rsid w:val="008672BE"/>
    <w:rsid w:val="008673D4"/>
    <w:rsid w:val="00867657"/>
    <w:rsid w:val="008676B3"/>
    <w:rsid w:val="008677A5"/>
    <w:rsid w:val="00867FF1"/>
    <w:rsid w:val="008700B4"/>
    <w:rsid w:val="008703A1"/>
    <w:rsid w:val="0087125D"/>
    <w:rsid w:val="00871E0B"/>
    <w:rsid w:val="00871F01"/>
    <w:rsid w:val="008721AB"/>
    <w:rsid w:val="008729A4"/>
    <w:rsid w:val="00873014"/>
    <w:rsid w:val="008734C9"/>
    <w:rsid w:val="00873925"/>
    <w:rsid w:val="00873B8C"/>
    <w:rsid w:val="00873D85"/>
    <w:rsid w:val="00875479"/>
    <w:rsid w:val="008764E4"/>
    <w:rsid w:val="00877204"/>
    <w:rsid w:val="00877B74"/>
    <w:rsid w:val="0088000C"/>
    <w:rsid w:val="008808FD"/>
    <w:rsid w:val="0088234C"/>
    <w:rsid w:val="00882B69"/>
    <w:rsid w:val="00883733"/>
    <w:rsid w:val="00883E60"/>
    <w:rsid w:val="0088444D"/>
    <w:rsid w:val="0088484B"/>
    <w:rsid w:val="00884C52"/>
    <w:rsid w:val="008850F5"/>
    <w:rsid w:val="00885870"/>
    <w:rsid w:val="00885C6F"/>
    <w:rsid w:val="008868D8"/>
    <w:rsid w:val="00886FBD"/>
    <w:rsid w:val="00887911"/>
    <w:rsid w:val="008879A1"/>
    <w:rsid w:val="008879F8"/>
    <w:rsid w:val="00890130"/>
    <w:rsid w:val="008904E0"/>
    <w:rsid w:val="008907B8"/>
    <w:rsid w:val="008908E2"/>
    <w:rsid w:val="00891BC5"/>
    <w:rsid w:val="0089251C"/>
    <w:rsid w:val="008939D2"/>
    <w:rsid w:val="00894BFC"/>
    <w:rsid w:val="00894D4A"/>
    <w:rsid w:val="00894FE6"/>
    <w:rsid w:val="00895C1C"/>
    <w:rsid w:val="008968C9"/>
    <w:rsid w:val="0089693E"/>
    <w:rsid w:val="0089737D"/>
    <w:rsid w:val="0089765D"/>
    <w:rsid w:val="008A0099"/>
    <w:rsid w:val="008A01EF"/>
    <w:rsid w:val="008A028D"/>
    <w:rsid w:val="008A1074"/>
    <w:rsid w:val="008A18A2"/>
    <w:rsid w:val="008A1D58"/>
    <w:rsid w:val="008A1D72"/>
    <w:rsid w:val="008A1DF6"/>
    <w:rsid w:val="008A2185"/>
    <w:rsid w:val="008A2188"/>
    <w:rsid w:val="008A22FA"/>
    <w:rsid w:val="008A244F"/>
    <w:rsid w:val="008A2889"/>
    <w:rsid w:val="008A2ADA"/>
    <w:rsid w:val="008A2CB3"/>
    <w:rsid w:val="008A2EEE"/>
    <w:rsid w:val="008A3431"/>
    <w:rsid w:val="008A348D"/>
    <w:rsid w:val="008A35AF"/>
    <w:rsid w:val="008A3B19"/>
    <w:rsid w:val="008A4760"/>
    <w:rsid w:val="008A4A00"/>
    <w:rsid w:val="008A52C5"/>
    <w:rsid w:val="008A5759"/>
    <w:rsid w:val="008A5896"/>
    <w:rsid w:val="008A615B"/>
    <w:rsid w:val="008A6196"/>
    <w:rsid w:val="008A6688"/>
    <w:rsid w:val="008A6A50"/>
    <w:rsid w:val="008A7A22"/>
    <w:rsid w:val="008A7F71"/>
    <w:rsid w:val="008B05A9"/>
    <w:rsid w:val="008B0915"/>
    <w:rsid w:val="008B19CA"/>
    <w:rsid w:val="008B1A2D"/>
    <w:rsid w:val="008B1D25"/>
    <w:rsid w:val="008B21BC"/>
    <w:rsid w:val="008B23C8"/>
    <w:rsid w:val="008B26B0"/>
    <w:rsid w:val="008B343F"/>
    <w:rsid w:val="008B34BF"/>
    <w:rsid w:val="008B3659"/>
    <w:rsid w:val="008B3684"/>
    <w:rsid w:val="008B3813"/>
    <w:rsid w:val="008B3824"/>
    <w:rsid w:val="008B3F81"/>
    <w:rsid w:val="008B4BDF"/>
    <w:rsid w:val="008B5860"/>
    <w:rsid w:val="008B5A79"/>
    <w:rsid w:val="008B5BCF"/>
    <w:rsid w:val="008B6DDD"/>
    <w:rsid w:val="008B711E"/>
    <w:rsid w:val="008B7405"/>
    <w:rsid w:val="008B7C95"/>
    <w:rsid w:val="008C07F2"/>
    <w:rsid w:val="008C0928"/>
    <w:rsid w:val="008C0984"/>
    <w:rsid w:val="008C148C"/>
    <w:rsid w:val="008C1867"/>
    <w:rsid w:val="008C1F7E"/>
    <w:rsid w:val="008C20AB"/>
    <w:rsid w:val="008C27DE"/>
    <w:rsid w:val="008C28E9"/>
    <w:rsid w:val="008C2B0B"/>
    <w:rsid w:val="008C3290"/>
    <w:rsid w:val="008C32F1"/>
    <w:rsid w:val="008C33E2"/>
    <w:rsid w:val="008C38E6"/>
    <w:rsid w:val="008C3B77"/>
    <w:rsid w:val="008C3D30"/>
    <w:rsid w:val="008C3EC4"/>
    <w:rsid w:val="008C3EE5"/>
    <w:rsid w:val="008C49E5"/>
    <w:rsid w:val="008C5DF8"/>
    <w:rsid w:val="008C623E"/>
    <w:rsid w:val="008C64AA"/>
    <w:rsid w:val="008C6650"/>
    <w:rsid w:val="008C6856"/>
    <w:rsid w:val="008C697C"/>
    <w:rsid w:val="008C79CD"/>
    <w:rsid w:val="008C79FD"/>
    <w:rsid w:val="008C7AFE"/>
    <w:rsid w:val="008C7D24"/>
    <w:rsid w:val="008C7D94"/>
    <w:rsid w:val="008C7FDF"/>
    <w:rsid w:val="008D0DA6"/>
    <w:rsid w:val="008D0E1C"/>
    <w:rsid w:val="008D166F"/>
    <w:rsid w:val="008D17CA"/>
    <w:rsid w:val="008D1F92"/>
    <w:rsid w:val="008D23AD"/>
    <w:rsid w:val="008D2677"/>
    <w:rsid w:val="008D3407"/>
    <w:rsid w:val="008D3DE8"/>
    <w:rsid w:val="008D4DF1"/>
    <w:rsid w:val="008D4FA7"/>
    <w:rsid w:val="008D6799"/>
    <w:rsid w:val="008D681E"/>
    <w:rsid w:val="008D6914"/>
    <w:rsid w:val="008D6BD2"/>
    <w:rsid w:val="008D74C8"/>
    <w:rsid w:val="008D7BE5"/>
    <w:rsid w:val="008D7CC3"/>
    <w:rsid w:val="008D7EBE"/>
    <w:rsid w:val="008E017A"/>
    <w:rsid w:val="008E0324"/>
    <w:rsid w:val="008E07FA"/>
    <w:rsid w:val="008E0DA7"/>
    <w:rsid w:val="008E1533"/>
    <w:rsid w:val="008E1B1A"/>
    <w:rsid w:val="008E2A27"/>
    <w:rsid w:val="008E2A54"/>
    <w:rsid w:val="008E2C36"/>
    <w:rsid w:val="008E3FC5"/>
    <w:rsid w:val="008E456D"/>
    <w:rsid w:val="008E4DC7"/>
    <w:rsid w:val="008E51B7"/>
    <w:rsid w:val="008E601B"/>
    <w:rsid w:val="008E653B"/>
    <w:rsid w:val="008E6AE7"/>
    <w:rsid w:val="008E6E8B"/>
    <w:rsid w:val="008E7237"/>
    <w:rsid w:val="008E752F"/>
    <w:rsid w:val="008E7CBB"/>
    <w:rsid w:val="008F0059"/>
    <w:rsid w:val="008F02EA"/>
    <w:rsid w:val="008F0C64"/>
    <w:rsid w:val="008F1514"/>
    <w:rsid w:val="008F1971"/>
    <w:rsid w:val="008F21DC"/>
    <w:rsid w:val="008F237A"/>
    <w:rsid w:val="008F2D5A"/>
    <w:rsid w:val="008F3367"/>
    <w:rsid w:val="008F4133"/>
    <w:rsid w:val="008F43B6"/>
    <w:rsid w:val="008F445F"/>
    <w:rsid w:val="008F4E52"/>
    <w:rsid w:val="008F50B6"/>
    <w:rsid w:val="008F5362"/>
    <w:rsid w:val="008F57EA"/>
    <w:rsid w:val="008F620E"/>
    <w:rsid w:val="008F636B"/>
    <w:rsid w:val="008F6C72"/>
    <w:rsid w:val="008F6F25"/>
    <w:rsid w:val="008F6F91"/>
    <w:rsid w:val="008F717E"/>
    <w:rsid w:val="008F79F9"/>
    <w:rsid w:val="008F7DCD"/>
    <w:rsid w:val="008F7F7D"/>
    <w:rsid w:val="0090029C"/>
    <w:rsid w:val="009023C8"/>
    <w:rsid w:val="00902AA5"/>
    <w:rsid w:val="00902EEF"/>
    <w:rsid w:val="00903681"/>
    <w:rsid w:val="00904246"/>
    <w:rsid w:val="0090492B"/>
    <w:rsid w:val="0090609F"/>
    <w:rsid w:val="009068DE"/>
    <w:rsid w:val="00906C43"/>
    <w:rsid w:val="00907707"/>
    <w:rsid w:val="0090791F"/>
    <w:rsid w:val="00907AC3"/>
    <w:rsid w:val="00907FC9"/>
    <w:rsid w:val="00910440"/>
    <w:rsid w:val="0091109C"/>
    <w:rsid w:val="009114B2"/>
    <w:rsid w:val="009118F3"/>
    <w:rsid w:val="009122C6"/>
    <w:rsid w:val="00912F27"/>
    <w:rsid w:val="00913496"/>
    <w:rsid w:val="0091425F"/>
    <w:rsid w:val="00914835"/>
    <w:rsid w:val="009148EE"/>
    <w:rsid w:val="00914954"/>
    <w:rsid w:val="0091556E"/>
    <w:rsid w:val="009157AA"/>
    <w:rsid w:val="00916287"/>
    <w:rsid w:val="00917986"/>
    <w:rsid w:val="00917EA1"/>
    <w:rsid w:val="0092034F"/>
    <w:rsid w:val="00920F46"/>
    <w:rsid w:val="0092119C"/>
    <w:rsid w:val="009214B4"/>
    <w:rsid w:val="009216BC"/>
    <w:rsid w:val="009227B9"/>
    <w:rsid w:val="009236DF"/>
    <w:rsid w:val="00923948"/>
    <w:rsid w:val="00923E07"/>
    <w:rsid w:val="00923F7A"/>
    <w:rsid w:val="00926179"/>
    <w:rsid w:val="00926D5E"/>
    <w:rsid w:val="0092709F"/>
    <w:rsid w:val="0092731C"/>
    <w:rsid w:val="00927D6A"/>
    <w:rsid w:val="009301C0"/>
    <w:rsid w:val="0093051F"/>
    <w:rsid w:val="009306CF"/>
    <w:rsid w:val="00930A39"/>
    <w:rsid w:val="00930C8E"/>
    <w:rsid w:val="00931C46"/>
    <w:rsid w:val="00931EC1"/>
    <w:rsid w:val="0093278F"/>
    <w:rsid w:val="009327CB"/>
    <w:rsid w:val="009329E7"/>
    <w:rsid w:val="00934659"/>
    <w:rsid w:val="009352A6"/>
    <w:rsid w:val="00935344"/>
    <w:rsid w:val="009357A3"/>
    <w:rsid w:val="00935C81"/>
    <w:rsid w:val="009363E0"/>
    <w:rsid w:val="0093653B"/>
    <w:rsid w:val="009369F5"/>
    <w:rsid w:val="009373DE"/>
    <w:rsid w:val="00937E62"/>
    <w:rsid w:val="009407D2"/>
    <w:rsid w:val="0094084C"/>
    <w:rsid w:val="00940F40"/>
    <w:rsid w:val="00941A62"/>
    <w:rsid w:val="00943861"/>
    <w:rsid w:val="00944854"/>
    <w:rsid w:val="0094501A"/>
    <w:rsid w:val="009451B0"/>
    <w:rsid w:val="00945E23"/>
    <w:rsid w:val="009469D3"/>
    <w:rsid w:val="00946CD1"/>
    <w:rsid w:val="00950574"/>
    <w:rsid w:val="00951243"/>
    <w:rsid w:val="00951BE5"/>
    <w:rsid w:val="00952AB0"/>
    <w:rsid w:val="0095347D"/>
    <w:rsid w:val="00953913"/>
    <w:rsid w:val="009542F3"/>
    <w:rsid w:val="009553FC"/>
    <w:rsid w:val="009554AF"/>
    <w:rsid w:val="0095629A"/>
    <w:rsid w:val="00957998"/>
    <w:rsid w:val="00960311"/>
    <w:rsid w:val="009612C6"/>
    <w:rsid w:val="00961314"/>
    <w:rsid w:val="00961E45"/>
    <w:rsid w:val="00961F46"/>
    <w:rsid w:val="00962168"/>
    <w:rsid w:val="00962455"/>
    <w:rsid w:val="00963AD8"/>
    <w:rsid w:val="00964327"/>
    <w:rsid w:val="0096524F"/>
    <w:rsid w:val="009653F4"/>
    <w:rsid w:val="00966884"/>
    <w:rsid w:val="009668B5"/>
    <w:rsid w:val="00966C56"/>
    <w:rsid w:val="00966C98"/>
    <w:rsid w:val="0096709D"/>
    <w:rsid w:val="009674A6"/>
    <w:rsid w:val="0097019A"/>
    <w:rsid w:val="009709EA"/>
    <w:rsid w:val="00970D36"/>
    <w:rsid w:val="00970EB4"/>
    <w:rsid w:val="00971A8E"/>
    <w:rsid w:val="00972161"/>
    <w:rsid w:val="009725FA"/>
    <w:rsid w:val="00972B73"/>
    <w:rsid w:val="00972DBF"/>
    <w:rsid w:val="00973E98"/>
    <w:rsid w:val="009743EF"/>
    <w:rsid w:val="009747F0"/>
    <w:rsid w:val="009755DD"/>
    <w:rsid w:val="00976308"/>
    <w:rsid w:val="00976463"/>
    <w:rsid w:val="009765EB"/>
    <w:rsid w:val="00976AC8"/>
    <w:rsid w:val="00976F97"/>
    <w:rsid w:val="00976FFC"/>
    <w:rsid w:val="00977413"/>
    <w:rsid w:val="009776AC"/>
    <w:rsid w:val="00980DBE"/>
    <w:rsid w:val="00981604"/>
    <w:rsid w:val="00981BB3"/>
    <w:rsid w:val="00981E88"/>
    <w:rsid w:val="00982277"/>
    <w:rsid w:val="009823E1"/>
    <w:rsid w:val="0098342C"/>
    <w:rsid w:val="00983443"/>
    <w:rsid w:val="0098370C"/>
    <w:rsid w:val="00983737"/>
    <w:rsid w:val="00983A16"/>
    <w:rsid w:val="00983A8E"/>
    <w:rsid w:val="00983B46"/>
    <w:rsid w:val="00983FC0"/>
    <w:rsid w:val="0098458C"/>
    <w:rsid w:val="009845C6"/>
    <w:rsid w:val="00984E3D"/>
    <w:rsid w:val="00984F2C"/>
    <w:rsid w:val="0098606F"/>
    <w:rsid w:val="009861F9"/>
    <w:rsid w:val="0098623A"/>
    <w:rsid w:val="00986903"/>
    <w:rsid w:val="0099017E"/>
    <w:rsid w:val="00990227"/>
    <w:rsid w:val="009909BE"/>
    <w:rsid w:val="00990A1B"/>
    <w:rsid w:val="009916D1"/>
    <w:rsid w:val="00991EC2"/>
    <w:rsid w:val="0099208D"/>
    <w:rsid w:val="00992248"/>
    <w:rsid w:val="00992BCB"/>
    <w:rsid w:val="00993292"/>
    <w:rsid w:val="0099396C"/>
    <w:rsid w:val="00993E10"/>
    <w:rsid w:val="00994CDD"/>
    <w:rsid w:val="00995095"/>
    <w:rsid w:val="00995487"/>
    <w:rsid w:val="00996955"/>
    <w:rsid w:val="0099763E"/>
    <w:rsid w:val="009A065C"/>
    <w:rsid w:val="009A08BF"/>
    <w:rsid w:val="009A1153"/>
    <w:rsid w:val="009A22D7"/>
    <w:rsid w:val="009A24BE"/>
    <w:rsid w:val="009A2809"/>
    <w:rsid w:val="009A28BE"/>
    <w:rsid w:val="009A2D77"/>
    <w:rsid w:val="009A3151"/>
    <w:rsid w:val="009A36CD"/>
    <w:rsid w:val="009A3A3A"/>
    <w:rsid w:val="009A3AD3"/>
    <w:rsid w:val="009A3C13"/>
    <w:rsid w:val="009A3EF9"/>
    <w:rsid w:val="009A4115"/>
    <w:rsid w:val="009A42B7"/>
    <w:rsid w:val="009A4617"/>
    <w:rsid w:val="009A486A"/>
    <w:rsid w:val="009A4A4B"/>
    <w:rsid w:val="009A55E0"/>
    <w:rsid w:val="009A5B2F"/>
    <w:rsid w:val="009A629B"/>
    <w:rsid w:val="009A6BF7"/>
    <w:rsid w:val="009A71F5"/>
    <w:rsid w:val="009A730C"/>
    <w:rsid w:val="009A732E"/>
    <w:rsid w:val="009A7F4D"/>
    <w:rsid w:val="009B071C"/>
    <w:rsid w:val="009B085C"/>
    <w:rsid w:val="009B0A5E"/>
    <w:rsid w:val="009B0E93"/>
    <w:rsid w:val="009B1441"/>
    <w:rsid w:val="009B14B2"/>
    <w:rsid w:val="009B14B9"/>
    <w:rsid w:val="009B1658"/>
    <w:rsid w:val="009B1711"/>
    <w:rsid w:val="009B1777"/>
    <w:rsid w:val="009B1CC4"/>
    <w:rsid w:val="009B2041"/>
    <w:rsid w:val="009B20B5"/>
    <w:rsid w:val="009B20FD"/>
    <w:rsid w:val="009B24E4"/>
    <w:rsid w:val="009B2735"/>
    <w:rsid w:val="009B2B73"/>
    <w:rsid w:val="009B3B43"/>
    <w:rsid w:val="009B4070"/>
    <w:rsid w:val="009B4224"/>
    <w:rsid w:val="009B45D3"/>
    <w:rsid w:val="009B4AB8"/>
    <w:rsid w:val="009B4CE7"/>
    <w:rsid w:val="009B5516"/>
    <w:rsid w:val="009B574F"/>
    <w:rsid w:val="009B5862"/>
    <w:rsid w:val="009B59FD"/>
    <w:rsid w:val="009B5E1A"/>
    <w:rsid w:val="009B5E63"/>
    <w:rsid w:val="009B5F55"/>
    <w:rsid w:val="009B6214"/>
    <w:rsid w:val="009B625B"/>
    <w:rsid w:val="009B65FD"/>
    <w:rsid w:val="009B68E5"/>
    <w:rsid w:val="009B6BF6"/>
    <w:rsid w:val="009B6D0C"/>
    <w:rsid w:val="009B6DD2"/>
    <w:rsid w:val="009B71C9"/>
    <w:rsid w:val="009B739E"/>
    <w:rsid w:val="009C01E1"/>
    <w:rsid w:val="009C06B0"/>
    <w:rsid w:val="009C09C0"/>
    <w:rsid w:val="009C09FB"/>
    <w:rsid w:val="009C1709"/>
    <w:rsid w:val="009C170B"/>
    <w:rsid w:val="009C20C5"/>
    <w:rsid w:val="009C20F4"/>
    <w:rsid w:val="009C2D2F"/>
    <w:rsid w:val="009C2EDE"/>
    <w:rsid w:val="009C31B1"/>
    <w:rsid w:val="009C3821"/>
    <w:rsid w:val="009C3B63"/>
    <w:rsid w:val="009C3F5F"/>
    <w:rsid w:val="009C3F67"/>
    <w:rsid w:val="009C4124"/>
    <w:rsid w:val="009C462E"/>
    <w:rsid w:val="009C4EFD"/>
    <w:rsid w:val="009C6BEF"/>
    <w:rsid w:val="009C7E26"/>
    <w:rsid w:val="009D0165"/>
    <w:rsid w:val="009D017D"/>
    <w:rsid w:val="009D03B5"/>
    <w:rsid w:val="009D0938"/>
    <w:rsid w:val="009D09B4"/>
    <w:rsid w:val="009D0B4A"/>
    <w:rsid w:val="009D11B7"/>
    <w:rsid w:val="009D1694"/>
    <w:rsid w:val="009D2239"/>
    <w:rsid w:val="009D25F0"/>
    <w:rsid w:val="009D2B4A"/>
    <w:rsid w:val="009D2CCC"/>
    <w:rsid w:val="009D2DBB"/>
    <w:rsid w:val="009D3518"/>
    <w:rsid w:val="009D3DA6"/>
    <w:rsid w:val="009D4165"/>
    <w:rsid w:val="009D41A0"/>
    <w:rsid w:val="009D4EC2"/>
    <w:rsid w:val="009D51A3"/>
    <w:rsid w:val="009D59D7"/>
    <w:rsid w:val="009D6083"/>
    <w:rsid w:val="009D73EA"/>
    <w:rsid w:val="009D7C4A"/>
    <w:rsid w:val="009E0770"/>
    <w:rsid w:val="009E0802"/>
    <w:rsid w:val="009E1C03"/>
    <w:rsid w:val="009E286F"/>
    <w:rsid w:val="009E2CC2"/>
    <w:rsid w:val="009E2E43"/>
    <w:rsid w:val="009E2EC5"/>
    <w:rsid w:val="009E3476"/>
    <w:rsid w:val="009E3FEB"/>
    <w:rsid w:val="009E443F"/>
    <w:rsid w:val="009E4F55"/>
    <w:rsid w:val="009E56C9"/>
    <w:rsid w:val="009E6881"/>
    <w:rsid w:val="009E6D42"/>
    <w:rsid w:val="009E71F4"/>
    <w:rsid w:val="009E73B0"/>
    <w:rsid w:val="009F023C"/>
    <w:rsid w:val="009F1424"/>
    <w:rsid w:val="009F2359"/>
    <w:rsid w:val="009F251F"/>
    <w:rsid w:val="009F2AF6"/>
    <w:rsid w:val="009F3012"/>
    <w:rsid w:val="009F31BB"/>
    <w:rsid w:val="009F33C8"/>
    <w:rsid w:val="009F35F5"/>
    <w:rsid w:val="009F3813"/>
    <w:rsid w:val="009F3830"/>
    <w:rsid w:val="009F3EB5"/>
    <w:rsid w:val="009F3EC1"/>
    <w:rsid w:val="009F49BA"/>
    <w:rsid w:val="009F4FF6"/>
    <w:rsid w:val="009F5203"/>
    <w:rsid w:val="009F59E8"/>
    <w:rsid w:val="009F5A29"/>
    <w:rsid w:val="009F6482"/>
    <w:rsid w:val="009F68DB"/>
    <w:rsid w:val="009F6BF8"/>
    <w:rsid w:val="009F719D"/>
    <w:rsid w:val="009F7311"/>
    <w:rsid w:val="00A0158F"/>
    <w:rsid w:val="00A01618"/>
    <w:rsid w:val="00A01C97"/>
    <w:rsid w:val="00A01DF9"/>
    <w:rsid w:val="00A01E07"/>
    <w:rsid w:val="00A0220C"/>
    <w:rsid w:val="00A02661"/>
    <w:rsid w:val="00A0298D"/>
    <w:rsid w:val="00A02BB3"/>
    <w:rsid w:val="00A038A5"/>
    <w:rsid w:val="00A04172"/>
    <w:rsid w:val="00A041ED"/>
    <w:rsid w:val="00A0457A"/>
    <w:rsid w:val="00A04A3D"/>
    <w:rsid w:val="00A05342"/>
    <w:rsid w:val="00A067D6"/>
    <w:rsid w:val="00A06AB8"/>
    <w:rsid w:val="00A06ADC"/>
    <w:rsid w:val="00A06E71"/>
    <w:rsid w:val="00A07B23"/>
    <w:rsid w:val="00A07C1D"/>
    <w:rsid w:val="00A1052B"/>
    <w:rsid w:val="00A10A3E"/>
    <w:rsid w:val="00A11F74"/>
    <w:rsid w:val="00A11FD5"/>
    <w:rsid w:val="00A120C6"/>
    <w:rsid w:val="00A132C7"/>
    <w:rsid w:val="00A13485"/>
    <w:rsid w:val="00A13D39"/>
    <w:rsid w:val="00A13E7D"/>
    <w:rsid w:val="00A1417A"/>
    <w:rsid w:val="00A1462D"/>
    <w:rsid w:val="00A1469D"/>
    <w:rsid w:val="00A14DBB"/>
    <w:rsid w:val="00A152F5"/>
    <w:rsid w:val="00A15435"/>
    <w:rsid w:val="00A154D8"/>
    <w:rsid w:val="00A15705"/>
    <w:rsid w:val="00A15DBE"/>
    <w:rsid w:val="00A15DE6"/>
    <w:rsid w:val="00A17068"/>
    <w:rsid w:val="00A17800"/>
    <w:rsid w:val="00A17A48"/>
    <w:rsid w:val="00A20308"/>
    <w:rsid w:val="00A20C08"/>
    <w:rsid w:val="00A20F79"/>
    <w:rsid w:val="00A211C5"/>
    <w:rsid w:val="00A21379"/>
    <w:rsid w:val="00A2137B"/>
    <w:rsid w:val="00A215BC"/>
    <w:rsid w:val="00A21ACD"/>
    <w:rsid w:val="00A22904"/>
    <w:rsid w:val="00A22F0F"/>
    <w:rsid w:val="00A236CE"/>
    <w:rsid w:val="00A24455"/>
    <w:rsid w:val="00A24872"/>
    <w:rsid w:val="00A249EE"/>
    <w:rsid w:val="00A25437"/>
    <w:rsid w:val="00A2575E"/>
    <w:rsid w:val="00A258F7"/>
    <w:rsid w:val="00A25FE6"/>
    <w:rsid w:val="00A2677F"/>
    <w:rsid w:val="00A26CD6"/>
    <w:rsid w:val="00A271B0"/>
    <w:rsid w:val="00A273BD"/>
    <w:rsid w:val="00A27403"/>
    <w:rsid w:val="00A27E22"/>
    <w:rsid w:val="00A30B02"/>
    <w:rsid w:val="00A30CBC"/>
    <w:rsid w:val="00A30E67"/>
    <w:rsid w:val="00A30ED7"/>
    <w:rsid w:val="00A32788"/>
    <w:rsid w:val="00A3285D"/>
    <w:rsid w:val="00A329AD"/>
    <w:rsid w:val="00A332FE"/>
    <w:rsid w:val="00A33588"/>
    <w:rsid w:val="00A34697"/>
    <w:rsid w:val="00A35988"/>
    <w:rsid w:val="00A35CF7"/>
    <w:rsid w:val="00A36013"/>
    <w:rsid w:val="00A3607B"/>
    <w:rsid w:val="00A36401"/>
    <w:rsid w:val="00A36788"/>
    <w:rsid w:val="00A36E87"/>
    <w:rsid w:val="00A37461"/>
    <w:rsid w:val="00A37952"/>
    <w:rsid w:val="00A37ACC"/>
    <w:rsid w:val="00A42A57"/>
    <w:rsid w:val="00A42FA4"/>
    <w:rsid w:val="00A430F5"/>
    <w:rsid w:val="00A435AD"/>
    <w:rsid w:val="00A442E5"/>
    <w:rsid w:val="00A456BB"/>
    <w:rsid w:val="00A45CE3"/>
    <w:rsid w:val="00A4611F"/>
    <w:rsid w:val="00A46927"/>
    <w:rsid w:val="00A46B83"/>
    <w:rsid w:val="00A46DDD"/>
    <w:rsid w:val="00A5020A"/>
    <w:rsid w:val="00A5046B"/>
    <w:rsid w:val="00A52789"/>
    <w:rsid w:val="00A529E1"/>
    <w:rsid w:val="00A52AA6"/>
    <w:rsid w:val="00A53CD8"/>
    <w:rsid w:val="00A53DC3"/>
    <w:rsid w:val="00A53FD9"/>
    <w:rsid w:val="00A54C1A"/>
    <w:rsid w:val="00A5505C"/>
    <w:rsid w:val="00A554BE"/>
    <w:rsid w:val="00A55AD6"/>
    <w:rsid w:val="00A55E0D"/>
    <w:rsid w:val="00A56408"/>
    <w:rsid w:val="00A567E0"/>
    <w:rsid w:val="00A56B86"/>
    <w:rsid w:val="00A56D04"/>
    <w:rsid w:val="00A57066"/>
    <w:rsid w:val="00A57274"/>
    <w:rsid w:val="00A57B75"/>
    <w:rsid w:val="00A57C0F"/>
    <w:rsid w:val="00A60936"/>
    <w:rsid w:val="00A60C4E"/>
    <w:rsid w:val="00A60D5B"/>
    <w:rsid w:val="00A60E64"/>
    <w:rsid w:val="00A61422"/>
    <w:rsid w:val="00A62074"/>
    <w:rsid w:val="00A620B5"/>
    <w:rsid w:val="00A623A1"/>
    <w:rsid w:val="00A6257D"/>
    <w:rsid w:val="00A6287D"/>
    <w:rsid w:val="00A628C8"/>
    <w:rsid w:val="00A62F28"/>
    <w:rsid w:val="00A630BC"/>
    <w:rsid w:val="00A63199"/>
    <w:rsid w:val="00A636FA"/>
    <w:rsid w:val="00A64781"/>
    <w:rsid w:val="00A64AE9"/>
    <w:rsid w:val="00A651EB"/>
    <w:rsid w:val="00A65874"/>
    <w:rsid w:val="00A65C1F"/>
    <w:rsid w:val="00A65E2A"/>
    <w:rsid w:val="00A661AE"/>
    <w:rsid w:val="00A66284"/>
    <w:rsid w:val="00A66306"/>
    <w:rsid w:val="00A6636F"/>
    <w:rsid w:val="00A6688A"/>
    <w:rsid w:val="00A6739C"/>
    <w:rsid w:val="00A67C6A"/>
    <w:rsid w:val="00A67D53"/>
    <w:rsid w:val="00A70A3E"/>
    <w:rsid w:val="00A70F93"/>
    <w:rsid w:val="00A71B82"/>
    <w:rsid w:val="00A72336"/>
    <w:rsid w:val="00A729AC"/>
    <w:rsid w:val="00A72F5D"/>
    <w:rsid w:val="00A72FAC"/>
    <w:rsid w:val="00A74954"/>
    <w:rsid w:val="00A75226"/>
    <w:rsid w:val="00A755BF"/>
    <w:rsid w:val="00A75C18"/>
    <w:rsid w:val="00A761D3"/>
    <w:rsid w:val="00A763D8"/>
    <w:rsid w:val="00A76F5B"/>
    <w:rsid w:val="00A7717D"/>
    <w:rsid w:val="00A77423"/>
    <w:rsid w:val="00A7756A"/>
    <w:rsid w:val="00A80239"/>
    <w:rsid w:val="00A8038B"/>
    <w:rsid w:val="00A80F90"/>
    <w:rsid w:val="00A80FB5"/>
    <w:rsid w:val="00A81E16"/>
    <w:rsid w:val="00A8272F"/>
    <w:rsid w:val="00A82F79"/>
    <w:rsid w:val="00A83BE0"/>
    <w:rsid w:val="00A845F2"/>
    <w:rsid w:val="00A849E2"/>
    <w:rsid w:val="00A84C06"/>
    <w:rsid w:val="00A84F64"/>
    <w:rsid w:val="00A852D4"/>
    <w:rsid w:val="00A8581E"/>
    <w:rsid w:val="00A85E8E"/>
    <w:rsid w:val="00A87815"/>
    <w:rsid w:val="00A879FE"/>
    <w:rsid w:val="00A87A47"/>
    <w:rsid w:val="00A906B5"/>
    <w:rsid w:val="00A912B9"/>
    <w:rsid w:val="00A913A2"/>
    <w:rsid w:val="00A91936"/>
    <w:rsid w:val="00A92104"/>
    <w:rsid w:val="00A92178"/>
    <w:rsid w:val="00A921A9"/>
    <w:rsid w:val="00A922DC"/>
    <w:rsid w:val="00A92351"/>
    <w:rsid w:val="00A92B92"/>
    <w:rsid w:val="00A92C7B"/>
    <w:rsid w:val="00A93034"/>
    <w:rsid w:val="00A930CF"/>
    <w:rsid w:val="00A94111"/>
    <w:rsid w:val="00A943C4"/>
    <w:rsid w:val="00A958BE"/>
    <w:rsid w:val="00A95C87"/>
    <w:rsid w:val="00A961C2"/>
    <w:rsid w:val="00A96205"/>
    <w:rsid w:val="00A963D3"/>
    <w:rsid w:val="00A965FC"/>
    <w:rsid w:val="00A96771"/>
    <w:rsid w:val="00A96875"/>
    <w:rsid w:val="00A96970"/>
    <w:rsid w:val="00A96BCC"/>
    <w:rsid w:val="00A973AD"/>
    <w:rsid w:val="00A973C2"/>
    <w:rsid w:val="00A9761D"/>
    <w:rsid w:val="00AA01E7"/>
    <w:rsid w:val="00AA0AB0"/>
    <w:rsid w:val="00AA0DF4"/>
    <w:rsid w:val="00AA0E8E"/>
    <w:rsid w:val="00AA1140"/>
    <w:rsid w:val="00AA1897"/>
    <w:rsid w:val="00AA1A36"/>
    <w:rsid w:val="00AA1BE7"/>
    <w:rsid w:val="00AA24B8"/>
    <w:rsid w:val="00AA28D0"/>
    <w:rsid w:val="00AA2F1A"/>
    <w:rsid w:val="00AA2F2C"/>
    <w:rsid w:val="00AA3100"/>
    <w:rsid w:val="00AA366E"/>
    <w:rsid w:val="00AA3E2C"/>
    <w:rsid w:val="00AA411E"/>
    <w:rsid w:val="00AA49A5"/>
    <w:rsid w:val="00AA4AC4"/>
    <w:rsid w:val="00AA6ACE"/>
    <w:rsid w:val="00AA6DF1"/>
    <w:rsid w:val="00AA6F18"/>
    <w:rsid w:val="00AA7288"/>
    <w:rsid w:val="00AB0890"/>
    <w:rsid w:val="00AB0ABA"/>
    <w:rsid w:val="00AB0F7E"/>
    <w:rsid w:val="00AB18B7"/>
    <w:rsid w:val="00AB1C84"/>
    <w:rsid w:val="00AB2784"/>
    <w:rsid w:val="00AB3140"/>
    <w:rsid w:val="00AB3851"/>
    <w:rsid w:val="00AB392A"/>
    <w:rsid w:val="00AB4052"/>
    <w:rsid w:val="00AB56D2"/>
    <w:rsid w:val="00AB5E03"/>
    <w:rsid w:val="00AB71D7"/>
    <w:rsid w:val="00AB79AE"/>
    <w:rsid w:val="00AC01CE"/>
    <w:rsid w:val="00AC075E"/>
    <w:rsid w:val="00AC07DE"/>
    <w:rsid w:val="00AC1B0B"/>
    <w:rsid w:val="00AC2091"/>
    <w:rsid w:val="00AC308E"/>
    <w:rsid w:val="00AC4190"/>
    <w:rsid w:val="00AC4555"/>
    <w:rsid w:val="00AC4A6C"/>
    <w:rsid w:val="00AC4C50"/>
    <w:rsid w:val="00AC4FEB"/>
    <w:rsid w:val="00AC559F"/>
    <w:rsid w:val="00AC61FA"/>
    <w:rsid w:val="00AC66F5"/>
    <w:rsid w:val="00AC768E"/>
    <w:rsid w:val="00AC7AC8"/>
    <w:rsid w:val="00AD078E"/>
    <w:rsid w:val="00AD1483"/>
    <w:rsid w:val="00AD17CA"/>
    <w:rsid w:val="00AD1B23"/>
    <w:rsid w:val="00AD1BB7"/>
    <w:rsid w:val="00AD1C1E"/>
    <w:rsid w:val="00AD2B6E"/>
    <w:rsid w:val="00AD3156"/>
    <w:rsid w:val="00AD3B09"/>
    <w:rsid w:val="00AD445A"/>
    <w:rsid w:val="00AD4D81"/>
    <w:rsid w:val="00AD60DB"/>
    <w:rsid w:val="00AD6F6E"/>
    <w:rsid w:val="00AD745E"/>
    <w:rsid w:val="00AE0505"/>
    <w:rsid w:val="00AE0648"/>
    <w:rsid w:val="00AE0F3E"/>
    <w:rsid w:val="00AE123B"/>
    <w:rsid w:val="00AE18DF"/>
    <w:rsid w:val="00AE220A"/>
    <w:rsid w:val="00AE2766"/>
    <w:rsid w:val="00AE2CD7"/>
    <w:rsid w:val="00AE2DCD"/>
    <w:rsid w:val="00AE2F5F"/>
    <w:rsid w:val="00AE4054"/>
    <w:rsid w:val="00AE4C05"/>
    <w:rsid w:val="00AE4D49"/>
    <w:rsid w:val="00AE4EE6"/>
    <w:rsid w:val="00AE54BC"/>
    <w:rsid w:val="00AE62F5"/>
    <w:rsid w:val="00AE6703"/>
    <w:rsid w:val="00AE6773"/>
    <w:rsid w:val="00AE6A4B"/>
    <w:rsid w:val="00AE6C40"/>
    <w:rsid w:val="00AE6FDF"/>
    <w:rsid w:val="00AF0BFD"/>
    <w:rsid w:val="00AF0F70"/>
    <w:rsid w:val="00AF1999"/>
    <w:rsid w:val="00AF1D7C"/>
    <w:rsid w:val="00AF1FB0"/>
    <w:rsid w:val="00AF2333"/>
    <w:rsid w:val="00AF28C5"/>
    <w:rsid w:val="00AF29C7"/>
    <w:rsid w:val="00AF2C7A"/>
    <w:rsid w:val="00AF327B"/>
    <w:rsid w:val="00AF3605"/>
    <w:rsid w:val="00AF3B1D"/>
    <w:rsid w:val="00AF3D12"/>
    <w:rsid w:val="00AF3D2D"/>
    <w:rsid w:val="00AF48C0"/>
    <w:rsid w:val="00AF54E2"/>
    <w:rsid w:val="00AF5A5B"/>
    <w:rsid w:val="00AF5C4D"/>
    <w:rsid w:val="00AF5DE5"/>
    <w:rsid w:val="00AF60D0"/>
    <w:rsid w:val="00AF796A"/>
    <w:rsid w:val="00AF7AC5"/>
    <w:rsid w:val="00B0053B"/>
    <w:rsid w:val="00B005D4"/>
    <w:rsid w:val="00B00F93"/>
    <w:rsid w:val="00B013C9"/>
    <w:rsid w:val="00B01DD0"/>
    <w:rsid w:val="00B01FBA"/>
    <w:rsid w:val="00B02740"/>
    <w:rsid w:val="00B028F4"/>
    <w:rsid w:val="00B03341"/>
    <w:rsid w:val="00B035BD"/>
    <w:rsid w:val="00B043EE"/>
    <w:rsid w:val="00B04636"/>
    <w:rsid w:val="00B04FF5"/>
    <w:rsid w:val="00B059E7"/>
    <w:rsid w:val="00B05BE6"/>
    <w:rsid w:val="00B06365"/>
    <w:rsid w:val="00B06E4F"/>
    <w:rsid w:val="00B0711E"/>
    <w:rsid w:val="00B074EA"/>
    <w:rsid w:val="00B07765"/>
    <w:rsid w:val="00B077EE"/>
    <w:rsid w:val="00B10850"/>
    <w:rsid w:val="00B11504"/>
    <w:rsid w:val="00B117C2"/>
    <w:rsid w:val="00B117FE"/>
    <w:rsid w:val="00B12368"/>
    <w:rsid w:val="00B12C31"/>
    <w:rsid w:val="00B132D5"/>
    <w:rsid w:val="00B13534"/>
    <w:rsid w:val="00B13CA0"/>
    <w:rsid w:val="00B15754"/>
    <w:rsid w:val="00B15C34"/>
    <w:rsid w:val="00B15E56"/>
    <w:rsid w:val="00B167CE"/>
    <w:rsid w:val="00B1739F"/>
    <w:rsid w:val="00B173E4"/>
    <w:rsid w:val="00B175D1"/>
    <w:rsid w:val="00B178F5"/>
    <w:rsid w:val="00B1796E"/>
    <w:rsid w:val="00B17D8E"/>
    <w:rsid w:val="00B2027A"/>
    <w:rsid w:val="00B20487"/>
    <w:rsid w:val="00B20952"/>
    <w:rsid w:val="00B216C3"/>
    <w:rsid w:val="00B21D14"/>
    <w:rsid w:val="00B22B6F"/>
    <w:rsid w:val="00B22D8F"/>
    <w:rsid w:val="00B23BB0"/>
    <w:rsid w:val="00B23D29"/>
    <w:rsid w:val="00B248D5"/>
    <w:rsid w:val="00B24DEC"/>
    <w:rsid w:val="00B25496"/>
    <w:rsid w:val="00B25F79"/>
    <w:rsid w:val="00B2692A"/>
    <w:rsid w:val="00B26BC9"/>
    <w:rsid w:val="00B26C45"/>
    <w:rsid w:val="00B2763E"/>
    <w:rsid w:val="00B27C9C"/>
    <w:rsid w:val="00B30358"/>
    <w:rsid w:val="00B31E98"/>
    <w:rsid w:val="00B32466"/>
    <w:rsid w:val="00B32F5F"/>
    <w:rsid w:val="00B3333C"/>
    <w:rsid w:val="00B334DD"/>
    <w:rsid w:val="00B33629"/>
    <w:rsid w:val="00B33CCE"/>
    <w:rsid w:val="00B34252"/>
    <w:rsid w:val="00B34616"/>
    <w:rsid w:val="00B35D95"/>
    <w:rsid w:val="00B36451"/>
    <w:rsid w:val="00B366F3"/>
    <w:rsid w:val="00B368F9"/>
    <w:rsid w:val="00B36E29"/>
    <w:rsid w:val="00B36E92"/>
    <w:rsid w:val="00B37643"/>
    <w:rsid w:val="00B376FA"/>
    <w:rsid w:val="00B40F50"/>
    <w:rsid w:val="00B410EF"/>
    <w:rsid w:val="00B418EC"/>
    <w:rsid w:val="00B419F8"/>
    <w:rsid w:val="00B42271"/>
    <w:rsid w:val="00B42808"/>
    <w:rsid w:val="00B432C4"/>
    <w:rsid w:val="00B43BFC"/>
    <w:rsid w:val="00B448BD"/>
    <w:rsid w:val="00B45ABF"/>
    <w:rsid w:val="00B46528"/>
    <w:rsid w:val="00B4675B"/>
    <w:rsid w:val="00B46A92"/>
    <w:rsid w:val="00B5025E"/>
    <w:rsid w:val="00B50357"/>
    <w:rsid w:val="00B50385"/>
    <w:rsid w:val="00B506D9"/>
    <w:rsid w:val="00B510D7"/>
    <w:rsid w:val="00B52DB4"/>
    <w:rsid w:val="00B5360D"/>
    <w:rsid w:val="00B536C0"/>
    <w:rsid w:val="00B557EB"/>
    <w:rsid w:val="00B55AEE"/>
    <w:rsid w:val="00B55BB3"/>
    <w:rsid w:val="00B55CDC"/>
    <w:rsid w:val="00B56342"/>
    <w:rsid w:val="00B5660F"/>
    <w:rsid w:val="00B568E2"/>
    <w:rsid w:val="00B56D23"/>
    <w:rsid w:val="00B56E2C"/>
    <w:rsid w:val="00B56EA2"/>
    <w:rsid w:val="00B579C0"/>
    <w:rsid w:val="00B60001"/>
    <w:rsid w:val="00B601AA"/>
    <w:rsid w:val="00B60398"/>
    <w:rsid w:val="00B6048A"/>
    <w:rsid w:val="00B60689"/>
    <w:rsid w:val="00B607CF"/>
    <w:rsid w:val="00B61279"/>
    <w:rsid w:val="00B61619"/>
    <w:rsid w:val="00B61AD2"/>
    <w:rsid w:val="00B6213D"/>
    <w:rsid w:val="00B62593"/>
    <w:rsid w:val="00B62CF6"/>
    <w:rsid w:val="00B634F4"/>
    <w:rsid w:val="00B63515"/>
    <w:rsid w:val="00B639F7"/>
    <w:rsid w:val="00B641F6"/>
    <w:rsid w:val="00B649FA"/>
    <w:rsid w:val="00B65CC4"/>
    <w:rsid w:val="00B66753"/>
    <w:rsid w:val="00B66AB5"/>
    <w:rsid w:val="00B66CA6"/>
    <w:rsid w:val="00B67413"/>
    <w:rsid w:val="00B67648"/>
    <w:rsid w:val="00B67692"/>
    <w:rsid w:val="00B70069"/>
    <w:rsid w:val="00B7093C"/>
    <w:rsid w:val="00B70A15"/>
    <w:rsid w:val="00B70BB2"/>
    <w:rsid w:val="00B70DFC"/>
    <w:rsid w:val="00B71314"/>
    <w:rsid w:val="00B71A42"/>
    <w:rsid w:val="00B72C88"/>
    <w:rsid w:val="00B746A8"/>
    <w:rsid w:val="00B74C1B"/>
    <w:rsid w:val="00B751C0"/>
    <w:rsid w:val="00B7529C"/>
    <w:rsid w:val="00B752BA"/>
    <w:rsid w:val="00B75652"/>
    <w:rsid w:val="00B758E0"/>
    <w:rsid w:val="00B75D17"/>
    <w:rsid w:val="00B75F81"/>
    <w:rsid w:val="00B76203"/>
    <w:rsid w:val="00B76712"/>
    <w:rsid w:val="00B76836"/>
    <w:rsid w:val="00B773A5"/>
    <w:rsid w:val="00B77705"/>
    <w:rsid w:val="00B80439"/>
    <w:rsid w:val="00B80873"/>
    <w:rsid w:val="00B80C7B"/>
    <w:rsid w:val="00B817CB"/>
    <w:rsid w:val="00B81C81"/>
    <w:rsid w:val="00B821CD"/>
    <w:rsid w:val="00B82292"/>
    <w:rsid w:val="00B8245F"/>
    <w:rsid w:val="00B82895"/>
    <w:rsid w:val="00B829B8"/>
    <w:rsid w:val="00B82FAE"/>
    <w:rsid w:val="00B833E5"/>
    <w:rsid w:val="00B83AC7"/>
    <w:rsid w:val="00B83D28"/>
    <w:rsid w:val="00B8406C"/>
    <w:rsid w:val="00B842D2"/>
    <w:rsid w:val="00B84574"/>
    <w:rsid w:val="00B84CFD"/>
    <w:rsid w:val="00B869F4"/>
    <w:rsid w:val="00B86C44"/>
    <w:rsid w:val="00B8746F"/>
    <w:rsid w:val="00B87CBF"/>
    <w:rsid w:val="00B900AE"/>
    <w:rsid w:val="00B90A4E"/>
    <w:rsid w:val="00B90E2C"/>
    <w:rsid w:val="00B9118B"/>
    <w:rsid w:val="00B914C9"/>
    <w:rsid w:val="00B922A3"/>
    <w:rsid w:val="00B923AE"/>
    <w:rsid w:val="00B93C7C"/>
    <w:rsid w:val="00B93F2E"/>
    <w:rsid w:val="00B94CB6"/>
    <w:rsid w:val="00B94F8B"/>
    <w:rsid w:val="00B9540B"/>
    <w:rsid w:val="00B9596B"/>
    <w:rsid w:val="00B95F0A"/>
    <w:rsid w:val="00B96141"/>
    <w:rsid w:val="00B96228"/>
    <w:rsid w:val="00B96E5F"/>
    <w:rsid w:val="00B96E92"/>
    <w:rsid w:val="00BA07B6"/>
    <w:rsid w:val="00BA0D9F"/>
    <w:rsid w:val="00BA0FA0"/>
    <w:rsid w:val="00BA2626"/>
    <w:rsid w:val="00BA30D3"/>
    <w:rsid w:val="00BA3862"/>
    <w:rsid w:val="00BA3BCD"/>
    <w:rsid w:val="00BA47BD"/>
    <w:rsid w:val="00BA509F"/>
    <w:rsid w:val="00BA5300"/>
    <w:rsid w:val="00BA5303"/>
    <w:rsid w:val="00BA5685"/>
    <w:rsid w:val="00BA5922"/>
    <w:rsid w:val="00BA5D2D"/>
    <w:rsid w:val="00BA5F48"/>
    <w:rsid w:val="00BA6089"/>
    <w:rsid w:val="00BA6805"/>
    <w:rsid w:val="00BA6A53"/>
    <w:rsid w:val="00BA7DDF"/>
    <w:rsid w:val="00BB00D5"/>
    <w:rsid w:val="00BB011A"/>
    <w:rsid w:val="00BB0C4F"/>
    <w:rsid w:val="00BB0D4A"/>
    <w:rsid w:val="00BB11B0"/>
    <w:rsid w:val="00BB12A4"/>
    <w:rsid w:val="00BB1A18"/>
    <w:rsid w:val="00BB1FAE"/>
    <w:rsid w:val="00BB1FCA"/>
    <w:rsid w:val="00BB2312"/>
    <w:rsid w:val="00BB2865"/>
    <w:rsid w:val="00BB333C"/>
    <w:rsid w:val="00BB3875"/>
    <w:rsid w:val="00BB38D6"/>
    <w:rsid w:val="00BB42AF"/>
    <w:rsid w:val="00BB502D"/>
    <w:rsid w:val="00BB5B48"/>
    <w:rsid w:val="00BB5FC3"/>
    <w:rsid w:val="00BB6640"/>
    <w:rsid w:val="00BB77CA"/>
    <w:rsid w:val="00BB7875"/>
    <w:rsid w:val="00BC0ED8"/>
    <w:rsid w:val="00BC185D"/>
    <w:rsid w:val="00BC1862"/>
    <w:rsid w:val="00BC290C"/>
    <w:rsid w:val="00BC2BF4"/>
    <w:rsid w:val="00BC2CCA"/>
    <w:rsid w:val="00BC3288"/>
    <w:rsid w:val="00BC3755"/>
    <w:rsid w:val="00BC3C4A"/>
    <w:rsid w:val="00BC3FBA"/>
    <w:rsid w:val="00BC442A"/>
    <w:rsid w:val="00BC455F"/>
    <w:rsid w:val="00BC4B79"/>
    <w:rsid w:val="00BC5739"/>
    <w:rsid w:val="00BC599E"/>
    <w:rsid w:val="00BC61E9"/>
    <w:rsid w:val="00BC622E"/>
    <w:rsid w:val="00BC6301"/>
    <w:rsid w:val="00BC6B6D"/>
    <w:rsid w:val="00BC6C07"/>
    <w:rsid w:val="00BD01DA"/>
    <w:rsid w:val="00BD046F"/>
    <w:rsid w:val="00BD0816"/>
    <w:rsid w:val="00BD101C"/>
    <w:rsid w:val="00BD16CD"/>
    <w:rsid w:val="00BD18B5"/>
    <w:rsid w:val="00BD208F"/>
    <w:rsid w:val="00BD257A"/>
    <w:rsid w:val="00BD27C2"/>
    <w:rsid w:val="00BD2C1D"/>
    <w:rsid w:val="00BD2E58"/>
    <w:rsid w:val="00BD34DF"/>
    <w:rsid w:val="00BD3803"/>
    <w:rsid w:val="00BD3E6C"/>
    <w:rsid w:val="00BD46D2"/>
    <w:rsid w:val="00BD4B78"/>
    <w:rsid w:val="00BD4E9F"/>
    <w:rsid w:val="00BD6156"/>
    <w:rsid w:val="00BD67F4"/>
    <w:rsid w:val="00BD70C1"/>
    <w:rsid w:val="00BD799A"/>
    <w:rsid w:val="00BE001E"/>
    <w:rsid w:val="00BE0231"/>
    <w:rsid w:val="00BE0470"/>
    <w:rsid w:val="00BE047A"/>
    <w:rsid w:val="00BE1B5F"/>
    <w:rsid w:val="00BE20F5"/>
    <w:rsid w:val="00BE283E"/>
    <w:rsid w:val="00BE2B14"/>
    <w:rsid w:val="00BE3584"/>
    <w:rsid w:val="00BE39E6"/>
    <w:rsid w:val="00BE3A12"/>
    <w:rsid w:val="00BE3DC6"/>
    <w:rsid w:val="00BE4580"/>
    <w:rsid w:val="00BE465F"/>
    <w:rsid w:val="00BE483A"/>
    <w:rsid w:val="00BE4896"/>
    <w:rsid w:val="00BE4A7C"/>
    <w:rsid w:val="00BE5457"/>
    <w:rsid w:val="00BE57E9"/>
    <w:rsid w:val="00BE64CC"/>
    <w:rsid w:val="00BE6683"/>
    <w:rsid w:val="00BE67CD"/>
    <w:rsid w:val="00BE6844"/>
    <w:rsid w:val="00BE690B"/>
    <w:rsid w:val="00BE69B5"/>
    <w:rsid w:val="00BE6EC5"/>
    <w:rsid w:val="00BE7829"/>
    <w:rsid w:val="00BE7948"/>
    <w:rsid w:val="00BE7BC2"/>
    <w:rsid w:val="00BE7E3F"/>
    <w:rsid w:val="00BE7FC7"/>
    <w:rsid w:val="00BF035D"/>
    <w:rsid w:val="00BF06B7"/>
    <w:rsid w:val="00BF23AE"/>
    <w:rsid w:val="00BF2B4F"/>
    <w:rsid w:val="00BF3604"/>
    <w:rsid w:val="00BF3ED6"/>
    <w:rsid w:val="00BF4045"/>
    <w:rsid w:val="00BF4698"/>
    <w:rsid w:val="00BF4864"/>
    <w:rsid w:val="00BF4AFF"/>
    <w:rsid w:val="00BF4F47"/>
    <w:rsid w:val="00BF554A"/>
    <w:rsid w:val="00BF59C3"/>
    <w:rsid w:val="00BF6123"/>
    <w:rsid w:val="00BF7A5E"/>
    <w:rsid w:val="00BF7EAD"/>
    <w:rsid w:val="00C005EE"/>
    <w:rsid w:val="00C0062B"/>
    <w:rsid w:val="00C00A02"/>
    <w:rsid w:val="00C012CE"/>
    <w:rsid w:val="00C016E4"/>
    <w:rsid w:val="00C0181A"/>
    <w:rsid w:val="00C023DD"/>
    <w:rsid w:val="00C02927"/>
    <w:rsid w:val="00C02DC3"/>
    <w:rsid w:val="00C040D1"/>
    <w:rsid w:val="00C047E6"/>
    <w:rsid w:val="00C05A3E"/>
    <w:rsid w:val="00C05C09"/>
    <w:rsid w:val="00C06535"/>
    <w:rsid w:val="00C065F0"/>
    <w:rsid w:val="00C06A71"/>
    <w:rsid w:val="00C06BAE"/>
    <w:rsid w:val="00C06CF3"/>
    <w:rsid w:val="00C07349"/>
    <w:rsid w:val="00C074F0"/>
    <w:rsid w:val="00C1024E"/>
    <w:rsid w:val="00C10582"/>
    <w:rsid w:val="00C10C3C"/>
    <w:rsid w:val="00C10E58"/>
    <w:rsid w:val="00C116B7"/>
    <w:rsid w:val="00C11A24"/>
    <w:rsid w:val="00C12D04"/>
    <w:rsid w:val="00C12D4A"/>
    <w:rsid w:val="00C153A4"/>
    <w:rsid w:val="00C15B64"/>
    <w:rsid w:val="00C15C74"/>
    <w:rsid w:val="00C16293"/>
    <w:rsid w:val="00C165C5"/>
    <w:rsid w:val="00C16B55"/>
    <w:rsid w:val="00C16F42"/>
    <w:rsid w:val="00C1764D"/>
    <w:rsid w:val="00C178A4"/>
    <w:rsid w:val="00C17D77"/>
    <w:rsid w:val="00C20380"/>
    <w:rsid w:val="00C207D2"/>
    <w:rsid w:val="00C20953"/>
    <w:rsid w:val="00C20BE8"/>
    <w:rsid w:val="00C2144D"/>
    <w:rsid w:val="00C215DB"/>
    <w:rsid w:val="00C21740"/>
    <w:rsid w:val="00C22066"/>
    <w:rsid w:val="00C22974"/>
    <w:rsid w:val="00C22DF7"/>
    <w:rsid w:val="00C23068"/>
    <w:rsid w:val="00C23106"/>
    <w:rsid w:val="00C23F09"/>
    <w:rsid w:val="00C24122"/>
    <w:rsid w:val="00C24219"/>
    <w:rsid w:val="00C243BB"/>
    <w:rsid w:val="00C254F8"/>
    <w:rsid w:val="00C25FAD"/>
    <w:rsid w:val="00C26353"/>
    <w:rsid w:val="00C26B47"/>
    <w:rsid w:val="00C2713E"/>
    <w:rsid w:val="00C2770C"/>
    <w:rsid w:val="00C27A19"/>
    <w:rsid w:val="00C27B41"/>
    <w:rsid w:val="00C27B4F"/>
    <w:rsid w:val="00C302EE"/>
    <w:rsid w:val="00C304A8"/>
    <w:rsid w:val="00C30C71"/>
    <w:rsid w:val="00C30FF1"/>
    <w:rsid w:val="00C31920"/>
    <w:rsid w:val="00C319F8"/>
    <w:rsid w:val="00C31C5A"/>
    <w:rsid w:val="00C32817"/>
    <w:rsid w:val="00C3281D"/>
    <w:rsid w:val="00C329A1"/>
    <w:rsid w:val="00C337D0"/>
    <w:rsid w:val="00C3397D"/>
    <w:rsid w:val="00C34202"/>
    <w:rsid w:val="00C3558B"/>
    <w:rsid w:val="00C35913"/>
    <w:rsid w:val="00C35A5E"/>
    <w:rsid w:val="00C35D49"/>
    <w:rsid w:val="00C36848"/>
    <w:rsid w:val="00C36C20"/>
    <w:rsid w:val="00C36E74"/>
    <w:rsid w:val="00C37E99"/>
    <w:rsid w:val="00C400A3"/>
    <w:rsid w:val="00C41DD0"/>
    <w:rsid w:val="00C42628"/>
    <w:rsid w:val="00C42688"/>
    <w:rsid w:val="00C43016"/>
    <w:rsid w:val="00C43B80"/>
    <w:rsid w:val="00C43D6A"/>
    <w:rsid w:val="00C44330"/>
    <w:rsid w:val="00C4468B"/>
    <w:rsid w:val="00C44CEE"/>
    <w:rsid w:val="00C4504D"/>
    <w:rsid w:val="00C45641"/>
    <w:rsid w:val="00C46203"/>
    <w:rsid w:val="00C46546"/>
    <w:rsid w:val="00C469D5"/>
    <w:rsid w:val="00C46C5A"/>
    <w:rsid w:val="00C47053"/>
    <w:rsid w:val="00C47EB6"/>
    <w:rsid w:val="00C50766"/>
    <w:rsid w:val="00C507A0"/>
    <w:rsid w:val="00C510E7"/>
    <w:rsid w:val="00C515C8"/>
    <w:rsid w:val="00C5173A"/>
    <w:rsid w:val="00C52573"/>
    <w:rsid w:val="00C52FEE"/>
    <w:rsid w:val="00C5304C"/>
    <w:rsid w:val="00C5335F"/>
    <w:rsid w:val="00C5386B"/>
    <w:rsid w:val="00C53AE5"/>
    <w:rsid w:val="00C53D53"/>
    <w:rsid w:val="00C53E65"/>
    <w:rsid w:val="00C54406"/>
    <w:rsid w:val="00C554B9"/>
    <w:rsid w:val="00C554F7"/>
    <w:rsid w:val="00C5577E"/>
    <w:rsid w:val="00C605AE"/>
    <w:rsid w:val="00C60997"/>
    <w:rsid w:val="00C61013"/>
    <w:rsid w:val="00C61733"/>
    <w:rsid w:val="00C639C2"/>
    <w:rsid w:val="00C64DA1"/>
    <w:rsid w:val="00C66BD6"/>
    <w:rsid w:val="00C67ADA"/>
    <w:rsid w:val="00C67B1B"/>
    <w:rsid w:val="00C70C73"/>
    <w:rsid w:val="00C70DCB"/>
    <w:rsid w:val="00C70E2C"/>
    <w:rsid w:val="00C7138D"/>
    <w:rsid w:val="00C71A03"/>
    <w:rsid w:val="00C71ECD"/>
    <w:rsid w:val="00C72431"/>
    <w:rsid w:val="00C72A04"/>
    <w:rsid w:val="00C72DFA"/>
    <w:rsid w:val="00C73274"/>
    <w:rsid w:val="00C737A5"/>
    <w:rsid w:val="00C73B13"/>
    <w:rsid w:val="00C73D0D"/>
    <w:rsid w:val="00C73DCF"/>
    <w:rsid w:val="00C74336"/>
    <w:rsid w:val="00C7446D"/>
    <w:rsid w:val="00C74B21"/>
    <w:rsid w:val="00C7549D"/>
    <w:rsid w:val="00C7584A"/>
    <w:rsid w:val="00C75AB3"/>
    <w:rsid w:val="00C75D54"/>
    <w:rsid w:val="00C75F66"/>
    <w:rsid w:val="00C76004"/>
    <w:rsid w:val="00C761C7"/>
    <w:rsid w:val="00C76A9A"/>
    <w:rsid w:val="00C7739C"/>
    <w:rsid w:val="00C7758C"/>
    <w:rsid w:val="00C77752"/>
    <w:rsid w:val="00C777B0"/>
    <w:rsid w:val="00C77BDB"/>
    <w:rsid w:val="00C80063"/>
    <w:rsid w:val="00C801C5"/>
    <w:rsid w:val="00C803F8"/>
    <w:rsid w:val="00C813FB"/>
    <w:rsid w:val="00C814B2"/>
    <w:rsid w:val="00C815F1"/>
    <w:rsid w:val="00C8186D"/>
    <w:rsid w:val="00C81FAC"/>
    <w:rsid w:val="00C8201D"/>
    <w:rsid w:val="00C82410"/>
    <w:rsid w:val="00C837F0"/>
    <w:rsid w:val="00C838E9"/>
    <w:rsid w:val="00C839BD"/>
    <w:rsid w:val="00C83E33"/>
    <w:rsid w:val="00C84CA6"/>
    <w:rsid w:val="00C854E0"/>
    <w:rsid w:val="00C8566E"/>
    <w:rsid w:val="00C861E0"/>
    <w:rsid w:val="00C86F12"/>
    <w:rsid w:val="00C875AD"/>
    <w:rsid w:val="00C87685"/>
    <w:rsid w:val="00C87A04"/>
    <w:rsid w:val="00C87C87"/>
    <w:rsid w:val="00C9145F"/>
    <w:rsid w:val="00C91A05"/>
    <w:rsid w:val="00C91C43"/>
    <w:rsid w:val="00C91E98"/>
    <w:rsid w:val="00C926A4"/>
    <w:rsid w:val="00C926BC"/>
    <w:rsid w:val="00C92A4C"/>
    <w:rsid w:val="00C92AC5"/>
    <w:rsid w:val="00C935F6"/>
    <w:rsid w:val="00C93DEA"/>
    <w:rsid w:val="00C9415F"/>
    <w:rsid w:val="00C94285"/>
    <w:rsid w:val="00C942F4"/>
    <w:rsid w:val="00C94966"/>
    <w:rsid w:val="00C94DEF"/>
    <w:rsid w:val="00C9534D"/>
    <w:rsid w:val="00C955ED"/>
    <w:rsid w:val="00C959FC"/>
    <w:rsid w:val="00C95A75"/>
    <w:rsid w:val="00C9667F"/>
    <w:rsid w:val="00CA0A0F"/>
    <w:rsid w:val="00CA0A27"/>
    <w:rsid w:val="00CA18DB"/>
    <w:rsid w:val="00CA1984"/>
    <w:rsid w:val="00CA3753"/>
    <w:rsid w:val="00CA3D93"/>
    <w:rsid w:val="00CA43C8"/>
    <w:rsid w:val="00CA45A4"/>
    <w:rsid w:val="00CA4873"/>
    <w:rsid w:val="00CA4B3C"/>
    <w:rsid w:val="00CA5050"/>
    <w:rsid w:val="00CA58D9"/>
    <w:rsid w:val="00CA5D3E"/>
    <w:rsid w:val="00CA5F49"/>
    <w:rsid w:val="00CA61DC"/>
    <w:rsid w:val="00CA647A"/>
    <w:rsid w:val="00CA7121"/>
    <w:rsid w:val="00CA7240"/>
    <w:rsid w:val="00CA74C5"/>
    <w:rsid w:val="00CA7A2D"/>
    <w:rsid w:val="00CB0209"/>
    <w:rsid w:val="00CB0AAD"/>
    <w:rsid w:val="00CB0EF2"/>
    <w:rsid w:val="00CB1005"/>
    <w:rsid w:val="00CB12BF"/>
    <w:rsid w:val="00CB1923"/>
    <w:rsid w:val="00CB1B9B"/>
    <w:rsid w:val="00CB3BAB"/>
    <w:rsid w:val="00CB440E"/>
    <w:rsid w:val="00CB46F2"/>
    <w:rsid w:val="00CB4880"/>
    <w:rsid w:val="00CB5234"/>
    <w:rsid w:val="00CB56CB"/>
    <w:rsid w:val="00CB5733"/>
    <w:rsid w:val="00CB5C10"/>
    <w:rsid w:val="00CB6723"/>
    <w:rsid w:val="00CB6847"/>
    <w:rsid w:val="00CB6CC5"/>
    <w:rsid w:val="00CB70C4"/>
    <w:rsid w:val="00CB7377"/>
    <w:rsid w:val="00CB7473"/>
    <w:rsid w:val="00CB7770"/>
    <w:rsid w:val="00CB79AD"/>
    <w:rsid w:val="00CB7BDB"/>
    <w:rsid w:val="00CC00E5"/>
    <w:rsid w:val="00CC035A"/>
    <w:rsid w:val="00CC09BF"/>
    <w:rsid w:val="00CC0AB9"/>
    <w:rsid w:val="00CC1067"/>
    <w:rsid w:val="00CC1B06"/>
    <w:rsid w:val="00CC1B3C"/>
    <w:rsid w:val="00CC2002"/>
    <w:rsid w:val="00CC3466"/>
    <w:rsid w:val="00CC4934"/>
    <w:rsid w:val="00CC505A"/>
    <w:rsid w:val="00CC52F7"/>
    <w:rsid w:val="00CC60D5"/>
    <w:rsid w:val="00CC6423"/>
    <w:rsid w:val="00CC6958"/>
    <w:rsid w:val="00CC6976"/>
    <w:rsid w:val="00CC7729"/>
    <w:rsid w:val="00CD10CC"/>
    <w:rsid w:val="00CD1FD7"/>
    <w:rsid w:val="00CD21B4"/>
    <w:rsid w:val="00CD234D"/>
    <w:rsid w:val="00CD33BA"/>
    <w:rsid w:val="00CD42BE"/>
    <w:rsid w:val="00CD5621"/>
    <w:rsid w:val="00CD579D"/>
    <w:rsid w:val="00CD5959"/>
    <w:rsid w:val="00CD5D01"/>
    <w:rsid w:val="00CD72AC"/>
    <w:rsid w:val="00CD7963"/>
    <w:rsid w:val="00CE07BF"/>
    <w:rsid w:val="00CE0992"/>
    <w:rsid w:val="00CE09F7"/>
    <w:rsid w:val="00CE21BF"/>
    <w:rsid w:val="00CE2D57"/>
    <w:rsid w:val="00CE2E7A"/>
    <w:rsid w:val="00CE2F53"/>
    <w:rsid w:val="00CE3C1B"/>
    <w:rsid w:val="00CE3EC4"/>
    <w:rsid w:val="00CE440B"/>
    <w:rsid w:val="00CE49B0"/>
    <w:rsid w:val="00CE4DA0"/>
    <w:rsid w:val="00CE4E6A"/>
    <w:rsid w:val="00CE564A"/>
    <w:rsid w:val="00CE5E65"/>
    <w:rsid w:val="00CE6DF8"/>
    <w:rsid w:val="00CE6F72"/>
    <w:rsid w:val="00CE738F"/>
    <w:rsid w:val="00CE73BC"/>
    <w:rsid w:val="00CE7773"/>
    <w:rsid w:val="00CE7911"/>
    <w:rsid w:val="00CE7E70"/>
    <w:rsid w:val="00CF0513"/>
    <w:rsid w:val="00CF05F0"/>
    <w:rsid w:val="00CF0E4E"/>
    <w:rsid w:val="00CF1091"/>
    <w:rsid w:val="00CF16A0"/>
    <w:rsid w:val="00CF2086"/>
    <w:rsid w:val="00CF31BC"/>
    <w:rsid w:val="00CF380D"/>
    <w:rsid w:val="00CF3C0D"/>
    <w:rsid w:val="00CF4614"/>
    <w:rsid w:val="00CF4EDA"/>
    <w:rsid w:val="00CF4F4F"/>
    <w:rsid w:val="00CF5E19"/>
    <w:rsid w:val="00CF67E6"/>
    <w:rsid w:val="00CF7099"/>
    <w:rsid w:val="00CF71DD"/>
    <w:rsid w:val="00CF7545"/>
    <w:rsid w:val="00D0074D"/>
    <w:rsid w:val="00D00CB4"/>
    <w:rsid w:val="00D00F27"/>
    <w:rsid w:val="00D01233"/>
    <w:rsid w:val="00D01452"/>
    <w:rsid w:val="00D01F98"/>
    <w:rsid w:val="00D026F9"/>
    <w:rsid w:val="00D03389"/>
    <w:rsid w:val="00D03822"/>
    <w:rsid w:val="00D03D1D"/>
    <w:rsid w:val="00D05092"/>
    <w:rsid w:val="00D0586A"/>
    <w:rsid w:val="00D0621C"/>
    <w:rsid w:val="00D07A9E"/>
    <w:rsid w:val="00D07F56"/>
    <w:rsid w:val="00D07F61"/>
    <w:rsid w:val="00D108C6"/>
    <w:rsid w:val="00D10E82"/>
    <w:rsid w:val="00D111E4"/>
    <w:rsid w:val="00D11384"/>
    <w:rsid w:val="00D11AEB"/>
    <w:rsid w:val="00D11EA9"/>
    <w:rsid w:val="00D12871"/>
    <w:rsid w:val="00D12ED9"/>
    <w:rsid w:val="00D136AC"/>
    <w:rsid w:val="00D136B0"/>
    <w:rsid w:val="00D13D1F"/>
    <w:rsid w:val="00D13DF0"/>
    <w:rsid w:val="00D145C6"/>
    <w:rsid w:val="00D157A6"/>
    <w:rsid w:val="00D15ADD"/>
    <w:rsid w:val="00D1636A"/>
    <w:rsid w:val="00D165A8"/>
    <w:rsid w:val="00D1709C"/>
    <w:rsid w:val="00D17CAF"/>
    <w:rsid w:val="00D17D3A"/>
    <w:rsid w:val="00D203F7"/>
    <w:rsid w:val="00D206D9"/>
    <w:rsid w:val="00D20873"/>
    <w:rsid w:val="00D220ED"/>
    <w:rsid w:val="00D229CE"/>
    <w:rsid w:val="00D22D3C"/>
    <w:rsid w:val="00D232B5"/>
    <w:rsid w:val="00D23532"/>
    <w:rsid w:val="00D23759"/>
    <w:rsid w:val="00D23A31"/>
    <w:rsid w:val="00D23F9C"/>
    <w:rsid w:val="00D24072"/>
    <w:rsid w:val="00D2452B"/>
    <w:rsid w:val="00D245FF"/>
    <w:rsid w:val="00D2571B"/>
    <w:rsid w:val="00D268BD"/>
    <w:rsid w:val="00D26A4B"/>
    <w:rsid w:val="00D26D89"/>
    <w:rsid w:val="00D26F79"/>
    <w:rsid w:val="00D27F13"/>
    <w:rsid w:val="00D30224"/>
    <w:rsid w:val="00D30600"/>
    <w:rsid w:val="00D31DE7"/>
    <w:rsid w:val="00D32379"/>
    <w:rsid w:val="00D326FE"/>
    <w:rsid w:val="00D32E04"/>
    <w:rsid w:val="00D35177"/>
    <w:rsid w:val="00D353A4"/>
    <w:rsid w:val="00D359B7"/>
    <w:rsid w:val="00D35C60"/>
    <w:rsid w:val="00D35E28"/>
    <w:rsid w:val="00D37410"/>
    <w:rsid w:val="00D401B3"/>
    <w:rsid w:val="00D405E9"/>
    <w:rsid w:val="00D40D59"/>
    <w:rsid w:val="00D4107F"/>
    <w:rsid w:val="00D420CE"/>
    <w:rsid w:val="00D4318D"/>
    <w:rsid w:val="00D433A5"/>
    <w:rsid w:val="00D43618"/>
    <w:rsid w:val="00D43894"/>
    <w:rsid w:val="00D43EE7"/>
    <w:rsid w:val="00D4427A"/>
    <w:rsid w:val="00D4448A"/>
    <w:rsid w:val="00D44759"/>
    <w:rsid w:val="00D4489E"/>
    <w:rsid w:val="00D44EC7"/>
    <w:rsid w:val="00D45698"/>
    <w:rsid w:val="00D45E42"/>
    <w:rsid w:val="00D46233"/>
    <w:rsid w:val="00D46A12"/>
    <w:rsid w:val="00D46D9A"/>
    <w:rsid w:val="00D474FE"/>
    <w:rsid w:val="00D4767A"/>
    <w:rsid w:val="00D47C25"/>
    <w:rsid w:val="00D50B9D"/>
    <w:rsid w:val="00D50E56"/>
    <w:rsid w:val="00D510E1"/>
    <w:rsid w:val="00D5153F"/>
    <w:rsid w:val="00D52BD2"/>
    <w:rsid w:val="00D534D9"/>
    <w:rsid w:val="00D5350A"/>
    <w:rsid w:val="00D53C25"/>
    <w:rsid w:val="00D54B9F"/>
    <w:rsid w:val="00D55A0F"/>
    <w:rsid w:val="00D56F74"/>
    <w:rsid w:val="00D57C61"/>
    <w:rsid w:val="00D57E9D"/>
    <w:rsid w:val="00D60016"/>
    <w:rsid w:val="00D6038D"/>
    <w:rsid w:val="00D60425"/>
    <w:rsid w:val="00D61486"/>
    <w:rsid w:val="00D61755"/>
    <w:rsid w:val="00D62270"/>
    <w:rsid w:val="00D6242E"/>
    <w:rsid w:val="00D62533"/>
    <w:rsid w:val="00D628C0"/>
    <w:rsid w:val="00D634AD"/>
    <w:rsid w:val="00D636C4"/>
    <w:rsid w:val="00D64585"/>
    <w:rsid w:val="00D6487B"/>
    <w:rsid w:val="00D64884"/>
    <w:rsid w:val="00D64969"/>
    <w:rsid w:val="00D656BE"/>
    <w:rsid w:val="00D658E7"/>
    <w:rsid w:val="00D65AF5"/>
    <w:rsid w:val="00D65C5D"/>
    <w:rsid w:val="00D65FD9"/>
    <w:rsid w:val="00D662BA"/>
    <w:rsid w:val="00D666AA"/>
    <w:rsid w:val="00D66F4A"/>
    <w:rsid w:val="00D67B7E"/>
    <w:rsid w:val="00D67F37"/>
    <w:rsid w:val="00D70089"/>
    <w:rsid w:val="00D71E0B"/>
    <w:rsid w:val="00D71E3F"/>
    <w:rsid w:val="00D71F94"/>
    <w:rsid w:val="00D72349"/>
    <w:rsid w:val="00D72478"/>
    <w:rsid w:val="00D72D2F"/>
    <w:rsid w:val="00D72E8D"/>
    <w:rsid w:val="00D72FDB"/>
    <w:rsid w:val="00D73584"/>
    <w:rsid w:val="00D7395C"/>
    <w:rsid w:val="00D741EE"/>
    <w:rsid w:val="00D74205"/>
    <w:rsid w:val="00D74551"/>
    <w:rsid w:val="00D745EF"/>
    <w:rsid w:val="00D74780"/>
    <w:rsid w:val="00D749D0"/>
    <w:rsid w:val="00D75070"/>
    <w:rsid w:val="00D7608C"/>
    <w:rsid w:val="00D760A1"/>
    <w:rsid w:val="00D76695"/>
    <w:rsid w:val="00D76FEF"/>
    <w:rsid w:val="00D77F2E"/>
    <w:rsid w:val="00D80130"/>
    <w:rsid w:val="00D804EF"/>
    <w:rsid w:val="00D80539"/>
    <w:rsid w:val="00D80743"/>
    <w:rsid w:val="00D80D7C"/>
    <w:rsid w:val="00D81461"/>
    <w:rsid w:val="00D826A8"/>
    <w:rsid w:val="00D82C26"/>
    <w:rsid w:val="00D8308A"/>
    <w:rsid w:val="00D83690"/>
    <w:rsid w:val="00D838DB"/>
    <w:rsid w:val="00D83B6B"/>
    <w:rsid w:val="00D83F3C"/>
    <w:rsid w:val="00D84964"/>
    <w:rsid w:val="00D85008"/>
    <w:rsid w:val="00D87546"/>
    <w:rsid w:val="00D87696"/>
    <w:rsid w:val="00D8776D"/>
    <w:rsid w:val="00D87E50"/>
    <w:rsid w:val="00D9097D"/>
    <w:rsid w:val="00D90B8D"/>
    <w:rsid w:val="00D9107F"/>
    <w:rsid w:val="00D9148B"/>
    <w:rsid w:val="00D914DB"/>
    <w:rsid w:val="00D9157E"/>
    <w:rsid w:val="00D9192E"/>
    <w:rsid w:val="00D91BB0"/>
    <w:rsid w:val="00D91DB9"/>
    <w:rsid w:val="00D922CF"/>
    <w:rsid w:val="00D924B7"/>
    <w:rsid w:val="00D92EF6"/>
    <w:rsid w:val="00D93196"/>
    <w:rsid w:val="00D938F6"/>
    <w:rsid w:val="00D93993"/>
    <w:rsid w:val="00D943C7"/>
    <w:rsid w:val="00D949A5"/>
    <w:rsid w:val="00D94EB4"/>
    <w:rsid w:val="00D94FF8"/>
    <w:rsid w:val="00D95481"/>
    <w:rsid w:val="00D95C33"/>
    <w:rsid w:val="00D970AF"/>
    <w:rsid w:val="00D971C4"/>
    <w:rsid w:val="00D972BC"/>
    <w:rsid w:val="00D97D99"/>
    <w:rsid w:val="00DA002C"/>
    <w:rsid w:val="00DA0D65"/>
    <w:rsid w:val="00DA0F31"/>
    <w:rsid w:val="00DA1B2F"/>
    <w:rsid w:val="00DA1C02"/>
    <w:rsid w:val="00DA2AD1"/>
    <w:rsid w:val="00DA353E"/>
    <w:rsid w:val="00DA423C"/>
    <w:rsid w:val="00DA42E9"/>
    <w:rsid w:val="00DA455B"/>
    <w:rsid w:val="00DA45E7"/>
    <w:rsid w:val="00DA4E65"/>
    <w:rsid w:val="00DA51E4"/>
    <w:rsid w:val="00DA5931"/>
    <w:rsid w:val="00DA5C24"/>
    <w:rsid w:val="00DA618F"/>
    <w:rsid w:val="00DA6959"/>
    <w:rsid w:val="00DA7826"/>
    <w:rsid w:val="00DB07D3"/>
    <w:rsid w:val="00DB0EC8"/>
    <w:rsid w:val="00DB0FE1"/>
    <w:rsid w:val="00DB1ED5"/>
    <w:rsid w:val="00DB2BA3"/>
    <w:rsid w:val="00DB321A"/>
    <w:rsid w:val="00DB42EF"/>
    <w:rsid w:val="00DB4512"/>
    <w:rsid w:val="00DB46B6"/>
    <w:rsid w:val="00DB472F"/>
    <w:rsid w:val="00DB6062"/>
    <w:rsid w:val="00DB6A7E"/>
    <w:rsid w:val="00DB7033"/>
    <w:rsid w:val="00DB71EB"/>
    <w:rsid w:val="00DB74BA"/>
    <w:rsid w:val="00DB77EA"/>
    <w:rsid w:val="00DC034B"/>
    <w:rsid w:val="00DC03E2"/>
    <w:rsid w:val="00DC1C89"/>
    <w:rsid w:val="00DC2A27"/>
    <w:rsid w:val="00DC2A69"/>
    <w:rsid w:val="00DC2A6A"/>
    <w:rsid w:val="00DC2EB7"/>
    <w:rsid w:val="00DC31D1"/>
    <w:rsid w:val="00DC3C52"/>
    <w:rsid w:val="00DC4037"/>
    <w:rsid w:val="00DC4B5D"/>
    <w:rsid w:val="00DC503B"/>
    <w:rsid w:val="00DC50D8"/>
    <w:rsid w:val="00DC5FC9"/>
    <w:rsid w:val="00DC6400"/>
    <w:rsid w:val="00DC686A"/>
    <w:rsid w:val="00DC6BBB"/>
    <w:rsid w:val="00DC70A2"/>
    <w:rsid w:val="00DC75F3"/>
    <w:rsid w:val="00DC7A2A"/>
    <w:rsid w:val="00DC7B54"/>
    <w:rsid w:val="00DD10B7"/>
    <w:rsid w:val="00DD1264"/>
    <w:rsid w:val="00DD13DD"/>
    <w:rsid w:val="00DD153B"/>
    <w:rsid w:val="00DD1E27"/>
    <w:rsid w:val="00DD20A7"/>
    <w:rsid w:val="00DD3015"/>
    <w:rsid w:val="00DD3583"/>
    <w:rsid w:val="00DD3F78"/>
    <w:rsid w:val="00DD4821"/>
    <w:rsid w:val="00DD4859"/>
    <w:rsid w:val="00DD53D0"/>
    <w:rsid w:val="00DD54E7"/>
    <w:rsid w:val="00DD5F0B"/>
    <w:rsid w:val="00DD6D78"/>
    <w:rsid w:val="00DD75D8"/>
    <w:rsid w:val="00DD7C95"/>
    <w:rsid w:val="00DE02BB"/>
    <w:rsid w:val="00DE02E1"/>
    <w:rsid w:val="00DE06A8"/>
    <w:rsid w:val="00DE0777"/>
    <w:rsid w:val="00DE17B2"/>
    <w:rsid w:val="00DE1963"/>
    <w:rsid w:val="00DE2129"/>
    <w:rsid w:val="00DE23C7"/>
    <w:rsid w:val="00DE27E6"/>
    <w:rsid w:val="00DE2855"/>
    <w:rsid w:val="00DE3066"/>
    <w:rsid w:val="00DE3B1F"/>
    <w:rsid w:val="00DE3CC3"/>
    <w:rsid w:val="00DE5183"/>
    <w:rsid w:val="00DE60A1"/>
    <w:rsid w:val="00DE63CD"/>
    <w:rsid w:val="00DE66F6"/>
    <w:rsid w:val="00DE69E9"/>
    <w:rsid w:val="00DE71F1"/>
    <w:rsid w:val="00DE7436"/>
    <w:rsid w:val="00DE7B8A"/>
    <w:rsid w:val="00DF080A"/>
    <w:rsid w:val="00DF0A7E"/>
    <w:rsid w:val="00DF11DA"/>
    <w:rsid w:val="00DF1498"/>
    <w:rsid w:val="00DF19AD"/>
    <w:rsid w:val="00DF1BDF"/>
    <w:rsid w:val="00DF25B4"/>
    <w:rsid w:val="00DF289E"/>
    <w:rsid w:val="00DF2C58"/>
    <w:rsid w:val="00DF303B"/>
    <w:rsid w:val="00DF41CB"/>
    <w:rsid w:val="00DF44A0"/>
    <w:rsid w:val="00DF4672"/>
    <w:rsid w:val="00DF59FC"/>
    <w:rsid w:val="00DF654E"/>
    <w:rsid w:val="00DF6E0B"/>
    <w:rsid w:val="00DF7B76"/>
    <w:rsid w:val="00E00A2C"/>
    <w:rsid w:val="00E00A7F"/>
    <w:rsid w:val="00E01AA0"/>
    <w:rsid w:val="00E01C93"/>
    <w:rsid w:val="00E01CE3"/>
    <w:rsid w:val="00E02589"/>
    <w:rsid w:val="00E0265D"/>
    <w:rsid w:val="00E026C9"/>
    <w:rsid w:val="00E0270D"/>
    <w:rsid w:val="00E02C23"/>
    <w:rsid w:val="00E03392"/>
    <w:rsid w:val="00E03912"/>
    <w:rsid w:val="00E03A52"/>
    <w:rsid w:val="00E03F00"/>
    <w:rsid w:val="00E04040"/>
    <w:rsid w:val="00E057C9"/>
    <w:rsid w:val="00E0708E"/>
    <w:rsid w:val="00E0735F"/>
    <w:rsid w:val="00E0737E"/>
    <w:rsid w:val="00E10557"/>
    <w:rsid w:val="00E10EC5"/>
    <w:rsid w:val="00E11BF8"/>
    <w:rsid w:val="00E11F20"/>
    <w:rsid w:val="00E122DD"/>
    <w:rsid w:val="00E12541"/>
    <w:rsid w:val="00E12E12"/>
    <w:rsid w:val="00E134B7"/>
    <w:rsid w:val="00E139E9"/>
    <w:rsid w:val="00E13EA0"/>
    <w:rsid w:val="00E13F9A"/>
    <w:rsid w:val="00E14574"/>
    <w:rsid w:val="00E14861"/>
    <w:rsid w:val="00E14D62"/>
    <w:rsid w:val="00E14DC4"/>
    <w:rsid w:val="00E15C45"/>
    <w:rsid w:val="00E1622B"/>
    <w:rsid w:val="00E16433"/>
    <w:rsid w:val="00E16B27"/>
    <w:rsid w:val="00E16D5F"/>
    <w:rsid w:val="00E173C5"/>
    <w:rsid w:val="00E173F7"/>
    <w:rsid w:val="00E20756"/>
    <w:rsid w:val="00E20F42"/>
    <w:rsid w:val="00E21111"/>
    <w:rsid w:val="00E213A0"/>
    <w:rsid w:val="00E21FEE"/>
    <w:rsid w:val="00E2229F"/>
    <w:rsid w:val="00E22B46"/>
    <w:rsid w:val="00E22D99"/>
    <w:rsid w:val="00E2376D"/>
    <w:rsid w:val="00E239AF"/>
    <w:rsid w:val="00E23F52"/>
    <w:rsid w:val="00E245DA"/>
    <w:rsid w:val="00E25779"/>
    <w:rsid w:val="00E25D8F"/>
    <w:rsid w:val="00E268E9"/>
    <w:rsid w:val="00E26D9E"/>
    <w:rsid w:val="00E30222"/>
    <w:rsid w:val="00E312C4"/>
    <w:rsid w:val="00E3149C"/>
    <w:rsid w:val="00E3156C"/>
    <w:rsid w:val="00E3171E"/>
    <w:rsid w:val="00E31D45"/>
    <w:rsid w:val="00E32429"/>
    <w:rsid w:val="00E32D1D"/>
    <w:rsid w:val="00E32E75"/>
    <w:rsid w:val="00E33129"/>
    <w:rsid w:val="00E331E4"/>
    <w:rsid w:val="00E332CE"/>
    <w:rsid w:val="00E338AE"/>
    <w:rsid w:val="00E34776"/>
    <w:rsid w:val="00E34D0E"/>
    <w:rsid w:val="00E34F1D"/>
    <w:rsid w:val="00E3527B"/>
    <w:rsid w:val="00E354F4"/>
    <w:rsid w:val="00E35FB0"/>
    <w:rsid w:val="00E36743"/>
    <w:rsid w:val="00E371E6"/>
    <w:rsid w:val="00E373CA"/>
    <w:rsid w:val="00E3790A"/>
    <w:rsid w:val="00E37B62"/>
    <w:rsid w:val="00E37C6A"/>
    <w:rsid w:val="00E37E98"/>
    <w:rsid w:val="00E37F79"/>
    <w:rsid w:val="00E412EC"/>
    <w:rsid w:val="00E415F8"/>
    <w:rsid w:val="00E416D6"/>
    <w:rsid w:val="00E418CC"/>
    <w:rsid w:val="00E4194C"/>
    <w:rsid w:val="00E41FD6"/>
    <w:rsid w:val="00E42380"/>
    <w:rsid w:val="00E426C4"/>
    <w:rsid w:val="00E4393C"/>
    <w:rsid w:val="00E43954"/>
    <w:rsid w:val="00E4418B"/>
    <w:rsid w:val="00E44B2F"/>
    <w:rsid w:val="00E44C9D"/>
    <w:rsid w:val="00E44CBB"/>
    <w:rsid w:val="00E44DF6"/>
    <w:rsid w:val="00E454BE"/>
    <w:rsid w:val="00E458DE"/>
    <w:rsid w:val="00E45F35"/>
    <w:rsid w:val="00E46376"/>
    <w:rsid w:val="00E46EB8"/>
    <w:rsid w:val="00E47225"/>
    <w:rsid w:val="00E474E7"/>
    <w:rsid w:val="00E47AAD"/>
    <w:rsid w:val="00E47E43"/>
    <w:rsid w:val="00E50165"/>
    <w:rsid w:val="00E50AC2"/>
    <w:rsid w:val="00E50FEB"/>
    <w:rsid w:val="00E51C26"/>
    <w:rsid w:val="00E5278D"/>
    <w:rsid w:val="00E52923"/>
    <w:rsid w:val="00E538B1"/>
    <w:rsid w:val="00E54526"/>
    <w:rsid w:val="00E549EE"/>
    <w:rsid w:val="00E54BD0"/>
    <w:rsid w:val="00E54CBF"/>
    <w:rsid w:val="00E557A2"/>
    <w:rsid w:val="00E558CE"/>
    <w:rsid w:val="00E569DA"/>
    <w:rsid w:val="00E574CF"/>
    <w:rsid w:val="00E575BA"/>
    <w:rsid w:val="00E576BF"/>
    <w:rsid w:val="00E579FB"/>
    <w:rsid w:val="00E57F67"/>
    <w:rsid w:val="00E60405"/>
    <w:rsid w:val="00E61236"/>
    <w:rsid w:val="00E6187E"/>
    <w:rsid w:val="00E625DF"/>
    <w:rsid w:val="00E62A0F"/>
    <w:rsid w:val="00E62B91"/>
    <w:rsid w:val="00E62B99"/>
    <w:rsid w:val="00E62C49"/>
    <w:rsid w:val="00E63B28"/>
    <w:rsid w:val="00E63E31"/>
    <w:rsid w:val="00E6476A"/>
    <w:rsid w:val="00E64F82"/>
    <w:rsid w:val="00E651AE"/>
    <w:rsid w:val="00E65663"/>
    <w:rsid w:val="00E65673"/>
    <w:rsid w:val="00E659AD"/>
    <w:rsid w:val="00E66014"/>
    <w:rsid w:val="00E67193"/>
    <w:rsid w:val="00E673E6"/>
    <w:rsid w:val="00E70364"/>
    <w:rsid w:val="00E7082D"/>
    <w:rsid w:val="00E71E12"/>
    <w:rsid w:val="00E71E1B"/>
    <w:rsid w:val="00E71E6D"/>
    <w:rsid w:val="00E728BD"/>
    <w:rsid w:val="00E728EE"/>
    <w:rsid w:val="00E72C23"/>
    <w:rsid w:val="00E72CF5"/>
    <w:rsid w:val="00E72E6A"/>
    <w:rsid w:val="00E72EAA"/>
    <w:rsid w:val="00E72EC5"/>
    <w:rsid w:val="00E73119"/>
    <w:rsid w:val="00E73C10"/>
    <w:rsid w:val="00E73E8F"/>
    <w:rsid w:val="00E74FAB"/>
    <w:rsid w:val="00E75C55"/>
    <w:rsid w:val="00E7651C"/>
    <w:rsid w:val="00E76DC8"/>
    <w:rsid w:val="00E77732"/>
    <w:rsid w:val="00E802CA"/>
    <w:rsid w:val="00E8070C"/>
    <w:rsid w:val="00E80B8C"/>
    <w:rsid w:val="00E80DD9"/>
    <w:rsid w:val="00E811C6"/>
    <w:rsid w:val="00E816ED"/>
    <w:rsid w:val="00E81BA4"/>
    <w:rsid w:val="00E820E4"/>
    <w:rsid w:val="00E82688"/>
    <w:rsid w:val="00E8290D"/>
    <w:rsid w:val="00E82F5A"/>
    <w:rsid w:val="00E830F5"/>
    <w:rsid w:val="00E830F7"/>
    <w:rsid w:val="00E83B6E"/>
    <w:rsid w:val="00E83ED2"/>
    <w:rsid w:val="00E84C88"/>
    <w:rsid w:val="00E84D97"/>
    <w:rsid w:val="00E85731"/>
    <w:rsid w:val="00E85AE5"/>
    <w:rsid w:val="00E863D3"/>
    <w:rsid w:val="00E8664C"/>
    <w:rsid w:val="00E8684D"/>
    <w:rsid w:val="00E87471"/>
    <w:rsid w:val="00E87B0D"/>
    <w:rsid w:val="00E90F56"/>
    <w:rsid w:val="00E9205C"/>
    <w:rsid w:val="00E920BB"/>
    <w:rsid w:val="00E926F1"/>
    <w:rsid w:val="00E92787"/>
    <w:rsid w:val="00E929EF"/>
    <w:rsid w:val="00E94127"/>
    <w:rsid w:val="00E944DA"/>
    <w:rsid w:val="00E94B81"/>
    <w:rsid w:val="00E963B9"/>
    <w:rsid w:val="00E964EB"/>
    <w:rsid w:val="00E96539"/>
    <w:rsid w:val="00E9713B"/>
    <w:rsid w:val="00E9767C"/>
    <w:rsid w:val="00E97CBE"/>
    <w:rsid w:val="00EA0804"/>
    <w:rsid w:val="00EA120B"/>
    <w:rsid w:val="00EA13B1"/>
    <w:rsid w:val="00EA1E99"/>
    <w:rsid w:val="00EA2534"/>
    <w:rsid w:val="00EA29BD"/>
    <w:rsid w:val="00EA2D4E"/>
    <w:rsid w:val="00EA2D6D"/>
    <w:rsid w:val="00EA3630"/>
    <w:rsid w:val="00EA4AF5"/>
    <w:rsid w:val="00EA5BD4"/>
    <w:rsid w:val="00EA60DB"/>
    <w:rsid w:val="00EA6B04"/>
    <w:rsid w:val="00EA71F5"/>
    <w:rsid w:val="00EA779D"/>
    <w:rsid w:val="00EA782F"/>
    <w:rsid w:val="00EB0722"/>
    <w:rsid w:val="00EB07BA"/>
    <w:rsid w:val="00EB07EC"/>
    <w:rsid w:val="00EB0B12"/>
    <w:rsid w:val="00EB0EB1"/>
    <w:rsid w:val="00EB0F46"/>
    <w:rsid w:val="00EB1C02"/>
    <w:rsid w:val="00EB1DD8"/>
    <w:rsid w:val="00EB3413"/>
    <w:rsid w:val="00EB34A9"/>
    <w:rsid w:val="00EB3C62"/>
    <w:rsid w:val="00EB3D80"/>
    <w:rsid w:val="00EB4127"/>
    <w:rsid w:val="00EB476D"/>
    <w:rsid w:val="00EB48D6"/>
    <w:rsid w:val="00EB4BCD"/>
    <w:rsid w:val="00EB5190"/>
    <w:rsid w:val="00EB51EF"/>
    <w:rsid w:val="00EB526A"/>
    <w:rsid w:val="00EB52BF"/>
    <w:rsid w:val="00EB63C8"/>
    <w:rsid w:val="00EB64B7"/>
    <w:rsid w:val="00EB6A55"/>
    <w:rsid w:val="00EB6D46"/>
    <w:rsid w:val="00EB6D85"/>
    <w:rsid w:val="00EB7ACE"/>
    <w:rsid w:val="00EB7EC8"/>
    <w:rsid w:val="00EC16AC"/>
    <w:rsid w:val="00EC1B47"/>
    <w:rsid w:val="00EC233F"/>
    <w:rsid w:val="00EC26F2"/>
    <w:rsid w:val="00EC28D8"/>
    <w:rsid w:val="00EC2BCE"/>
    <w:rsid w:val="00EC2DF2"/>
    <w:rsid w:val="00EC2F0B"/>
    <w:rsid w:val="00EC3391"/>
    <w:rsid w:val="00EC3893"/>
    <w:rsid w:val="00EC38FB"/>
    <w:rsid w:val="00EC39EA"/>
    <w:rsid w:val="00EC3AA0"/>
    <w:rsid w:val="00EC4580"/>
    <w:rsid w:val="00EC4773"/>
    <w:rsid w:val="00EC6361"/>
    <w:rsid w:val="00EC7E34"/>
    <w:rsid w:val="00ED02DA"/>
    <w:rsid w:val="00ED15D5"/>
    <w:rsid w:val="00ED16C7"/>
    <w:rsid w:val="00ED2079"/>
    <w:rsid w:val="00ED239D"/>
    <w:rsid w:val="00ED250C"/>
    <w:rsid w:val="00ED2ACB"/>
    <w:rsid w:val="00ED2D7E"/>
    <w:rsid w:val="00ED32CD"/>
    <w:rsid w:val="00ED3589"/>
    <w:rsid w:val="00ED37FC"/>
    <w:rsid w:val="00ED3968"/>
    <w:rsid w:val="00ED3A13"/>
    <w:rsid w:val="00ED4951"/>
    <w:rsid w:val="00ED4D5F"/>
    <w:rsid w:val="00ED5768"/>
    <w:rsid w:val="00ED6306"/>
    <w:rsid w:val="00EE0262"/>
    <w:rsid w:val="00EE0D69"/>
    <w:rsid w:val="00EE138F"/>
    <w:rsid w:val="00EE13C3"/>
    <w:rsid w:val="00EE274D"/>
    <w:rsid w:val="00EE2B45"/>
    <w:rsid w:val="00EE33A0"/>
    <w:rsid w:val="00EE3569"/>
    <w:rsid w:val="00EE3ADB"/>
    <w:rsid w:val="00EE3FFC"/>
    <w:rsid w:val="00EE4E77"/>
    <w:rsid w:val="00EE50B2"/>
    <w:rsid w:val="00EE5B80"/>
    <w:rsid w:val="00EE6046"/>
    <w:rsid w:val="00EE6084"/>
    <w:rsid w:val="00EE6EF0"/>
    <w:rsid w:val="00EE7090"/>
    <w:rsid w:val="00EE764D"/>
    <w:rsid w:val="00EE77E3"/>
    <w:rsid w:val="00EE78F6"/>
    <w:rsid w:val="00EE7E80"/>
    <w:rsid w:val="00EF0E2A"/>
    <w:rsid w:val="00EF146D"/>
    <w:rsid w:val="00EF172F"/>
    <w:rsid w:val="00EF18AB"/>
    <w:rsid w:val="00EF2097"/>
    <w:rsid w:val="00EF311D"/>
    <w:rsid w:val="00EF353E"/>
    <w:rsid w:val="00EF3861"/>
    <w:rsid w:val="00EF3BCF"/>
    <w:rsid w:val="00EF44DC"/>
    <w:rsid w:val="00EF57E6"/>
    <w:rsid w:val="00EF6147"/>
    <w:rsid w:val="00EF621E"/>
    <w:rsid w:val="00EF64E5"/>
    <w:rsid w:val="00EF66EF"/>
    <w:rsid w:val="00EF6C2D"/>
    <w:rsid w:val="00EF6FE2"/>
    <w:rsid w:val="00EF7067"/>
    <w:rsid w:val="00EF70D8"/>
    <w:rsid w:val="00F00003"/>
    <w:rsid w:val="00F01EE0"/>
    <w:rsid w:val="00F03047"/>
    <w:rsid w:val="00F036F0"/>
    <w:rsid w:val="00F038D4"/>
    <w:rsid w:val="00F03C15"/>
    <w:rsid w:val="00F04AB0"/>
    <w:rsid w:val="00F0582B"/>
    <w:rsid w:val="00F05B24"/>
    <w:rsid w:val="00F05BCC"/>
    <w:rsid w:val="00F0613E"/>
    <w:rsid w:val="00F06226"/>
    <w:rsid w:val="00F06CFB"/>
    <w:rsid w:val="00F071D2"/>
    <w:rsid w:val="00F071E4"/>
    <w:rsid w:val="00F07A42"/>
    <w:rsid w:val="00F108FC"/>
    <w:rsid w:val="00F119D1"/>
    <w:rsid w:val="00F11C9D"/>
    <w:rsid w:val="00F1255B"/>
    <w:rsid w:val="00F12C35"/>
    <w:rsid w:val="00F134FF"/>
    <w:rsid w:val="00F139E1"/>
    <w:rsid w:val="00F13F52"/>
    <w:rsid w:val="00F14A3F"/>
    <w:rsid w:val="00F15BA0"/>
    <w:rsid w:val="00F15E29"/>
    <w:rsid w:val="00F15FD9"/>
    <w:rsid w:val="00F17227"/>
    <w:rsid w:val="00F1738E"/>
    <w:rsid w:val="00F17584"/>
    <w:rsid w:val="00F17AFD"/>
    <w:rsid w:val="00F17DEF"/>
    <w:rsid w:val="00F20394"/>
    <w:rsid w:val="00F20C4A"/>
    <w:rsid w:val="00F21E27"/>
    <w:rsid w:val="00F22E43"/>
    <w:rsid w:val="00F23C04"/>
    <w:rsid w:val="00F23FE4"/>
    <w:rsid w:val="00F24165"/>
    <w:rsid w:val="00F24894"/>
    <w:rsid w:val="00F24DFA"/>
    <w:rsid w:val="00F24E84"/>
    <w:rsid w:val="00F24F7D"/>
    <w:rsid w:val="00F25471"/>
    <w:rsid w:val="00F25BAA"/>
    <w:rsid w:val="00F25D28"/>
    <w:rsid w:val="00F2606D"/>
    <w:rsid w:val="00F26076"/>
    <w:rsid w:val="00F26624"/>
    <w:rsid w:val="00F26E3A"/>
    <w:rsid w:val="00F30375"/>
    <w:rsid w:val="00F305A6"/>
    <w:rsid w:val="00F307EF"/>
    <w:rsid w:val="00F309BA"/>
    <w:rsid w:val="00F30B4E"/>
    <w:rsid w:val="00F30D3B"/>
    <w:rsid w:val="00F30E9C"/>
    <w:rsid w:val="00F31657"/>
    <w:rsid w:val="00F31DCC"/>
    <w:rsid w:val="00F32114"/>
    <w:rsid w:val="00F32CDE"/>
    <w:rsid w:val="00F3324E"/>
    <w:rsid w:val="00F337B8"/>
    <w:rsid w:val="00F33826"/>
    <w:rsid w:val="00F338AD"/>
    <w:rsid w:val="00F338F4"/>
    <w:rsid w:val="00F33BB7"/>
    <w:rsid w:val="00F34BAC"/>
    <w:rsid w:val="00F34BE3"/>
    <w:rsid w:val="00F35132"/>
    <w:rsid w:val="00F3580B"/>
    <w:rsid w:val="00F3587C"/>
    <w:rsid w:val="00F35B05"/>
    <w:rsid w:val="00F36389"/>
    <w:rsid w:val="00F365CF"/>
    <w:rsid w:val="00F3699F"/>
    <w:rsid w:val="00F37027"/>
    <w:rsid w:val="00F37FEE"/>
    <w:rsid w:val="00F402C4"/>
    <w:rsid w:val="00F40A13"/>
    <w:rsid w:val="00F40AB1"/>
    <w:rsid w:val="00F40C43"/>
    <w:rsid w:val="00F41178"/>
    <w:rsid w:val="00F41399"/>
    <w:rsid w:val="00F41F2B"/>
    <w:rsid w:val="00F4322C"/>
    <w:rsid w:val="00F43496"/>
    <w:rsid w:val="00F437E0"/>
    <w:rsid w:val="00F43B0A"/>
    <w:rsid w:val="00F43EF8"/>
    <w:rsid w:val="00F43F47"/>
    <w:rsid w:val="00F43F6E"/>
    <w:rsid w:val="00F45B6B"/>
    <w:rsid w:val="00F462FA"/>
    <w:rsid w:val="00F46DA5"/>
    <w:rsid w:val="00F472C9"/>
    <w:rsid w:val="00F47F75"/>
    <w:rsid w:val="00F508FA"/>
    <w:rsid w:val="00F50DD3"/>
    <w:rsid w:val="00F51023"/>
    <w:rsid w:val="00F511D2"/>
    <w:rsid w:val="00F52449"/>
    <w:rsid w:val="00F525FB"/>
    <w:rsid w:val="00F52F1B"/>
    <w:rsid w:val="00F530FB"/>
    <w:rsid w:val="00F53142"/>
    <w:rsid w:val="00F53AEA"/>
    <w:rsid w:val="00F53EAA"/>
    <w:rsid w:val="00F54DFB"/>
    <w:rsid w:val="00F55422"/>
    <w:rsid w:val="00F55423"/>
    <w:rsid w:val="00F5575D"/>
    <w:rsid w:val="00F55FB5"/>
    <w:rsid w:val="00F56141"/>
    <w:rsid w:val="00F56287"/>
    <w:rsid w:val="00F5634F"/>
    <w:rsid w:val="00F5657D"/>
    <w:rsid w:val="00F566ED"/>
    <w:rsid w:val="00F56931"/>
    <w:rsid w:val="00F56999"/>
    <w:rsid w:val="00F56C77"/>
    <w:rsid w:val="00F56EE2"/>
    <w:rsid w:val="00F56F12"/>
    <w:rsid w:val="00F578C5"/>
    <w:rsid w:val="00F57E0F"/>
    <w:rsid w:val="00F6075D"/>
    <w:rsid w:val="00F60C0B"/>
    <w:rsid w:val="00F60D96"/>
    <w:rsid w:val="00F62A3F"/>
    <w:rsid w:val="00F6353C"/>
    <w:rsid w:val="00F638A5"/>
    <w:rsid w:val="00F63B9D"/>
    <w:rsid w:val="00F64205"/>
    <w:rsid w:val="00F644A7"/>
    <w:rsid w:val="00F64875"/>
    <w:rsid w:val="00F64BE5"/>
    <w:rsid w:val="00F64C34"/>
    <w:rsid w:val="00F64F47"/>
    <w:rsid w:val="00F65023"/>
    <w:rsid w:val="00F6638C"/>
    <w:rsid w:val="00F6659E"/>
    <w:rsid w:val="00F66C44"/>
    <w:rsid w:val="00F66CC1"/>
    <w:rsid w:val="00F676C3"/>
    <w:rsid w:val="00F67A36"/>
    <w:rsid w:val="00F67BF4"/>
    <w:rsid w:val="00F67C6F"/>
    <w:rsid w:val="00F70A7A"/>
    <w:rsid w:val="00F70BFA"/>
    <w:rsid w:val="00F70E95"/>
    <w:rsid w:val="00F71891"/>
    <w:rsid w:val="00F71E62"/>
    <w:rsid w:val="00F7216D"/>
    <w:rsid w:val="00F7234B"/>
    <w:rsid w:val="00F7292A"/>
    <w:rsid w:val="00F731F9"/>
    <w:rsid w:val="00F73A76"/>
    <w:rsid w:val="00F74248"/>
    <w:rsid w:val="00F74947"/>
    <w:rsid w:val="00F759FE"/>
    <w:rsid w:val="00F75A91"/>
    <w:rsid w:val="00F75CD7"/>
    <w:rsid w:val="00F7660F"/>
    <w:rsid w:val="00F76BBE"/>
    <w:rsid w:val="00F76BC3"/>
    <w:rsid w:val="00F77D03"/>
    <w:rsid w:val="00F802E9"/>
    <w:rsid w:val="00F816B1"/>
    <w:rsid w:val="00F81BCC"/>
    <w:rsid w:val="00F81E0B"/>
    <w:rsid w:val="00F821DE"/>
    <w:rsid w:val="00F82885"/>
    <w:rsid w:val="00F82C9A"/>
    <w:rsid w:val="00F82E5C"/>
    <w:rsid w:val="00F83B44"/>
    <w:rsid w:val="00F841A7"/>
    <w:rsid w:val="00F84B4E"/>
    <w:rsid w:val="00F84C08"/>
    <w:rsid w:val="00F85031"/>
    <w:rsid w:val="00F8577E"/>
    <w:rsid w:val="00F863CD"/>
    <w:rsid w:val="00F86496"/>
    <w:rsid w:val="00F864FD"/>
    <w:rsid w:val="00F8739B"/>
    <w:rsid w:val="00F875F6"/>
    <w:rsid w:val="00F90085"/>
    <w:rsid w:val="00F901A8"/>
    <w:rsid w:val="00F90275"/>
    <w:rsid w:val="00F90AF1"/>
    <w:rsid w:val="00F90E6E"/>
    <w:rsid w:val="00F91104"/>
    <w:rsid w:val="00F91AAB"/>
    <w:rsid w:val="00F91BCB"/>
    <w:rsid w:val="00F91DAE"/>
    <w:rsid w:val="00F91DB3"/>
    <w:rsid w:val="00F927FD"/>
    <w:rsid w:val="00F93040"/>
    <w:rsid w:val="00F930A1"/>
    <w:rsid w:val="00F930FD"/>
    <w:rsid w:val="00F93B09"/>
    <w:rsid w:val="00F94535"/>
    <w:rsid w:val="00F95013"/>
    <w:rsid w:val="00F9553C"/>
    <w:rsid w:val="00F955AA"/>
    <w:rsid w:val="00F956D1"/>
    <w:rsid w:val="00F96108"/>
    <w:rsid w:val="00F96246"/>
    <w:rsid w:val="00F96545"/>
    <w:rsid w:val="00F9687B"/>
    <w:rsid w:val="00F96A81"/>
    <w:rsid w:val="00F96E40"/>
    <w:rsid w:val="00F975F8"/>
    <w:rsid w:val="00F979BF"/>
    <w:rsid w:val="00F97E3D"/>
    <w:rsid w:val="00F97E61"/>
    <w:rsid w:val="00FA016D"/>
    <w:rsid w:val="00FA0713"/>
    <w:rsid w:val="00FA0815"/>
    <w:rsid w:val="00FA215C"/>
    <w:rsid w:val="00FA258A"/>
    <w:rsid w:val="00FA2B52"/>
    <w:rsid w:val="00FA2BBA"/>
    <w:rsid w:val="00FA2DB2"/>
    <w:rsid w:val="00FA3193"/>
    <w:rsid w:val="00FA495B"/>
    <w:rsid w:val="00FA52F4"/>
    <w:rsid w:val="00FA5322"/>
    <w:rsid w:val="00FA54E5"/>
    <w:rsid w:val="00FA559C"/>
    <w:rsid w:val="00FA5C46"/>
    <w:rsid w:val="00FA5E53"/>
    <w:rsid w:val="00FA62A0"/>
    <w:rsid w:val="00FA6755"/>
    <w:rsid w:val="00FA705F"/>
    <w:rsid w:val="00FA70A1"/>
    <w:rsid w:val="00FA77C7"/>
    <w:rsid w:val="00FB0186"/>
    <w:rsid w:val="00FB0A90"/>
    <w:rsid w:val="00FB0AE3"/>
    <w:rsid w:val="00FB0B9B"/>
    <w:rsid w:val="00FB103D"/>
    <w:rsid w:val="00FB104C"/>
    <w:rsid w:val="00FB132A"/>
    <w:rsid w:val="00FB1631"/>
    <w:rsid w:val="00FB24FE"/>
    <w:rsid w:val="00FB27DD"/>
    <w:rsid w:val="00FB3012"/>
    <w:rsid w:val="00FB302C"/>
    <w:rsid w:val="00FB312A"/>
    <w:rsid w:val="00FB3D9A"/>
    <w:rsid w:val="00FB3FAF"/>
    <w:rsid w:val="00FB483C"/>
    <w:rsid w:val="00FB57D6"/>
    <w:rsid w:val="00FB5A82"/>
    <w:rsid w:val="00FB5BD4"/>
    <w:rsid w:val="00FB6652"/>
    <w:rsid w:val="00FB6CEB"/>
    <w:rsid w:val="00FB7578"/>
    <w:rsid w:val="00FB7C22"/>
    <w:rsid w:val="00FB7CBF"/>
    <w:rsid w:val="00FC05D4"/>
    <w:rsid w:val="00FC108F"/>
    <w:rsid w:val="00FC140B"/>
    <w:rsid w:val="00FC14AD"/>
    <w:rsid w:val="00FC1807"/>
    <w:rsid w:val="00FC1F3A"/>
    <w:rsid w:val="00FC20C0"/>
    <w:rsid w:val="00FC21BE"/>
    <w:rsid w:val="00FC2636"/>
    <w:rsid w:val="00FC3225"/>
    <w:rsid w:val="00FC3CA9"/>
    <w:rsid w:val="00FC3DC7"/>
    <w:rsid w:val="00FC4AA4"/>
    <w:rsid w:val="00FC55F4"/>
    <w:rsid w:val="00FC60B8"/>
    <w:rsid w:val="00FC6422"/>
    <w:rsid w:val="00FC679B"/>
    <w:rsid w:val="00FC709A"/>
    <w:rsid w:val="00FC767A"/>
    <w:rsid w:val="00FC7C60"/>
    <w:rsid w:val="00FD0221"/>
    <w:rsid w:val="00FD07E2"/>
    <w:rsid w:val="00FD0E90"/>
    <w:rsid w:val="00FD132F"/>
    <w:rsid w:val="00FD14CE"/>
    <w:rsid w:val="00FD1CDD"/>
    <w:rsid w:val="00FD2720"/>
    <w:rsid w:val="00FD2D48"/>
    <w:rsid w:val="00FD4EE0"/>
    <w:rsid w:val="00FD546B"/>
    <w:rsid w:val="00FD5A6B"/>
    <w:rsid w:val="00FD5AFF"/>
    <w:rsid w:val="00FD6097"/>
    <w:rsid w:val="00FD628B"/>
    <w:rsid w:val="00FD68DD"/>
    <w:rsid w:val="00FD69D3"/>
    <w:rsid w:val="00FD6A27"/>
    <w:rsid w:val="00FE01A8"/>
    <w:rsid w:val="00FE0221"/>
    <w:rsid w:val="00FE0591"/>
    <w:rsid w:val="00FE10A0"/>
    <w:rsid w:val="00FE15D8"/>
    <w:rsid w:val="00FE2490"/>
    <w:rsid w:val="00FE2EE8"/>
    <w:rsid w:val="00FE34D6"/>
    <w:rsid w:val="00FE44AC"/>
    <w:rsid w:val="00FE4581"/>
    <w:rsid w:val="00FE4B7D"/>
    <w:rsid w:val="00FE5357"/>
    <w:rsid w:val="00FE54CE"/>
    <w:rsid w:val="00FE54F7"/>
    <w:rsid w:val="00FE5950"/>
    <w:rsid w:val="00FE6645"/>
    <w:rsid w:val="00FE7423"/>
    <w:rsid w:val="00FE783F"/>
    <w:rsid w:val="00FF0236"/>
    <w:rsid w:val="00FF0668"/>
    <w:rsid w:val="00FF19CE"/>
    <w:rsid w:val="00FF1D7C"/>
    <w:rsid w:val="00FF27E1"/>
    <w:rsid w:val="00FF2AA5"/>
    <w:rsid w:val="00FF2E9C"/>
    <w:rsid w:val="00FF33C0"/>
    <w:rsid w:val="00FF3AAD"/>
    <w:rsid w:val="00FF3D65"/>
    <w:rsid w:val="00FF44FC"/>
    <w:rsid w:val="00FF523A"/>
    <w:rsid w:val="00FF563A"/>
    <w:rsid w:val="00FF56DC"/>
    <w:rsid w:val="00FF6204"/>
    <w:rsid w:val="00FF78F9"/>
    <w:rsid w:val="00FF7AB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D4E3A5"/>
  <w15:chartTrackingRefBased/>
  <w15:docId w15:val="{01BB4766-625E-4B34-86CA-2509ED548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7A9E"/>
  </w:style>
  <w:style w:type="paragraph" w:styleId="Ttulo1">
    <w:name w:val="heading 1"/>
    <w:basedOn w:val="Normal"/>
    <w:next w:val="Normal"/>
    <w:link w:val="Ttulo1Car"/>
    <w:qFormat/>
    <w:rsid w:val="007E5453"/>
    <w:pPr>
      <w:keepNext/>
      <w:keepLines/>
      <w:numPr>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jc w:val="both"/>
      <w:outlineLvl w:val="0"/>
    </w:pPr>
    <w:rPr>
      <w:rFonts w:ascii="Book Antiqua" w:eastAsiaTheme="majorEastAsia" w:hAnsi="Book Antiqua" w:cstheme="majorBidi"/>
      <w:b/>
      <w:color w:val="FFFFFF" w:themeColor="background1"/>
      <w:sz w:val="24"/>
      <w:szCs w:val="32"/>
    </w:rPr>
  </w:style>
  <w:style w:type="paragraph" w:styleId="Ttulo2">
    <w:name w:val="heading 2"/>
    <w:basedOn w:val="Normal"/>
    <w:next w:val="Normal"/>
    <w:link w:val="Ttulo2Car"/>
    <w:autoRedefine/>
    <w:unhideWhenUsed/>
    <w:qFormat/>
    <w:rsid w:val="006A4BA6"/>
    <w:pPr>
      <w:keepNext/>
      <w:keepLines/>
      <w:numPr>
        <w:ilvl w:val="2"/>
        <w:numId w:val="1"/>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jc w:val="both"/>
      <w:outlineLvl w:val="1"/>
    </w:pPr>
    <w:rPr>
      <w:rFonts w:ascii="Book Antiqua" w:eastAsiaTheme="majorEastAsia" w:hAnsi="Book Antiqua" w:cstheme="majorBidi"/>
      <w:b/>
      <w:color w:val="1F3864" w:themeColor="accent1" w:themeShade="80"/>
      <w:sz w:val="24"/>
      <w:lang w:val="es-ES"/>
    </w:rPr>
  </w:style>
  <w:style w:type="paragraph" w:styleId="Ttulo3">
    <w:name w:val="heading 3"/>
    <w:basedOn w:val="Normal"/>
    <w:next w:val="Normal"/>
    <w:link w:val="Ttulo3Car"/>
    <w:autoRedefine/>
    <w:unhideWhenUsed/>
    <w:qFormat/>
    <w:rsid w:val="00292FFD"/>
    <w:pPr>
      <w:keepNext/>
      <w:widowControl w:val="0"/>
      <w:spacing w:before="240" w:after="240" w:line="240" w:lineRule="auto"/>
      <w:jc w:val="both"/>
      <w:outlineLvl w:val="2"/>
    </w:pPr>
    <w:rPr>
      <w:rFonts w:ascii="Book Antiqua" w:eastAsia="Times New Roman" w:hAnsi="Book Antiqua" w:cs="Times New Roman"/>
      <w:b/>
      <w:color w:val="1F3864" w:themeColor="accent1" w:themeShade="80"/>
      <w:sz w:val="24"/>
      <w:szCs w:val="20"/>
      <w:lang w:val="es-MX" w:eastAsia="es-ES"/>
    </w:rPr>
  </w:style>
  <w:style w:type="paragraph" w:styleId="Ttulo4">
    <w:name w:val="heading 4"/>
    <w:basedOn w:val="Normal"/>
    <w:next w:val="Normal"/>
    <w:link w:val="Ttulo4Car"/>
    <w:autoRedefine/>
    <w:unhideWhenUsed/>
    <w:qFormat/>
    <w:rsid w:val="000012B5"/>
    <w:pPr>
      <w:keepNext/>
      <w:widowControl w:val="0"/>
      <w:tabs>
        <w:tab w:val="left" w:pos="993"/>
      </w:tabs>
      <w:spacing w:before="120" w:after="0" w:line="276" w:lineRule="auto"/>
      <w:jc w:val="both"/>
      <w:outlineLvl w:val="3"/>
    </w:pPr>
    <w:rPr>
      <w:rFonts w:ascii="Book Antiqua" w:eastAsiaTheme="majorEastAsia" w:hAnsi="Book Antiqua" w:cs="Times New Roman"/>
      <w:b/>
      <w:bCs/>
      <w:snapToGrid w:val="0"/>
      <w:sz w:val="24"/>
      <w:szCs w:val="32"/>
    </w:rPr>
  </w:style>
  <w:style w:type="paragraph" w:styleId="Ttulo5">
    <w:name w:val="heading 5"/>
    <w:basedOn w:val="Normal"/>
    <w:next w:val="Normal"/>
    <w:link w:val="Ttulo5Car"/>
    <w:unhideWhenUsed/>
    <w:qFormat/>
    <w:rsid w:val="007E5453"/>
    <w:pPr>
      <w:keepNext/>
      <w:keepLines/>
      <w:numPr>
        <w:ilvl w:val="4"/>
        <w:numId w:val="1"/>
      </w:numPr>
      <w:spacing w:before="40" w:after="120" w:line="240" w:lineRule="auto"/>
      <w:jc w:val="both"/>
      <w:outlineLvl w:val="4"/>
    </w:pPr>
    <w:rPr>
      <w:rFonts w:asciiTheme="majorHAnsi" w:eastAsiaTheme="majorEastAsia" w:hAnsiTheme="majorHAnsi" w:cstheme="majorBidi"/>
      <w:color w:val="2F5496" w:themeColor="accent1" w:themeShade="BF"/>
      <w:szCs w:val="20"/>
      <w:lang w:eastAsia="es-ES"/>
    </w:rPr>
  </w:style>
  <w:style w:type="paragraph" w:styleId="Ttulo6">
    <w:name w:val="heading 6"/>
    <w:basedOn w:val="Normal"/>
    <w:next w:val="Normal"/>
    <w:link w:val="Ttulo6Car"/>
    <w:unhideWhenUsed/>
    <w:qFormat/>
    <w:rsid w:val="007E5453"/>
    <w:pPr>
      <w:keepNext/>
      <w:keepLines/>
      <w:numPr>
        <w:ilvl w:val="5"/>
        <w:numId w:val="1"/>
      </w:numPr>
      <w:spacing w:before="40" w:after="120" w:line="240" w:lineRule="auto"/>
      <w:jc w:val="both"/>
      <w:outlineLvl w:val="5"/>
    </w:pPr>
    <w:rPr>
      <w:rFonts w:asciiTheme="majorHAnsi" w:eastAsiaTheme="majorEastAsia" w:hAnsiTheme="majorHAnsi" w:cstheme="majorBidi"/>
      <w:color w:val="1F3763" w:themeColor="accent1" w:themeShade="7F"/>
      <w:szCs w:val="20"/>
      <w:lang w:eastAsia="es-ES"/>
    </w:rPr>
  </w:style>
  <w:style w:type="paragraph" w:styleId="Ttulo7">
    <w:name w:val="heading 7"/>
    <w:basedOn w:val="Normal"/>
    <w:next w:val="Normal"/>
    <w:link w:val="Ttulo7Car"/>
    <w:unhideWhenUsed/>
    <w:qFormat/>
    <w:rsid w:val="007E5453"/>
    <w:pPr>
      <w:keepNext/>
      <w:keepLines/>
      <w:numPr>
        <w:ilvl w:val="6"/>
        <w:numId w:val="1"/>
      </w:numPr>
      <w:spacing w:before="40" w:after="120" w:line="240" w:lineRule="auto"/>
      <w:jc w:val="both"/>
      <w:outlineLvl w:val="6"/>
    </w:pPr>
    <w:rPr>
      <w:rFonts w:asciiTheme="majorHAnsi" w:eastAsiaTheme="majorEastAsia" w:hAnsiTheme="majorHAnsi" w:cstheme="majorBidi"/>
      <w:i/>
      <w:iCs/>
      <w:color w:val="1F3763" w:themeColor="accent1" w:themeShade="7F"/>
      <w:szCs w:val="20"/>
      <w:lang w:eastAsia="es-ES"/>
    </w:rPr>
  </w:style>
  <w:style w:type="paragraph" w:styleId="Ttulo8">
    <w:name w:val="heading 8"/>
    <w:basedOn w:val="Normal"/>
    <w:next w:val="Normal"/>
    <w:link w:val="Ttulo8Car"/>
    <w:unhideWhenUsed/>
    <w:qFormat/>
    <w:rsid w:val="007E5453"/>
    <w:pPr>
      <w:keepNext/>
      <w:keepLines/>
      <w:numPr>
        <w:ilvl w:val="7"/>
        <w:numId w:val="1"/>
      </w:numPr>
      <w:spacing w:before="40" w:after="120" w:line="240" w:lineRule="auto"/>
      <w:jc w:val="both"/>
      <w:outlineLvl w:val="7"/>
    </w:pPr>
    <w:rPr>
      <w:rFonts w:asciiTheme="majorHAnsi" w:eastAsiaTheme="majorEastAsia" w:hAnsiTheme="majorHAnsi" w:cstheme="majorBidi"/>
      <w:color w:val="272727" w:themeColor="text1" w:themeTint="D8"/>
      <w:sz w:val="21"/>
      <w:szCs w:val="21"/>
      <w:lang w:eastAsia="es-ES"/>
    </w:rPr>
  </w:style>
  <w:style w:type="paragraph" w:styleId="Ttulo9">
    <w:name w:val="heading 9"/>
    <w:basedOn w:val="Normal"/>
    <w:next w:val="Normal"/>
    <w:link w:val="Ttulo9Car"/>
    <w:unhideWhenUsed/>
    <w:qFormat/>
    <w:rsid w:val="007E5453"/>
    <w:pPr>
      <w:keepNext/>
      <w:keepLines/>
      <w:numPr>
        <w:ilvl w:val="8"/>
        <w:numId w:val="1"/>
      </w:numPr>
      <w:spacing w:before="40" w:after="120" w:line="240" w:lineRule="auto"/>
      <w:jc w:val="both"/>
      <w:outlineLvl w:val="8"/>
    </w:pPr>
    <w:rPr>
      <w:rFonts w:asciiTheme="majorHAnsi" w:eastAsiaTheme="majorEastAsia" w:hAnsiTheme="majorHAnsi" w:cstheme="majorBidi"/>
      <w:i/>
      <w:iCs/>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unhideWhenUsed/>
    <w:rsid w:val="00CF1091"/>
    <w:pPr>
      <w:tabs>
        <w:tab w:val="center" w:pos="4419"/>
        <w:tab w:val="right" w:pos="8838"/>
      </w:tabs>
      <w:spacing w:after="0" w:line="240" w:lineRule="auto"/>
    </w:pPr>
  </w:style>
  <w:style w:type="character" w:customStyle="1" w:styleId="EncabezadoCar">
    <w:name w:val="Encabezado Car"/>
    <w:aliases w:val="encabezado Car,h Car"/>
    <w:basedOn w:val="Fuentedeprrafopredeter"/>
    <w:link w:val="Encabezado"/>
    <w:rsid w:val="00CF1091"/>
  </w:style>
  <w:style w:type="paragraph" w:styleId="Piedepgina">
    <w:name w:val="footer"/>
    <w:basedOn w:val="Normal"/>
    <w:link w:val="PiedepginaCar"/>
    <w:uiPriority w:val="99"/>
    <w:unhideWhenUsed/>
    <w:rsid w:val="00CF1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1091"/>
  </w:style>
  <w:style w:type="character" w:customStyle="1" w:styleId="Ttulo1Car">
    <w:name w:val="Título 1 Car"/>
    <w:basedOn w:val="Fuentedeprrafopredeter"/>
    <w:link w:val="Ttulo1"/>
    <w:rsid w:val="007E5453"/>
    <w:rPr>
      <w:rFonts w:ascii="Book Antiqua" w:eastAsiaTheme="majorEastAsia" w:hAnsi="Book Antiqua" w:cstheme="majorBidi"/>
      <w:b/>
      <w:color w:val="FFFFFF" w:themeColor="background1"/>
      <w:sz w:val="24"/>
      <w:szCs w:val="32"/>
      <w:shd w:val="clear" w:color="auto" w:fill="2F86BB"/>
    </w:rPr>
  </w:style>
  <w:style w:type="character" w:customStyle="1" w:styleId="Ttulo2Car">
    <w:name w:val="Título 2 Car"/>
    <w:basedOn w:val="Fuentedeprrafopredeter"/>
    <w:link w:val="Ttulo2"/>
    <w:rsid w:val="006A4BA6"/>
    <w:rPr>
      <w:rFonts w:ascii="Book Antiqua" w:eastAsiaTheme="majorEastAsia" w:hAnsi="Book Antiqua" w:cstheme="majorBidi"/>
      <w:b/>
      <w:color w:val="1F3864" w:themeColor="accent1" w:themeShade="80"/>
      <w:sz w:val="24"/>
      <w:shd w:val="clear" w:color="auto" w:fill="D9E2F3" w:themeFill="accent1" w:themeFillTint="33"/>
      <w:lang w:val="es-ES"/>
    </w:rPr>
  </w:style>
  <w:style w:type="character" w:customStyle="1" w:styleId="Ttulo3Car">
    <w:name w:val="Título 3 Car"/>
    <w:basedOn w:val="Fuentedeprrafopredeter"/>
    <w:link w:val="Ttulo3"/>
    <w:rsid w:val="00292FFD"/>
    <w:rPr>
      <w:rFonts w:ascii="Book Antiqua" w:eastAsia="Times New Roman" w:hAnsi="Book Antiqua" w:cs="Times New Roman"/>
      <w:b/>
      <w:color w:val="1F3864" w:themeColor="accent1" w:themeShade="80"/>
      <w:sz w:val="24"/>
      <w:szCs w:val="20"/>
      <w:lang w:val="es-MX" w:eastAsia="es-ES"/>
    </w:rPr>
  </w:style>
  <w:style w:type="character" w:customStyle="1" w:styleId="Ttulo4Car">
    <w:name w:val="Título 4 Car"/>
    <w:basedOn w:val="Fuentedeprrafopredeter"/>
    <w:link w:val="Ttulo4"/>
    <w:rsid w:val="000012B5"/>
    <w:rPr>
      <w:rFonts w:ascii="Book Antiqua" w:eastAsiaTheme="majorEastAsia" w:hAnsi="Book Antiqua" w:cs="Times New Roman"/>
      <w:b/>
      <w:bCs/>
      <w:snapToGrid w:val="0"/>
      <w:sz w:val="24"/>
      <w:szCs w:val="32"/>
    </w:rPr>
  </w:style>
  <w:style w:type="character" w:customStyle="1" w:styleId="Ttulo5Car">
    <w:name w:val="Título 5 Car"/>
    <w:basedOn w:val="Fuentedeprrafopredeter"/>
    <w:link w:val="Ttulo5"/>
    <w:rsid w:val="007E5453"/>
    <w:rPr>
      <w:rFonts w:asciiTheme="majorHAnsi" w:eastAsiaTheme="majorEastAsia" w:hAnsiTheme="majorHAnsi" w:cstheme="majorBidi"/>
      <w:color w:val="2F5496" w:themeColor="accent1" w:themeShade="BF"/>
      <w:szCs w:val="20"/>
      <w:lang w:eastAsia="es-ES"/>
    </w:rPr>
  </w:style>
  <w:style w:type="character" w:customStyle="1" w:styleId="Ttulo6Car">
    <w:name w:val="Título 6 Car"/>
    <w:basedOn w:val="Fuentedeprrafopredeter"/>
    <w:link w:val="Ttulo6"/>
    <w:rsid w:val="007E5453"/>
    <w:rPr>
      <w:rFonts w:asciiTheme="majorHAnsi" w:eastAsiaTheme="majorEastAsia" w:hAnsiTheme="majorHAnsi" w:cstheme="majorBidi"/>
      <w:color w:val="1F3763" w:themeColor="accent1" w:themeShade="7F"/>
      <w:szCs w:val="20"/>
      <w:lang w:eastAsia="es-ES"/>
    </w:rPr>
  </w:style>
  <w:style w:type="character" w:customStyle="1" w:styleId="Ttulo7Car">
    <w:name w:val="Título 7 Car"/>
    <w:basedOn w:val="Fuentedeprrafopredeter"/>
    <w:link w:val="Ttulo7"/>
    <w:rsid w:val="007E5453"/>
    <w:rPr>
      <w:rFonts w:asciiTheme="majorHAnsi" w:eastAsiaTheme="majorEastAsia" w:hAnsiTheme="majorHAnsi" w:cstheme="majorBidi"/>
      <w:i/>
      <w:iCs/>
      <w:color w:val="1F3763" w:themeColor="accent1" w:themeShade="7F"/>
      <w:szCs w:val="20"/>
      <w:lang w:eastAsia="es-ES"/>
    </w:rPr>
  </w:style>
  <w:style w:type="character" w:customStyle="1" w:styleId="Ttulo8Car">
    <w:name w:val="Título 8 Car"/>
    <w:basedOn w:val="Fuentedeprrafopredeter"/>
    <w:link w:val="Ttulo8"/>
    <w:rsid w:val="007E5453"/>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rsid w:val="007E5453"/>
    <w:rPr>
      <w:rFonts w:asciiTheme="majorHAnsi" w:eastAsiaTheme="majorEastAsia" w:hAnsiTheme="majorHAnsi" w:cstheme="majorBidi"/>
      <w:i/>
      <w:iCs/>
      <w:color w:val="272727" w:themeColor="text1" w:themeTint="D8"/>
      <w:sz w:val="21"/>
      <w:szCs w:val="21"/>
      <w:lang w:eastAsia="es-ES"/>
    </w:rPr>
  </w:style>
  <w:style w:type="paragraph" w:styleId="Textodeglobo">
    <w:name w:val="Balloon Text"/>
    <w:basedOn w:val="Normal"/>
    <w:link w:val="TextodegloboCar"/>
    <w:semiHidden/>
    <w:unhideWhenUsed/>
    <w:rsid w:val="000B6C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ind w:left="720"/>
      <w:contextualSpacing/>
    </w:pPr>
  </w:style>
  <w:style w:type="paragraph" w:styleId="Ttulo">
    <w:name w:val="Title"/>
    <w:basedOn w:val="Normal"/>
    <w:link w:val="TtuloCar"/>
    <w:uiPriority w:val="1"/>
    <w:qFormat/>
    <w:rsid w:val="000C2B7F"/>
    <w:pPr>
      <w:spacing w:before="120" w:after="120" w:line="264" w:lineRule="auto"/>
      <w:jc w:val="center"/>
    </w:pPr>
    <w:rPr>
      <w:rFonts w:ascii="Book Antiqua" w:eastAsiaTheme="majorEastAsia" w:hAnsi="Book Antiqua" w:cstheme="majorBidi"/>
      <w:b/>
      <w:color w:val="1F3864" w:themeColor="accent1" w:themeShade="80"/>
      <w:spacing w:val="10"/>
      <w:sz w:val="24"/>
      <w:szCs w:val="52"/>
      <w:lang w:val="es-ES" w:eastAsia="ja-JP"/>
    </w:rPr>
  </w:style>
  <w:style w:type="character" w:customStyle="1" w:styleId="TtuloCar">
    <w:name w:val="Título Car"/>
    <w:basedOn w:val="Fuentedeprrafopredeter"/>
    <w:link w:val="Ttulo"/>
    <w:uiPriority w:val="1"/>
    <w:rsid w:val="000C2B7F"/>
    <w:rPr>
      <w:rFonts w:ascii="Book Antiqua" w:eastAsiaTheme="majorEastAsia" w:hAnsi="Book Antiqua" w:cstheme="majorBidi"/>
      <w:b/>
      <w:color w:val="1F3864" w:themeColor="accent1" w:themeShade="80"/>
      <w:spacing w:val="10"/>
      <w:sz w:val="24"/>
      <w:szCs w:val="52"/>
      <w:lang w:val="es-ES" w:eastAsia="ja-JP"/>
    </w:rPr>
  </w:style>
  <w:style w:type="paragraph" w:styleId="Textonotapie">
    <w:name w:val="footnote text"/>
    <w:basedOn w:val="Normal"/>
    <w:link w:val="TextonotapieCar"/>
    <w:unhideWhenUsed/>
    <w:rsid w:val="009A36CD"/>
    <w:pPr>
      <w:spacing w:after="0" w:line="240" w:lineRule="auto"/>
    </w:pPr>
    <w:rPr>
      <w:sz w:val="20"/>
      <w:szCs w:val="20"/>
    </w:rPr>
  </w:style>
  <w:style w:type="character" w:customStyle="1" w:styleId="TextonotapieCar">
    <w:name w:val="Texto nota pie Car"/>
    <w:basedOn w:val="Fuentedeprrafopredeter"/>
    <w:link w:val="Textonotapie"/>
    <w:rsid w:val="009A36CD"/>
    <w:rPr>
      <w:sz w:val="20"/>
      <w:szCs w:val="20"/>
    </w:rPr>
  </w:style>
  <w:style w:type="character" w:styleId="Refdenotaalpie">
    <w:name w:val="footnote reference"/>
    <w:basedOn w:val="Fuentedeprrafopredeter"/>
    <w:unhideWhenUsed/>
    <w:rsid w:val="009A36CD"/>
    <w:rPr>
      <w:vertAlign w:val="superscript"/>
    </w:rPr>
  </w:style>
  <w:style w:type="paragraph" w:styleId="Revisin">
    <w:name w:val="Revision"/>
    <w:hidden/>
    <w:uiPriority w:val="99"/>
    <w:semiHidden/>
    <w:rsid w:val="008F1514"/>
    <w:pPr>
      <w:spacing w:after="0" w:line="240" w:lineRule="auto"/>
    </w:pPr>
  </w:style>
  <w:style w:type="character" w:styleId="Refdecomentario">
    <w:name w:val="annotation reference"/>
    <w:basedOn w:val="Fuentedeprrafopredeter"/>
    <w:unhideWhenUsed/>
    <w:rsid w:val="00076E7E"/>
    <w:rPr>
      <w:sz w:val="16"/>
      <w:szCs w:val="16"/>
    </w:rPr>
  </w:style>
  <w:style w:type="paragraph" w:styleId="Textocomentario">
    <w:name w:val="annotation text"/>
    <w:basedOn w:val="Normal"/>
    <w:link w:val="TextocomentarioCar"/>
    <w:unhideWhenUsed/>
    <w:rsid w:val="00076E7E"/>
    <w:pPr>
      <w:spacing w:line="240" w:lineRule="auto"/>
    </w:pPr>
    <w:rPr>
      <w:sz w:val="20"/>
      <w:szCs w:val="20"/>
    </w:rPr>
  </w:style>
  <w:style w:type="character" w:customStyle="1" w:styleId="TextocomentarioCar">
    <w:name w:val="Texto comentario Car"/>
    <w:basedOn w:val="Fuentedeprrafopredeter"/>
    <w:link w:val="Textocomentario"/>
    <w:rsid w:val="00076E7E"/>
    <w:rPr>
      <w:sz w:val="20"/>
      <w:szCs w:val="20"/>
    </w:rPr>
  </w:style>
  <w:style w:type="paragraph" w:styleId="Asuntodelcomentario">
    <w:name w:val="annotation subject"/>
    <w:basedOn w:val="Textocomentario"/>
    <w:next w:val="Textocomentario"/>
    <w:link w:val="AsuntodelcomentarioCar"/>
    <w:unhideWhenUsed/>
    <w:rsid w:val="00076E7E"/>
    <w:rPr>
      <w:b/>
      <w:bCs/>
    </w:rPr>
  </w:style>
  <w:style w:type="character" w:customStyle="1" w:styleId="AsuntodelcomentarioCar">
    <w:name w:val="Asunto del comentario Car"/>
    <w:basedOn w:val="TextocomentarioCar"/>
    <w:link w:val="Asuntodelcomentario"/>
    <w:rsid w:val="00076E7E"/>
    <w:rPr>
      <w:b/>
      <w:bCs/>
      <w:sz w:val="20"/>
      <w:szCs w:val="20"/>
    </w:rPr>
  </w:style>
  <w:style w:type="paragraph" w:styleId="Textoindependiente2">
    <w:name w:val="Body Text 2"/>
    <w:basedOn w:val="Normal"/>
    <w:link w:val="Textoindependiente2Car"/>
    <w:rsid w:val="007A1880"/>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basedOn w:val="Fuentedeprrafopredeter"/>
    <w:link w:val="Textoindependiente2"/>
    <w:rsid w:val="007A1880"/>
    <w:rPr>
      <w:rFonts w:ascii="Bookman Old Style" w:eastAsia="Times New Roman" w:hAnsi="Bookman Old Style" w:cs="Bookman Old Style"/>
      <w:sz w:val="24"/>
      <w:szCs w:val="24"/>
      <w:lang w:val="es-ES_tradnl" w:eastAsia="es-ES"/>
    </w:rPr>
  </w:style>
  <w:style w:type="character" w:styleId="Hipervnculo">
    <w:name w:val="Hyperlink"/>
    <w:uiPriority w:val="99"/>
    <w:rsid w:val="007A1880"/>
    <w:rPr>
      <w:rFonts w:cs="Times New Roman"/>
      <w:color w:val="0000FF"/>
      <w:u w:val="single"/>
    </w:rPr>
  </w:style>
  <w:style w:type="paragraph" w:customStyle="1" w:styleId="xmsonormal">
    <w:name w:val="x_msonormal"/>
    <w:basedOn w:val="Normal"/>
    <w:rsid w:val="00CB0EF2"/>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Default">
    <w:name w:val="Default"/>
    <w:rsid w:val="00101A76"/>
    <w:pPr>
      <w:autoSpaceDE w:val="0"/>
      <w:autoSpaceDN w:val="0"/>
      <w:adjustRightInd w:val="0"/>
      <w:spacing w:after="0" w:line="240" w:lineRule="auto"/>
    </w:pPr>
    <w:rPr>
      <w:rFonts w:ascii="Book Antiqua" w:hAnsi="Book Antiqua" w:cs="Book Antiqua"/>
      <w:color w:val="000000"/>
      <w:sz w:val="24"/>
      <w:szCs w:val="24"/>
    </w:r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qFormat/>
    <w:locked/>
    <w:rsid w:val="00A56B86"/>
  </w:style>
  <w:style w:type="paragraph" w:customStyle="1" w:styleId="Fuentes">
    <w:name w:val="Fuentes"/>
    <w:basedOn w:val="Normal"/>
    <w:link w:val="FuentesCar"/>
    <w:autoRedefine/>
    <w:qFormat/>
    <w:rsid w:val="00D6038D"/>
    <w:pPr>
      <w:tabs>
        <w:tab w:val="left" w:pos="8364"/>
      </w:tabs>
      <w:spacing w:after="0" w:line="240" w:lineRule="auto"/>
      <w:jc w:val="both"/>
    </w:pPr>
    <w:rPr>
      <w:rFonts w:ascii="Book Antiqua" w:hAnsi="Book Antiqua"/>
      <w:bCs/>
      <w:i/>
      <w:sz w:val="20"/>
      <w:szCs w:val="20"/>
    </w:rPr>
  </w:style>
  <w:style w:type="character" w:customStyle="1" w:styleId="FuentesCar">
    <w:name w:val="Fuentes Car"/>
    <w:basedOn w:val="Fuentedeprrafopredeter"/>
    <w:link w:val="Fuentes"/>
    <w:rsid w:val="005327DB"/>
    <w:rPr>
      <w:rFonts w:ascii="Book Antiqua" w:hAnsi="Book Antiqua"/>
      <w:bCs/>
      <w:i/>
      <w:sz w:val="20"/>
      <w:szCs w:val="20"/>
    </w:rPr>
  </w:style>
  <w:style w:type="numbering" w:customStyle="1" w:styleId="Estilo1">
    <w:name w:val="Estilo1"/>
    <w:uiPriority w:val="99"/>
    <w:rsid w:val="002819AB"/>
    <w:pPr>
      <w:numPr>
        <w:numId w:val="31"/>
      </w:numPr>
    </w:pPr>
  </w:style>
  <w:style w:type="paragraph" w:styleId="NormalWeb">
    <w:name w:val="Normal (Web)"/>
    <w:basedOn w:val="Normal"/>
    <w:link w:val="NormalWebCar"/>
    <w:uiPriority w:val="99"/>
    <w:qFormat/>
    <w:rsid w:val="008A348D"/>
    <w:pPr>
      <w:spacing w:before="100" w:beforeAutospacing="1" w:after="100" w:afterAutospacing="1" w:line="240" w:lineRule="auto"/>
    </w:pPr>
    <w:rPr>
      <w:rFonts w:ascii="Calibri" w:eastAsia="Times New Roman" w:hAnsi="Calibri" w:cs="Times New Roman"/>
      <w:sz w:val="24"/>
      <w:szCs w:val="24"/>
      <w:lang w:val="es-ES" w:eastAsia="es-ES"/>
    </w:rPr>
  </w:style>
  <w:style w:type="character" w:customStyle="1" w:styleId="NormalWebCar">
    <w:name w:val="Normal (Web) Car"/>
    <w:link w:val="NormalWeb"/>
    <w:uiPriority w:val="99"/>
    <w:locked/>
    <w:rsid w:val="008A348D"/>
    <w:rPr>
      <w:rFonts w:ascii="Calibri" w:eastAsia="Times New Roman" w:hAnsi="Calibri" w:cs="Times New Roman"/>
      <w:sz w:val="24"/>
      <w:szCs w:val="24"/>
      <w:lang w:val="es-ES" w:eastAsia="es-ES"/>
    </w:rPr>
  </w:style>
  <w:style w:type="paragraph" w:customStyle="1" w:styleId="wordsection1">
    <w:name w:val="wordsection1"/>
    <w:basedOn w:val="Normal"/>
    <w:uiPriority w:val="99"/>
    <w:rsid w:val="008A348D"/>
    <w:pPr>
      <w:spacing w:after="0" w:line="240" w:lineRule="auto"/>
    </w:pPr>
    <w:rPr>
      <w:rFonts w:ascii="Times New Roman" w:eastAsia="Calibri" w:hAnsi="Times New Roman" w:cs="Times New Roman"/>
      <w:sz w:val="24"/>
      <w:szCs w:val="24"/>
      <w:lang w:eastAsia="es-CR"/>
    </w:rPr>
  </w:style>
  <w:style w:type="table" w:styleId="Tablaconcuadrcula">
    <w:name w:val="Table Grid"/>
    <w:basedOn w:val="Tablanormal"/>
    <w:uiPriority w:val="39"/>
    <w:rsid w:val="004407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E34776"/>
    <w:rPr>
      <w:color w:val="605E5C"/>
      <w:shd w:val="clear" w:color="auto" w:fill="E1DFDD"/>
    </w:rPr>
  </w:style>
  <w:style w:type="numbering" w:customStyle="1" w:styleId="Sinlista1">
    <w:name w:val="Sin lista1"/>
    <w:next w:val="Sinlista"/>
    <w:uiPriority w:val="99"/>
    <w:semiHidden/>
    <w:rsid w:val="009A7F4D"/>
  </w:style>
  <w:style w:type="paragraph" w:customStyle="1" w:styleId="Estilo">
    <w:name w:val="Estilo"/>
    <w:next w:val="Normal"/>
    <w:rsid w:val="009A7F4D"/>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customStyle="1" w:styleId="Estilo3">
    <w:name w:val="Estilo3"/>
    <w:next w:val="Normal"/>
    <w:rsid w:val="009A7F4D"/>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customStyle="1" w:styleId="Estilo2">
    <w:name w:val="Estilo2"/>
    <w:next w:val="Normal"/>
    <w:rsid w:val="009A7F4D"/>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styleId="Textoindependiente3">
    <w:name w:val="Body Text 3"/>
    <w:basedOn w:val="Normal"/>
    <w:link w:val="Textoindependiente3Car"/>
    <w:rsid w:val="009A7F4D"/>
    <w:pPr>
      <w:widowControl w:val="0"/>
      <w:autoSpaceDE w:val="0"/>
      <w:autoSpaceDN w:val="0"/>
      <w:adjustRightInd w:val="0"/>
      <w:spacing w:after="0" w:line="240" w:lineRule="auto"/>
      <w:jc w:val="both"/>
    </w:pPr>
    <w:rPr>
      <w:rFonts w:ascii="Book Antiqua" w:eastAsia="Times New Roman" w:hAnsi="Book Antiqua" w:cs="Book Antiqua"/>
      <w:sz w:val="24"/>
      <w:szCs w:val="24"/>
      <w:shd w:val="clear" w:color="auto" w:fill="FFFFFF"/>
      <w:lang w:val="es-ES" w:eastAsia="es-ES"/>
    </w:rPr>
  </w:style>
  <w:style w:type="character" w:customStyle="1" w:styleId="Textoindependiente3Car">
    <w:name w:val="Texto independiente 3 Car"/>
    <w:basedOn w:val="Fuentedeprrafopredeter"/>
    <w:link w:val="Textoindependiente3"/>
    <w:rsid w:val="009A7F4D"/>
    <w:rPr>
      <w:rFonts w:ascii="Book Antiqua" w:eastAsia="Times New Roman" w:hAnsi="Book Antiqua" w:cs="Book Antiqua"/>
      <w:sz w:val="24"/>
      <w:szCs w:val="24"/>
      <w:lang w:val="es-ES" w:eastAsia="es-ES"/>
    </w:rPr>
  </w:style>
  <w:style w:type="character" w:styleId="Nmerodepgina">
    <w:name w:val="page number"/>
    <w:rsid w:val="009A7F4D"/>
    <w:rPr>
      <w:shd w:val="clear" w:color="auto" w:fill="FFFFFF"/>
    </w:rPr>
  </w:style>
  <w:style w:type="character" w:styleId="Hipervnculovisitado">
    <w:name w:val="FollowedHyperlink"/>
    <w:uiPriority w:val="99"/>
    <w:rsid w:val="009A7F4D"/>
    <w:rPr>
      <w:color w:val="800080"/>
      <w:u w:val="single"/>
      <w:shd w:val="clear" w:color="auto" w:fill="FFFFFF"/>
    </w:rPr>
  </w:style>
  <w:style w:type="paragraph" w:customStyle="1" w:styleId="Ttulo30">
    <w:name w:val="TÍtulo 3"/>
    <w:next w:val="Normal"/>
    <w:rsid w:val="009A7F4D"/>
    <w:pPr>
      <w:keepNext/>
      <w:widowControl w:val="0"/>
      <w:autoSpaceDE w:val="0"/>
      <w:autoSpaceDN w:val="0"/>
      <w:adjustRightInd w:val="0"/>
      <w:spacing w:after="0" w:line="240" w:lineRule="auto"/>
      <w:jc w:val="both"/>
    </w:pPr>
    <w:rPr>
      <w:rFonts w:ascii="Arial" w:eastAsia="Times New Roman" w:hAnsi="Arial" w:cs="Arial"/>
      <w:sz w:val="24"/>
      <w:szCs w:val="24"/>
      <w:shd w:val="clear" w:color="auto" w:fill="FFFFFF"/>
      <w:lang w:val="es-ES" w:eastAsia="es-ES"/>
    </w:rPr>
  </w:style>
  <w:style w:type="paragraph" w:styleId="Textoindependiente">
    <w:name w:val="Body Text"/>
    <w:basedOn w:val="Normal"/>
    <w:link w:val="TextoindependienteCar"/>
    <w:rsid w:val="009A7F4D"/>
    <w:pPr>
      <w:widowControl w:val="0"/>
      <w:autoSpaceDE w:val="0"/>
      <w:autoSpaceDN w:val="0"/>
      <w:adjustRightInd w:val="0"/>
      <w:spacing w:after="0" w:line="240" w:lineRule="auto"/>
    </w:pPr>
    <w:rPr>
      <w:rFonts w:ascii="Book Antiqua" w:eastAsia="Times New Roman" w:hAnsi="Book Antiqua" w:cs="Book Antiqua"/>
      <w:shd w:val="clear" w:color="auto" w:fill="FFFFFF"/>
      <w:lang w:val="es-ES" w:eastAsia="es-ES"/>
    </w:rPr>
  </w:style>
  <w:style w:type="character" w:customStyle="1" w:styleId="TextoindependienteCar">
    <w:name w:val="Texto independiente Car"/>
    <w:basedOn w:val="Fuentedeprrafopredeter"/>
    <w:link w:val="Textoindependiente"/>
    <w:rsid w:val="009A7F4D"/>
    <w:rPr>
      <w:rFonts w:ascii="Book Antiqua" w:eastAsia="Times New Roman" w:hAnsi="Book Antiqua" w:cs="Book Antiqua"/>
      <w:lang w:val="es-ES" w:eastAsia="es-ES"/>
    </w:rPr>
  </w:style>
  <w:style w:type="paragraph" w:styleId="Sangra2detindependiente">
    <w:name w:val="Body Text Indent 2"/>
    <w:basedOn w:val="Normal"/>
    <w:link w:val="Sangra2detindependienteCar"/>
    <w:rsid w:val="009A7F4D"/>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u w:color="000000"/>
      <w:shd w:val="clear" w:color="auto" w:fill="FFFFFF"/>
      <w:lang w:val="es-ES" w:eastAsia="es-ES"/>
    </w:rPr>
  </w:style>
  <w:style w:type="character" w:customStyle="1" w:styleId="Sangra2detindependienteCar">
    <w:name w:val="Sangría 2 de t. independiente Car"/>
    <w:basedOn w:val="Fuentedeprrafopredeter"/>
    <w:link w:val="Sangra2detindependiente"/>
    <w:rsid w:val="009A7F4D"/>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9A7F4D"/>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u w:color="000000"/>
      <w:shd w:val="clear" w:color="auto" w:fill="FFFFFF"/>
      <w:lang w:val="es-ES" w:eastAsia="es-ES"/>
    </w:rPr>
  </w:style>
  <w:style w:type="character" w:customStyle="1" w:styleId="MapadeldocumentoCar">
    <w:name w:val="Mapa del documento Car"/>
    <w:basedOn w:val="Fuentedeprrafopredeter"/>
    <w:link w:val="Mapadeldocumento"/>
    <w:semiHidden/>
    <w:rsid w:val="009A7F4D"/>
    <w:rPr>
      <w:rFonts w:ascii="Tahoma" w:eastAsia="Times New Roman" w:hAnsi="Tahoma" w:cs="Tahoma"/>
      <w:color w:val="000000"/>
      <w:sz w:val="20"/>
      <w:szCs w:val="20"/>
      <w:u w:color="000000"/>
      <w:shd w:val="clear" w:color="auto" w:fill="000080"/>
      <w:lang w:val="es-ES" w:eastAsia="es-ES"/>
    </w:rPr>
  </w:style>
  <w:style w:type="paragraph" w:styleId="Textodebloque">
    <w:name w:val="Block Text"/>
    <w:basedOn w:val="Normal"/>
    <w:rsid w:val="009A7F4D"/>
    <w:pPr>
      <w:widowControl w:val="0"/>
      <w:autoSpaceDE w:val="0"/>
      <w:autoSpaceDN w:val="0"/>
      <w:adjustRightInd w:val="0"/>
      <w:spacing w:after="0" w:line="360" w:lineRule="auto"/>
      <w:ind w:left="360" w:right="680"/>
      <w:jc w:val="both"/>
    </w:pPr>
    <w:rPr>
      <w:rFonts w:ascii="Arial" w:eastAsia="Times New Roman" w:hAnsi="Arial" w:cs="Arial"/>
      <w:color w:val="000000"/>
      <w:sz w:val="24"/>
      <w:szCs w:val="24"/>
      <w:u w:color="000000"/>
      <w:shd w:val="clear" w:color="auto" w:fill="FFFFFF"/>
      <w:lang w:val="es-ES" w:eastAsia="es-ES"/>
    </w:rPr>
  </w:style>
  <w:style w:type="paragraph" w:styleId="Sangra3detindependiente">
    <w:name w:val="Body Text Indent 3"/>
    <w:basedOn w:val="Normal"/>
    <w:link w:val="Sangra3detindependienteCar"/>
    <w:rsid w:val="009A7F4D"/>
    <w:pPr>
      <w:widowControl w:val="0"/>
      <w:tabs>
        <w:tab w:val="left" w:pos="284"/>
      </w:tabs>
      <w:autoSpaceDE w:val="0"/>
      <w:autoSpaceDN w:val="0"/>
      <w:adjustRightInd w:val="0"/>
      <w:spacing w:after="0" w:line="360" w:lineRule="auto"/>
      <w:ind w:left="426" w:hanging="66"/>
      <w:jc w:val="both"/>
    </w:pPr>
    <w:rPr>
      <w:rFonts w:ascii="Arial" w:eastAsia="Times New Roman" w:hAnsi="Arial" w:cs="Arial"/>
      <w:color w:val="000000"/>
      <w:sz w:val="32"/>
      <w:szCs w:val="32"/>
      <w:u w:color="000000"/>
      <w:shd w:val="clear" w:color="auto" w:fill="FFFFFF"/>
      <w:lang w:val="es-ES" w:eastAsia="es-ES"/>
    </w:rPr>
  </w:style>
  <w:style w:type="character" w:customStyle="1" w:styleId="Sangra3detindependienteCar">
    <w:name w:val="Sangría 3 de t. independiente Car"/>
    <w:basedOn w:val="Fuentedeprrafopredeter"/>
    <w:link w:val="Sangra3detindependiente"/>
    <w:rsid w:val="009A7F4D"/>
    <w:rPr>
      <w:rFonts w:ascii="Arial" w:eastAsia="Times New Roman" w:hAnsi="Arial" w:cs="Arial"/>
      <w:color w:val="000000"/>
      <w:sz w:val="32"/>
      <w:szCs w:val="32"/>
      <w:u w:color="000000"/>
      <w:lang w:val="es-ES" w:eastAsia="es-ES"/>
    </w:rPr>
  </w:style>
  <w:style w:type="character" w:styleId="Textoennegrita">
    <w:name w:val="Strong"/>
    <w:qFormat/>
    <w:rsid w:val="009A7F4D"/>
    <w:rPr>
      <w:b/>
      <w:bCs/>
      <w:shd w:val="clear" w:color="auto" w:fill="FFFFFF"/>
    </w:rPr>
  </w:style>
  <w:style w:type="paragraph" w:customStyle="1" w:styleId="Car">
    <w:name w:val="Car"/>
    <w:basedOn w:val="Normal"/>
    <w:semiHidden/>
    <w:rsid w:val="009A7F4D"/>
    <w:pPr>
      <w:spacing w:line="240" w:lineRule="exact"/>
    </w:pPr>
    <w:rPr>
      <w:rFonts w:ascii="Verdana" w:eastAsia="Times New Roman" w:hAnsi="Verdana" w:cs="Verdana"/>
      <w:sz w:val="20"/>
      <w:szCs w:val="20"/>
      <w:lang w:val="en-AU"/>
    </w:rPr>
  </w:style>
  <w:style w:type="table" w:customStyle="1" w:styleId="Tablaconcuadrcula1">
    <w:name w:val="Tabla con cuadrícula1"/>
    <w:basedOn w:val="Tablanormal"/>
    <w:next w:val="Tablaconcuadrcula"/>
    <w:rsid w:val="009A7F4D"/>
    <w:pPr>
      <w:spacing w:after="0" w:line="240" w:lineRule="auto"/>
    </w:pPr>
    <w:rPr>
      <w:rFonts w:ascii="Arial" w:eastAsia="Times New Roman" w:hAnsi="Arial" w:cs="Arial"/>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Car6">
    <w:name w:val="Car Car6"/>
    <w:basedOn w:val="Normal"/>
    <w:semiHidden/>
    <w:rsid w:val="009A7F4D"/>
    <w:pPr>
      <w:spacing w:line="240" w:lineRule="exact"/>
    </w:pPr>
    <w:rPr>
      <w:rFonts w:ascii="Verdana" w:eastAsia="Times New Roman" w:hAnsi="Verdana" w:cs="Verdana"/>
      <w:sz w:val="20"/>
      <w:szCs w:val="20"/>
      <w:lang w:val="en-AU"/>
    </w:rPr>
  </w:style>
  <w:style w:type="paragraph" w:customStyle="1" w:styleId="CharChar">
    <w:name w:val="Char Char"/>
    <w:basedOn w:val="Normal"/>
    <w:semiHidden/>
    <w:rsid w:val="009A7F4D"/>
    <w:pPr>
      <w:spacing w:line="240" w:lineRule="exact"/>
    </w:pPr>
    <w:rPr>
      <w:rFonts w:ascii="Verdana" w:eastAsia="Times New Roman" w:hAnsi="Verdana" w:cs="Verdana"/>
      <w:sz w:val="20"/>
      <w:szCs w:val="20"/>
      <w:lang w:val="en-AU"/>
    </w:rPr>
  </w:style>
  <w:style w:type="paragraph" w:customStyle="1" w:styleId="Car0">
    <w:name w:val="Car"/>
    <w:basedOn w:val="Normal"/>
    <w:semiHidden/>
    <w:rsid w:val="009A7F4D"/>
    <w:pPr>
      <w:spacing w:line="240" w:lineRule="exact"/>
    </w:pPr>
    <w:rPr>
      <w:rFonts w:ascii="Verdana" w:eastAsia="Times New Roman" w:hAnsi="Verdana" w:cs="Times New Roman"/>
      <w:sz w:val="20"/>
      <w:szCs w:val="21"/>
      <w:lang w:val="en-AU"/>
    </w:rPr>
  </w:style>
  <w:style w:type="paragraph" w:customStyle="1" w:styleId="CharChar0">
    <w:name w:val="Char Char"/>
    <w:basedOn w:val="Normal"/>
    <w:semiHidden/>
    <w:rsid w:val="009A7F4D"/>
    <w:pPr>
      <w:spacing w:line="240" w:lineRule="exact"/>
    </w:pPr>
    <w:rPr>
      <w:rFonts w:ascii="Verdana" w:eastAsia="Times New Roman" w:hAnsi="Verdana" w:cs="Times New Roman"/>
      <w:sz w:val="20"/>
      <w:szCs w:val="21"/>
      <w:lang w:val="en-AU"/>
    </w:rPr>
  </w:style>
  <w:style w:type="character" w:customStyle="1" w:styleId="CarCar">
    <w:name w:val="Car Car"/>
    <w:semiHidden/>
    <w:locked/>
    <w:rsid w:val="009A7F4D"/>
    <w:rPr>
      <w:lang w:val="es-ES" w:eastAsia="es-ES" w:bidi="ar-SA"/>
    </w:rPr>
  </w:style>
  <w:style w:type="paragraph" w:customStyle="1" w:styleId="msonormal0">
    <w:name w:val="msonormal"/>
    <w:basedOn w:val="Normal"/>
    <w:rsid w:val="009A7F4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70">
    <w:name w:val="xl70"/>
    <w:basedOn w:val="Normal"/>
    <w:rsid w:val="009A7F4D"/>
    <w:pPr>
      <w:spacing w:before="100" w:beforeAutospacing="1" w:after="100" w:afterAutospacing="1" w:line="240" w:lineRule="auto"/>
    </w:pPr>
    <w:rPr>
      <w:rFonts w:ascii="Cambria" w:eastAsia="Times New Roman" w:hAnsi="Cambria" w:cs="Times New Roman"/>
      <w:sz w:val="24"/>
      <w:szCs w:val="24"/>
      <w:lang w:eastAsia="es-CR"/>
    </w:rPr>
  </w:style>
  <w:style w:type="paragraph" w:customStyle="1" w:styleId="xl71">
    <w:name w:val="xl71"/>
    <w:basedOn w:val="Normal"/>
    <w:rsid w:val="009A7F4D"/>
    <w:pPr>
      <w:pBdr>
        <w:top w:val="single" w:sz="4" w:space="0" w:color="000000"/>
        <w:left w:val="single" w:sz="4" w:space="0" w:color="000000"/>
        <w:right w:val="single" w:sz="4" w:space="0" w:color="000000"/>
      </w:pBdr>
      <w:shd w:val="clear" w:color="9999FF" w:fill="C0C0C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72">
    <w:name w:val="xl72"/>
    <w:basedOn w:val="Normal"/>
    <w:rsid w:val="009A7F4D"/>
    <w:pPr>
      <w:pBdr>
        <w:top w:val="single" w:sz="4" w:space="0" w:color="000000"/>
        <w:left w:val="single" w:sz="8" w:space="0" w:color="000000"/>
        <w:right w:val="single" w:sz="4" w:space="0" w:color="000000"/>
      </w:pBdr>
      <w:shd w:val="clear" w:color="9999FF" w:fill="C0C0C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73">
    <w:name w:val="xl73"/>
    <w:basedOn w:val="Normal"/>
    <w:rsid w:val="009A7F4D"/>
    <w:pPr>
      <w:pBdr>
        <w:top w:val="single" w:sz="4" w:space="0" w:color="000000"/>
        <w:left w:val="single" w:sz="4" w:space="0" w:color="000000"/>
        <w:right w:val="single" w:sz="8" w:space="0" w:color="000000"/>
      </w:pBdr>
      <w:shd w:val="clear" w:color="9999FF" w:fill="C0C0C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74">
    <w:name w:val="xl74"/>
    <w:basedOn w:val="Normal"/>
    <w:rsid w:val="009A7F4D"/>
    <w:pPr>
      <w:spacing w:before="100" w:beforeAutospacing="1" w:after="100" w:afterAutospacing="1" w:line="240" w:lineRule="auto"/>
    </w:pPr>
    <w:rPr>
      <w:rFonts w:ascii="Cambria" w:eastAsia="Times New Roman" w:hAnsi="Cambria" w:cs="Times New Roman"/>
      <w:sz w:val="20"/>
      <w:szCs w:val="20"/>
      <w:lang w:eastAsia="es-CR"/>
    </w:rPr>
  </w:style>
  <w:style w:type="paragraph" w:customStyle="1" w:styleId="xl75">
    <w:name w:val="xl75"/>
    <w:basedOn w:val="Normal"/>
    <w:rsid w:val="009A7F4D"/>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76">
    <w:name w:val="xl76"/>
    <w:basedOn w:val="Normal"/>
    <w:rsid w:val="009A7F4D"/>
    <w:pPr>
      <w:pBdr>
        <w:top w:val="single" w:sz="4" w:space="0" w:color="000000"/>
        <w:left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77">
    <w:name w:val="xl77"/>
    <w:basedOn w:val="Normal"/>
    <w:rsid w:val="009A7F4D"/>
    <w:pPr>
      <w:pBdr>
        <w:top w:val="single" w:sz="4" w:space="0" w:color="000000"/>
        <w:left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78">
    <w:name w:val="xl78"/>
    <w:basedOn w:val="Normal"/>
    <w:rsid w:val="009A7F4D"/>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79">
    <w:name w:val="xl79"/>
    <w:basedOn w:val="Normal"/>
    <w:rsid w:val="009A7F4D"/>
    <w:pPr>
      <w:pBdr>
        <w:top w:val="single" w:sz="4" w:space="0" w:color="000000"/>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0">
    <w:name w:val="xl80"/>
    <w:basedOn w:val="Normal"/>
    <w:rsid w:val="009A7F4D"/>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1">
    <w:name w:val="xl81"/>
    <w:basedOn w:val="Normal"/>
    <w:rsid w:val="009A7F4D"/>
    <w:pPr>
      <w:pBdr>
        <w:top w:val="single" w:sz="4" w:space="0" w:color="000000"/>
        <w:left w:val="single" w:sz="4" w:space="0" w:color="000000"/>
        <w:bottom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2">
    <w:name w:val="xl82"/>
    <w:basedOn w:val="Normal"/>
    <w:rsid w:val="009A7F4D"/>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3">
    <w:name w:val="xl83"/>
    <w:basedOn w:val="Normal"/>
    <w:rsid w:val="009A7F4D"/>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4">
    <w:name w:val="xl84"/>
    <w:basedOn w:val="Normal"/>
    <w:rsid w:val="009A7F4D"/>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5">
    <w:name w:val="xl85"/>
    <w:basedOn w:val="Normal"/>
    <w:rsid w:val="009A7F4D"/>
    <w:pPr>
      <w:pBdr>
        <w:top w:val="single" w:sz="4" w:space="0" w:color="000000"/>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86">
    <w:name w:val="xl86"/>
    <w:basedOn w:val="Normal"/>
    <w:rsid w:val="009A7F4D"/>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7">
    <w:name w:val="xl87"/>
    <w:basedOn w:val="Normal"/>
    <w:rsid w:val="009A7F4D"/>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8">
    <w:name w:val="xl88"/>
    <w:basedOn w:val="Normal"/>
    <w:rsid w:val="009A7F4D"/>
    <w:pPr>
      <w:pBdr>
        <w:top w:val="single" w:sz="4" w:space="0" w:color="000000"/>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89">
    <w:name w:val="xl89"/>
    <w:basedOn w:val="Normal"/>
    <w:rsid w:val="009A7F4D"/>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0">
    <w:name w:val="xl90"/>
    <w:basedOn w:val="Normal"/>
    <w:rsid w:val="009A7F4D"/>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91">
    <w:name w:val="xl91"/>
    <w:basedOn w:val="Normal"/>
    <w:rsid w:val="009A7F4D"/>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2">
    <w:name w:val="xl92"/>
    <w:basedOn w:val="Normal"/>
    <w:rsid w:val="009A7F4D"/>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3">
    <w:name w:val="xl93"/>
    <w:basedOn w:val="Normal"/>
    <w:rsid w:val="009A7F4D"/>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4">
    <w:name w:val="xl94"/>
    <w:basedOn w:val="Normal"/>
    <w:rsid w:val="009A7F4D"/>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5">
    <w:name w:val="xl95"/>
    <w:basedOn w:val="Normal"/>
    <w:rsid w:val="009A7F4D"/>
    <w:pPr>
      <w:pBdr>
        <w:top w:val="single" w:sz="4" w:space="0" w:color="000000"/>
        <w:left w:val="single" w:sz="4" w:space="0" w:color="000000"/>
        <w:bottom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color w:val="000000"/>
      <w:sz w:val="20"/>
      <w:szCs w:val="20"/>
      <w:lang w:eastAsia="es-CR"/>
    </w:rPr>
  </w:style>
  <w:style w:type="paragraph" w:customStyle="1" w:styleId="xl96">
    <w:name w:val="xl96"/>
    <w:basedOn w:val="Normal"/>
    <w:rsid w:val="009A7F4D"/>
    <w:pPr>
      <w:pBdr>
        <w:top w:val="single" w:sz="4" w:space="0" w:color="000000"/>
        <w:left w:val="single" w:sz="4" w:space="0" w:color="000000"/>
        <w:bottom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7">
    <w:name w:val="xl97"/>
    <w:basedOn w:val="Normal"/>
    <w:rsid w:val="009A7F4D"/>
    <w:pPr>
      <w:pBdr>
        <w:top w:val="single" w:sz="4" w:space="0" w:color="000000"/>
        <w:left w:val="single" w:sz="4" w:space="0" w:color="000000"/>
        <w:bottom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8">
    <w:name w:val="xl98"/>
    <w:basedOn w:val="Normal"/>
    <w:rsid w:val="009A7F4D"/>
    <w:pPr>
      <w:spacing w:before="100" w:beforeAutospacing="1" w:after="100" w:afterAutospacing="1" w:line="240" w:lineRule="auto"/>
    </w:pPr>
    <w:rPr>
      <w:rFonts w:ascii="Cambria" w:eastAsia="Times New Roman" w:hAnsi="Cambria" w:cs="Times New Roman"/>
      <w:sz w:val="20"/>
      <w:szCs w:val="20"/>
      <w:lang w:eastAsia="es-CR"/>
    </w:rPr>
  </w:style>
  <w:style w:type="paragraph" w:customStyle="1" w:styleId="xl99">
    <w:name w:val="xl99"/>
    <w:basedOn w:val="Normal"/>
    <w:rsid w:val="009A7F4D"/>
    <w:pPr>
      <w:pBdr>
        <w:top w:val="single" w:sz="4" w:space="0" w:color="000000"/>
        <w:left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0">
    <w:name w:val="xl100"/>
    <w:basedOn w:val="Normal"/>
    <w:rsid w:val="009A7F4D"/>
    <w:pPr>
      <w:pBdr>
        <w:top w:val="single" w:sz="4" w:space="0" w:color="000000"/>
        <w:left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1">
    <w:name w:val="xl101"/>
    <w:basedOn w:val="Normal"/>
    <w:rsid w:val="009A7F4D"/>
    <w:pPr>
      <w:pBdr>
        <w:top w:val="single" w:sz="4" w:space="0" w:color="000000"/>
        <w:lef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2">
    <w:name w:val="xl102"/>
    <w:basedOn w:val="Normal"/>
    <w:rsid w:val="009A7F4D"/>
    <w:pPr>
      <w:pBdr>
        <w:top w:val="single" w:sz="4" w:space="0" w:color="auto"/>
        <w:left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3">
    <w:name w:val="xl103"/>
    <w:basedOn w:val="Normal"/>
    <w:rsid w:val="009A7F4D"/>
    <w:pPr>
      <w:pBdr>
        <w:top w:val="single" w:sz="4" w:space="0" w:color="auto"/>
        <w:left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4">
    <w:name w:val="xl104"/>
    <w:basedOn w:val="Normal"/>
    <w:rsid w:val="009A7F4D"/>
    <w:pPr>
      <w:pBdr>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5">
    <w:name w:val="xl105"/>
    <w:basedOn w:val="Normal"/>
    <w:rsid w:val="009A7F4D"/>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6">
    <w:name w:val="xl106"/>
    <w:basedOn w:val="Normal"/>
    <w:rsid w:val="009A7F4D"/>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7">
    <w:name w:val="xl107"/>
    <w:basedOn w:val="Normal"/>
    <w:rsid w:val="009A7F4D"/>
    <w:pPr>
      <w:pBdr>
        <w:top w:val="single" w:sz="4" w:space="0" w:color="000000"/>
        <w:bottom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8">
    <w:name w:val="xl108"/>
    <w:basedOn w:val="Normal"/>
    <w:rsid w:val="009A7F4D"/>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09">
    <w:name w:val="xl109"/>
    <w:basedOn w:val="Normal"/>
    <w:rsid w:val="009A7F4D"/>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0">
    <w:name w:val="xl110"/>
    <w:basedOn w:val="Normal"/>
    <w:rsid w:val="009A7F4D"/>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1">
    <w:name w:val="xl111"/>
    <w:basedOn w:val="Normal"/>
    <w:rsid w:val="009A7F4D"/>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2">
    <w:name w:val="xl112"/>
    <w:basedOn w:val="Normal"/>
    <w:rsid w:val="009A7F4D"/>
    <w:pPr>
      <w:pBdr>
        <w:top w:val="single" w:sz="4" w:space="0" w:color="000000"/>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3">
    <w:name w:val="xl113"/>
    <w:basedOn w:val="Normal"/>
    <w:rsid w:val="009A7F4D"/>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4">
    <w:name w:val="xl114"/>
    <w:basedOn w:val="Normal"/>
    <w:rsid w:val="009A7F4D"/>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5">
    <w:name w:val="xl115"/>
    <w:basedOn w:val="Normal"/>
    <w:rsid w:val="009A7F4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6">
    <w:name w:val="xl116"/>
    <w:basedOn w:val="Normal"/>
    <w:rsid w:val="009A7F4D"/>
    <w:pPr>
      <w:pBdr>
        <w:top w:val="single" w:sz="4" w:space="0" w:color="auto"/>
        <w:left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17">
    <w:name w:val="xl117"/>
    <w:basedOn w:val="Normal"/>
    <w:rsid w:val="009A7F4D"/>
    <w:pPr>
      <w:pBdr>
        <w:top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18">
    <w:name w:val="xl118"/>
    <w:basedOn w:val="Normal"/>
    <w:rsid w:val="009A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19">
    <w:name w:val="xl119"/>
    <w:basedOn w:val="Normal"/>
    <w:rsid w:val="009A7F4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20">
    <w:name w:val="xl120"/>
    <w:basedOn w:val="Normal"/>
    <w:rsid w:val="009A7F4D"/>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21">
    <w:name w:val="xl121"/>
    <w:basedOn w:val="Normal"/>
    <w:rsid w:val="009A7F4D"/>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22">
    <w:name w:val="xl122"/>
    <w:basedOn w:val="Normal"/>
    <w:rsid w:val="009A7F4D"/>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23">
    <w:name w:val="xl123"/>
    <w:basedOn w:val="Normal"/>
    <w:rsid w:val="009A7F4D"/>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24">
    <w:name w:val="xl124"/>
    <w:basedOn w:val="Normal"/>
    <w:rsid w:val="009A7F4D"/>
    <w:pPr>
      <w:pBdr>
        <w:top w:val="single" w:sz="4" w:space="0" w:color="000000"/>
        <w:left w:val="single" w:sz="4" w:space="0" w:color="000000"/>
        <w:bottom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25">
    <w:name w:val="xl125"/>
    <w:basedOn w:val="Normal"/>
    <w:rsid w:val="009A7F4D"/>
    <w:pPr>
      <w:pBdr>
        <w:left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26">
    <w:name w:val="xl126"/>
    <w:basedOn w:val="Normal"/>
    <w:rsid w:val="009A7F4D"/>
    <w:pPr>
      <w:pBdr>
        <w:top w:val="single" w:sz="4" w:space="0" w:color="000000"/>
        <w:bottom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27">
    <w:name w:val="xl127"/>
    <w:basedOn w:val="Normal"/>
    <w:rsid w:val="009A7F4D"/>
    <w:pPr>
      <w:pBdr>
        <w:top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Cambria" w:eastAsia="Times New Roman" w:hAnsi="Cambria" w:cs="Times New Roman"/>
      <w:i/>
      <w:iCs/>
      <w:sz w:val="20"/>
      <w:szCs w:val="20"/>
      <w:lang w:eastAsia="es-CR"/>
    </w:rPr>
  </w:style>
  <w:style w:type="paragraph" w:customStyle="1" w:styleId="xl128">
    <w:name w:val="xl128"/>
    <w:basedOn w:val="Normal"/>
    <w:rsid w:val="009A7F4D"/>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29">
    <w:name w:val="xl129"/>
    <w:basedOn w:val="Normal"/>
    <w:rsid w:val="009A7F4D"/>
    <w:pPr>
      <w:pBdr>
        <w:left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0">
    <w:name w:val="xl130"/>
    <w:basedOn w:val="Normal"/>
    <w:rsid w:val="009A7F4D"/>
    <w:pPr>
      <w:pBdr>
        <w:left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1">
    <w:name w:val="xl131"/>
    <w:basedOn w:val="Normal"/>
    <w:rsid w:val="009A7F4D"/>
    <w:pPr>
      <w:pBdr>
        <w:left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32">
    <w:name w:val="xl132"/>
    <w:basedOn w:val="Normal"/>
    <w:rsid w:val="009A7F4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33">
    <w:name w:val="xl133"/>
    <w:basedOn w:val="Normal"/>
    <w:rsid w:val="009A7F4D"/>
    <w:pPr>
      <w:pBdr>
        <w:top w:val="single" w:sz="4" w:space="0" w:color="000000"/>
        <w:left w:val="single" w:sz="4" w:space="0" w:color="auto"/>
        <w:right w:val="single" w:sz="4" w:space="0" w:color="auto"/>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34">
    <w:name w:val="xl134"/>
    <w:basedOn w:val="Normal"/>
    <w:rsid w:val="009A7F4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35">
    <w:name w:val="xl135"/>
    <w:basedOn w:val="Normal"/>
    <w:rsid w:val="009A7F4D"/>
    <w:pPr>
      <w:pBdr>
        <w:top w:val="single" w:sz="4" w:space="0" w:color="auto"/>
        <w:left w:val="single" w:sz="4" w:space="0" w:color="auto"/>
        <w:right w:val="single" w:sz="4" w:space="0" w:color="auto"/>
      </w:pBdr>
      <w:shd w:val="clear" w:color="CCFF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6">
    <w:name w:val="xl136"/>
    <w:basedOn w:val="Normal"/>
    <w:rsid w:val="009A7F4D"/>
    <w:pPr>
      <w:pBdr>
        <w:top w:val="single" w:sz="4" w:space="0" w:color="auto"/>
        <w:left w:val="single" w:sz="4" w:space="0" w:color="auto"/>
        <w:right w:val="single" w:sz="4" w:space="0" w:color="auto"/>
      </w:pBdr>
      <w:shd w:val="clear" w:color="CCFF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7">
    <w:name w:val="xl137"/>
    <w:basedOn w:val="Normal"/>
    <w:rsid w:val="009A7F4D"/>
    <w:pPr>
      <w:pBdr>
        <w:top w:val="single" w:sz="4" w:space="0" w:color="000000"/>
        <w:left w:val="single" w:sz="4" w:space="0" w:color="auto"/>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38">
    <w:name w:val="xl138"/>
    <w:basedOn w:val="Normal"/>
    <w:rsid w:val="009A7F4D"/>
    <w:pPr>
      <w:pBdr>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9">
    <w:name w:val="xl139"/>
    <w:basedOn w:val="Normal"/>
    <w:rsid w:val="009A7F4D"/>
    <w:pPr>
      <w:pBdr>
        <w:left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0">
    <w:name w:val="xl140"/>
    <w:basedOn w:val="Normal"/>
    <w:rsid w:val="009A7F4D"/>
    <w:pPr>
      <w:pBdr>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1">
    <w:name w:val="xl141"/>
    <w:basedOn w:val="Normal"/>
    <w:rsid w:val="009A7F4D"/>
    <w:pPr>
      <w:pBdr>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2">
    <w:name w:val="xl142"/>
    <w:basedOn w:val="Normal"/>
    <w:rsid w:val="009A7F4D"/>
    <w:pPr>
      <w:pBdr>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3">
    <w:name w:val="xl143"/>
    <w:basedOn w:val="Normal"/>
    <w:rsid w:val="009A7F4D"/>
    <w:pPr>
      <w:pBdr>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4">
    <w:name w:val="xl144"/>
    <w:basedOn w:val="Normal"/>
    <w:rsid w:val="009A7F4D"/>
    <w:pPr>
      <w:pBdr>
        <w:left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5">
    <w:name w:val="xl145"/>
    <w:basedOn w:val="Normal"/>
    <w:rsid w:val="009A7F4D"/>
    <w:pPr>
      <w:pBdr>
        <w:left w:val="single" w:sz="4" w:space="0" w:color="000000"/>
      </w:pBdr>
      <w:shd w:val="clear" w:color="FF99CC" w:fill="757171"/>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6">
    <w:name w:val="xl146"/>
    <w:basedOn w:val="Normal"/>
    <w:rsid w:val="009A7F4D"/>
    <w:pPr>
      <w:shd w:val="clear" w:color="FF99CC" w:fill="757171"/>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7">
    <w:name w:val="xl147"/>
    <w:basedOn w:val="Normal"/>
    <w:rsid w:val="009A7F4D"/>
    <w:pPr>
      <w:pBdr>
        <w:right w:val="single" w:sz="4" w:space="0" w:color="auto"/>
      </w:pBdr>
      <w:shd w:val="clear" w:color="FF99CC" w:fill="757171"/>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8">
    <w:name w:val="xl148"/>
    <w:basedOn w:val="Normal"/>
    <w:rsid w:val="009A7F4D"/>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49">
    <w:name w:val="xl149"/>
    <w:basedOn w:val="Normal"/>
    <w:rsid w:val="009A7F4D"/>
    <w:pPr>
      <w:pBdr>
        <w:top w:val="single" w:sz="4" w:space="0" w:color="000000"/>
        <w:left w:val="single" w:sz="4" w:space="0" w:color="000000"/>
        <w:bottom w:val="single" w:sz="4" w:space="0" w:color="000000"/>
        <w:right w:val="single" w:sz="4" w:space="0" w:color="000000"/>
      </w:pBdr>
      <w:shd w:val="clear" w:color="9999FF" w:fill="DDEBF7"/>
      <w:spacing w:before="100" w:beforeAutospacing="1" w:after="100" w:afterAutospacing="1" w:line="240" w:lineRule="auto"/>
      <w:jc w:val="right"/>
      <w:textAlignment w:val="center"/>
    </w:pPr>
    <w:rPr>
      <w:rFonts w:ascii="Cambria" w:eastAsia="Times New Roman" w:hAnsi="Cambria" w:cs="Times New Roman"/>
      <w:b/>
      <w:bCs/>
      <w:i/>
      <w:iCs/>
      <w:sz w:val="20"/>
      <w:szCs w:val="20"/>
      <w:lang w:eastAsia="es-CR"/>
    </w:rPr>
  </w:style>
  <w:style w:type="paragraph" w:customStyle="1" w:styleId="xl150">
    <w:name w:val="xl150"/>
    <w:basedOn w:val="Normal"/>
    <w:rsid w:val="009A7F4D"/>
    <w:pPr>
      <w:pBdr>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1">
    <w:name w:val="xl151"/>
    <w:basedOn w:val="Normal"/>
    <w:rsid w:val="009A7F4D"/>
    <w:pPr>
      <w:pBdr>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2">
    <w:name w:val="xl152"/>
    <w:basedOn w:val="Normal"/>
    <w:rsid w:val="009A7F4D"/>
    <w:pPr>
      <w:pBdr>
        <w:left w:val="single" w:sz="4" w:space="0" w:color="auto"/>
        <w:bottom w:val="single" w:sz="4" w:space="0" w:color="auto"/>
        <w:right w:val="single" w:sz="4" w:space="0" w:color="auto"/>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53">
    <w:name w:val="xl153"/>
    <w:basedOn w:val="Normal"/>
    <w:rsid w:val="009A7F4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Cambria" w:eastAsia="Times New Roman" w:hAnsi="Cambria" w:cs="Times New Roman"/>
      <w:b/>
      <w:bCs/>
      <w:i/>
      <w:iCs/>
      <w:sz w:val="20"/>
      <w:szCs w:val="20"/>
      <w:lang w:eastAsia="es-CR"/>
    </w:rPr>
  </w:style>
  <w:style w:type="paragraph" w:customStyle="1" w:styleId="xl154">
    <w:name w:val="xl154"/>
    <w:basedOn w:val="Normal"/>
    <w:rsid w:val="009A7F4D"/>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Cambria" w:eastAsia="Times New Roman" w:hAnsi="Cambria" w:cs="Times New Roman"/>
      <w:b/>
      <w:bCs/>
      <w:i/>
      <w:iCs/>
      <w:sz w:val="20"/>
      <w:szCs w:val="20"/>
      <w:lang w:eastAsia="es-CR"/>
    </w:rPr>
  </w:style>
  <w:style w:type="paragraph" w:customStyle="1" w:styleId="xl155">
    <w:name w:val="xl155"/>
    <w:basedOn w:val="Normal"/>
    <w:rsid w:val="009A7F4D"/>
    <w:pPr>
      <w:pBdr>
        <w:bottom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56">
    <w:name w:val="xl156"/>
    <w:basedOn w:val="Normal"/>
    <w:rsid w:val="009A7F4D"/>
    <w:pPr>
      <w:pBdr>
        <w:top w:val="single" w:sz="4" w:space="0" w:color="000000"/>
        <w:lef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7">
    <w:name w:val="xl157"/>
    <w:basedOn w:val="Normal"/>
    <w:rsid w:val="009A7F4D"/>
    <w:pPr>
      <w:pBdr>
        <w:top w:val="single" w:sz="4" w:space="0" w:color="000000"/>
        <w:left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8">
    <w:name w:val="xl158"/>
    <w:basedOn w:val="Normal"/>
    <w:rsid w:val="009A7F4D"/>
    <w:pPr>
      <w:pBdr>
        <w:top w:val="single" w:sz="4" w:space="0" w:color="000000"/>
        <w:left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9">
    <w:name w:val="xl159"/>
    <w:basedOn w:val="Normal"/>
    <w:rsid w:val="009A7F4D"/>
    <w:pPr>
      <w:pBdr>
        <w:top w:val="single" w:sz="4" w:space="0" w:color="000000"/>
        <w:lef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160">
    <w:name w:val="xl160"/>
    <w:basedOn w:val="Normal"/>
    <w:rsid w:val="009A7F4D"/>
    <w:pPr>
      <w:pBdr>
        <w:top w:val="single" w:sz="4" w:space="0" w:color="auto"/>
        <w:left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1">
    <w:name w:val="xl161"/>
    <w:basedOn w:val="Normal"/>
    <w:rsid w:val="009A7F4D"/>
    <w:pPr>
      <w:pBdr>
        <w:left w:val="single" w:sz="4" w:space="0" w:color="000000"/>
        <w:bottom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2">
    <w:name w:val="xl162"/>
    <w:basedOn w:val="Normal"/>
    <w:rsid w:val="009A7F4D"/>
    <w:pPr>
      <w:pBdr>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3">
    <w:name w:val="xl163"/>
    <w:basedOn w:val="Normal"/>
    <w:rsid w:val="009A7F4D"/>
    <w:pPr>
      <w:pBdr>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4">
    <w:name w:val="xl164"/>
    <w:basedOn w:val="Normal"/>
    <w:rsid w:val="009A7F4D"/>
    <w:pPr>
      <w:pBdr>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165">
    <w:name w:val="xl165"/>
    <w:basedOn w:val="Normal"/>
    <w:rsid w:val="009A7F4D"/>
    <w:pPr>
      <w:pBdr>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6">
    <w:name w:val="xl166"/>
    <w:basedOn w:val="Normal"/>
    <w:rsid w:val="009A7F4D"/>
    <w:pPr>
      <w:pBdr>
        <w:top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7">
    <w:name w:val="xl167"/>
    <w:basedOn w:val="Normal"/>
    <w:rsid w:val="009A7F4D"/>
    <w:pPr>
      <w:pBdr>
        <w:left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68">
    <w:name w:val="xl168"/>
    <w:basedOn w:val="Normal"/>
    <w:rsid w:val="009A7F4D"/>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9">
    <w:name w:val="xl169"/>
    <w:basedOn w:val="Normal"/>
    <w:rsid w:val="009A7F4D"/>
    <w:pPr>
      <w:pBdr>
        <w:top w:val="single" w:sz="4" w:space="0" w:color="auto"/>
        <w:bottom w:val="single" w:sz="4" w:space="0" w:color="auto"/>
      </w:pBdr>
      <w:shd w:val="clear" w:color="C0C0C0" w:fill="B4C6E7"/>
      <w:spacing w:before="100" w:beforeAutospacing="1" w:after="100" w:afterAutospacing="1" w:line="240" w:lineRule="auto"/>
      <w:jc w:val="center"/>
      <w:textAlignment w:val="center"/>
    </w:pPr>
    <w:rPr>
      <w:rFonts w:ascii="Arial" w:eastAsia="Times New Roman" w:hAnsi="Arial" w:cs="Arial"/>
      <w:b/>
      <w:bCs/>
      <w:color w:val="000000"/>
      <w:sz w:val="16"/>
      <w:szCs w:val="16"/>
      <w:lang w:eastAsia="es-CR"/>
    </w:rPr>
  </w:style>
  <w:style w:type="paragraph" w:customStyle="1" w:styleId="xl170">
    <w:name w:val="xl170"/>
    <w:basedOn w:val="Normal"/>
    <w:rsid w:val="009A7F4D"/>
    <w:pPr>
      <w:pBdr>
        <w:top w:val="single" w:sz="4" w:space="0" w:color="auto"/>
        <w:left w:val="single" w:sz="4" w:space="0" w:color="auto"/>
        <w:bottom w:val="single" w:sz="4" w:space="0" w:color="auto"/>
      </w:pBdr>
      <w:shd w:val="clear" w:color="C0C0C0" w:fill="B4C6E7"/>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171">
    <w:name w:val="xl171"/>
    <w:basedOn w:val="Normal"/>
    <w:rsid w:val="009A7F4D"/>
    <w:pPr>
      <w:pBdr>
        <w:top w:val="single" w:sz="4" w:space="0" w:color="auto"/>
        <w:left w:val="single" w:sz="4" w:space="0" w:color="auto"/>
        <w:bottom w:val="single" w:sz="4" w:space="0" w:color="auto"/>
      </w:pBdr>
      <w:shd w:val="clear" w:color="C0C0C0" w:fill="BFBFBF"/>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172">
    <w:name w:val="xl172"/>
    <w:basedOn w:val="Normal"/>
    <w:rsid w:val="009A7F4D"/>
    <w:pPr>
      <w:pBdr>
        <w:top w:val="single" w:sz="4" w:space="0" w:color="auto"/>
        <w:left w:val="single" w:sz="4" w:space="0" w:color="auto"/>
        <w:bottom w:val="single" w:sz="4" w:space="0" w:color="auto"/>
      </w:pBdr>
      <w:shd w:val="clear" w:color="C0C0C0" w:fill="B4C6E7"/>
      <w:spacing w:before="100" w:beforeAutospacing="1" w:after="100" w:afterAutospacing="1" w:line="240" w:lineRule="auto"/>
      <w:jc w:val="center"/>
      <w:textAlignment w:val="center"/>
    </w:pPr>
    <w:rPr>
      <w:rFonts w:ascii="Arial" w:eastAsia="Times New Roman" w:hAnsi="Arial" w:cs="Arial"/>
      <w:b/>
      <w:bCs/>
      <w:color w:val="000000"/>
      <w:sz w:val="16"/>
      <w:szCs w:val="16"/>
      <w:lang w:eastAsia="es-CR"/>
    </w:rPr>
  </w:style>
  <w:style w:type="paragraph" w:customStyle="1" w:styleId="xl173">
    <w:name w:val="xl173"/>
    <w:basedOn w:val="Normal"/>
    <w:rsid w:val="009A7F4D"/>
    <w:pPr>
      <w:pBdr>
        <w:top w:val="single" w:sz="4" w:space="0" w:color="auto"/>
        <w:bottom w:val="single" w:sz="4" w:space="0" w:color="auto"/>
      </w:pBdr>
      <w:shd w:val="clear" w:color="D9D9D9" w:fill="D6DCE4"/>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174">
    <w:name w:val="xl174"/>
    <w:basedOn w:val="Normal"/>
    <w:rsid w:val="009A7F4D"/>
    <w:pPr>
      <w:pBdr>
        <w:left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75">
    <w:name w:val="xl175"/>
    <w:basedOn w:val="Normal"/>
    <w:rsid w:val="009A7F4D"/>
    <w:pPr>
      <w:pBdr>
        <w:left w:val="single" w:sz="4" w:space="0" w:color="000000"/>
        <w:bottom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76">
    <w:name w:val="xl176"/>
    <w:basedOn w:val="Normal"/>
    <w:rsid w:val="009A7F4D"/>
    <w:pPr>
      <w:pBdr>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77">
    <w:name w:val="xl177"/>
    <w:basedOn w:val="Normal"/>
    <w:rsid w:val="009A7F4D"/>
    <w:pPr>
      <w:pBdr>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78">
    <w:name w:val="xl178"/>
    <w:basedOn w:val="Normal"/>
    <w:rsid w:val="009A7F4D"/>
    <w:pPr>
      <w:pBdr>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79">
    <w:name w:val="xl179"/>
    <w:basedOn w:val="Normal"/>
    <w:rsid w:val="009A7F4D"/>
    <w:pPr>
      <w:pBdr>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80">
    <w:name w:val="xl180"/>
    <w:basedOn w:val="Normal"/>
    <w:rsid w:val="009A7F4D"/>
    <w:pPr>
      <w:pBdr>
        <w:left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81">
    <w:name w:val="xl181"/>
    <w:basedOn w:val="Normal"/>
    <w:rsid w:val="009A7F4D"/>
    <w:pPr>
      <w:pBdr>
        <w:left w:val="single" w:sz="4" w:space="0" w:color="000000"/>
        <w:bottom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82">
    <w:name w:val="xl182"/>
    <w:basedOn w:val="Normal"/>
    <w:rsid w:val="009A7F4D"/>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83">
    <w:name w:val="xl183"/>
    <w:basedOn w:val="Normal"/>
    <w:rsid w:val="009A7F4D"/>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84">
    <w:name w:val="xl184"/>
    <w:basedOn w:val="Normal"/>
    <w:rsid w:val="009A7F4D"/>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85">
    <w:name w:val="xl185"/>
    <w:basedOn w:val="Normal"/>
    <w:rsid w:val="009A7F4D"/>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86">
    <w:name w:val="xl186"/>
    <w:basedOn w:val="Normal"/>
    <w:rsid w:val="009A7F4D"/>
    <w:pPr>
      <w:pBdr>
        <w:top w:val="single" w:sz="4" w:space="0" w:color="auto"/>
        <w:left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87">
    <w:name w:val="xl187"/>
    <w:basedOn w:val="Normal"/>
    <w:rsid w:val="009A7F4D"/>
    <w:pPr>
      <w:pBdr>
        <w:top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88">
    <w:name w:val="xl188"/>
    <w:basedOn w:val="Normal"/>
    <w:rsid w:val="009A7F4D"/>
    <w:pPr>
      <w:pBdr>
        <w:left w:val="single" w:sz="4" w:space="0" w:color="auto"/>
        <w:bottom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89">
    <w:name w:val="xl189"/>
    <w:basedOn w:val="Normal"/>
    <w:rsid w:val="009A7F4D"/>
    <w:pPr>
      <w:pBdr>
        <w:bottom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90">
    <w:name w:val="xl190"/>
    <w:basedOn w:val="Normal"/>
    <w:rsid w:val="009A7F4D"/>
    <w:pPr>
      <w:pBdr>
        <w:top w:val="single" w:sz="4" w:space="0" w:color="auto"/>
        <w:left w:val="single" w:sz="4" w:space="0" w:color="000000"/>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91">
    <w:name w:val="xl191"/>
    <w:basedOn w:val="Normal"/>
    <w:rsid w:val="009A7F4D"/>
    <w:pPr>
      <w:pBdr>
        <w:top w:val="single" w:sz="4" w:space="0" w:color="auto"/>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92">
    <w:name w:val="xl192"/>
    <w:basedOn w:val="Normal"/>
    <w:rsid w:val="009A7F4D"/>
    <w:pPr>
      <w:pBdr>
        <w:left w:val="single" w:sz="4" w:space="0" w:color="000000"/>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93">
    <w:name w:val="xl193"/>
    <w:basedOn w:val="Normal"/>
    <w:rsid w:val="009A7F4D"/>
    <w:pP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94">
    <w:name w:val="xl194"/>
    <w:basedOn w:val="Normal"/>
    <w:rsid w:val="009A7F4D"/>
    <w:pPr>
      <w:pBdr>
        <w:top w:val="single" w:sz="4" w:space="0" w:color="auto"/>
        <w:left w:val="single" w:sz="4" w:space="0" w:color="auto"/>
        <w:bottom w:val="single" w:sz="4" w:space="0" w:color="auto"/>
        <w:right w:val="single" w:sz="4" w:space="0" w:color="auto"/>
      </w:pBd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5">
    <w:name w:val="xl195"/>
    <w:basedOn w:val="Normal"/>
    <w:rsid w:val="009A7F4D"/>
    <w:pPr>
      <w:pBdr>
        <w:top w:val="single" w:sz="4" w:space="0" w:color="auto"/>
        <w:bottom w:val="single" w:sz="4" w:space="0" w:color="auto"/>
        <w:right w:val="single" w:sz="4" w:space="0" w:color="auto"/>
      </w:pBd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6">
    <w:name w:val="xl196"/>
    <w:basedOn w:val="Normal"/>
    <w:rsid w:val="009A7F4D"/>
    <w:pPr>
      <w:pBdr>
        <w:top w:val="single" w:sz="4" w:space="0" w:color="000000"/>
        <w:left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97">
    <w:name w:val="xl197"/>
    <w:basedOn w:val="Normal"/>
    <w:rsid w:val="009A7F4D"/>
    <w:pPr>
      <w:pBdr>
        <w:left w:val="single" w:sz="4" w:space="0" w:color="000000"/>
        <w:bottom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98">
    <w:name w:val="xl198"/>
    <w:basedOn w:val="Normal"/>
    <w:rsid w:val="009A7F4D"/>
    <w:pPr>
      <w:pBdr>
        <w:top w:val="single" w:sz="4" w:space="0" w:color="000000"/>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9">
    <w:name w:val="xl199"/>
    <w:basedOn w:val="Normal"/>
    <w:rsid w:val="009A7F4D"/>
    <w:pPr>
      <w:pBdr>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0">
    <w:name w:val="xl200"/>
    <w:basedOn w:val="Normal"/>
    <w:rsid w:val="009A7F4D"/>
    <w:pPr>
      <w:pBdr>
        <w:left w:val="single" w:sz="4" w:space="0" w:color="000000"/>
      </w:pBd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1">
    <w:name w:val="xl201"/>
    <w:basedOn w:val="Normal"/>
    <w:rsid w:val="009A7F4D"/>
    <w:pP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2">
    <w:name w:val="xl202"/>
    <w:basedOn w:val="Normal"/>
    <w:rsid w:val="009A7F4D"/>
    <w:pPr>
      <w:pBdr>
        <w:right w:val="single" w:sz="4" w:space="0" w:color="auto"/>
      </w:pBd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3">
    <w:name w:val="xl203"/>
    <w:basedOn w:val="Normal"/>
    <w:rsid w:val="009A7F4D"/>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4">
    <w:name w:val="xl204"/>
    <w:basedOn w:val="Normal"/>
    <w:rsid w:val="009A7F4D"/>
    <w:pPr>
      <w:pBdr>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5">
    <w:name w:val="xl205"/>
    <w:basedOn w:val="Normal"/>
    <w:rsid w:val="009A7F4D"/>
    <w:pPr>
      <w:pBdr>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6">
    <w:name w:val="xl206"/>
    <w:basedOn w:val="Normal"/>
    <w:rsid w:val="009A7F4D"/>
    <w:pPr>
      <w:pBdr>
        <w:top w:val="single" w:sz="4" w:space="0" w:color="000000"/>
        <w:left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07">
    <w:name w:val="xl207"/>
    <w:basedOn w:val="Normal"/>
    <w:rsid w:val="009A7F4D"/>
    <w:pPr>
      <w:pBdr>
        <w:left w:val="single" w:sz="4" w:space="0" w:color="000000"/>
        <w:bottom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08">
    <w:name w:val="xl208"/>
    <w:basedOn w:val="Normal"/>
    <w:rsid w:val="009A7F4D"/>
    <w:pPr>
      <w:pBdr>
        <w:left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09">
    <w:name w:val="xl209"/>
    <w:basedOn w:val="Normal"/>
    <w:rsid w:val="009A7F4D"/>
    <w:pPr>
      <w:pBdr>
        <w:top w:val="single" w:sz="4" w:space="0" w:color="000000"/>
        <w:left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color w:val="000000"/>
      <w:sz w:val="20"/>
      <w:szCs w:val="20"/>
      <w:lang w:eastAsia="es-CR"/>
    </w:rPr>
  </w:style>
  <w:style w:type="paragraph" w:customStyle="1" w:styleId="xl210">
    <w:name w:val="xl210"/>
    <w:basedOn w:val="Normal"/>
    <w:rsid w:val="009A7F4D"/>
    <w:pPr>
      <w:pBdr>
        <w:left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color w:val="000000"/>
      <w:sz w:val="20"/>
      <w:szCs w:val="20"/>
      <w:lang w:eastAsia="es-CR"/>
    </w:rPr>
  </w:style>
  <w:style w:type="paragraph" w:customStyle="1" w:styleId="xl211">
    <w:name w:val="xl211"/>
    <w:basedOn w:val="Normal"/>
    <w:rsid w:val="009A7F4D"/>
    <w:pPr>
      <w:pBdr>
        <w:left w:val="single" w:sz="4" w:space="0" w:color="000000"/>
        <w:bottom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color w:val="000000"/>
      <w:sz w:val="20"/>
      <w:szCs w:val="20"/>
      <w:lang w:eastAsia="es-CR"/>
    </w:rPr>
  </w:style>
  <w:style w:type="paragraph" w:customStyle="1" w:styleId="xl212">
    <w:name w:val="xl212"/>
    <w:basedOn w:val="Normal"/>
    <w:rsid w:val="009A7F4D"/>
    <w:pPr>
      <w:pBdr>
        <w:top w:val="single" w:sz="4" w:space="0" w:color="000000"/>
        <w:lef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13">
    <w:name w:val="xl213"/>
    <w:basedOn w:val="Normal"/>
    <w:rsid w:val="009A7F4D"/>
    <w:pPr>
      <w:pBdr>
        <w:lef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14">
    <w:name w:val="xl214"/>
    <w:basedOn w:val="Normal"/>
    <w:rsid w:val="009A7F4D"/>
    <w:pPr>
      <w:pBdr>
        <w:left w:val="single" w:sz="4" w:space="0" w:color="000000"/>
        <w:bottom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15">
    <w:name w:val="xl215"/>
    <w:basedOn w:val="Normal"/>
    <w:rsid w:val="009A7F4D"/>
    <w:pPr>
      <w:pBdr>
        <w:top w:val="single" w:sz="4" w:space="0" w:color="000000"/>
        <w:lef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16">
    <w:name w:val="xl216"/>
    <w:basedOn w:val="Normal"/>
    <w:rsid w:val="009A7F4D"/>
    <w:pPr>
      <w:pBdr>
        <w:lef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17">
    <w:name w:val="xl217"/>
    <w:basedOn w:val="Normal"/>
    <w:rsid w:val="009A7F4D"/>
    <w:pPr>
      <w:pBdr>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18">
    <w:name w:val="xl218"/>
    <w:basedOn w:val="Normal"/>
    <w:rsid w:val="009A7F4D"/>
    <w:pPr>
      <w:pBdr>
        <w:top w:val="single" w:sz="4" w:space="0" w:color="auto"/>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19">
    <w:name w:val="xl219"/>
    <w:basedOn w:val="Normal"/>
    <w:rsid w:val="009A7F4D"/>
    <w:pPr>
      <w:pBdr>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20">
    <w:name w:val="xl220"/>
    <w:basedOn w:val="Normal"/>
    <w:rsid w:val="009A7F4D"/>
    <w:pPr>
      <w:pBdr>
        <w:top w:val="single" w:sz="4" w:space="0" w:color="000000"/>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21">
    <w:name w:val="xl221"/>
    <w:basedOn w:val="Normal"/>
    <w:rsid w:val="009A7F4D"/>
    <w:pPr>
      <w:pBdr>
        <w:top w:val="single" w:sz="4" w:space="0" w:color="000000"/>
        <w:left w:val="single" w:sz="8" w:space="0" w:color="000000"/>
        <w:bottom w:val="single" w:sz="4" w:space="0" w:color="000000"/>
        <w:right w:val="single" w:sz="4" w:space="0" w:color="000000"/>
      </w:pBdr>
      <w:shd w:val="clear" w:color="993300" w:fill="FF0000"/>
      <w:spacing w:before="100" w:beforeAutospacing="1" w:after="100" w:afterAutospacing="1" w:line="240" w:lineRule="auto"/>
      <w:jc w:val="center"/>
      <w:textAlignment w:val="center"/>
    </w:pPr>
    <w:rPr>
      <w:rFonts w:ascii="Cambria" w:eastAsia="Times New Roman" w:hAnsi="Cambria" w:cs="Times New Roman"/>
      <w:b/>
      <w:bCs/>
      <w:color w:val="FFFFFF"/>
      <w:sz w:val="20"/>
      <w:szCs w:val="20"/>
      <w:lang w:eastAsia="es-CR"/>
    </w:rPr>
  </w:style>
  <w:style w:type="paragraph" w:customStyle="1" w:styleId="xl222">
    <w:name w:val="xl222"/>
    <w:basedOn w:val="Normal"/>
    <w:rsid w:val="009A7F4D"/>
    <w:pPr>
      <w:pBdr>
        <w:top w:val="single" w:sz="4" w:space="0" w:color="000000"/>
        <w:left w:val="single" w:sz="4" w:space="0" w:color="000000"/>
        <w:bottom w:val="single" w:sz="4" w:space="0" w:color="000000"/>
        <w:right w:val="single" w:sz="4" w:space="0" w:color="000000"/>
      </w:pBdr>
      <w:shd w:val="clear" w:color="FFFF00" w:fill="FFCC0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23">
    <w:name w:val="xl223"/>
    <w:basedOn w:val="Normal"/>
    <w:rsid w:val="009A7F4D"/>
    <w:pPr>
      <w:pBdr>
        <w:top w:val="single" w:sz="4" w:space="0" w:color="000000"/>
        <w:left w:val="single" w:sz="4" w:space="0" w:color="000000"/>
        <w:right w:val="single" w:sz="4" w:space="0" w:color="000000"/>
      </w:pBdr>
      <w:shd w:val="clear" w:color="008080" w:fill="008000"/>
      <w:spacing w:before="100" w:beforeAutospacing="1" w:after="100" w:afterAutospacing="1" w:line="240" w:lineRule="auto"/>
      <w:jc w:val="center"/>
      <w:textAlignment w:val="center"/>
    </w:pPr>
    <w:rPr>
      <w:rFonts w:ascii="Cambria" w:eastAsia="Times New Roman" w:hAnsi="Cambria" w:cs="Times New Roman"/>
      <w:b/>
      <w:bCs/>
      <w:color w:val="FFFFFF"/>
      <w:sz w:val="20"/>
      <w:szCs w:val="20"/>
      <w:lang w:eastAsia="es-CR"/>
    </w:rPr>
  </w:style>
  <w:style w:type="paragraph" w:customStyle="1" w:styleId="xl224">
    <w:name w:val="xl224"/>
    <w:basedOn w:val="Normal"/>
    <w:rsid w:val="009A7F4D"/>
    <w:pPr>
      <w:pBdr>
        <w:top w:val="single" w:sz="4" w:space="0" w:color="000000"/>
        <w:left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25">
    <w:name w:val="xl225"/>
    <w:basedOn w:val="Normal"/>
    <w:rsid w:val="009A7F4D"/>
    <w:pPr>
      <w:pBdr>
        <w:left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26">
    <w:name w:val="xl226"/>
    <w:basedOn w:val="Normal"/>
    <w:rsid w:val="009A7F4D"/>
    <w:pPr>
      <w:pBdr>
        <w:left w:val="single" w:sz="4" w:space="0" w:color="000000"/>
        <w:bottom w:val="single" w:sz="4" w:space="0" w:color="auto"/>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27">
    <w:name w:val="xl227"/>
    <w:basedOn w:val="Normal"/>
    <w:rsid w:val="009A7F4D"/>
    <w:pPr>
      <w:pBdr>
        <w:top w:val="single" w:sz="4" w:space="0" w:color="000000"/>
        <w:left w:val="single" w:sz="4" w:space="0" w:color="000000"/>
        <w:bottom w:val="single" w:sz="4" w:space="0" w:color="000000"/>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8">
    <w:name w:val="xl228"/>
    <w:basedOn w:val="Normal"/>
    <w:rsid w:val="009A7F4D"/>
    <w:pPr>
      <w:pBdr>
        <w:top w:val="single" w:sz="4" w:space="0" w:color="000000"/>
        <w:left w:val="single" w:sz="4" w:space="0" w:color="000000"/>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9">
    <w:name w:val="xl229"/>
    <w:basedOn w:val="Normal"/>
    <w:rsid w:val="009A7F4D"/>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30">
    <w:name w:val="xl230"/>
    <w:basedOn w:val="Normal"/>
    <w:rsid w:val="009A7F4D"/>
    <w:pPr>
      <w:pBdr>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31">
    <w:name w:val="xl231"/>
    <w:basedOn w:val="Normal"/>
    <w:rsid w:val="009A7F4D"/>
    <w:pPr>
      <w:pBdr>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32">
    <w:name w:val="xl232"/>
    <w:basedOn w:val="Normal"/>
    <w:rsid w:val="009A7F4D"/>
    <w:pPr>
      <w:pBdr>
        <w:left w:val="single" w:sz="4" w:space="0" w:color="auto"/>
      </w:pBdr>
      <w:shd w:val="clear" w:color="FF99CC" w:fill="757171"/>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33">
    <w:name w:val="xl233"/>
    <w:basedOn w:val="Normal"/>
    <w:rsid w:val="009A7F4D"/>
    <w:pPr>
      <w:pBdr>
        <w:top w:val="single" w:sz="4" w:space="0" w:color="auto"/>
        <w:right w:val="single" w:sz="4" w:space="0" w:color="000000"/>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34">
    <w:name w:val="xl234"/>
    <w:basedOn w:val="Normal"/>
    <w:rsid w:val="009A7F4D"/>
    <w:pPr>
      <w:pBdr>
        <w:right w:val="single" w:sz="4" w:space="0" w:color="000000"/>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35">
    <w:name w:val="xl235"/>
    <w:basedOn w:val="Normal"/>
    <w:rsid w:val="009A7F4D"/>
    <w:pPr>
      <w:pBdr>
        <w:bottom w:val="single" w:sz="4" w:space="0" w:color="auto"/>
        <w:right w:val="single" w:sz="4" w:space="0" w:color="000000"/>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36">
    <w:name w:val="xl236"/>
    <w:basedOn w:val="Normal"/>
    <w:rsid w:val="009A7F4D"/>
    <w:pP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37">
    <w:name w:val="xl237"/>
    <w:basedOn w:val="Normal"/>
    <w:rsid w:val="009A7F4D"/>
    <w:pPr>
      <w:pBdr>
        <w:left w:val="single" w:sz="4" w:space="0" w:color="000000"/>
        <w:bottom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38">
    <w:name w:val="xl238"/>
    <w:basedOn w:val="Normal"/>
    <w:rsid w:val="009A7F4D"/>
    <w:pPr>
      <w:pBdr>
        <w:left w:val="single" w:sz="4" w:space="0" w:color="000000"/>
        <w:bottom w:val="single" w:sz="4" w:space="0" w:color="auto"/>
      </w:pBdr>
      <w:shd w:val="clear" w:color="FF99CC" w:fill="757171"/>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39">
    <w:name w:val="xl239"/>
    <w:basedOn w:val="Normal"/>
    <w:rsid w:val="009A7F4D"/>
    <w:pPr>
      <w:pBdr>
        <w:bottom w:val="single" w:sz="4" w:space="0" w:color="auto"/>
      </w:pBdr>
      <w:shd w:val="clear" w:color="FF99CC" w:fill="757171"/>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40">
    <w:name w:val="xl240"/>
    <w:basedOn w:val="Normal"/>
    <w:rsid w:val="009A7F4D"/>
    <w:pPr>
      <w:pBdr>
        <w:bottom w:val="single" w:sz="4" w:space="0" w:color="auto"/>
        <w:right w:val="single" w:sz="4" w:space="0" w:color="auto"/>
      </w:pBdr>
      <w:shd w:val="clear" w:color="FF99CC" w:fill="757171"/>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41">
    <w:name w:val="xl241"/>
    <w:basedOn w:val="Normal"/>
    <w:rsid w:val="009A7F4D"/>
    <w:pPr>
      <w:pBdr>
        <w:top w:val="single" w:sz="4" w:space="0" w:color="auto"/>
        <w:left w:val="single" w:sz="4" w:space="0" w:color="auto"/>
        <w:bottom w:val="single" w:sz="4" w:space="0" w:color="auto"/>
        <w:right w:val="single" w:sz="4" w:space="0" w:color="auto"/>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2">
    <w:name w:val="xl242"/>
    <w:basedOn w:val="Normal"/>
    <w:rsid w:val="009A7F4D"/>
    <w:pPr>
      <w:pBdr>
        <w:top w:val="single" w:sz="4" w:space="0" w:color="auto"/>
        <w:left w:val="single" w:sz="4" w:space="0" w:color="auto"/>
        <w:bottom w:val="single" w:sz="4" w:space="0" w:color="auto"/>
        <w:right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3">
    <w:name w:val="xl243"/>
    <w:basedOn w:val="Normal"/>
    <w:rsid w:val="009A7F4D"/>
    <w:pPr>
      <w:pBdr>
        <w:left w:val="single" w:sz="4" w:space="0" w:color="000000"/>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4">
    <w:name w:val="xl244"/>
    <w:basedOn w:val="Normal"/>
    <w:rsid w:val="009A7F4D"/>
    <w:pP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5">
    <w:name w:val="xl245"/>
    <w:basedOn w:val="Normal"/>
    <w:rsid w:val="009A7F4D"/>
    <w:pPr>
      <w:pBdr>
        <w:right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6">
    <w:name w:val="xl246"/>
    <w:basedOn w:val="Normal"/>
    <w:rsid w:val="009A7F4D"/>
    <w:pPr>
      <w:pBdr>
        <w:top w:val="single" w:sz="4" w:space="0" w:color="000000"/>
        <w:left w:val="single" w:sz="4" w:space="0" w:color="000000"/>
        <w:bottom w:val="single" w:sz="4" w:space="0" w:color="000000"/>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7">
    <w:name w:val="xl247"/>
    <w:basedOn w:val="Normal"/>
    <w:rsid w:val="009A7F4D"/>
    <w:pPr>
      <w:pBdr>
        <w:top w:val="single" w:sz="4" w:space="0" w:color="000000"/>
        <w:bottom w:val="single" w:sz="4" w:space="0" w:color="000000"/>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8">
    <w:name w:val="xl248"/>
    <w:basedOn w:val="Normal"/>
    <w:rsid w:val="009A7F4D"/>
    <w:pPr>
      <w:pBdr>
        <w:top w:val="single" w:sz="4" w:space="0" w:color="000000"/>
        <w:bottom w:val="single" w:sz="4" w:space="0" w:color="000000"/>
        <w:right w:val="single" w:sz="4" w:space="0" w:color="000000"/>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9">
    <w:name w:val="xl249"/>
    <w:basedOn w:val="Normal"/>
    <w:rsid w:val="009A7F4D"/>
    <w:pPr>
      <w:pBdr>
        <w:top w:val="single" w:sz="4" w:space="0" w:color="000000"/>
        <w:left w:val="single" w:sz="4" w:space="0" w:color="000000"/>
        <w:bottom w:val="single" w:sz="4" w:space="0" w:color="000000"/>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50">
    <w:name w:val="xl250"/>
    <w:basedOn w:val="Normal"/>
    <w:rsid w:val="009A7F4D"/>
    <w:pPr>
      <w:pBdr>
        <w:top w:val="single" w:sz="4" w:space="0" w:color="000000"/>
        <w:bottom w:val="single" w:sz="4" w:space="0" w:color="000000"/>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51">
    <w:name w:val="xl251"/>
    <w:basedOn w:val="Normal"/>
    <w:rsid w:val="009A7F4D"/>
    <w:pPr>
      <w:pBdr>
        <w:top w:val="single" w:sz="4" w:space="0" w:color="000000"/>
        <w:bottom w:val="single" w:sz="4" w:space="0" w:color="000000"/>
        <w:right w:val="single" w:sz="4" w:space="0" w:color="000000"/>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52">
    <w:name w:val="xl252"/>
    <w:basedOn w:val="Normal"/>
    <w:rsid w:val="009A7F4D"/>
    <w:pPr>
      <w:pBdr>
        <w:top w:val="single" w:sz="4" w:space="0" w:color="auto"/>
        <w:left w:val="single" w:sz="4" w:space="0" w:color="auto"/>
        <w:bottom w:val="single" w:sz="4" w:space="0" w:color="auto"/>
        <w:right w:val="single" w:sz="4" w:space="0" w:color="auto"/>
      </w:pBdr>
      <w:shd w:val="clear" w:color="FF99CC" w:fill="5B9BD5"/>
      <w:spacing w:before="100" w:beforeAutospacing="1" w:after="100" w:afterAutospacing="1" w:line="240" w:lineRule="auto"/>
      <w:jc w:val="right"/>
      <w:textAlignment w:val="center"/>
    </w:pPr>
    <w:rPr>
      <w:rFonts w:ascii="Cambria" w:eastAsia="Times New Roman" w:hAnsi="Cambria" w:cs="Times New Roman"/>
      <w:b/>
      <w:bCs/>
      <w:color w:val="FFFFFF"/>
      <w:sz w:val="28"/>
      <w:szCs w:val="28"/>
      <w:lang w:eastAsia="es-CR"/>
    </w:rPr>
  </w:style>
  <w:style w:type="paragraph" w:customStyle="1" w:styleId="xl253">
    <w:name w:val="xl253"/>
    <w:basedOn w:val="Normal"/>
    <w:rsid w:val="009A7F4D"/>
    <w:pPr>
      <w:pBdr>
        <w:top w:val="single" w:sz="4" w:space="0" w:color="auto"/>
        <w:left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54">
    <w:name w:val="xl254"/>
    <w:basedOn w:val="Normal"/>
    <w:rsid w:val="009A7F4D"/>
    <w:pPr>
      <w:pBdr>
        <w:left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55">
    <w:name w:val="xl255"/>
    <w:basedOn w:val="Normal"/>
    <w:rsid w:val="009A7F4D"/>
    <w:pPr>
      <w:pBdr>
        <w:left w:val="single" w:sz="4" w:space="0" w:color="000000"/>
        <w:bottom w:val="single" w:sz="4" w:space="0" w:color="auto"/>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56">
    <w:name w:val="xl256"/>
    <w:basedOn w:val="Normal"/>
    <w:rsid w:val="009A7F4D"/>
    <w:pPr>
      <w:pBdr>
        <w:top w:val="single" w:sz="4" w:space="0" w:color="auto"/>
        <w:left w:val="single" w:sz="4" w:space="0" w:color="000000"/>
      </w:pBdr>
      <w:shd w:val="clear" w:color="CCFF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57">
    <w:name w:val="xl257"/>
    <w:basedOn w:val="Normal"/>
    <w:rsid w:val="009A7F4D"/>
    <w:pPr>
      <w:pBdr>
        <w:left w:val="single" w:sz="4" w:space="0" w:color="000000"/>
      </w:pBdr>
      <w:shd w:val="clear" w:color="CCFF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58">
    <w:name w:val="xl258"/>
    <w:basedOn w:val="Normal"/>
    <w:rsid w:val="009A7F4D"/>
    <w:pPr>
      <w:pBdr>
        <w:left w:val="single" w:sz="4" w:space="0" w:color="000000"/>
        <w:bottom w:val="single" w:sz="4" w:space="0" w:color="auto"/>
      </w:pBdr>
      <w:shd w:val="clear" w:color="CCFF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59">
    <w:name w:val="xl259"/>
    <w:basedOn w:val="Normal"/>
    <w:rsid w:val="009A7F4D"/>
    <w:pPr>
      <w:pBdr>
        <w:top w:val="single" w:sz="4" w:space="0" w:color="auto"/>
        <w:left w:val="single" w:sz="4" w:space="0" w:color="auto"/>
        <w:bottom w:val="single" w:sz="4" w:space="0" w:color="auto"/>
        <w:right w:val="single" w:sz="4" w:space="0" w:color="auto"/>
      </w:pBdr>
      <w:shd w:val="clear" w:color="CCFF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60">
    <w:name w:val="xl260"/>
    <w:basedOn w:val="Normal"/>
    <w:rsid w:val="009A7F4D"/>
    <w:pPr>
      <w:pBdr>
        <w:top w:val="single" w:sz="4" w:space="0" w:color="auto"/>
        <w:right w:val="single" w:sz="4" w:space="0" w:color="000000"/>
      </w:pBdr>
      <w:shd w:val="clear" w:color="CCFFFF"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261">
    <w:name w:val="xl261"/>
    <w:basedOn w:val="Normal"/>
    <w:rsid w:val="009A7F4D"/>
    <w:pPr>
      <w:pBdr>
        <w:right w:val="single" w:sz="4" w:space="0" w:color="000000"/>
      </w:pBdr>
      <w:shd w:val="clear" w:color="CCFFFF"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262">
    <w:name w:val="xl262"/>
    <w:basedOn w:val="Normal"/>
    <w:rsid w:val="009A7F4D"/>
    <w:pPr>
      <w:pBdr>
        <w:bottom w:val="single" w:sz="4" w:space="0" w:color="000000"/>
        <w:right w:val="single" w:sz="4" w:space="0" w:color="000000"/>
      </w:pBdr>
      <w:shd w:val="clear" w:color="CCFFFF"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263">
    <w:name w:val="xl263"/>
    <w:basedOn w:val="Normal"/>
    <w:rsid w:val="009A7F4D"/>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64">
    <w:name w:val="xl264"/>
    <w:basedOn w:val="Normal"/>
    <w:rsid w:val="009A7F4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65">
    <w:name w:val="xl265"/>
    <w:basedOn w:val="Normal"/>
    <w:rsid w:val="009A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66">
    <w:name w:val="xl266"/>
    <w:basedOn w:val="Normal"/>
    <w:rsid w:val="009A7F4D"/>
    <w:pPr>
      <w:pBdr>
        <w:top w:val="single" w:sz="4" w:space="0" w:color="auto"/>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67">
    <w:name w:val="xl267"/>
    <w:basedOn w:val="Normal"/>
    <w:rsid w:val="009A7F4D"/>
    <w:pPr>
      <w:pBdr>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68">
    <w:name w:val="xl268"/>
    <w:basedOn w:val="Normal"/>
    <w:rsid w:val="009A7F4D"/>
    <w:pPr>
      <w:pBdr>
        <w:bottom w:val="single" w:sz="4" w:space="0" w:color="auto"/>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69">
    <w:name w:val="xl269"/>
    <w:basedOn w:val="Normal"/>
    <w:rsid w:val="009A7F4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70">
    <w:name w:val="xl270"/>
    <w:basedOn w:val="Normal"/>
    <w:rsid w:val="009A7F4D"/>
    <w:pPr>
      <w:pBdr>
        <w:left w:val="single" w:sz="4" w:space="0" w:color="auto"/>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71">
    <w:name w:val="xl271"/>
    <w:basedOn w:val="Normal"/>
    <w:rsid w:val="009A7F4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16"/>
      <w:szCs w:val="16"/>
      <w:lang w:eastAsia="es-CR"/>
    </w:rPr>
  </w:style>
  <w:style w:type="paragraph" w:customStyle="1" w:styleId="xl272">
    <w:name w:val="xl272"/>
    <w:basedOn w:val="Normal"/>
    <w:rsid w:val="009A7F4D"/>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73">
    <w:name w:val="xl273"/>
    <w:basedOn w:val="Normal"/>
    <w:rsid w:val="009A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74">
    <w:name w:val="xl274"/>
    <w:basedOn w:val="Normal"/>
    <w:rsid w:val="009A7F4D"/>
    <w:pPr>
      <w:pBdr>
        <w:top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75">
    <w:name w:val="xl275"/>
    <w:basedOn w:val="Normal"/>
    <w:rsid w:val="009A7F4D"/>
    <w:pPr>
      <w:pBdr>
        <w:top w:val="single" w:sz="4" w:space="0" w:color="000000"/>
        <w:lef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76">
    <w:name w:val="xl276"/>
    <w:basedOn w:val="Normal"/>
    <w:rsid w:val="009A7F4D"/>
    <w:pPr>
      <w:pBdr>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77">
    <w:name w:val="xl277"/>
    <w:basedOn w:val="Normal"/>
    <w:rsid w:val="009A7F4D"/>
    <w:pPr>
      <w:pBdr>
        <w:lef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78">
    <w:name w:val="xl278"/>
    <w:basedOn w:val="Normal"/>
    <w:rsid w:val="009A7F4D"/>
    <w:pPr>
      <w:pBdr>
        <w:bottom w:val="single" w:sz="4" w:space="0" w:color="000000"/>
        <w:right w:val="single" w:sz="4" w:space="0" w:color="000000"/>
      </w:pBdr>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79">
    <w:name w:val="xl279"/>
    <w:basedOn w:val="Normal"/>
    <w:rsid w:val="009A7F4D"/>
    <w:pPr>
      <w:pBdr>
        <w:left w:val="single" w:sz="4" w:space="0" w:color="000000"/>
        <w:bottom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80">
    <w:name w:val="xl280"/>
    <w:basedOn w:val="Normal"/>
    <w:rsid w:val="009A7F4D"/>
    <w:pPr>
      <w:pBdr>
        <w:top w:val="single" w:sz="4" w:space="0" w:color="000000"/>
        <w:left w:val="single" w:sz="4" w:space="0" w:color="000000"/>
        <w:right w:val="single" w:sz="4" w:space="0" w:color="auto"/>
      </w:pBdr>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81">
    <w:name w:val="xl281"/>
    <w:basedOn w:val="Normal"/>
    <w:rsid w:val="009A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82">
    <w:name w:val="xl282"/>
    <w:basedOn w:val="Normal"/>
    <w:rsid w:val="009A7F4D"/>
    <w:pPr>
      <w:pBdr>
        <w:left w:val="single" w:sz="4" w:space="0" w:color="000000"/>
        <w:right w:val="single" w:sz="4" w:space="0" w:color="auto"/>
      </w:pBdr>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83">
    <w:name w:val="xl283"/>
    <w:basedOn w:val="Normal"/>
    <w:rsid w:val="009A7F4D"/>
    <w:pPr>
      <w:pBdr>
        <w:left w:val="single" w:sz="4" w:space="0" w:color="000000"/>
        <w:bottom w:val="single" w:sz="4" w:space="0" w:color="000000"/>
        <w:right w:val="single" w:sz="4" w:space="0" w:color="auto"/>
      </w:pBdr>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84">
    <w:name w:val="xl284"/>
    <w:basedOn w:val="Normal"/>
    <w:rsid w:val="009A7F4D"/>
    <w:pPr>
      <w:pBdr>
        <w:top w:val="single" w:sz="4" w:space="0" w:color="000000"/>
        <w:right w:val="single" w:sz="4" w:space="0" w:color="000000"/>
      </w:pBdr>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85">
    <w:name w:val="xl285"/>
    <w:basedOn w:val="Normal"/>
    <w:rsid w:val="009A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286">
    <w:name w:val="xl286"/>
    <w:basedOn w:val="Normal"/>
    <w:rsid w:val="009A7F4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287">
    <w:name w:val="xl287"/>
    <w:basedOn w:val="Normal"/>
    <w:rsid w:val="009A7F4D"/>
    <w:pPr>
      <w:pBdr>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88">
    <w:name w:val="xl288"/>
    <w:basedOn w:val="Normal"/>
    <w:rsid w:val="009A7F4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89">
    <w:name w:val="xl289"/>
    <w:basedOn w:val="Normal"/>
    <w:rsid w:val="009A7F4D"/>
    <w:pPr>
      <w:pBdr>
        <w:top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90">
    <w:name w:val="xl290"/>
    <w:basedOn w:val="Normal"/>
    <w:rsid w:val="009A7F4D"/>
    <w:pPr>
      <w:pBdr>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91">
    <w:name w:val="xl291"/>
    <w:basedOn w:val="Normal"/>
    <w:rsid w:val="009A7F4D"/>
    <w:pPr>
      <w:pBdr>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92">
    <w:name w:val="xl292"/>
    <w:basedOn w:val="Normal"/>
    <w:rsid w:val="009A7F4D"/>
    <w:pPr>
      <w:pBdr>
        <w:top w:val="single" w:sz="4" w:space="0" w:color="000000"/>
        <w:right w:val="single" w:sz="4" w:space="0" w:color="auto"/>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93">
    <w:name w:val="xl293"/>
    <w:basedOn w:val="Normal"/>
    <w:rsid w:val="009A7F4D"/>
    <w:pPr>
      <w:pBdr>
        <w:right w:val="single" w:sz="4" w:space="0" w:color="auto"/>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94">
    <w:name w:val="xl294"/>
    <w:basedOn w:val="Normal"/>
    <w:rsid w:val="009A7F4D"/>
    <w:pPr>
      <w:pBdr>
        <w:bottom w:val="single" w:sz="4" w:space="0" w:color="auto"/>
        <w:right w:val="single" w:sz="4" w:space="0" w:color="auto"/>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95">
    <w:name w:val="xl295"/>
    <w:basedOn w:val="Normal"/>
    <w:rsid w:val="009A7F4D"/>
    <w:pPr>
      <w:pBdr>
        <w:top w:val="single" w:sz="4" w:space="0" w:color="auto"/>
        <w:left w:val="single" w:sz="4" w:space="0" w:color="auto"/>
        <w:right w:val="single" w:sz="4" w:space="0" w:color="auto"/>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96">
    <w:name w:val="xl296"/>
    <w:basedOn w:val="Normal"/>
    <w:rsid w:val="009A7F4D"/>
    <w:pPr>
      <w:pBdr>
        <w:left w:val="single" w:sz="4" w:space="0" w:color="auto"/>
        <w:right w:val="single" w:sz="4" w:space="0" w:color="auto"/>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97">
    <w:name w:val="xl297"/>
    <w:basedOn w:val="Normal"/>
    <w:rsid w:val="009A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eastAsia="es-CR"/>
    </w:rPr>
  </w:style>
  <w:style w:type="paragraph" w:customStyle="1" w:styleId="xl298">
    <w:name w:val="xl298"/>
    <w:basedOn w:val="Normal"/>
    <w:rsid w:val="009A7F4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color w:val="000000"/>
      <w:sz w:val="20"/>
      <w:szCs w:val="20"/>
      <w:lang w:eastAsia="es-CR"/>
    </w:rPr>
  </w:style>
  <w:style w:type="paragraph" w:customStyle="1" w:styleId="xl299">
    <w:name w:val="xl299"/>
    <w:basedOn w:val="Normal"/>
    <w:rsid w:val="009A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color w:val="000000"/>
      <w:sz w:val="20"/>
      <w:szCs w:val="20"/>
      <w:lang w:eastAsia="es-CR"/>
    </w:rPr>
  </w:style>
  <w:style w:type="paragraph" w:customStyle="1" w:styleId="xl300">
    <w:name w:val="xl300"/>
    <w:basedOn w:val="Normal"/>
    <w:rsid w:val="009A7F4D"/>
    <w:pPr>
      <w:pBdr>
        <w:top w:val="single" w:sz="4" w:space="0" w:color="auto"/>
        <w:bottom w:val="single" w:sz="4" w:space="0" w:color="auto"/>
      </w:pBdr>
      <w:shd w:val="clear" w:color="C0C0C0" w:fill="B4C6E7"/>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01">
    <w:name w:val="xl301"/>
    <w:basedOn w:val="Normal"/>
    <w:rsid w:val="009A7F4D"/>
    <w:pPr>
      <w:pBdr>
        <w:top w:val="single" w:sz="4" w:space="0" w:color="auto"/>
        <w:bottom w:val="single" w:sz="4" w:space="0" w:color="auto"/>
        <w:right w:val="single" w:sz="4" w:space="0" w:color="auto"/>
      </w:pBdr>
      <w:shd w:val="clear" w:color="C0C0C0" w:fill="B4C6E7"/>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02">
    <w:name w:val="xl302"/>
    <w:basedOn w:val="Normal"/>
    <w:rsid w:val="009A7F4D"/>
    <w:pPr>
      <w:pBdr>
        <w:top w:val="single" w:sz="4" w:space="0" w:color="auto"/>
        <w:bottom w:val="single" w:sz="4" w:space="0" w:color="auto"/>
      </w:pBdr>
      <w:shd w:val="clear" w:color="C0C0C0" w:fill="BFBFBF"/>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03">
    <w:name w:val="xl303"/>
    <w:basedOn w:val="Normal"/>
    <w:rsid w:val="009A7F4D"/>
    <w:pPr>
      <w:pBdr>
        <w:top w:val="single" w:sz="4" w:space="0" w:color="auto"/>
        <w:bottom w:val="single" w:sz="4" w:space="0" w:color="auto"/>
        <w:right w:val="single" w:sz="4" w:space="0" w:color="auto"/>
      </w:pBdr>
      <w:shd w:val="clear" w:color="C0C0C0" w:fill="BFBFBF"/>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04">
    <w:name w:val="xl304"/>
    <w:basedOn w:val="Normal"/>
    <w:rsid w:val="009A7F4D"/>
    <w:pPr>
      <w:pBdr>
        <w:top w:val="single" w:sz="4" w:space="0" w:color="auto"/>
        <w:bottom w:val="single" w:sz="4" w:space="0" w:color="auto"/>
        <w:right w:val="single" w:sz="4" w:space="0" w:color="auto"/>
      </w:pBdr>
      <w:shd w:val="clear" w:color="C0C0C0" w:fill="B4C6E7"/>
      <w:spacing w:before="100" w:beforeAutospacing="1" w:after="100" w:afterAutospacing="1" w:line="240" w:lineRule="auto"/>
      <w:jc w:val="center"/>
      <w:textAlignment w:val="center"/>
    </w:pPr>
    <w:rPr>
      <w:rFonts w:ascii="Arial" w:eastAsia="Times New Roman" w:hAnsi="Arial" w:cs="Arial"/>
      <w:b/>
      <w:bCs/>
      <w:color w:val="000000"/>
      <w:sz w:val="16"/>
      <w:szCs w:val="16"/>
      <w:lang w:eastAsia="es-CR"/>
    </w:rPr>
  </w:style>
  <w:style w:type="paragraph" w:customStyle="1" w:styleId="xl305">
    <w:name w:val="xl305"/>
    <w:basedOn w:val="Normal"/>
    <w:rsid w:val="009A7F4D"/>
    <w:pPr>
      <w:pBdr>
        <w:top w:val="single" w:sz="4" w:space="0" w:color="auto"/>
        <w:left w:val="single" w:sz="4" w:space="0" w:color="auto"/>
        <w:bottom w:val="single" w:sz="4" w:space="0" w:color="auto"/>
      </w:pBdr>
      <w:shd w:val="clear" w:color="F2F2F2" w:fill="FFFFFF"/>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06">
    <w:name w:val="xl306"/>
    <w:basedOn w:val="Normal"/>
    <w:rsid w:val="009A7F4D"/>
    <w:pPr>
      <w:pBdr>
        <w:top w:val="single" w:sz="4" w:space="0" w:color="auto"/>
        <w:bottom w:val="single" w:sz="4" w:space="0" w:color="auto"/>
      </w:pBdr>
      <w:shd w:val="clear" w:color="F2F2F2" w:fill="FFFFFF"/>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07">
    <w:name w:val="xl307"/>
    <w:basedOn w:val="Normal"/>
    <w:rsid w:val="009A7F4D"/>
    <w:pPr>
      <w:pBdr>
        <w:top w:val="single" w:sz="4" w:space="0" w:color="auto"/>
        <w:bottom w:val="single" w:sz="4" w:space="0" w:color="auto"/>
        <w:right w:val="single" w:sz="4" w:space="0" w:color="auto"/>
      </w:pBdr>
      <w:shd w:val="clear" w:color="F2F2F2" w:fill="FFFFFF"/>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08">
    <w:name w:val="xl308"/>
    <w:basedOn w:val="Normal"/>
    <w:rsid w:val="009A7F4D"/>
    <w:pPr>
      <w:pBdr>
        <w:top w:val="single" w:sz="4" w:space="0" w:color="auto"/>
        <w:left w:val="single" w:sz="4" w:space="0" w:color="auto"/>
        <w:bottom w:val="single" w:sz="4" w:space="0" w:color="auto"/>
      </w:pBdr>
      <w:shd w:val="clear" w:color="D9D9D9" w:fill="D0CECE"/>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09">
    <w:name w:val="xl309"/>
    <w:basedOn w:val="Normal"/>
    <w:rsid w:val="009A7F4D"/>
    <w:pPr>
      <w:pBdr>
        <w:top w:val="single" w:sz="4" w:space="0" w:color="auto"/>
        <w:bottom w:val="single" w:sz="4" w:space="0" w:color="auto"/>
      </w:pBdr>
      <w:shd w:val="clear" w:color="D9D9D9" w:fill="D0CECE"/>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10">
    <w:name w:val="xl310"/>
    <w:basedOn w:val="Normal"/>
    <w:rsid w:val="009A7F4D"/>
    <w:pPr>
      <w:pBdr>
        <w:top w:val="single" w:sz="4" w:space="0" w:color="auto"/>
        <w:bottom w:val="single" w:sz="4" w:space="0" w:color="auto"/>
        <w:right w:val="single" w:sz="4" w:space="0" w:color="auto"/>
      </w:pBdr>
      <w:shd w:val="clear" w:color="D9D9D9" w:fill="D0CECE"/>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11">
    <w:name w:val="xl311"/>
    <w:basedOn w:val="Normal"/>
    <w:rsid w:val="009A7F4D"/>
    <w:pPr>
      <w:pBdr>
        <w:top w:val="single" w:sz="4" w:space="0" w:color="auto"/>
        <w:left w:val="single" w:sz="4" w:space="0" w:color="auto"/>
        <w:bottom w:val="single" w:sz="4" w:space="0" w:color="auto"/>
      </w:pBdr>
      <w:shd w:val="clear" w:color="D9D9D9" w:fill="D6DCE4"/>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12">
    <w:name w:val="xl312"/>
    <w:basedOn w:val="Normal"/>
    <w:rsid w:val="009A7F4D"/>
    <w:pPr>
      <w:pBdr>
        <w:top w:val="single" w:sz="4" w:space="0" w:color="auto"/>
        <w:bottom w:val="single" w:sz="4" w:space="0" w:color="auto"/>
      </w:pBdr>
      <w:shd w:val="clear" w:color="CCFFCC" w:fill="CCFFFF"/>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13">
    <w:name w:val="xl313"/>
    <w:basedOn w:val="Normal"/>
    <w:rsid w:val="009A7F4D"/>
    <w:pPr>
      <w:pBdr>
        <w:top w:val="single" w:sz="4" w:space="0" w:color="auto"/>
        <w:left w:val="single" w:sz="4" w:space="0" w:color="auto"/>
        <w:bottom w:val="single" w:sz="4" w:space="0" w:color="auto"/>
      </w:pBdr>
      <w:shd w:val="clear" w:color="CCFFCC" w:fill="CCFFFF"/>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14">
    <w:name w:val="xl314"/>
    <w:basedOn w:val="Normal"/>
    <w:rsid w:val="009A7F4D"/>
    <w:pPr>
      <w:pBdr>
        <w:top w:val="single" w:sz="4" w:space="0" w:color="auto"/>
        <w:bottom w:val="single" w:sz="4" w:space="0" w:color="auto"/>
      </w:pBdr>
      <w:shd w:val="clear" w:color="E2EFDA" w:fill="E7E6E6"/>
      <w:spacing w:before="100" w:beforeAutospacing="1" w:after="100" w:afterAutospacing="1" w:line="240" w:lineRule="auto"/>
      <w:jc w:val="center"/>
      <w:textAlignment w:val="center"/>
    </w:pPr>
    <w:rPr>
      <w:rFonts w:ascii="Arial11" w:eastAsia="Times New Roman" w:hAnsi="Arial11" w:cs="Times New Roman"/>
      <w:b/>
      <w:bCs/>
      <w:color w:val="000000"/>
      <w:sz w:val="18"/>
      <w:szCs w:val="18"/>
      <w:lang w:eastAsia="es-CR"/>
    </w:rPr>
  </w:style>
  <w:style w:type="paragraph" w:customStyle="1" w:styleId="xl315">
    <w:name w:val="xl315"/>
    <w:basedOn w:val="Normal"/>
    <w:rsid w:val="009A7F4D"/>
    <w:pPr>
      <w:pBdr>
        <w:top w:val="single" w:sz="4" w:space="0" w:color="auto"/>
        <w:left w:val="single" w:sz="4" w:space="0" w:color="auto"/>
        <w:bottom w:val="single" w:sz="4" w:space="0" w:color="auto"/>
      </w:pBdr>
      <w:shd w:val="clear" w:color="E2EFDA" w:fill="E7E6E6"/>
      <w:spacing w:before="100" w:beforeAutospacing="1" w:after="100" w:afterAutospacing="1" w:line="240" w:lineRule="auto"/>
      <w:jc w:val="center"/>
      <w:textAlignment w:val="center"/>
    </w:pPr>
    <w:rPr>
      <w:rFonts w:ascii="Arial11" w:eastAsia="Times New Roman" w:hAnsi="Arial11" w:cs="Times New Roman"/>
      <w:b/>
      <w:bCs/>
      <w:color w:val="000000"/>
      <w:sz w:val="18"/>
      <w:szCs w:val="18"/>
      <w:lang w:eastAsia="es-CR"/>
    </w:rPr>
  </w:style>
  <w:style w:type="paragraph" w:customStyle="1" w:styleId="xl316">
    <w:name w:val="xl316"/>
    <w:basedOn w:val="Normal"/>
    <w:rsid w:val="009A7F4D"/>
    <w:pPr>
      <w:pBdr>
        <w:top w:val="single" w:sz="4" w:space="0" w:color="auto"/>
        <w:bottom w:val="single" w:sz="4" w:space="0" w:color="auto"/>
      </w:pBdr>
      <w:shd w:val="clear" w:color="D6DCE4" w:fill="D9D9D9"/>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317">
    <w:name w:val="xl317"/>
    <w:basedOn w:val="Normal"/>
    <w:rsid w:val="009A7F4D"/>
    <w:pPr>
      <w:pBdr>
        <w:top w:val="single" w:sz="4" w:space="0" w:color="auto"/>
        <w:left w:val="single" w:sz="4" w:space="0" w:color="auto"/>
        <w:bottom w:val="single" w:sz="4" w:space="0" w:color="auto"/>
      </w:pBdr>
      <w:shd w:val="clear" w:color="D6DCE4" w:fill="D9D9D9"/>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styleId="Descripcin">
    <w:name w:val="caption"/>
    <w:basedOn w:val="Normal"/>
    <w:next w:val="Normal"/>
    <w:unhideWhenUsed/>
    <w:qFormat/>
    <w:rsid w:val="009A7F4D"/>
    <w:pPr>
      <w:widowControl w:val="0"/>
      <w:autoSpaceDE w:val="0"/>
      <w:autoSpaceDN w:val="0"/>
      <w:adjustRightInd w:val="0"/>
      <w:spacing w:after="0" w:line="240" w:lineRule="auto"/>
    </w:pPr>
    <w:rPr>
      <w:rFonts w:ascii="Arial" w:eastAsia="Times New Roman" w:hAnsi="Arial" w:cs="Arial"/>
      <w:b/>
      <w:bCs/>
      <w:sz w:val="20"/>
      <w:szCs w:val="20"/>
      <w:shd w:val="clear" w:color="auto" w:fill="FFFFFF"/>
      <w:lang w:val="es-ES" w:eastAsia="es-ES"/>
    </w:rPr>
  </w:style>
  <w:style w:type="character" w:customStyle="1" w:styleId="ui-provider">
    <w:name w:val="ui-provider"/>
    <w:basedOn w:val="Fuentedeprrafopredeter"/>
    <w:rsid w:val="00DA45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133">
      <w:bodyDiv w:val="1"/>
      <w:marLeft w:val="0"/>
      <w:marRight w:val="0"/>
      <w:marTop w:val="0"/>
      <w:marBottom w:val="0"/>
      <w:divBdr>
        <w:top w:val="none" w:sz="0" w:space="0" w:color="auto"/>
        <w:left w:val="none" w:sz="0" w:space="0" w:color="auto"/>
        <w:bottom w:val="none" w:sz="0" w:space="0" w:color="auto"/>
        <w:right w:val="none" w:sz="0" w:space="0" w:color="auto"/>
      </w:divBdr>
    </w:div>
    <w:div w:id="21632820">
      <w:bodyDiv w:val="1"/>
      <w:marLeft w:val="0"/>
      <w:marRight w:val="0"/>
      <w:marTop w:val="0"/>
      <w:marBottom w:val="0"/>
      <w:divBdr>
        <w:top w:val="none" w:sz="0" w:space="0" w:color="auto"/>
        <w:left w:val="none" w:sz="0" w:space="0" w:color="auto"/>
        <w:bottom w:val="none" w:sz="0" w:space="0" w:color="auto"/>
        <w:right w:val="none" w:sz="0" w:space="0" w:color="auto"/>
      </w:divBdr>
    </w:div>
    <w:div w:id="22022073">
      <w:bodyDiv w:val="1"/>
      <w:marLeft w:val="0"/>
      <w:marRight w:val="0"/>
      <w:marTop w:val="0"/>
      <w:marBottom w:val="0"/>
      <w:divBdr>
        <w:top w:val="none" w:sz="0" w:space="0" w:color="auto"/>
        <w:left w:val="none" w:sz="0" w:space="0" w:color="auto"/>
        <w:bottom w:val="none" w:sz="0" w:space="0" w:color="auto"/>
        <w:right w:val="none" w:sz="0" w:space="0" w:color="auto"/>
      </w:divBdr>
    </w:div>
    <w:div w:id="29647190">
      <w:bodyDiv w:val="1"/>
      <w:marLeft w:val="0"/>
      <w:marRight w:val="0"/>
      <w:marTop w:val="0"/>
      <w:marBottom w:val="0"/>
      <w:divBdr>
        <w:top w:val="none" w:sz="0" w:space="0" w:color="auto"/>
        <w:left w:val="none" w:sz="0" w:space="0" w:color="auto"/>
        <w:bottom w:val="none" w:sz="0" w:space="0" w:color="auto"/>
        <w:right w:val="none" w:sz="0" w:space="0" w:color="auto"/>
      </w:divBdr>
    </w:div>
    <w:div w:id="44793013">
      <w:bodyDiv w:val="1"/>
      <w:marLeft w:val="0"/>
      <w:marRight w:val="0"/>
      <w:marTop w:val="0"/>
      <w:marBottom w:val="0"/>
      <w:divBdr>
        <w:top w:val="none" w:sz="0" w:space="0" w:color="auto"/>
        <w:left w:val="none" w:sz="0" w:space="0" w:color="auto"/>
        <w:bottom w:val="none" w:sz="0" w:space="0" w:color="auto"/>
        <w:right w:val="none" w:sz="0" w:space="0" w:color="auto"/>
      </w:divBdr>
    </w:div>
    <w:div w:id="46806340">
      <w:bodyDiv w:val="1"/>
      <w:marLeft w:val="0"/>
      <w:marRight w:val="0"/>
      <w:marTop w:val="0"/>
      <w:marBottom w:val="0"/>
      <w:divBdr>
        <w:top w:val="none" w:sz="0" w:space="0" w:color="auto"/>
        <w:left w:val="none" w:sz="0" w:space="0" w:color="auto"/>
        <w:bottom w:val="none" w:sz="0" w:space="0" w:color="auto"/>
        <w:right w:val="none" w:sz="0" w:space="0" w:color="auto"/>
      </w:divBdr>
    </w:div>
    <w:div w:id="59014089">
      <w:bodyDiv w:val="1"/>
      <w:marLeft w:val="0"/>
      <w:marRight w:val="0"/>
      <w:marTop w:val="0"/>
      <w:marBottom w:val="0"/>
      <w:divBdr>
        <w:top w:val="none" w:sz="0" w:space="0" w:color="auto"/>
        <w:left w:val="none" w:sz="0" w:space="0" w:color="auto"/>
        <w:bottom w:val="none" w:sz="0" w:space="0" w:color="auto"/>
        <w:right w:val="none" w:sz="0" w:space="0" w:color="auto"/>
      </w:divBdr>
    </w:div>
    <w:div w:id="73432464">
      <w:bodyDiv w:val="1"/>
      <w:marLeft w:val="0"/>
      <w:marRight w:val="0"/>
      <w:marTop w:val="0"/>
      <w:marBottom w:val="0"/>
      <w:divBdr>
        <w:top w:val="none" w:sz="0" w:space="0" w:color="auto"/>
        <w:left w:val="none" w:sz="0" w:space="0" w:color="auto"/>
        <w:bottom w:val="none" w:sz="0" w:space="0" w:color="auto"/>
        <w:right w:val="none" w:sz="0" w:space="0" w:color="auto"/>
      </w:divBdr>
    </w:div>
    <w:div w:id="82186479">
      <w:bodyDiv w:val="1"/>
      <w:marLeft w:val="0"/>
      <w:marRight w:val="0"/>
      <w:marTop w:val="0"/>
      <w:marBottom w:val="0"/>
      <w:divBdr>
        <w:top w:val="none" w:sz="0" w:space="0" w:color="auto"/>
        <w:left w:val="none" w:sz="0" w:space="0" w:color="auto"/>
        <w:bottom w:val="none" w:sz="0" w:space="0" w:color="auto"/>
        <w:right w:val="none" w:sz="0" w:space="0" w:color="auto"/>
      </w:divBdr>
    </w:div>
    <w:div w:id="89619859">
      <w:bodyDiv w:val="1"/>
      <w:marLeft w:val="0"/>
      <w:marRight w:val="0"/>
      <w:marTop w:val="0"/>
      <w:marBottom w:val="0"/>
      <w:divBdr>
        <w:top w:val="none" w:sz="0" w:space="0" w:color="auto"/>
        <w:left w:val="none" w:sz="0" w:space="0" w:color="auto"/>
        <w:bottom w:val="none" w:sz="0" w:space="0" w:color="auto"/>
        <w:right w:val="none" w:sz="0" w:space="0" w:color="auto"/>
      </w:divBdr>
    </w:div>
    <w:div w:id="90324156">
      <w:bodyDiv w:val="1"/>
      <w:marLeft w:val="0"/>
      <w:marRight w:val="0"/>
      <w:marTop w:val="0"/>
      <w:marBottom w:val="0"/>
      <w:divBdr>
        <w:top w:val="none" w:sz="0" w:space="0" w:color="auto"/>
        <w:left w:val="none" w:sz="0" w:space="0" w:color="auto"/>
        <w:bottom w:val="none" w:sz="0" w:space="0" w:color="auto"/>
        <w:right w:val="none" w:sz="0" w:space="0" w:color="auto"/>
      </w:divBdr>
    </w:div>
    <w:div w:id="99179981">
      <w:bodyDiv w:val="1"/>
      <w:marLeft w:val="0"/>
      <w:marRight w:val="0"/>
      <w:marTop w:val="0"/>
      <w:marBottom w:val="0"/>
      <w:divBdr>
        <w:top w:val="none" w:sz="0" w:space="0" w:color="auto"/>
        <w:left w:val="none" w:sz="0" w:space="0" w:color="auto"/>
        <w:bottom w:val="none" w:sz="0" w:space="0" w:color="auto"/>
        <w:right w:val="none" w:sz="0" w:space="0" w:color="auto"/>
      </w:divBdr>
    </w:div>
    <w:div w:id="103423643">
      <w:bodyDiv w:val="1"/>
      <w:marLeft w:val="0"/>
      <w:marRight w:val="0"/>
      <w:marTop w:val="0"/>
      <w:marBottom w:val="0"/>
      <w:divBdr>
        <w:top w:val="none" w:sz="0" w:space="0" w:color="auto"/>
        <w:left w:val="none" w:sz="0" w:space="0" w:color="auto"/>
        <w:bottom w:val="none" w:sz="0" w:space="0" w:color="auto"/>
        <w:right w:val="none" w:sz="0" w:space="0" w:color="auto"/>
      </w:divBdr>
    </w:div>
    <w:div w:id="138882936">
      <w:bodyDiv w:val="1"/>
      <w:marLeft w:val="0"/>
      <w:marRight w:val="0"/>
      <w:marTop w:val="0"/>
      <w:marBottom w:val="0"/>
      <w:divBdr>
        <w:top w:val="none" w:sz="0" w:space="0" w:color="auto"/>
        <w:left w:val="none" w:sz="0" w:space="0" w:color="auto"/>
        <w:bottom w:val="none" w:sz="0" w:space="0" w:color="auto"/>
        <w:right w:val="none" w:sz="0" w:space="0" w:color="auto"/>
      </w:divBdr>
    </w:div>
    <w:div w:id="145245477">
      <w:bodyDiv w:val="1"/>
      <w:marLeft w:val="0"/>
      <w:marRight w:val="0"/>
      <w:marTop w:val="0"/>
      <w:marBottom w:val="0"/>
      <w:divBdr>
        <w:top w:val="none" w:sz="0" w:space="0" w:color="auto"/>
        <w:left w:val="none" w:sz="0" w:space="0" w:color="auto"/>
        <w:bottom w:val="none" w:sz="0" w:space="0" w:color="auto"/>
        <w:right w:val="none" w:sz="0" w:space="0" w:color="auto"/>
      </w:divBdr>
    </w:div>
    <w:div w:id="153108534">
      <w:bodyDiv w:val="1"/>
      <w:marLeft w:val="0"/>
      <w:marRight w:val="0"/>
      <w:marTop w:val="0"/>
      <w:marBottom w:val="0"/>
      <w:divBdr>
        <w:top w:val="none" w:sz="0" w:space="0" w:color="auto"/>
        <w:left w:val="none" w:sz="0" w:space="0" w:color="auto"/>
        <w:bottom w:val="none" w:sz="0" w:space="0" w:color="auto"/>
        <w:right w:val="none" w:sz="0" w:space="0" w:color="auto"/>
      </w:divBdr>
    </w:div>
    <w:div w:id="157812879">
      <w:bodyDiv w:val="1"/>
      <w:marLeft w:val="0"/>
      <w:marRight w:val="0"/>
      <w:marTop w:val="0"/>
      <w:marBottom w:val="0"/>
      <w:divBdr>
        <w:top w:val="none" w:sz="0" w:space="0" w:color="auto"/>
        <w:left w:val="none" w:sz="0" w:space="0" w:color="auto"/>
        <w:bottom w:val="none" w:sz="0" w:space="0" w:color="auto"/>
        <w:right w:val="none" w:sz="0" w:space="0" w:color="auto"/>
      </w:divBdr>
    </w:div>
    <w:div w:id="163008451">
      <w:bodyDiv w:val="1"/>
      <w:marLeft w:val="0"/>
      <w:marRight w:val="0"/>
      <w:marTop w:val="0"/>
      <w:marBottom w:val="0"/>
      <w:divBdr>
        <w:top w:val="none" w:sz="0" w:space="0" w:color="auto"/>
        <w:left w:val="none" w:sz="0" w:space="0" w:color="auto"/>
        <w:bottom w:val="none" w:sz="0" w:space="0" w:color="auto"/>
        <w:right w:val="none" w:sz="0" w:space="0" w:color="auto"/>
      </w:divBdr>
    </w:div>
    <w:div w:id="163474737">
      <w:bodyDiv w:val="1"/>
      <w:marLeft w:val="0"/>
      <w:marRight w:val="0"/>
      <w:marTop w:val="0"/>
      <w:marBottom w:val="0"/>
      <w:divBdr>
        <w:top w:val="none" w:sz="0" w:space="0" w:color="auto"/>
        <w:left w:val="none" w:sz="0" w:space="0" w:color="auto"/>
        <w:bottom w:val="none" w:sz="0" w:space="0" w:color="auto"/>
        <w:right w:val="none" w:sz="0" w:space="0" w:color="auto"/>
      </w:divBdr>
    </w:div>
    <w:div w:id="164587600">
      <w:bodyDiv w:val="1"/>
      <w:marLeft w:val="0"/>
      <w:marRight w:val="0"/>
      <w:marTop w:val="0"/>
      <w:marBottom w:val="0"/>
      <w:divBdr>
        <w:top w:val="none" w:sz="0" w:space="0" w:color="auto"/>
        <w:left w:val="none" w:sz="0" w:space="0" w:color="auto"/>
        <w:bottom w:val="none" w:sz="0" w:space="0" w:color="auto"/>
        <w:right w:val="none" w:sz="0" w:space="0" w:color="auto"/>
      </w:divBdr>
    </w:div>
    <w:div w:id="190261331">
      <w:bodyDiv w:val="1"/>
      <w:marLeft w:val="0"/>
      <w:marRight w:val="0"/>
      <w:marTop w:val="0"/>
      <w:marBottom w:val="0"/>
      <w:divBdr>
        <w:top w:val="none" w:sz="0" w:space="0" w:color="auto"/>
        <w:left w:val="none" w:sz="0" w:space="0" w:color="auto"/>
        <w:bottom w:val="none" w:sz="0" w:space="0" w:color="auto"/>
        <w:right w:val="none" w:sz="0" w:space="0" w:color="auto"/>
      </w:divBdr>
    </w:div>
    <w:div w:id="193614482">
      <w:bodyDiv w:val="1"/>
      <w:marLeft w:val="0"/>
      <w:marRight w:val="0"/>
      <w:marTop w:val="0"/>
      <w:marBottom w:val="0"/>
      <w:divBdr>
        <w:top w:val="none" w:sz="0" w:space="0" w:color="auto"/>
        <w:left w:val="none" w:sz="0" w:space="0" w:color="auto"/>
        <w:bottom w:val="none" w:sz="0" w:space="0" w:color="auto"/>
        <w:right w:val="none" w:sz="0" w:space="0" w:color="auto"/>
      </w:divBdr>
    </w:div>
    <w:div w:id="206114597">
      <w:bodyDiv w:val="1"/>
      <w:marLeft w:val="0"/>
      <w:marRight w:val="0"/>
      <w:marTop w:val="0"/>
      <w:marBottom w:val="0"/>
      <w:divBdr>
        <w:top w:val="none" w:sz="0" w:space="0" w:color="auto"/>
        <w:left w:val="none" w:sz="0" w:space="0" w:color="auto"/>
        <w:bottom w:val="none" w:sz="0" w:space="0" w:color="auto"/>
        <w:right w:val="none" w:sz="0" w:space="0" w:color="auto"/>
      </w:divBdr>
    </w:div>
    <w:div w:id="215168361">
      <w:bodyDiv w:val="1"/>
      <w:marLeft w:val="0"/>
      <w:marRight w:val="0"/>
      <w:marTop w:val="0"/>
      <w:marBottom w:val="0"/>
      <w:divBdr>
        <w:top w:val="none" w:sz="0" w:space="0" w:color="auto"/>
        <w:left w:val="none" w:sz="0" w:space="0" w:color="auto"/>
        <w:bottom w:val="none" w:sz="0" w:space="0" w:color="auto"/>
        <w:right w:val="none" w:sz="0" w:space="0" w:color="auto"/>
      </w:divBdr>
    </w:div>
    <w:div w:id="215317037">
      <w:bodyDiv w:val="1"/>
      <w:marLeft w:val="0"/>
      <w:marRight w:val="0"/>
      <w:marTop w:val="0"/>
      <w:marBottom w:val="0"/>
      <w:divBdr>
        <w:top w:val="none" w:sz="0" w:space="0" w:color="auto"/>
        <w:left w:val="none" w:sz="0" w:space="0" w:color="auto"/>
        <w:bottom w:val="none" w:sz="0" w:space="0" w:color="auto"/>
        <w:right w:val="none" w:sz="0" w:space="0" w:color="auto"/>
      </w:divBdr>
    </w:div>
    <w:div w:id="219218776">
      <w:bodyDiv w:val="1"/>
      <w:marLeft w:val="0"/>
      <w:marRight w:val="0"/>
      <w:marTop w:val="0"/>
      <w:marBottom w:val="0"/>
      <w:divBdr>
        <w:top w:val="none" w:sz="0" w:space="0" w:color="auto"/>
        <w:left w:val="none" w:sz="0" w:space="0" w:color="auto"/>
        <w:bottom w:val="none" w:sz="0" w:space="0" w:color="auto"/>
        <w:right w:val="none" w:sz="0" w:space="0" w:color="auto"/>
      </w:divBdr>
    </w:div>
    <w:div w:id="220141812">
      <w:bodyDiv w:val="1"/>
      <w:marLeft w:val="0"/>
      <w:marRight w:val="0"/>
      <w:marTop w:val="0"/>
      <w:marBottom w:val="0"/>
      <w:divBdr>
        <w:top w:val="none" w:sz="0" w:space="0" w:color="auto"/>
        <w:left w:val="none" w:sz="0" w:space="0" w:color="auto"/>
        <w:bottom w:val="none" w:sz="0" w:space="0" w:color="auto"/>
        <w:right w:val="none" w:sz="0" w:space="0" w:color="auto"/>
      </w:divBdr>
    </w:div>
    <w:div w:id="238370287">
      <w:bodyDiv w:val="1"/>
      <w:marLeft w:val="0"/>
      <w:marRight w:val="0"/>
      <w:marTop w:val="0"/>
      <w:marBottom w:val="0"/>
      <w:divBdr>
        <w:top w:val="none" w:sz="0" w:space="0" w:color="auto"/>
        <w:left w:val="none" w:sz="0" w:space="0" w:color="auto"/>
        <w:bottom w:val="none" w:sz="0" w:space="0" w:color="auto"/>
        <w:right w:val="none" w:sz="0" w:space="0" w:color="auto"/>
      </w:divBdr>
    </w:div>
    <w:div w:id="239296910">
      <w:bodyDiv w:val="1"/>
      <w:marLeft w:val="0"/>
      <w:marRight w:val="0"/>
      <w:marTop w:val="0"/>
      <w:marBottom w:val="0"/>
      <w:divBdr>
        <w:top w:val="none" w:sz="0" w:space="0" w:color="auto"/>
        <w:left w:val="none" w:sz="0" w:space="0" w:color="auto"/>
        <w:bottom w:val="none" w:sz="0" w:space="0" w:color="auto"/>
        <w:right w:val="none" w:sz="0" w:space="0" w:color="auto"/>
      </w:divBdr>
    </w:div>
    <w:div w:id="241960487">
      <w:bodyDiv w:val="1"/>
      <w:marLeft w:val="0"/>
      <w:marRight w:val="0"/>
      <w:marTop w:val="0"/>
      <w:marBottom w:val="0"/>
      <w:divBdr>
        <w:top w:val="none" w:sz="0" w:space="0" w:color="auto"/>
        <w:left w:val="none" w:sz="0" w:space="0" w:color="auto"/>
        <w:bottom w:val="none" w:sz="0" w:space="0" w:color="auto"/>
        <w:right w:val="none" w:sz="0" w:space="0" w:color="auto"/>
      </w:divBdr>
    </w:div>
    <w:div w:id="270599919">
      <w:bodyDiv w:val="1"/>
      <w:marLeft w:val="0"/>
      <w:marRight w:val="0"/>
      <w:marTop w:val="0"/>
      <w:marBottom w:val="0"/>
      <w:divBdr>
        <w:top w:val="none" w:sz="0" w:space="0" w:color="auto"/>
        <w:left w:val="none" w:sz="0" w:space="0" w:color="auto"/>
        <w:bottom w:val="none" w:sz="0" w:space="0" w:color="auto"/>
        <w:right w:val="none" w:sz="0" w:space="0" w:color="auto"/>
      </w:divBdr>
    </w:div>
    <w:div w:id="280192043">
      <w:bodyDiv w:val="1"/>
      <w:marLeft w:val="0"/>
      <w:marRight w:val="0"/>
      <w:marTop w:val="0"/>
      <w:marBottom w:val="0"/>
      <w:divBdr>
        <w:top w:val="none" w:sz="0" w:space="0" w:color="auto"/>
        <w:left w:val="none" w:sz="0" w:space="0" w:color="auto"/>
        <w:bottom w:val="none" w:sz="0" w:space="0" w:color="auto"/>
        <w:right w:val="none" w:sz="0" w:space="0" w:color="auto"/>
      </w:divBdr>
    </w:div>
    <w:div w:id="294608530">
      <w:bodyDiv w:val="1"/>
      <w:marLeft w:val="0"/>
      <w:marRight w:val="0"/>
      <w:marTop w:val="0"/>
      <w:marBottom w:val="0"/>
      <w:divBdr>
        <w:top w:val="none" w:sz="0" w:space="0" w:color="auto"/>
        <w:left w:val="none" w:sz="0" w:space="0" w:color="auto"/>
        <w:bottom w:val="none" w:sz="0" w:space="0" w:color="auto"/>
        <w:right w:val="none" w:sz="0" w:space="0" w:color="auto"/>
      </w:divBdr>
    </w:div>
    <w:div w:id="324824715">
      <w:bodyDiv w:val="1"/>
      <w:marLeft w:val="0"/>
      <w:marRight w:val="0"/>
      <w:marTop w:val="0"/>
      <w:marBottom w:val="0"/>
      <w:divBdr>
        <w:top w:val="none" w:sz="0" w:space="0" w:color="auto"/>
        <w:left w:val="none" w:sz="0" w:space="0" w:color="auto"/>
        <w:bottom w:val="none" w:sz="0" w:space="0" w:color="auto"/>
        <w:right w:val="none" w:sz="0" w:space="0" w:color="auto"/>
      </w:divBdr>
    </w:div>
    <w:div w:id="338392895">
      <w:bodyDiv w:val="1"/>
      <w:marLeft w:val="0"/>
      <w:marRight w:val="0"/>
      <w:marTop w:val="0"/>
      <w:marBottom w:val="0"/>
      <w:divBdr>
        <w:top w:val="none" w:sz="0" w:space="0" w:color="auto"/>
        <w:left w:val="none" w:sz="0" w:space="0" w:color="auto"/>
        <w:bottom w:val="none" w:sz="0" w:space="0" w:color="auto"/>
        <w:right w:val="none" w:sz="0" w:space="0" w:color="auto"/>
      </w:divBdr>
    </w:div>
    <w:div w:id="339507573">
      <w:bodyDiv w:val="1"/>
      <w:marLeft w:val="0"/>
      <w:marRight w:val="0"/>
      <w:marTop w:val="0"/>
      <w:marBottom w:val="0"/>
      <w:divBdr>
        <w:top w:val="none" w:sz="0" w:space="0" w:color="auto"/>
        <w:left w:val="none" w:sz="0" w:space="0" w:color="auto"/>
        <w:bottom w:val="none" w:sz="0" w:space="0" w:color="auto"/>
        <w:right w:val="none" w:sz="0" w:space="0" w:color="auto"/>
      </w:divBdr>
    </w:div>
    <w:div w:id="346517655">
      <w:bodyDiv w:val="1"/>
      <w:marLeft w:val="0"/>
      <w:marRight w:val="0"/>
      <w:marTop w:val="0"/>
      <w:marBottom w:val="0"/>
      <w:divBdr>
        <w:top w:val="none" w:sz="0" w:space="0" w:color="auto"/>
        <w:left w:val="none" w:sz="0" w:space="0" w:color="auto"/>
        <w:bottom w:val="none" w:sz="0" w:space="0" w:color="auto"/>
        <w:right w:val="none" w:sz="0" w:space="0" w:color="auto"/>
      </w:divBdr>
    </w:div>
    <w:div w:id="347290709">
      <w:bodyDiv w:val="1"/>
      <w:marLeft w:val="0"/>
      <w:marRight w:val="0"/>
      <w:marTop w:val="0"/>
      <w:marBottom w:val="0"/>
      <w:divBdr>
        <w:top w:val="none" w:sz="0" w:space="0" w:color="auto"/>
        <w:left w:val="none" w:sz="0" w:space="0" w:color="auto"/>
        <w:bottom w:val="none" w:sz="0" w:space="0" w:color="auto"/>
        <w:right w:val="none" w:sz="0" w:space="0" w:color="auto"/>
      </w:divBdr>
    </w:div>
    <w:div w:id="362248192">
      <w:bodyDiv w:val="1"/>
      <w:marLeft w:val="0"/>
      <w:marRight w:val="0"/>
      <w:marTop w:val="0"/>
      <w:marBottom w:val="0"/>
      <w:divBdr>
        <w:top w:val="none" w:sz="0" w:space="0" w:color="auto"/>
        <w:left w:val="none" w:sz="0" w:space="0" w:color="auto"/>
        <w:bottom w:val="none" w:sz="0" w:space="0" w:color="auto"/>
        <w:right w:val="none" w:sz="0" w:space="0" w:color="auto"/>
      </w:divBdr>
    </w:div>
    <w:div w:id="375664424">
      <w:bodyDiv w:val="1"/>
      <w:marLeft w:val="0"/>
      <w:marRight w:val="0"/>
      <w:marTop w:val="0"/>
      <w:marBottom w:val="0"/>
      <w:divBdr>
        <w:top w:val="none" w:sz="0" w:space="0" w:color="auto"/>
        <w:left w:val="none" w:sz="0" w:space="0" w:color="auto"/>
        <w:bottom w:val="none" w:sz="0" w:space="0" w:color="auto"/>
        <w:right w:val="none" w:sz="0" w:space="0" w:color="auto"/>
      </w:divBdr>
    </w:div>
    <w:div w:id="377046120">
      <w:bodyDiv w:val="1"/>
      <w:marLeft w:val="0"/>
      <w:marRight w:val="0"/>
      <w:marTop w:val="0"/>
      <w:marBottom w:val="0"/>
      <w:divBdr>
        <w:top w:val="none" w:sz="0" w:space="0" w:color="auto"/>
        <w:left w:val="none" w:sz="0" w:space="0" w:color="auto"/>
        <w:bottom w:val="none" w:sz="0" w:space="0" w:color="auto"/>
        <w:right w:val="none" w:sz="0" w:space="0" w:color="auto"/>
      </w:divBdr>
    </w:div>
    <w:div w:id="386999139">
      <w:bodyDiv w:val="1"/>
      <w:marLeft w:val="0"/>
      <w:marRight w:val="0"/>
      <w:marTop w:val="0"/>
      <w:marBottom w:val="0"/>
      <w:divBdr>
        <w:top w:val="none" w:sz="0" w:space="0" w:color="auto"/>
        <w:left w:val="none" w:sz="0" w:space="0" w:color="auto"/>
        <w:bottom w:val="none" w:sz="0" w:space="0" w:color="auto"/>
        <w:right w:val="none" w:sz="0" w:space="0" w:color="auto"/>
      </w:divBdr>
    </w:div>
    <w:div w:id="390230370">
      <w:bodyDiv w:val="1"/>
      <w:marLeft w:val="0"/>
      <w:marRight w:val="0"/>
      <w:marTop w:val="0"/>
      <w:marBottom w:val="0"/>
      <w:divBdr>
        <w:top w:val="none" w:sz="0" w:space="0" w:color="auto"/>
        <w:left w:val="none" w:sz="0" w:space="0" w:color="auto"/>
        <w:bottom w:val="none" w:sz="0" w:space="0" w:color="auto"/>
        <w:right w:val="none" w:sz="0" w:space="0" w:color="auto"/>
      </w:divBdr>
    </w:div>
    <w:div w:id="390465652">
      <w:bodyDiv w:val="1"/>
      <w:marLeft w:val="0"/>
      <w:marRight w:val="0"/>
      <w:marTop w:val="0"/>
      <w:marBottom w:val="0"/>
      <w:divBdr>
        <w:top w:val="none" w:sz="0" w:space="0" w:color="auto"/>
        <w:left w:val="none" w:sz="0" w:space="0" w:color="auto"/>
        <w:bottom w:val="none" w:sz="0" w:space="0" w:color="auto"/>
        <w:right w:val="none" w:sz="0" w:space="0" w:color="auto"/>
      </w:divBdr>
    </w:div>
    <w:div w:id="400755748">
      <w:bodyDiv w:val="1"/>
      <w:marLeft w:val="0"/>
      <w:marRight w:val="0"/>
      <w:marTop w:val="0"/>
      <w:marBottom w:val="0"/>
      <w:divBdr>
        <w:top w:val="none" w:sz="0" w:space="0" w:color="auto"/>
        <w:left w:val="none" w:sz="0" w:space="0" w:color="auto"/>
        <w:bottom w:val="none" w:sz="0" w:space="0" w:color="auto"/>
        <w:right w:val="none" w:sz="0" w:space="0" w:color="auto"/>
      </w:divBdr>
    </w:div>
    <w:div w:id="410156473">
      <w:bodyDiv w:val="1"/>
      <w:marLeft w:val="0"/>
      <w:marRight w:val="0"/>
      <w:marTop w:val="0"/>
      <w:marBottom w:val="0"/>
      <w:divBdr>
        <w:top w:val="none" w:sz="0" w:space="0" w:color="auto"/>
        <w:left w:val="none" w:sz="0" w:space="0" w:color="auto"/>
        <w:bottom w:val="none" w:sz="0" w:space="0" w:color="auto"/>
        <w:right w:val="none" w:sz="0" w:space="0" w:color="auto"/>
      </w:divBdr>
    </w:div>
    <w:div w:id="411050834">
      <w:bodyDiv w:val="1"/>
      <w:marLeft w:val="0"/>
      <w:marRight w:val="0"/>
      <w:marTop w:val="0"/>
      <w:marBottom w:val="0"/>
      <w:divBdr>
        <w:top w:val="none" w:sz="0" w:space="0" w:color="auto"/>
        <w:left w:val="none" w:sz="0" w:space="0" w:color="auto"/>
        <w:bottom w:val="none" w:sz="0" w:space="0" w:color="auto"/>
        <w:right w:val="none" w:sz="0" w:space="0" w:color="auto"/>
      </w:divBdr>
    </w:div>
    <w:div w:id="412093198">
      <w:bodyDiv w:val="1"/>
      <w:marLeft w:val="0"/>
      <w:marRight w:val="0"/>
      <w:marTop w:val="0"/>
      <w:marBottom w:val="0"/>
      <w:divBdr>
        <w:top w:val="none" w:sz="0" w:space="0" w:color="auto"/>
        <w:left w:val="none" w:sz="0" w:space="0" w:color="auto"/>
        <w:bottom w:val="none" w:sz="0" w:space="0" w:color="auto"/>
        <w:right w:val="none" w:sz="0" w:space="0" w:color="auto"/>
      </w:divBdr>
    </w:div>
    <w:div w:id="415135078">
      <w:bodyDiv w:val="1"/>
      <w:marLeft w:val="0"/>
      <w:marRight w:val="0"/>
      <w:marTop w:val="0"/>
      <w:marBottom w:val="0"/>
      <w:divBdr>
        <w:top w:val="none" w:sz="0" w:space="0" w:color="auto"/>
        <w:left w:val="none" w:sz="0" w:space="0" w:color="auto"/>
        <w:bottom w:val="none" w:sz="0" w:space="0" w:color="auto"/>
        <w:right w:val="none" w:sz="0" w:space="0" w:color="auto"/>
      </w:divBdr>
    </w:div>
    <w:div w:id="425811199">
      <w:bodyDiv w:val="1"/>
      <w:marLeft w:val="0"/>
      <w:marRight w:val="0"/>
      <w:marTop w:val="0"/>
      <w:marBottom w:val="0"/>
      <w:divBdr>
        <w:top w:val="none" w:sz="0" w:space="0" w:color="auto"/>
        <w:left w:val="none" w:sz="0" w:space="0" w:color="auto"/>
        <w:bottom w:val="none" w:sz="0" w:space="0" w:color="auto"/>
        <w:right w:val="none" w:sz="0" w:space="0" w:color="auto"/>
      </w:divBdr>
    </w:div>
    <w:div w:id="438986724">
      <w:bodyDiv w:val="1"/>
      <w:marLeft w:val="0"/>
      <w:marRight w:val="0"/>
      <w:marTop w:val="0"/>
      <w:marBottom w:val="0"/>
      <w:divBdr>
        <w:top w:val="none" w:sz="0" w:space="0" w:color="auto"/>
        <w:left w:val="none" w:sz="0" w:space="0" w:color="auto"/>
        <w:bottom w:val="none" w:sz="0" w:space="0" w:color="auto"/>
        <w:right w:val="none" w:sz="0" w:space="0" w:color="auto"/>
      </w:divBdr>
    </w:div>
    <w:div w:id="442071022">
      <w:bodyDiv w:val="1"/>
      <w:marLeft w:val="0"/>
      <w:marRight w:val="0"/>
      <w:marTop w:val="0"/>
      <w:marBottom w:val="0"/>
      <w:divBdr>
        <w:top w:val="none" w:sz="0" w:space="0" w:color="auto"/>
        <w:left w:val="none" w:sz="0" w:space="0" w:color="auto"/>
        <w:bottom w:val="none" w:sz="0" w:space="0" w:color="auto"/>
        <w:right w:val="none" w:sz="0" w:space="0" w:color="auto"/>
      </w:divBdr>
    </w:div>
    <w:div w:id="445540033">
      <w:bodyDiv w:val="1"/>
      <w:marLeft w:val="0"/>
      <w:marRight w:val="0"/>
      <w:marTop w:val="0"/>
      <w:marBottom w:val="0"/>
      <w:divBdr>
        <w:top w:val="none" w:sz="0" w:space="0" w:color="auto"/>
        <w:left w:val="none" w:sz="0" w:space="0" w:color="auto"/>
        <w:bottom w:val="none" w:sz="0" w:space="0" w:color="auto"/>
        <w:right w:val="none" w:sz="0" w:space="0" w:color="auto"/>
      </w:divBdr>
    </w:div>
    <w:div w:id="457384496">
      <w:bodyDiv w:val="1"/>
      <w:marLeft w:val="0"/>
      <w:marRight w:val="0"/>
      <w:marTop w:val="0"/>
      <w:marBottom w:val="0"/>
      <w:divBdr>
        <w:top w:val="none" w:sz="0" w:space="0" w:color="auto"/>
        <w:left w:val="none" w:sz="0" w:space="0" w:color="auto"/>
        <w:bottom w:val="none" w:sz="0" w:space="0" w:color="auto"/>
        <w:right w:val="none" w:sz="0" w:space="0" w:color="auto"/>
      </w:divBdr>
    </w:div>
    <w:div w:id="465658675">
      <w:bodyDiv w:val="1"/>
      <w:marLeft w:val="0"/>
      <w:marRight w:val="0"/>
      <w:marTop w:val="0"/>
      <w:marBottom w:val="0"/>
      <w:divBdr>
        <w:top w:val="none" w:sz="0" w:space="0" w:color="auto"/>
        <w:left w:val="none" w:sz="0" w:space="0" w:color="auto"/>
        <w:bottom w:val="none" w:sz="0" w:space="0" w:color="auto"/>
        <w:right w:val="none" w:sz="0" w:space="0" w:color="auto"/>
      </w:divBdr>
    </w:div>
    <w:div w:id="475338543">
      <w:bodyDiv w:val="1"/>
      <w:marLeft w:val="0"/>
      <w:marRight w:val="0"/>
      <w:marTop w:val="0"/>
      <w:marBottom w:val="0"/>
      <w:divBdr>
        <w:top w:val="none" w:sz="0" w:space="0" w:color="auto"/>
        <w:left w:val="none" w:sz="0" w:space="0" w:color="auto"/>
        <w:bottom w:val="none" w:sz="0" w:space="0" w:color="auto"/>
        <w:right w:val="none" w:sz="0" w:space="0" w:color="auto"/>
      </w:divBdr>
    </w:div>
    <w:div w:id="492263434">
      <w:bodyDiv w:val="1"/>
      <w:marLeft w:val="0"/>
      <w:marRight w:val="0"/>
      <w:marTop w:val="0"/>
      <w:marBottom w:val="0"/>
      <w:divBdr>
        <w:top w:val="none" w:sz="0" w:space="0" w:color="auto"/>
        <w:left w:val="none" w:sz="0" w:space="0" w:color="auto"/>
        <w:bottom w:val="none" w:sz="0" w:space="0" w:color="auto"/>
        <w:right w:val="none" w:sz="0" w:space="0" w:color="auto"/>
      </w:divBdr>
    </w:div>
    <w:div w:id="495262545">
      <w:bodyDiv w:val="1"/>
      <w:marLeft w:val="0"/>
      <w:marRight w:val="0"/>
      <w:marTop w:val="0"/>
      <w:marBottom w:val="0"/>
      <w:divBdr>
        <w:top w:val="none" w:sz="0" w:space="0" w:color="auto"/>
        <w:left w:val="none" w:sz="0" w:space="0" w:color="auto"/>
        <w:bottom w:val="none" w:sz="0" w:space="0" w:color="auto"/>
        <w:right w:val="none" w:sz="0" w:space="0" w:color="auto"/>
      </w:divBdr>
    </w:div>
    <w:div w:id="554512201">
      <w:bodyDiv w:val="1"/>
      <w:marLeft w:val="0"/>
      <w:marRight w:val="0"/>
      <w:marTop w:val="0"/>
      <w:marBottom w:val="0"/>
      <w:divBdr>
        <w:top w:val="none" w:sz="0" w:space="0" w:color="auto"/>
        <w:left w:val="none" w:sz="0" w:space="0" w:color="auto"/>
        <w:bottom w:val="none" w:sz="0" w:space="0" w:color="auto"/>
        <w:right w:val="none" w:sz="0" w:space="0" w:color="auto"/>
      </w:divBdr>
    </w:div>
    <w:div w:id="561451924">
      <w:bodyDiv w:val="1"/>
      <w:marLeft w:val="0"/>
      <w:marRight w:val="0"/>
      <w:marTop w:val="0"/>
      <w:marBottom w:val="0"/>
      <w:divBdr>
        <w:top w:val="none" w:sz="0" w:space="0" w:color="auto"/>
        <w:left w:val="none" w:sz="0" w:space="0" w:color="auto"/>
        <w:bottom w:val="none" w:sz="0" w:space="0" w:color="auto"/>
        <w:right w:val="none" w:sz="0" w:space="0" w:color="auto"/>
      </w:divBdr>
    </w:div>
    <w:div w:id="580337827">
      <w:bodyDiv w:val="1"/>
      <w:marLeft w:val="0"/>
      <w:marRight w:val="0"/>
      <w:marTop w:val="0"/>
      <w:marBottom w:val="0"/>
      <w:divBdr>
        <w:top w:val="none" w:sz="0" w:space="0" w:color="auto"/>
        <w:left w:val="none" w:sz="0" w:space="0" w:color="auto"/>
        <w:bottom w:val="none" w:sz="0" w:space="0" w:color="auto"/>
        <w:right w:val="none" w:sz="0" w:space="0" w:color="auto"/>
      </w:divBdr>
    </w:div>
    <w:div w:id="590504465">
      <w:bodyDiv w:val="1"/>
      <w:marLeft w:val="0"/>
      <w:marRight w:val="0"/>
      <w:marTop w:val="0"/>
      <w:marBottom w:val="0"/>
      <w:divBdr>
        <w:top w:val="none" w:sz="0" w:space="0" w:color="auto"/>
        <w:left w:val="none" w:sz="0" w:space="0" w:color="auto"/>
        <w:bottom w:val="none" w:sz="0" w:space="0" w:color="auto"/>
        <w:right w:val="none" w:sz="0" w:space="0" w:color="auto"/>
      </w:divBdr>
    </w:div>
    <w:div w:id="606813391">
      <w:bodyDiv w:val="1"/>
      <w:marLeft w:val="0"/>
      <w:marRight w:val="0"/>
      <w:marTop w:val="0"/>
      <w:marBottom w:val="0"/>
      <w:divBdr>
        <w:top w:val="none" w:sz="0" w:space="0" w:color="auto"/>
        <w:left w:val="none" w:sz="0" w:space="0" w:color="auto"/>
        <w:bottom w:val="none" w:sz="0" w:space="0" w:color="auto"/>
        <w:right w:val="none" w:sz="0" w:space="0" w:color="auto"/>
      </w:divBdr>
    </w:div>
    <w:div w:id="650211845">
      <w:bodyDiv w:val="1"/>
      <w:marLeft w:val="0"/>
      <w:marRight w:val="0"/>
      <w:marTop w:val="0"/>
      <w:marBottom w:val="0"/>
      <w:divBdr>
        <w:top w:val="none" w:sz="0" w:space="0" w:color="auto"/>
        <w:left w:val="none" w:sz="0" w:space="0" w:color="auto"/>
        <w:bottom w:val="none" w:sz="0" w:space="0" w:color="auto"/>
        <w:right w:val="none" w:sz="0" w:space="0" w:color="auto"/>
      </w:divBdr>
    </w:div>
    <w:div w:id="661129830">
      <w:bodyDiv w:val="1"/>
      <w:marLeft w:val="0"/>
      <w:marRight w:val="0"/>
      <w:marTop w:val="0"/>
      <w:marBottom w:val="0"/>
      <w:divBdr>
        <w:top w:val="none" w:sz="0" w:space="0" w:color="auto"/>
        <w:left w:val="none" w:sz="0" w:space="0" w:color="auto"/>
        <w:bottom w:val="none" w:sz="0" w:space="0" w:color="auto"/>
        <w:right w:val="none" w:sz="0" w:space="0" w:color="auto"/>
      </w:divBdr>
    </w:div>
    <w:div w:id="673145020">
      <w:bodyDiv w:val="1"/>
      <w:marLeft w:val="0"/>
      <w:marRight w:val="0"/>
      <w:marTop w:val="0"/>
      <w:marBottom w:val="0"/>
      <w:divBdr>
        <w:top w:val="none" w:sz="0" w:space="0" w:color="auto"/>
        <w:left w:val="none" w:sz="0" w:space="0" w:color="auto"/>
        <w:bottom w:val="none" w:sz="0" w:space="0" w:color="auto"/>
        <w:right w:val="none" w:sz="0" w:space="0" w:color="auto"/>
      </w:divBdr>
    </w:div>
    <w:div w:id="699401491">
      <w:bodyDiv w:val="1"/>
      <w:marLeft w:val="0"/>
      <w:marRight w:val="0"/>
      <w:marTop w:val="0"/>
      <w:marBottom w:val="0"/>
      <w:divBdr>
        <w:top w:val="none" w:sz="0" w:space="0" w:color="auto"/>
        <w:left w:val="none" w:sz="0" w:space="0" w:color="auto"/>
        <w:bottom w:val="none" w:sz="0" w:space="0" w:color="auto"/>
        <w:right w:val="none" w:sz="0" w:space="0" w:color="auto"/>
      </w:divBdr>
    </w:div>
    <w:div w:id="705444843">
      <w:bodyDiv w:val="1"/>
      <w:marLeft w:val="0"/>
      <w:marRight w:val="0"/>
      <w:marTop w:val="0"/>
      <w:marBottom w:val="0"/>
      <w:divBdr>
        <w:top w:val="none" w:sz="0" w:space="0" w:color="auto"/>
        <w:left w:val="none" w:sz="0" w:space="0" w:color="auto"/>
        <w:bottom w:val="none" w:sz="0" w:space="0" w:color="auto"/>
        <w:right w:val="none" w:sz="0" w:space="0" w:color="auto"/>
      </w:divBdr>
    </w:div>
    <w:div w:id="706485600">
      <w:bodyDiv w:val="1"/>
      <w:marLeft w:val="0"/>
      <w:marRight w:val="0"/>
      <w:marTop w:val="0"/>
      <w:marBottom w:val="0"/>
      <w:divBdr>
        <w:top w:val="none" w:sz="0" w:space="0" w:color="auto"/>
        <w:left w:val="none" w:sz="0" w:space="0" w:color="auto"/>
        <w:bottom w:val="none" w:sz="0" w:space="0" w:color="auto"/>
        <w:right w:val="none" w:sz="0" w:space="0" w:color="auto"/>
      </w:divBdr>
    </w:div>
    <w:div w:id="711349243">
      <w:bodyDiv w:val="1"/>
      <w:marLeft w:val="0"/>
      <w:marRight w:val="0"/>
      <w:marTop w:val="0"/>
      <w:marBottom w:val="0"/>
      <w:divBdr>
        <w:top w:val="none" w:sz="0" w:space="0" w:color="auto"/>
        <w:left w:val="none" w:sz="0" w:space="0" w:color="auto"/>
        <w:bottom w:val="none" w:sz="0" w:space="0" w:color="auto"/>
        <w:right w:val="none" w:sz="0" w:space="0" w:color="auto"/>
      </w:divBdr>
    </w:div>
    <w:div w:id="724522782">
      <w:bodyDiv w:val="1"/>
      <w:marLeft w:val="0"/>
      <w:marRight w:val="0"/>
      <w:marTop w:val="0"/>
      <w:marBottom w:val="0"/>
      <w:divBdr>
        <w:top w:val="none" w:sz="0" w:space="0" w:color="auto"/>
        <w:left w:val="none" w:sz="0" w:space="0" w:color="auto"/>
        <w:bottom w:val="none" w:sz="0" w:space="0" w:color="auto"/>
        <w:right w:val="none" w:sz="0" w:space="0" w:color="auto"/>
      </w:divBdr>
    </w:div>
    <w:div w:id="732701742">
      <w:bodyDiv w:val="1"/>
      <w:marLeft w:val="0"/>
      <w:marRight w:val="0"/>
      <w:marTop w:val="0"/>
      <w:marBottom w:val="0"/>
      <w:divBdr>
        <w:top w:val="none" w:sz="0" w:space="0" w:color="auto"/>
        <w:left w:val="none" w:sz="0" w:space="0" w:color="auto"/>
        <w:bottom w:val="none" w:sz="0" w:space="0" w:color="auto"/>
        <w:right w:val="none" w:sz="0" w:space="0" w:color="auto"/>
      </w:divBdr>
    </w:div>
    <w:div w:id="749154417">
      <w:bodyDiv w:val="1"/>
      <w:marLeft w:val="0"/>
      <w:marRight w:val="0"/>
      <w:marTop w:val="0"/>
      <w:marBottom w:val="0"/>
      <w:divBdr>
        <w:top w:val="none" w:sz="0" w:space="0" w:color="auto"/>
        <w:left w:val="none" w:sz="0" w:space="0" w:color="auto"/>
        <w:bottom w:val="none" w:sz="0" w:space="0" w:color="auto"/>
        <w:right w:val="none" w:sz="0" w:space="0" w:color="auto"/>
      </w:divBdr>
    </w:div>
    <w:div w:id="762918839">
      <w:bodyDiv w:val="1"/>
      <w:marLeft w:val="0"/>
      <w:marRight w:val="0"/>
      <w:marTop w:val="0"/>
      <w:marBottom w:val="0"/>
      <w:divBdr>
        <w:top w:val="none" w:sz="0" w:space="0" w:color="auto"/>
        <w:left w:val="none" w:sz="0" w:space="0" w:color="auto"/>
        <w:bottom w:val="none" w:sz="0" w:space="0" w:color="auto"/>
        <w:right w:val="none" w:sz="0" w:space="0" w:color="auto"/>
      </w:divBdr>
    </w:div>
    <w:div w:id="766120051">
      <w:bodyDiv w:val="1"/>
      <w:marLeft w:val="0"/>
      <w:marRight w:val="0"/>
      <w:marTop w:val="0"/>
      <w:marBottom w:val="0"/>
      <w:divBdr>
        <w:top w:val="none" w:sz="0" w:space="0" w:color="auto"/>
        <w:left w:val="none" w:sz="0" w:space="0" w:color="auto"/>
        <w:bottom w:val="none" w:sz="0" w:space="0" w:color="auto"/>
        <w:right w:val="none" w:sz="0" w:space="0" w:color="auto"/>
      </w:divBdr>
    </w:div>
    <w:div w:id="768887557">
      <w:bodyDiv w:val="1"/>
      <w:marLeft w:val="0"/>
      <w:marRight w:val="0"/>
      <w:marTop w:val="0"/>
      <w:marBottom w:val="0"/>
      <w:divBdr>
        <w:top w:val="none" w:sz="0" w:space="0" w:color="auto"/>
        <w:left w:val="none" w:sz="0" w:space="0" w:color="auto"/>
        <w:bottom w:val="none" w:sz="0" w:space="0" w:color="auto"/>
        <w:right w:val="none" w:sz="0" w:space="0" w:color="auto"/>
      </w:divBdr>
    </w:div>
    <w:div w:id="775178137">
      <w:bodyDiv w:val="1"/>
      <w:marLeft w:val="0"/>
      <w:marRight w:val="0"/>
      <w:marTop w:val="0"/>
      <w:marBottom w:val="0"/>
      <w:divBdr>
        <w:top w:val="none" w:sz="0" w:space="0" w:color="auto"/>
        <w:left w:val="none" w:sz="0" w:space="0" w:color="auto"/>
        <w:bottom w:val="none" w:sz="0" w:space="0" w:color="auto"/>
        <w:right w:val="none" w:sz="0" w:space="0" w:color="auto"/>
      </w:divBdr>
    </w:div>
    <w:div w:id="795760470">
      <w:bodyDiv w:val="1"/>
      <w:marLeft w:val="0"/>
      <w:marRight w:val="0"/>
      <w:marTop w:val="0"/>
      <w:marBottom w:val="0"/>
      <w:divBdr>
        <w:top w:val="none" w:sz="0" w:space="0" w:color="auto"/>
        <w:left w:val="none" w:sz="0" w:space="0" w:color="auto"/>
        <w:bottom w:val="none" w:sz="0" w:space="0" w:color="auto"/>
        <w:right w:val="none" w:sz="0" w:space="0" w:color="auto"/>
      </w:divBdr>
    </w:div>
    <w:div w:id="800726585">
      <w:bodyDiv w:val="1"/>
      <w:marLeft w:val="0"/>
      <w:marRight w:val="0"/>
      <w:marTop w:val="0"/>
      <w:marBottom w:val="0"/>
      <w:divBdr>
        <w:top w:val="none" w:sz="0" w:space="0" w:color="auto"/>
        <w:left w:val="none" w:sz="0" w:space="0" w:color="auto"/>
        <w:bottom w:val="none" w:sz="0" w:space="0" w:color="auto"/>
        <w:right w:val="none" w:sz="0" w:space="0" w:color="auto"/>
      </w:divBdr>
    </w:div>
    <w:div w:id="804658001">
      <w:bodyDiv w:val="1"/>
      <w:marLeft w:val="0"/>
      <w:marRight w:val="0"/>
      <w:marTop w:val="0"/>
      <w:marBottom w:val="0"/>
      <w:divBdr>
        <w:top w:val="none" w:sz="0" w:space="0" w:color="auto"/>
        <w:left w:val="none" w:sz="0" w:space="0" w:color="auto"/>
        <w:bottom w:val="none" w:sz="0" w:space="0" w:color="auto"/>
        <w:right w:val="none" w:sz="0" w:space="0" w:color="auto"/>
      </w:divBdr>
    </w:div>
    <w:div w:id="832525918">
      <w:bodyDiv w:val="1"/>
      <w:marLeft w:val="0"/>
      <w:marRight w:val="0"/>
      <w:marTop w:val="0"/>
      <w:marBottom w:val="0"/>
      <w:divBdr>
        <w:top w:val="none" w:sz="0" w:space="0" w:color="auto"/>
        <w:left w:val="none" w:sz="0" w:space="0" w:color="auto"/>
        <w:bottom w:val="none" w:sz="0" w:space="0" w:color="auto"/>
        <w:right w:val="none" w:sz="0" w:space="0" w:color="auto"/>
      </w:divBdr>
    </w:div>
    <w:div w:id="839925940">
      <w:bodyDiv w:val="1"/>
      <w:marLeft w:val="0"/>
      <w:marRight w:val="0"/>
      <w:marTop w:val="0"/>
      <w:marBottom w:val="0"/>
      <w:divBdr>
        <w:top w:val="none" w:sz="0" w:space="0" w:color="auto"/>
        <w:left w:val="none" w:sz="0" w:space="0" w:color="auto"/>
        <w:bottom w:val="none" w:sz="0" w:space="0" w:color="auto"/>
        <w:right w:val="none" w:sz="0" w:space="0" w:color="auto"/>
      </w:divBdr>
    </w:div>
    <w:div w:id="841315423">
      <w:bodyDiv w:val="1"/>
      <w:marLeft w:val="0"/>
      <w:marRight w:val="0"/>
      <w:marTop w:val="0"/>
      <w:marBottom w:val="0"/>
      <w:divBdr>
        <w:top w:val="none" w:sz="0" w:space="0" w:color="auto"/>
        <w:left w:val="none" w:sz="0" w:space="0" w:color="auto"/>
        <w:bottom w:val="none" w:sz="0" w:space="0" w:color="auto"/>
        <w:right w:val="none" w:sz="0" w:space="0" w:color="auto"/>
      </w:divBdr>
    </w:div>
    <w:div w:id="849221673">
      <w:bodyDiv w:val="1"/>
      <w:marLeft w:val="0"/>
      <w:marRight w:val="0"/>
      <w:marTop w:val="0"/>
      <w:marBottom w:val="0"/>
      <w:divBdr>
        <w:top w:val="none" w:sz="0" w:space="0" w:color="auto"/>
        <w:left w:val="none" w:sz="0" w:space="0" w:color="auto"/>
        <w:bottom w:val="none" w:sz="0" w:space="0" w:color="auto"/>
        <w:right w:val="none" w:sz="0" w:space="0" w:color="auto"/>
      </w:divBdr>
    </w:div>
    <w:div w:id="889193614">
      <w:bodyDiv w:val="1"/>
      <w:marLeft w:val="0"/>
      <w:marRight w:val="0"/>
      <w:marTop w:val="0"/>
      <w:marBottom w:val="0"/>
      <w:divBdr>
        <w:top w:val="none" w:sz="0" w:space="0" w:color="auto"/>
        <w:left w:val="none" w:sz="0" w:space="0" w:color="auto"/>
        <w:bottom w:val="none" w:sz="0" w:space="0" w:color="auto"/>
        <w:right w:val="none" w:sz="0" w:space="0" w:color="auto"/>
      </w:divBdr>
    </w:div>
    <w:div w:id="901061390">
      <w:bodyDiv w:val="1"/>
      <w:marLeft w:val="0"/>
      <w:marRight w:val="0"/>
      <w:marTop w:val="0"/>
      <w:marBottom w:val="0"/>
      <w:divBdr>
        <w:top w:val="none" w:sz="0" w:space="0" w:color="auto"/>
        <w:left w:val="none" w:sz="0" w:space="0" w:color="auto"/>
        <w:bottom w:val="none" w:sz="0" w:space="0" w:color="auto"/>
        <w:right w:val="none" w:sz="0" w:space="0" w:color="auto"/>
      </w:divBdr>
    </w:div>
    <w:div w:id="943151579">
      <w:bodyDiv w:val="1"/>
      <w:marLeft w:val="0"/>
      <w:marRight w:val="0"/>
      <w:marTop w:val="0"/>
      <w:marBottom w:val="0"/>
      <w:divBdr>
        <w:top w:val="none" w:sz="0" w:space="0" w:color="auto"/>
        <w:left w:val="none" w:sz="0" w:space="0" w:color="auto"/>
        <w:bottom w:val="none" w:sz="0" w:space="0" w:color="auto"/>
        <w:right w:val="none" w:sz="0" w:space="0" w:color="auto"/>
      </w:divBdr>
    </w:div>
    <w:div w:id="951979705">
      <w:bodyDiv w:val="1"/>
      <w:marLeft w:val="0"/>
      <w:marRight w:val="0"/>
      <w:marTop w:val="0"/>
      <w:marBottom w:val="0"/>
      <w:divBdr>
        <w:top w:val="none" w:sz="0" w:space="0" w:color="auto"/>
        <w:left w:val="none" w:sz="0" w:space="0" w:color="auto"/>
        <w:bottom w:val="none" w:sz="0" w:space="0" w:color="auto"/>
        <w:right w:val="none" w:sz="0" w:space="0" w:color="auto"/>
      </w:divBdr>
    </w:div>
    <w:div w:id="975792244">
      <w:bodyDiv w:val="1"/>
      <w:marLeft w:val="0"/>
      <w:marRight w:val="0"/>
      <w:marTop w:val="0"/>
      <w:marBottom w:val="0"/>
      <w:divBdr>
        <w:top w:val="none" w:sz="0" w:space="0" w:color="auto"/>
        <w:left w:val="none" w:sz="0" w:space="0" w:color="auto"/>
        <w:bottom w:val="none" w:sz="0" w:space="0" w:color="auto"/>
        <w:right w:val="none" w:sz="0" w:space="0" w:color="auto"/>
      </w:divBdr>
    </w:div>
    <w:div w:id="976839751">
      <w:bodyDiv w:val="1"/>
      <w:marLeft w:val="0"/>
      <w:marRight w:val="0"/>
      <w:marTop w:val="0"/>
      <w:marBottom w:val="0"/>
      <w:divBdr>
        <w:top w:val="none" w:sz="0" w:space="0" w:color="auto"/>
        <w:left w:val="none" w:sz="0" w:space="0" w:color="auto"/>
        <w:bottom w:val="none" w:sz="0" w:space="0" w:color="auto"/>
        <w:right w:val="none" w:sz="0" w:space="0" w:color="auto"/>
      </w:divBdr>
    </w:div>
    <w:div w:id="981815967">
      <w:bodyDiv w:val="1"/>
      <w:marLeft w:val="0"/>
      <w:marRight w:val="0"/>
      <w:marTop w:val="0"/>
      <w:marBottom w:val="0"/>
      <w:divBdr>
        <w:top w:val="none" w:sz="0" w:space="0" w:color="auto"/>
        <w:left w:val="none" w:sz="0" w:space="0" w:color="auto"/>
        <w:bottom w:val="none" w:sz="0" w:space="0" w:color="auto"/>
        <w:right w:val="none" w:sz="0" w:space="0" w:color="auto"/>
      </w:divBdr>
    </w:div>
    <w:div w:id="982196110">
      <w:bodyDiv w:val="1"/>
      <w:marLeft w:val="0"/>
      <w:marRight w:val="0"/>
      <w:marTop w:val="0"/>
      <w:marBottom w:val="0"/>
      <w:divBdr>
        <w:top w:val="none" w:sz="0" w:space="0" w:color="auto"/>
        <w:left w:val="none" w:sz="0" w:space="0" w:color="auto"/>
        <w:bottom w:val="none" w:sz="0" w:space="0" w:color="auto"/>
        <w:right w:val="none" w:sz="0" w:space="0" w:color="auto"/>
      </w:divBdr>
    </w:div>
    <w:div w:id="995454620">
      <w:bodyDiv w:val="1"/>
      <w:marLeft w:val="0"/>
      <w:marRight w:val="0"/>
      <w:marTop w:val="0"/>
      <w:marBottom w:val="0"/>
      <w:divBdr>
        <w:top w:val="none" w:sz="0" w:space="0" w:color="auto"/>
        <w:left w:val="none" w:sz="0" w:space="0" w:color="auto"/>
        <w:bottom w:val="none" w:sz="0" w:space="0" w:color="auto"/>
        <w:right w:val="none" w:sz="0" w:space="0" w:color="auto"/>
      </w:divBdr>
    </w:div>
    <w:div w:id="1016274666">
      <w:bodyDiv w:val="1"/>
      <w:marLeft w:val="0"/>
      <w:marRight w:val="0"/>
      <w:marTop w:val="0"/>
      <w:marBottom w:val="0"/>
      <w:divBdr>
        <w:top w:val="none" w:sz="0" w:space="0" w:color="auto"/>
        <w:left w:val="none" w:sz="0" w:space="0" w:color="auto"/>
        <w:bottom w:val="none" w:sz="0" w:space="0" w:color="auto"/>
        <w:right w:val="none" w:sz="0" w:space="0" w:color="auto"/>
      </w:divBdr>
    </w:div>
    <w:div w:id="1046417759">
      <w:bodyDiv w:val="1"/>
      <w:marLeft w:val="0"/>
      <w:marRight w:val="0"/>
      <w:marTop w:val="0"/>
      <w:marBottom w:val="0"/>
      <w:divBdr>
        <w:top w:val="none" w:sz="0" w:space="0" w:color="auto"/>
        <w:left w:val="none" w:sz="0" w:space="0" w:color="auto"/>
        <w:bottom w:val="none" w:sz="0" w:space="0" w:color="auto"/>
        <w:right w:val="none" w:sz="0" w:space="0" w:color="auto"/>
      </w:divBdr>
    </w:div>
    <w:div w:id="1059136768">
      <w:bodyDiv w:val="1"/>
      <w:marLeft w:val="0"/>
      <w:marRight w:val="0"/>
      <w:marTop w:val="0"/>
      <w:marBottom w:val="0"/>
      <w:divBdr>
        <w:top w:val="none" w:sz="0" w:space="0" w:color="auto"/>
        <w:left w:val="none" w:sz="0" w:space="0" w:color="auto"/>
        <w:bottom w:val="none" w:sz="0" w:space="0" w:color="auto"/>
        <w:right w:val="none" w:sz="0" w:space="0" w:color="auto"/>
      </w:divBdr>
    </w:div>
    <w:div w:id="1063799153">
      <w:bodyDiv w:val="1"/>
      <w:marLeft w:val="0"/>
      <w:marRight w:val="0"/>
      <w:marTop w:val="0"/>
      <w:marBottom w:val="0"/>
      <w:divBdr>
        <w:top w:val="none" w:sz="0" w:space="0" w:color="auto"/>
        <w:left w:val="none" w:sz="0" w:space="0" w:color="auto"/>
        <w:bottom w:val="none" w:sz="0" w:space="0" w:color="auto"/>
        <w:right w:val="none" w:sz="0" w:space="0" w:color="auto"/>
      </w:divBdr>
    </w:div>
    <w:div w:id="1064454779">
      <w:bodyDiv w:val="1"/>
      <w:marLeft w:val="0"/>
      <w:marRight w:val="0"/>
      <w:marTop w:val="0"/>
      <w:marBottom w:val="0"/>
      <w:divBdr>
        <w:top w:val="none" w:sz="0" w:space="0" w:color="auto"/>
        <w:left w:val="none" w:sz="0" w:space="0" w:color="auto"/>
        <w:bottom w:val="none" w:sz="0" w:space="0" w:color="auto"/>
        <w:right w:val="none" w:sz="0" w:space="0" w:color="auto"/>
      </w:divBdr>
    </w:div>
    <w:div w:id="1066882277">
      <w:bodyDiv w:val="1"/>
      <w:marLeft w:val="0"/>
      <w:marRight w:val="0"/>
      <w:marTop w:val="0"/>
      <w:marBottom w:val="0"/>
      <w:divBdr>
        <w:top w:val="none" w:sz="0" w:space="0" w:color="auto"/>
        <w:left w:val="none" w:sz="0" w:space="0" w:color="auto"/>
        <w:bottom w:val="none" w:sz="0" w:space="0" w:color="auto"/>
        <w:right w:val="none" w:sz="0" w:space="0" w:color="auto"/>
      </w:divBdr>
    </w:div>
    <w:div w:id="1075973457">
      <w:bodyDiv w:val="1"/>
      <w:marLeft w:val="0"/>
      <w:marRight w:val="0"/>
      <w:marTop w:val="0"/>
      <w:marBottom w:val="0"/>
      <w:divBdr>
        <w:top w:val="none" w:sz="0" w:space="0" w:color="auto"/>
        <w:left w:val="none" w:sz="0" w:space="0" w:color="auto"/>
        <w:bottom w:val="none" w:sz="0" w:space="0" w:color="auto"/>
        <w:right w:val="none" w:sz="0" w:space="0" w:color="auto"/>
      </w:divBdr>
    </w:div>
    <w:div w:id="1087579408">
      <w:bodyDiv w:val="1"/>
      <w:marLeft w:val="0"/>
      <w:marRight w:val="0"/>
      <w:marTop w:val="0"/>
      <w:marBottom w:val="0"/>
      <w:divBdr>
        <w:top w:val="none" w:sz="0" w:space="0" w:color="auto"/>
        <w:left w:val="none" w:sz="0" w:space="0" w:color="auto"/>
        <w:bottom w:val="none" w:sz="0" w:space="0" w:color="auto"/>
        <w:right w:val="none" w:sz="0" w:space="0" w:color="auto"/>
      </w:divBdr>
    </w:div>
    <w:div w:id="1095129859">
      <w:bodyDiv w:val="1"/>
      <w:marLeft w:val="0"/>
      <w:marRight w:val="0"/>
      <w:marTop w:val="0"/>
      <w:marBottom w:val="0"/>
      <w:divBdr>
        <w:top w:val="none" w:sz="0" w:space="0" w:color="auto"/>
        <w:left w:val="none" w:sz="0" w:space="0" w:color="auto"/>
        <w:bottom w:val="none" w:sz="0" w:space="0" w:color="auto"/>
        <w:right w:val="none" w:sz="0" w:space="0" w:color="auto"/>
      </w:divBdr>
    </w:div>
    <w:div w:id="1102409941">
      <w:bodyDiv w:val="1"/>
      <w:marLeft w:val="0"/>
      <w:marRight w:val="0"/>
      <w:marTop w:val="0"/>
      <w:marBottom w:val="0"/>
      <w:divBdr>
        <w:top w:val="none" w:sz="0" w:space="0" w:color="auto"/>
        <w:left w:val="none" w:sz="0" w:space="0" w:color="auto"/>
        <w:bottom w:val="none" w:sz="0" w:space="0" w:color="auto"/>
        <w:right w:val="none" w:sz="0" w:space="0" w:color="auto"/>
      </w:divBdr>
      <w:divsChild>
        <w:div w:id="135532164">
          <w:marLeft w:val="274"/>
          <w:marRight w:val="0"/>
          <w:marTop w:val="0"/>
          <w:marBottom w:val="0"/>
          <w:divBdr>
            <w:top w:val="none" w:sz="0" w:space="0" w:color="auto"/>
            <w:left w:val="none" w:sz="0" w:space="0" w:color="auto"/>
            <w:bottom w:val="none" w:sz="0" w:space="0" w:color="auto"/>
            <w:right w:val="none" w:sz="0" w:space="0" w:color="auto"/>
          </w:divBdr>
        </w:div>
        <w:div w:id="201796976">
          <w:marLeft w:val="274"/>
          <w:marRight w:val="0"/>
          <w:marTop w:val="0"/>
          <w:marBottom w:val="0"/>
          <w:divBdr>
            <w:top w:val="none" w:sz="0" w:space="0" w:color="auto"/>
            <w:left w:val="none" w:sz="0" w:space="0" w:color="auto"/>
            <w:bottom w:val="none" w:sz="0" w:space="0" w:color="auto"/>
            <w:right w:val="none" w:sz="0" w:space="0" w:color="auto"/>
          </w:divBdr>
        </w:div>
        <w:div w:id="986008601">
          <w:marLeft w:val="274"/>
          <w:marRight w:val="0"/>
          <w:marTop w:val="0"/>
          <w:marBottom w:val="0"/>
          <w:divBdr>
            <w:top w:val="none" w:sz="0" w:space="0" w:color="auto"/>
            <w:left w:val="none" w:sz="0" w:space="0" w:color="auto"/>
            <w:bottom w:val="none" w:sz="0" w:space="0" w:color="auto"/>
            <w:right w:val="none" w:sz="0" w:space="0" w:color="auto"/>
          </w:divBdr>
        </w:div>
        <w:div w:id="1614827196">
          <w:marLeft w:val="274"/>
          <w:marRight w:val="0"/>
          <w:marTop w:val="0"/>
          <w:marBottom w:val="0"/>
          <w:divBdr>
            <w:top w:val="none" w:sz="0" w:space="0" w:color="auto"/>
            <w:left w:val="none" w:sz="0" w:space="0" w:color="auto"/>
            <w:bottom w:val="none" w:sz="0" w:space="0" w:color="auto"/>
            <w:right w:val="none" w:sz="0" w:space="0" w:color="auto"/>
          </w:divBdr>
        </w:div>
      </w:divsChild>
    </w:div>
    <w:div w:id="1104619728">
      <w:bodyDiv w:val="1"/>
      <w:marLeft w:val="0"/>
      <w:marRight w:val="0"/>
      <w:marTop w:val="0"/>
      <w:marBottom w:val="0"/>
      <w:divBdr>
        <w:top w:val="none" w:sz="0" w:space="0" w:color="auto"/>
        <w:left w:val="none" w:sz="0" w:space="0" w:color="auto"/>
        <w:bottom w:val="none" w:sz="0" w:space="0" w:color="auto"/>
        <w:right w:val="none" w:sz="0" w:space="0" w:color="auto"/>
      </w:divBdr>
    </w:div>
    <w:div w:id="1107236249">
      <w:bodyDiv w:val="1"/>
      <w:marLeft w:val="0"/>
      <w:marRight w:val="0"/>
      <w:marTop w:val="0"/>
      <w:marBottom w:val="0"/>
      <w:divBdr>
        <w:top w:val="none" w:sz="0" w:space="0" w:color="auto"/>
        <w:left w:val="none" w:sz="0" w:space="0" w:color="auto"/>
        <w:bottom w:val="none" w:sz="0" w:space="0" w:color="auto"/>
        <w:right w:val="none" w:sz="0" w:space="0" w:color="auto"/>
      </w:divBdr>
    </w:div>
    <w:div w:id="1107771936">
      <w:bodyDiv w:val="1"/>
      <w:marLeft w:val="0"/>
      <w:marRight w:val="0"/>
      <w:marTop w:val="0"/>
      <w:marBottom w:val="0"/>
      <w:divBdr>
        <w:top w:val="none" w:sz="0" w:space="0" w:color="auto"/>
        <w:left w:val="none" w:sz="0" w:space="0" w:color="auto"/>
        <w:bottom w:val="none" w:sz="0" w:space="0" w:color="auto"/>
        <w:right w:val="none" w:sz="0" w:space="0" w:color="auto"/>
      </w:divBdr>
    </w:div>
    <w:div w:id="1108820069">
      <w:bodyDiv w:val="1"/>
      <w:marLeft w:val="0"/>
      <w:marRight w:val="0"/>
      <w:marTop w:val="0"/>
      <w:marBottom w:val="0"/>
      <w:divBdr>
        <w:top w:val="none" w:sz="0" w:space="0" w:color="auto"/>
        <w:left w:val="none" w:sz="0" w:space="0" w:color="auto"/>
        <w:bottom w:val="none" w:sz="0" w:space="0" w:color="auto"/>
        <w:right w:val="none" w:sz="0" w:space="0" w:color="auto"/>
      </w:divBdr>
    </w:div>
    <w:div w:id="1110199108">
      <w:bodyDiv w:val="1"/>
      <w:marLeft w:val="0"/>
      <w:marRight w:val="0"/>
      <w:marTop w:val="0"/>
      <w:marBottom w:val="0"/>
      <w:divBdr>
        <w:top w:val="none" w:sz="0" w:space="0" w:color="auto"/>
        <w:left w:val="none" w:sz="0" w:space="0" w:color="auto"/>
        <w:bottom w:val="none" w:sz="0" w:space="0" w:color="auto"/>
        <w:right w:val="none" w:sz="0" w:space="0" w:color="auto"/>
      </w:divBdr>
    </w:div>
    <w:div w:id="1132404970">
      <w:bodyDiv w:val="1"/>
      <w:marLeft w:val="0"/>
      <w:marRight w:val="0"/>
      <w:marTop w:val="0"/>
      <w:marBottom w:val="0"/>
      <w:divBdr>
        <w:top w:val="none" w:sz="0" w:space="0" w:color="auto"/>
        <w:left w:val="none" w:sz="0" w:space="0" w:color="auto"/>
        <w:bottom w:val="none" w:sz="0" w:space="0" w:color="auto"/>
        <w:right w:val="none" w:sz="0" w:space="0" w:color="auto"/>
      </w:divBdr>
    </w:div>
    <w:div w:id="1137144372">
      <w:bodyDiv w:val="1"/>
      <w:marLeft w:val="0"/>
      <w:marRight w:val="0"/>
      <w:marTop w:val="0"/>
      <w:marBottom w:val="0"/>
      <w:divBdr>
        <w:top w:val="none" w:sz="0" w:space="0" w:color="auto"/>
        <w:left w:val="none" w:sz="0" w:space="0" w:color="auto"/>
        <w:bottom w:val="none" w:sz="0" w:space="0" w:color="auto"/>
        <w:right w:val="none" w:sz="0" w:space="0" w:color="auto"/>
      </w:divBdr>
    </w:div>
    <w:div w:id="1139222653">
      <w:bodyDiv w:val="1"/>
      <w:marLeft w:val="0"/>
      <w:marRight w:val="0"/>
      <w:marTop w:val="0"/>
      <w:marBottom w:val="0"/>
      <w:divBdr>
        <w:top w:val="none" w:sz="0" w:space="0" w:color="auto"/>
        <w:left w:val="none" w:sz="0" w:space="0" w:color="auto"/>
        <w:bottom w:val="none" w:sz="0" w:space="0" w:color="auto"/>
        <w:right w:val="none" w:sz="0" w:space="0" w:color="auto"/>
      </w:divBdr>
    </w:div>
    <w:div w:id="1147672158">
      <w:bodyDiv w:val="1"/>
      <w:marLeft w:val="0"/>
      <w:marRight w:val="0"/>
      <w:marTop w:val="0"/>
      <w:marBottom w:val="0"/>
      <w:divBdr>
        <w:top w:val="none" w:sz="0" w:space="0" w:color="auto"/>
        <w:left w:val="none" w:sz="0" w:space="0" w:color="auto"/>
        <w:bottom w:val="none" w:sz="0" w:space="0" w:color="auto"/>
        <w:right w:val="none" w:sz="0" w:space="0" w:color="auto"/>
      </w:divBdr>
    </w:div>
    <w:div w:id="1158378741">
      <w:bodyDiv w:val="1"/>
      <w:marLeft w:val="0"/>
      <w:marRight w:val="0"/>
      <w:marTop w:val="0"/>
      <w:marBottom w:val="0"/>
      <w:divBdr>
        <w:top w:val="none" w:sz="0" w:space="0" w:color="auto"/>
        <w:left w:val="none" w:sz="0" w:space="0" w:color="auto"/>
        <w:bottom w:val="none" w:sz="0" w:space="0" w:color="auto"/>
        <w:right w:val="none" w:sz="0" w:space="0" w:color="auto"/>
      </w:divBdr>
    </w:div>
    <w:div w:id="1165633146">
      <w:bodyDiv w:val="1"/>
      <w:marLeft w:val="0"/>
      <w:marRight w:val="0"/>
      <w:marTop w:val="0"/>
      <w:marBottom w:val="0"/>
      <w:divBdr>
        <w:top w:val="none" w:sz="0" w:space="0" w:color="auto"/>
        <w:left w:val="none" w:sz="0" w:space="0" w:color="auto"/>
        <w:bottom w:val="none" w:sz="0" w:space="0" w:color="auto"/>
        <w:right w:val="none" w:sz="0" w:space="0" w:color="auto"/>
      </w:divBdr>
    </w:div>
    <w:div w:id="1169714916">
      <w:bodyDiv w:val="1"/>
      <w:marLeft w:val="0"/>
      <w:marRight w:val="0"/>
      <w:marTop w:val="0"/>
      <w:marBottom w:val="0"/>
      <w:divBdr>
        <w:top w:val="none" w:sz="0" w:space="0" w:color="auto"/>
        <w:left w:val="none" w:sz="0" w:space="0" w:color="auto"/>
        <w:bottom w:val="none" w:sz="0" w:space="0" w:color="auto"/>
        <w:right w:val="none" w:sz="0" w:space="0" w:color="auto"/>
      </w:divBdr>
    </w:div>
    <w:div w:id="1173956870">
      <w:bodyDiv w:val="1"/>
      <w:marLeft w:val="0"/>
      <w:marRight w:val="0"/>
      <w:marTop w:val="0"/>
      <w:marBottom w:val="0"/>
      <w:divBdr>
        <w:top w:val="none" w:sz="0" w:space="0" w:color="auto"/>
        <w:left w:val="none" w:sz="0" w:space="0" w:color="auto"/>
        <w:bottom w:val="none" w:sz="0" w:space="0" w:color="auto"/>
        <w:right w:val="none" w:sz="0" w:space="0" w:color="auto"/>
      </w:divBdr>
    </w:div>
    <w:div w:id="1184710853">
      <w:bodyDiv w:val="1"/>
      <w:marLeft w:val="0"/>
      <w:marRight w:val="0"/>
      <w:marTop w:val="0"/>
      <w:marBottom w:val="0"/>
      <w:divBdr>
        <w:top w:val="none" w:sz="0" w:space="0" w:color="auto"/>
        <w:left w:val="none" w:sz="0" w:space="0" w:color="auto"/>
        <w:bottom w:val="none" w:sz="0" w:space="0" w:color="auto"/>
        <w:right w:val="none" w:sz="0" w:space="0" w:color="auto"/>
      </w:divBdr>
    </w:div>
    <w:div w:id="1186332776">
      <w:bodyDiv w:val="1"/>
      <w:marLeft w:val="0"/>
      <w:marRight w:val="0"/>
      <w:marTop w:val="0"/>
      <w:marBottom w:val="0"/>
      <w:divBdr>
        <w:top w:val="none" w:sz="0" w:space="0" w:color="auto"/>
        <w:left w:val="none" w:sz="0" w:space="0" w:color="auto"/>
        <w:bottom w:val="none" w:sz="0" w:space="0" w:color="auto"/>
        <w:right w:val="none" w:sz="0" w:space="0" w:color="auto"/>
      </w:divBdr>
    </w:div>
    <w:div w:id="1200707930">
      <w:bodyDiv w:val="1"/>
      <w:marLeft w:val="0"/>
      <w:marRight w:val="0"/>
      <w:marTop w:val="0"/>
      <w:marBottom w:val="0"/>
      <w:divBdr>
        <w:top w:val="none" w:sz="0" w:space="0" w:color="auto"/>
        <w:left w:val="none" w:sz="0" w:space="0" w:color="auto"/>
        <w:bottom w:val="none" w:sz="0" w:space="0" w:color="auto"/>
        <w:right w:val="none" w:sz="0" w:space="0" w:color="auto"/>
      </w:divBdr>
    </w:div>
    <w:div w:id="1224219807">
      <w:bodyDiv w:val="1"/>
      <w:marLeft w:val="0"/>
      <w:marRight w:val="0"/>
      <w:marTop w:val="0"/>
      <w:marBottom w:val="0"/>
      <w:divBdr>
        <w:top w:val="none" w:sz="0" w:space="0" w:color="auto"/>
        <w:left w:val="none" w:sz="0" w:space="0" w:color="auto"/>
        <w:bottom w:val="none" w:sz="0" w:space="0" w:color="auto"/>
        <w:right w:val="none" w:sz="0" w:space="0" w:color="auto"/>
      </w:divBdr>
    </w:div>
    <w:div w:id="1234588704">
      <w:bodyDiv w:val="1"/>
      <w:marLeft w:val="0"/>
      <w:marRight w:val="0"/>
      <w:marTop w:val="0"/>
      <w:marBottom w:val="0"/>
      <w:divBdr>
        <w:top w:val="none" w:sz="0" w:space="0" w:color="auto"/>
        <w:left w:val="none" w:sz="0" w:space="0" w:color="auto"/>
        <w:bottom w:val="none" w:sz="0" w:space="0" w:color="auto"/>
        <w:right w:val="none" w:sz="0" w:space="0" w:color="auto"/>
      </w:divBdr>
    </w:div>
    <w:div w:id="1236280355">
      <w:bodyDiv w:val="1"/>
      <w:marLeft w:val="0"/>
      <w:marRight w:val="0"/>
      <w:marTop w:val="0"/>
      <w:marBottom w:val="0"/>
      <w:divBdr>
        <w:top w:val="none" w:sz="0" w:space="0" w:color="auto"/>
        <w:left w:val="none" w:sz="0" w:space="0" w:color="auto"/>
        <w:bottom w:val="none" w:sz="0" w:space="0" w:color="auto"/>
        <w:right w:val="none" w:sz="0" w:space="0" w:color="auto"/>
      </w:divBdr>
    </w:div>
    <w:div w:id="1243105548">
      <w:bodyDiv w:val="1"/>
      <w:marLeft w:val="0"/>
      <w:marRight w:val="0"/>
      <w:marTop w:val="0"/>
      <w:marBottom w:val="0"/>
      <w:divBdr>
        <w:top w:val="none" w:sz="0" w:space="0" w:color="auto"/>
        <w:left w:val="none" w:sz="0" w:space="0" w:color="auto"/>
        <w:bottom w:val="none" w:sz="0" w:space="0" w:color="auto"/>
        <w:right w:val="none" w:sz="0" w:space="0" w:color="auto"/>
      </w:divBdr>
    </w:div>
    <w:div w:id="1245073252">
      <w:bodyDiv w:val="1"/>
      <w:marLeft w:val="0"/>
      <w:marRight w:val="0"/>
      <w:marTop w:val="0"/>
      <w:marBottom w:val="0"/>
      <w:divBdr>
        <w:top w:val="none" w:sz="0" w:space="0" w:color="auto"/>
        <w:left w:val="none" w:sz="0" w:space="0" w:color="auto"/>
        <w:bottom w:val="none" w:sz="0" w:space="0" w:color="auto"/>
        <w:right w:val="none" w:sz="0" w:space="0" w:color="auto"/>
      </w:divBdr>
    </w:div>
    <w:div w:id="1260068775">
      <w:bodyDiv w:val="1"/>
      <w:marLeft w:val="0"/>
      <w:marRight w:val="0"/>
      <w:marTop w:val="0"/>
      <w:marBottom w:val="0"/>
      <w:divBdr>
        <w:top w:val="none" w:sz="0" w:space="0" w:color="auto"/>
        <w:left w:val="none" w:sz="0" w:space="0" w:color="auto"/>
        <w:bottom w:val="none" w:sz="0" w:space="0" w:color="auto"/>
        <w:right w:val="none" w:sz="0" w:space="0" w:color="auto"/>
      </w:divBdr>
    </w:div>
    <w:div w:id="1271207553">
      <w:bodyDiv w:val="1"/>
      <w:marLeft w:val="0"/>
      <w:marRight w:val="0"/>
      <w:marTop w:val="0"/>
      <w:marBottom w:val="0"/>
      <w:divBdr>
        <w:top w:val="none" w:sz="0" w:space="0" w:color="auto"/>
        <w:left w:val="none" w:sz="0" w:space="0" w:color="auto"/>
        <w:bottom w:val="none" w:sz="0" w:space="0" w:color="auto"/>
        <w:right w:val="none" w:sz="0" w:space="0" w:color="auto"/>
      </w:divBdr>
    </w:div>
    <w:div w:id="1282881083">
      <w:bodyDiv w:val="1"/>
      <w:marLeft w:val="0"/>
      <w:marRight w:val="0"/>
      <w:marTop w:val="0"/>
      <w:marBottom w:val="0"/>
      <w:divBdr>
        <w:top w:val="none" w:sz="0" w:space="0" w:color="auto"/>
        <w:left w:val="none" w:sz="0" w:space="0" w:color="auto"/>
        <w:bottom w:val="none" w:sz="0" w:space="0" w:color="auto"/>
        <w:right w:val="none" w:sz="0" w:space="0" w:color="auto"/>
      </w:divBdr>
    </w:div>
    <w:div w:id="1338077982">
      <w:bodyDiv w:val="1"/>
      <w:marLeft w:val="0"/>
      <w:marRight w:val="0"/>
      <w:marTop w:val="0"/>
      <w:marBottom w:val="0"/>
      <w:divBdr>
        <w:top w:val="none" w:sz="0" w:space="0" w:color="auto"/>
        <w:left w:val="none" w:sz="0" w:space="0" w:color="auto"/>
        <w:bottom w:val="none" w:sz="0" w:space="0" w:color="auto"/>
        <w:right w:val="none" w:sz="0" w:space="0" w:color="auto"/>
      </w:divBdr>
    </w:div>
    <w:div w:id="1346857285">
      <w:bodyDiv w:val="1"/>
      <w:marLeft w:val="0"/>
      <w:marRight w:val="0"/>
      <w:marTop w:val="0"/>
      <w:marBottom w:val="0"/>
      <w:divBdr>
        <w:top w:val="none" w:sz="0" w:space="0" w:color="auto"/>
        <w:left w:val="none" w:sz="0" w:space="0" w:color="auto"/>
        <w:bottom w:val="none" w:sz="0" w:space="0" w:color="auto"/>
        <w:right w:val="none" w:sz="0" w:space="0" w:color="auto"/>
      </w:divBdr>
    </w:div>
    <w:div w:id="1350790803">
      <w:bodyDiv w:val="1"/>
      <w:marLeft w:val="0"/>
      <w:marRight w:val="0"/>
      <w:marTop w:val="0"/>
      <w:marBottom w:val="0"/>
      <w:divBdr>
        <w:top w:val="none" w:sz="0" w:space="0" w:color="auto"/>
        <w:left w:val="none" w:sz="0" w:space="0" w:color="auto"/>
        <w:bottom w:val="none" w:sz="0" w:space="0" w:color="auto"/>
        <w:right w:val="none" w:sz="0" w:space="0" w:color="auto"/>
      </w:divBdr>
    </w:div>
    <w:div w:id="1355305121">
      <w:bodyDiv w:val="1"/>
      <w:marLeft w:val="0"/>
      <w:marRight w:val="0"/>
      <w:marTop w:val="0"/>
      <w:marBottom w:val="0"/>
      <w:divBdr>
        <w:top w:val="none" w:sz="0" w:space="0" w:color="auto"/>
        <w:left w:val="none" w:sz="0" w:space="0" w:color="auto"/>
        <w:bottom w:val="none" w:sz="0" w:space="0" w:color="auto"/>
        <w:right w:val="none" w:sz="0" w:space="0" w:color="auto"/>
      </w:divBdr>
    </w:div>
    <w:div w:id="1361860067">
      <w:bodyDiv w:val="1"/>
      <w:marLeft w:val="0"/>
      <w:marRight w:val="0"/>
      <w:marTop w:val="0"/>
      <w:marBottom w:val="0"/>
      <w:divBdr>
        <w:top w:val="none" w:sz="0" w:space="0" w:color="auto"/>
        <w:left w:val="none" w:sz="0" w:space="0" w:color="auto"/>
        <w:bottom w:val="none" w:sz="0" w:space="0" w:color="auto"/>
        <w:right w:val="none" w:sz="0" w:space="0" w:color="auto"/>
      </w:divBdr>
    </w:div>
    <w:div w:id="1367758338">
      <w:bodyDiv w:val="1"/>
      <w:marLeft w:val="0"/>
      <w:marRight w:val="0"/>
      <w:marTop w:val="0"/>
      <w:marBottom w:val="0"/>
      <w:divBdr>
        <w:top w:val="none" w:sz="0" w:space="0" w:color="auto"/>
        <w:left w:val="none" w:sz="0" w:space="0" w:color="auto"/>
        <w:bottom w:val="none" w:sz="0" w:space="0" w:color="auto"/>
        <w:right w:val="none" w:sz="0" w:space="0" w:color="auto"/>
      </w:divBdr>
    </w:div>
    <w:div w:id="1373336794">
      <w:bodyDiv w:val="1"/>
      <w:marLeft w:val="0"/>
      <w:marRight w:val="0"/>
      <w:marTop w:val="0"/>
      <w:marBottom w:val="0"/>
      <w:divBdr>
        <w:top w:val="none" w:sz="0" w:space="0" w:color="auto"/>
        <w:left w:val="none" w:sz="0" w:space="0" w:color="auto"/>
        <w:bottom w:val="none" w:sz="0" w:space="0" w:color="auto"/>
        <w:right w:val="none" w:sz="0" w:space="0" w:color="auto"/>
      </w:divBdr>
    </w:div>
    <w:div w:id="1389720028">
      <w:bodyDiv w:val="1"/>
      <w:marLeft w:val="0"/>
      <w:marRight w:val="0"/>
      <w:marTop w:val="0"/>
      <w:marBottom w:val="0"/>
      <w:divBdr>
        <w:top w:val="none" w:sz="0" w:space="0" w:color="auto"/>
        <w:left w:val="none" w:sz="0" w:space="0" w:color="auto"/>
        <w:bottom w:val="none" w:sz="0" w:space="0" w:color="auto"/>
        <w:right w:val="none" w:sz="0" w:space="0" w:color="auto"/>
      </w:divBdr>
    </w:div>
    <w:div w:id="1392465588">
      <w:bodyDiv w:val="1"/>
      <w:marLeft w:val="0"/>
      <w:marRight w:val="0"/>
      <w:marTop w:val="0"/>
      <w:marBottom w:val="0"/>
      <w:divBdr>
        <w:top w:val="none" w:sz="0" w:space="0" w:color="auto"/>
        <w:left w:val="none" w:sz="0" w:space="0" w:color="auto"/>
        <w:bottom w:val="none" w:sz="0" w:space="0" w:color="auto"/>
        <w:right w:val="none" w:sz="0" w:space="0" w:color="auto"/>
      </w:divBdr>
    </w:div>
    <w:div w:id="1404066780">
      <w:bodyDiv w:val="1"/>
      <w:marLeft w:val="0"/>
      <w:marRight w:val="0"/>
      <w:marTop w:val="0"/>
      <w:marBottom w:val="0"/>
      <w:divBdr>
        <w:top w:val="none" w:sz="0" w:space="0" w:color="auto"/>
        <w:left w:val="none" w:sz="0" w:space="0" w:color="auto"/>
        <w:bottom w:val="none" w:sz="0" w:space="0" w:color="auto"/>
        <w:right w:val="none" w:sz="0" w:space="0" w:color="auto"/>
      </w:divBdr>
    </w:div>
    <w:div w:id="1409225233">
      <w:bodyDiv w:val="1"/>
      <w:marLeft w:val="0"/>
      <w:marRight w:val="0"/>
      <w:marTop w:val="0"/>
      <w:marBottom w:val="0"/>
      <w:divBdr>
        <w:top w:val="none" w:sz="0" w:space="0" w:color="auto"/>
        <w:left w:val="none" w:sz="0" w:space="0" w:color="auto"/>
        <w:bottom w:val="none" w:sz="0" w:space="0" w:color="auto"/>
        <w:right w:val="none" w:sz="0" w:space="0" w:color="auto"/>
      </w:divBdr>
    </w:div>
    <w:div w:id="1420640578">
      <w:bodyDiv w:val="1"/>
      <w:marLeft w:val="0"/>
      <w:marRight w:val="0"/>
      <w:marTop w:val="0"/>
      <w:marBottom w:val="0"/>
      <w:divBdr>
        <w:top w:val="none" w:sz="0" w:space="0" w:color="auto"/>
        <w:left w:val="none" w:sz="0" w:space="0" w:color="auto"/>
        <w:bottom w:val="none" w:sz="0" w:space="0" w:color="auto"/>
        <w:right w:val="none" w:sz="0" w:space="0" w:color="auto"/>
      </w:divBdr>
    </w:div>
    <w:div w:id="1461413789">
      <w:bodyDiv w:val="1"/>
      <w:marLeft w:val="0"/>
      <w:marRight w:val="0"/>
      <w:marTop w:val="0"/>
      <w:marBottom w:val="0"/>
      <w:divBdr>
        <w:top w:val="none" w:sz="0" w:space="0" w:color="auto"/>
        <w:left w:val="none" w:sz="0" w:space="0" w:color="auto"/>
        <w:bottom w:val="none" w:sz="0" w:space="0" w:color="auto"/>
        <w:right w:val="none" w:sz="0" w:space="0" w:color="auto"/>
      </w:divBdr>
    </w:div>
    <w:div w:id="1471315260">
      <w:bodyDiv w:val="1"/>
      <w:marLeft w:val="0"/>
      <w:marRight w:val="0"/>
      <w:marTop w:val="0"/>
      <w:marBottom w:val="0"/>
      <w:divBdr>
        <w:top w:val="none" w:sz="0" w:space="0" w:color="auto"/>
        <w:left w:val="none" w:sz="0" w:space="0" w:color="auto"/>
        <w:bottom w:val="none" w:sz="0" w:space="0" w:color="auto"/>
        <w:right w:val="none" w:sz="0" w:space="0" w:color="auto"/>
      </w:divBdr>
    </w:div>
    <w:div w:id="1478110425">
      <w:bodyDiv w:val="1"/>
      <w:marLeft w:val="0"/>
      <w:marRight w:val="0"/>
      <w:marTop w:val="0"/>
      <w:marBottom w:val="0"/>
      <w:divBdr>
        <w:top w:val="none" w:sz="0" w:space="0" w:color="auto"/>
        <w:left w:val="none" w:sz="0" w:space="0" w:color="auto"/>
        <w:bottom w:val="none" w:sz="0" w:space="0" w:color="auto"/>
        <w:right w:val="none" w:sz="0" w:space="0" w:color="auto"/>
      </w:divBdr>
    </w:div>
    <w:div w:id="1482191771">
      <w:bodyDiv w:val="1"/>
      <w:marLeft w:val="0"/>
      <w:marRight w:val="0"/>
      <w:marTop w:val="0"/>
      <w:marBottom w:val="0"/>
      <w:divBdr>
        <w:top w:val="none" w:sz="0" w:space="0" w:color="auto"/>
        <w:left w:val="none" w:sz="0" w:space="0" w:color="auto"/>
        <w:bottom w:val="none" w:sz="0" w:space="0" w:color="auto"/>
        <w:right w:val="none" w:sz="0" w:space="0" w:color="auto"/>
      </w:divBdr>
    </w:div>
    <w:div w:id="1500654215">
      <w:bodyDiv w:val="1"/>
      <w:marLeft w:val="0"/>
      <w:marRight w:val="0"/>
      <w:marTop w:val="0"/>
      <w:marBottom w:val="0"/>
      <w:divBdr>
        <w:top w:val="none" w:sz="0" w:space="0" w:color="auto"/>
        <w:left w:val="none" w:sz="0" w:space="0" w:color="auto"/>
        <w:bottom w:val="none" w:sz="0" w:space="0" w:color="auto"/>
        <w:right w:val="none" w:sz="0" w:space="0" w:color="auto"/>
      </w:divBdr>
    </w:div>
    <w:div w:id="1518616687">
      <w:bodyDiv w:val="1"/>
      <w:marLeft w:val="0"/>
      <w:marRight w:val="0"/>
      <w:marTop w:val="0"/>
      <w:marBottom w:val="0"/>
      <w:divBdr>
        <w:top w:val="none" w:sz="0" w:space="0" w:color="auto"/>
        <w:left w:val="none" w:sz="0" w:space="0" w:color="auto"/>
        <w:bottom w:val="none" w:sz="0" w:space="0" w:color="auto"/>
        <w:right w:val="none" w:sz="0" w:space="0" w:color="auto"/>
      </w:divBdr>
    </w:div>
    <w:div w:id="1525971805">
      <w:bodyDiv w:val="1"/>
      <w:marLeft w:val="0"/>
      <w:marRight w:val="0"/>
      <w:marTop w:val="0"/>
      <w:marBottom w:val="0"/>
      <w:divBdr>
        <w:top w:val="none" w:sz="0" w:space="0" w:color="auto"/>
        <w:left w:val="none" w:sz="0" w:space="0" w:color="auto"/>
        <w:bottom w:val="none" w:sz="0" w:space="0" w:color="auto"/>
        <w:right w:val="none" w:sz="0" w:space="0" w:color="auto"/>
      </w:divBdr>
    </w:div>
    <w:div w:id="1528255643">
      <w:bodyDiv w:val="1"/>
      <w:marLeft w:val="0"/>
      <w:marRight w:val="0"/>
      <w:marTop w:val="0"/>
      <w:marBottom w:val="0"/>
      <w:divBdr>
        <w:top w:val="none" w:sz="0" w:space="0" w:color="auto"/>
        <w:left w:val="none" w:sz="0" w:space="0" w:color="auto"/>
        <w:bottom w:val="none" w:sz="0" w:space="0" w:color="auto"/>
        <w:right w:val="none" w:sz="0" w:space="0" w:color="auto"/>
      </w:divBdr>
    </w:div>
    <w:div w:id="1602908617">
      <w:bodyDiv w:val="1"/>
      <w:marLeft w:val="0"/>
      <w:marRight w:val="0"/>
      <w:marTop w:val="0"/>
      <w:marBottom w:val="0"/>
      <w:divBdr>
        <w:top w:val="none" w:sz="0" w:space="0" w:color="auto"/>
        <w:left w:val="none" w:sz="0" w:space="0" w:color="auto"/>
        <w:bottom w:val="none" w:sz="0" w:space="0" w:color="auto"/>
        <w:right w:val="none" w:sz="0" w:space="0" w:color="auto"/>
      </w:divBdr>
    </w:div>
    <w:div w:id="1603994450">
      <w:bodyDiv w:val="1"/>
      <w:marLeft w:val="0"/>
      <w:marRight w:val="0"/>
      <w:marTop w:val="0"/>
      <w:marBottom w:val="0"/>
      <w:divBdr>
        <w:top w:val="none" w:sz="0" w:space="0" w:color="auto"/>
        <w:left w:val="none" w:sz="0" w:space="0" w:color="auto"/>
        <w:bottom w:val="none" w:sz="0" w:space="0" w:color="auto"/>
        <w:right w:val="none" w:sz="0" w:space="0" w:color="auto"/>
      </w:divBdr>
    </w:div>
    <w:div w:id="1605070099">
      <w:bodyDiv w:val="1"/>
      <w:marLeft w:val="0"/>
      <w:marRight w:val="0"/>
      <w:marTop w:val="0"/>
      <w:marBottom w:val="0"/>
      <w:divBdr>
        <w:top w:val="none" w:sz="0" w:space="0" w:color="auto"/>
        <w:left w:val="none" w:sz="0" w:space="0" w:color="auto"/>
        <w:bottom w:val="none" w:sz="0" w:space="0" w:color="auto"/>
        <w:right w:val="none" w:sz="0" w:space="0" w:color="auto"/>
      </w:divBdr>
    </w:div>
    <w:div w:id="1615211236">
      <w:bodyDiv w:val="1"/>
      <w:marLeft w:val="0"/>
      <w:marRight w:val="0"/>
      <w:marTop w:val="0"/>
      <w:marBottom w:val="0"/>
      <w:divBdr>
        <w:top w:val="none" w:sz="0" w:space="0" w:color="auto"/>
        <w:left w:val="none" w:sz="0" w:space="0" w:color="auto"/>
        <w:bottom w:val="none" w:sz="0" w:space="0" w:color="auto"/>
        <w:right w:val="none" w:sz="0" w:space="0" w:color="auto"/>
      </w:divBdr>
    </w:div>
    <w:div w:id="1643384527">
      <w:bodyDiv w:val="1"/>
      <w:marLeft w:val="0"/>
      <w:marRight w:val="0"/>
      <w:marTop w:val="0"/>
      <w:marBottom w:val="0"/>
      <w:divBdr>
        <w:top w:val="none" w:sz="0" w:space="0" w:color="auto"/>
        <w:left w:val="none" w:sz="0" w:space="0" w:color="auto"/>
        <w:bottom w:val="none" w:sz="0" w:space="0" w:color="auto"/>
        <w:right w:val="none" w:sz="0" w:space="0" w:color="auto"/>
      </w:divBdr>
    </w:div>
    <w:div w:id="1648707903">
      <w:bodyDiv w:val="1"/>
      <w:marLeft w:val="0"/>
      <w:marRight w:val="0"/>
      <w:marTop w:val="0"/>
      <w:marBottom w:val="0"/>
      <w:divBdr>
        <w:top w:val="none" w:sz="0" w:space="0" w:color="auto"/>
        <w:left w:val="none" w:sz="0" w:space="0" w:color="auto"/>
        <w:bottom w:val="none" w:sz="0" w:space="0" w:color="auto"/>
        <w:right w:val="none" w:sz="0" w:space="0" w:color="auto"/>
      </w:divBdr>
    </w:div>
    <w:div w:id="1676567320">
      <w:bodyDiv w:val="1"/>
      <w:marLeft w:val="0"/>
      <w:marRight w:val="0"/>
      <w:marTop w:val="0"/>
      <w:marBottom w:val="0"/>
      <w:divBdr>
        <w:top w:val="none" w:sz="0" w:space="0" w:color="auto"/>
        <w:left w:val="none" w:sz="0" w:space="0" w:color="auto"/>
        <w:bottom w:val="none" w:sz="0" w:space="0" w:color="auto"/>
        <w:right w:val="none" w:sz="0" w:space="0" w:color="auto"/>
      </w:divBdr>
    </w:div>
    <w:div w:id="1678456209">
      <w:bodyDiv w:val="1"/>
      <w:marLeft w:val="0"/>
      <w:marRight w:val="0"/>
      <w:marTop w:val="0"/>
      <w:marBottom w:val="0"/>
      <w:divBdr>
        <w:top w:val="none" w:sz="0" w:space="0" w:color="auto"/>
        <w:left w:val="none" w:sz="0" w:space="0" w:color="auto"/>
        <w:bottom w:val="none" w:sz="0" w:space="0" w:color="auto"/>
        <w:right w:val="none" w:sz="0" w:space="0" w:color="auto"/>
      </w:divBdr>
    </w:div>
    <w:div w:id="1679849463">
      <w:bodyDiv w:val="1"/>
      <w:marLeft w:val="0"/>
      <w:marRight w:val="0"/>
      <w:marTop w:val="0"/>
      <w:marBottom w:val="0"/>
      <w:divBdr>
        <w:top w:val="none" w:sz="0" w:space="0" w:color="auto"/>
        <w:left w:val="none" w:sz="0" w:space="0" w:color="auto"/>
        <w:bottom w:val="none" w:sz="0" w:space="0" w:color="auto"/>
        <w:right w:val="none" w:sz="0" w:space="0" w:color="auto"/>
      </w:divBdr>
    </w:div>
    <w:div w:id="1700620438">
      <w:bodyDiv w:val="1"/>
      <w:marLeft w:val="0"/>
      <w:marRight w:val="0"/>
      <w:marTop w:val="0"/>
      <w:marBottom w:val="0"/>
      <w:divBdr>
        <w:top w:val="none" w:sz="0" w:space="0" w:color="auto"/>
        <w:left w:val="none" w:sz="0" w:space="0" w:color="auto"/>
        <w:bottom w:val="none" w:sz="0" w:space="0" w:color="auto"/>
        <w:right w:val="none" w:sz="0" w:space="0" w:color="auto"/>
      </w:divBdr>
    </w:div>
    <w:div w:id="1713964417">
      <w:bodyDiv w:val="1"/>
      <w:marLeft w:val="0"/>
      <w:marRight w:val="0"/>
      <w:marTop w:val="0"/>
      <w:marBottom w:val="0"/>
      <w:divBdr>
        <w:top w:val="none" w:sz="0" w:space="0" w:color="auto"/>
        <w:left w:val="none" w:sz="0" w:space="0" w:color="auto"/>
        <w:bottom w:val="none" w:sz="0" w:space="0" w:color="auto"/>
        <w:right w:val="none" w:sz="0" w:space="0" w:color="auto"/>
      </w:divBdr>
    </w:div>
    <w:div w:id="1719158751">
      <w:bodyDiv w:val="1"/>
      <w:marLeft w:val="0"/>
      <w:marRight w:val="0"/>
      <w:marTop w:val="0"/>
      <w:marBottom w:val="0"/>
      <w:divBdr>
        <w:top w:val="none" w:sz="0" w:space="0" w:color="auto"/>
        <w:left w:val="none" w:sz="0" w:space="0" w:color="auto"/>
        <w:bottom w:val="none" w:sz="0" w:space="0" w:color="auto"/>
        <w:right w:val="none" w:sz="0" w:space="0" w:color="auto"/>
      </w:divBdr>
    </w:div>
    <w:div w:id="1720588431">
      <w:bodyDiv w:val="1"/>
      <w:marLeft w:val="0"/>
      <w:marRight w:val="0"/>
      <w:marTop w:val="0"/>
      <w:marBottom w:val="0"/>
      <w:divBdr>
        <w:top w:val="none" w:sz="0" w:space="0" w:color="auto"/>
        <w:left w:val="none" w:sz="0" w:space="0" w:color="auto"/>
        <w:bottom w:val="none" w:sz="0" w:space="0" w:color="auto"/>
        <w:right w:val="none" w:sz="0" w:space="0" w:color="auto"/>
      </w:divBdr>
    </w:div>
    <w:div w:id="1744647455">
      <w:bodyDiv w:val="1"/>
      <w:marLeft w:val="0"/>
      <w:marRight w:val="0"/>
      <w:marTop w:val="0"/>
      <w:marBottom w:val="0"/>
      <w:divBdr>
        <w:top w:val="none" w:sz="0" w:space="0" w:color="auto"/>
        <w:left w:val="none" w:sz="0" w:space="0" w:color="auto"/>
        <w:bottom w:val="none" w:sz="0" w:space="0" w:color="auto"/>
        <w:right w:val="none" w:sz="0" w:space="0" w:color="auto"/>
      </w:divBdr>
    </w:div>
    <w:div w:id="1745763118">
      <w:bodyDiv w:val="1"/>
      <w:marLeft w:val="0"/>
      <w:marRight w:val="0"/>
      <w:marTop w:val="0"/>
      <w:marBottom w:val="0"/>
      <w:divBdr>
        <w:top w:val="none" w:sz="0" w:space="0" w:color="auto"/>
        <w:left w:val="none" w:sz="0" w:space="0" w:color="auto"/>
        <w:bottom w:val="none" w:sz="0" w:space="0" w:color="auto"/>
        <w:right w:val="none" w:sz="0" w:space="0" w:color="auto"/>
      </w:divBdr>
    </w:div>
    <w:div w:id="1756584452">
      <w:bodyDiv w:val="1"/>
      <w:marLeft w:val="0"/>
      <w:marRight w:val="0"/>
      <w:marTop w:val="0"/>
      <w:marBottom w:val="0"/>
      <w:divBdr>
        <w:top w:val="none" w:sz="0" w:space="0" w:color="auto"/>
        <w:left w:val="none" w:sz="0" w:space="0" w:color="auto"/>
        <w:bottom w:val="none" w:sz="0" w:space="0" w:color="auto"/>
        <w:right w:val="none" w:sz="0" w:space="0" w:color="auto"/>
      </w:divBdr>
    </w:div>
    <w:div w:id="1758088472">
      <w:bodyDiv w:val="1"/>
      <w:marLeft w:val="0"/>
      <w:marRight w:val="0"/>
      <w:marTop w:val="0"/>
      <w:marBottom w:val="0"/>
      <w:divBdr>
        <w:top w:val="none" w:sz="0" w:space="0" w:color="auto"/>
        <w:left w:val="none" w:sz="0" w:space="0" w:color="auto"/>
        <w:bottom w:val="none" w:sz="0" w:space="0" w:color="auto"/>
        <w:right w:val="none" w:sz="0" w:space="0" w:color="auto"/>
      </w:divBdr>
    </w:div>
    <w:div w:id="1780830051">
      <w:bodyDiv w:val="1"/>
      <w:marLeft w:val="0"/>
      <w:marRight w:val="0"/>
      <w:marTop w:val="0"/>
      <w:marBottom w:val="0"/>
      <w:divBdr>
        <w:top w:val="none" w:sz="0" w:space="0" w:color="auto"/>
        <w:left w:val="none" w:sz="0" w:space="0" w:color="auto"/>
        <w:bottom w:val="none" w:sz="0" w:space="0" w:color="auto"/>
        <w:right w:val="none" w:sz="0" w:space="0" w:color="auto"/>
      </w:divBdr>
    </w:div>
    <w:div w:id="1797217972">
      <w:bodyDiv w:val="1"/>
      <w:marLeft w:val="0"/>
      <w:marRight w:val="0"/>
      <w:marTop w:val="0"/>
      <w:marBottom w:val="0"/>
      <w:divBdr>
        <w:top w:val="none" w:sz="0" w:space="0" w:color="auto"/>
        <w:left w:val="none" w:sz="0" w:space="0" w:color="auto"/>
        <w:bottom w:val="none" w:sz="0" w:space="0" w:color="auto"/>
        <w:right w:val="none" w:sz="0" w:space="0" w:color="auto"/>
      </w:divBdr>
    </w:div>
    <w:div w:id="1810322290">
      <w:bodyDiv w:val="1"/>
      <w:marLeft w:val="0"/>
      <w:marRight w:val="0"/>
      <w:marTop w:val="0"/>
      <w:marBottom w:val="0"/>
      <w:divBdr>
        <w:top w:val="none" w:sz="0" w:space="0" w:color="auto"/>
        <w:left w:val="none" w:sz="0" w:space="0" w:color="auto"/>
        <w:bottom w:val="none" w:sz="0" w:space="0" w:color="auto"/>
        <w:right w:val="none" w:sz="0" w:space="0" w:color="auto"/>
      </w:divBdr>
    </w:div>
    <w:div w:id="1818372505">
      <w:bodyDiv w:val="1"/>
      <w:marLeft w:val="0"/>
      <w:marRight w:val="0"/>
      <w:marTop w:val="0"/>
      <w:marBottom w:val="0"/>
      <w:divBdr>
        <w:top w:val="none" w:sz="0" w:space="0" w:color="auto"/>
        <w:left w:val="none" w:sz="0" w:space="0" w:color="auto"/>
        <w:bottom w:val="none" w:sz="0" w:space="0" w:color="auto"/>
        <w:right w:val="none" w:sz="0" w:space="0" w:color="auto"/>
      </w:divBdr>
    </w:div>
    <w:div w:id="1827429546">
      <w:bodyDiv w:val="1"/>
      <w:marLeft w:val="0"/>
      <w:marRight w:val="0"/>
      <w:marTop w:val="0"/>
      <w:marBottom w:val="0"/>
      <w:divBdr>
        <w:top w:val="none" w:sz="0" w:space="0" w:color="auto"/>
        <w:left w:val="none" w:sz="0" w:space="0" w:color="auto"/>
        <w:bottom w:val="none" w:sz="0" w:space="0" w:color="auto"/>
        <w:right w:val="none" w:sz="0" w:space="0" w:color="auto"/>
      </w:divBdr>
    </w:div>
    <w:div w:id="1835996567">
      <w:bodyDiv w:val="1"/>
      <w:marLeft w:val="0"/>
      <w:marRight w:val="0"/>
      <w:marTop w:val="0"/>
      <w:marBottom w:val="0"/>
      <w:divBdr>
        <w:top w:val="none" w:sz="0" w:space="0" w:color="auto"/>
        <w:left w:val="none" w:sz="0" w:space="0" w:color="auto"/>
        <w:bottom w:val="none" w:sz="0" w:space="0" w:color="auto"/>
        <w:right w:val="none" w:sz="0" w:space="0" w:color="auto"/>
      </w:divBdr>
    </w:div>
    <w:div w:id="1844516032">
      <w:bodyDiv w:val="1"/>
      <w:marLeft w:val="0"/>
      <w:marRight w:val="0"/>
      <w:marTop w:val="0"/>
      <w:marBottom w:val="0"/>
      <w:divBdr>
        <w:top w:val="none" w:sz="0" w:space="0" w:color="auto"/>
        <w:left w:val="none" w:sz="0" w:space="0" w:color="auto"/>
        <w:bottom w:val="none" w:sz="0" w:space="0" w:color="auto"/>
        <w:right w:val="none" w:sz="0" w:space="0" w:color="auto"/>
      </w:divBdr>
    </w:div>
    <w:div w:id="1846169887">
      <w:bodyDiv w:val="1"/>
      <w:marLeft w:val="0"/>
      <w:marRight w:val="0"/>
      <w:marTop w:val="0"/>
      <w:marBottom w:val="0"/>
      <w:divBdr>
        <w:top w:val="none" w:sz="0" w:space="0" w:color="auto"/>
        <w:left w:val="none" w:sz="0" w:space="0" w:color="auto"/>
        <w:bottom w:val="none" w:sz="0" w:space="0" w:color="auto"/>
        <w:right w:val="none" w:sz="0" w:space="0" w:color="auto"/>
      </w:divBdr>
    </w:div>
    <w:div w:id="1852840001">
      <w:bodyDiv w:val="1"/>
      <w:marLeft w:val="0"/>
      <w:marRight w:val="0"/>
      <w:marTop w:val="0"/>
      <w:marBottom w:val="0"/>
      <w:divBdr>
        <w:top w:val="none" w:sz="0" w:space="0" w:color="auto"/>
        <w:left w:val="none" w:sz="0" w:space="0" w:color="auto"/>
        <w:bottom w:val="none" w:sz="0" w:space="0" w:color="auto"/>
        <w:right w:val="none" w:sz="0" w:space="0" w:color="auto"/>
      </w:divBdr>
    </w:div>
    <w:div w:id="1882664180">
      <w:bodyDiv w:val="1"/>
      <w:marLeft w:val="0"/>
      <w:marRight w:val="0"/>
      <w:marTop w:val="0"/>
      <w:marBottom w:val="0"/>
      <w:divBdr>
        <w:top w:val="none" w:sz="0" w:space="0" w:color="auto"/>
        <w:left w:val="none" w:sz="0" w:space="0" w:color="auto"/>
        <w:bottom w:val="none" w:sz="0" w:space="0" w:color="auto"/>
        <w:right w:val="none" w:sz="0" w:space="0" w:color="auto"/>
      </w:divBdr>
    </w:div>
    <w:div w:id="1891764355">
      <w:bodyDiv w:val="1"/>
      <w:marLeft w:val="0"/>
      <w:marRight w:val="0"/>
      <w:marTop w:val="0"/>
      <w:marBottom w:val="0"/>
      <w:divBdr>
        <w:top w:val="none" w:sz="0" w:space="0" w:color="auto"/>
        <w:left w:val="none" w:sz="0" w:space="0" w:color="auto"/>
        <w:bottom w:val="none" w:sz="0" w:space="0" w:color="auto"/>
        <w:right w:val="none" w:sz="0" w:space="0" w:color="auto"/>
      </w:divBdr>
    </w:div>
    <w:div w:id="1900554157">
      <w:bodyDiv w:val="1"/>
      <w:marLeft w:val="0"/>
      <w:marRight w:val="0"/>
      <w:marTop w:val="0"/>
      <w:marBottom w:val="0"/>
      <w:divBdr>
        <w:top w:val="none" w:sz="0" w:space="0" w:color="auto"/>
        <w:left w:val="none" w:sz="0" w:space="0" w:color="auto"/>
        <w:bottom w:val="none" w:sz="0" w:space="0" w:color="auto"/>
        <w:right w:val="none" w:sz="0" w:space="0" w:color="auto"/>
      </w:divBdr>
    </w:div>
    <w:div w:id="1924678782">
      <w:bodyDiv w:val="1"/>
      <w:marLeft w:val="0"/>
      <w:marRight w:val="0"/>
      <w:marTop w:val="0"/>
      <w:marBottom w:val="0"/>
      <w:divBdr>
        <w:top w:val="none" w:sz="0" w:space="0" w:color="auto"/>
        <w:left w:val="none" w:sz="0" w:space="0" w:color="auto"/>
        <w:bottom w:val="none" w:sz="0" w:space="0" w:color="auto"/>
        <w:right w:val="none" w:sz="0" w:space="0" w:color="auto"/>
      </w:divBdr>
    </w:div>
    <w:div w:id="1925916875">
      <w:bodyDiv w:val="1"/>
      <w:marLeft w:val="0"/>
      <w:marRight w:val="0"/>
      <w:marTop w:val="0"/>
      <w:marBottom w:val="0"/>
      <w:divBdr>
        <w:top w:val="none" w:sz="0" w:space="0" w:color="auto"/>
        <w:left w:val="none" w:sz="0" w:space="0" w:color="auto"/>
        <w:bottom w:val="none" w:sz="0" w:space="0" w:color="auto"/>
        <w:right w:val="none" w:sz="0" w:space="0" w:color="auto"/>
      </w:divBdr>
    </w:div>
    <w:div w:id="1932739710">
      <w:bodyDiv w:val="1"/>
      <w:marLeft w:val="0"/>
      <w:marRight w:val="0"/>
      <w:marTop w:val="0"/>
      <w:marBottom w:val="0"/>
      <w:divBdr>
        <w:top w:val="none" w:sz="0" w:space="0" w:color="auto"/>
        <w:left w:val="none" w:sz="0" w:space="0" w:color="auto"/>
        <w:bottom w:val="none" w:sz="0" w:space="0" w:color="auto"/>
        <w:right w:val="none" w:sz="0" w:space="0" w:color="auto"/>
      </w:divBdr>
    </w:div>
    <w:div w:id="1943218923">
      <w:bodyDiv w:val="1"/>
      <w:marLeft w:val="0"/>
      <w:marRight w:val="0"/>
      <w:marTop w:val="0"/>
      <w:marBottom w:val="0"/>
      <w:divBdr>
        <w:top w:val="none" w:sz="0" w:space="0" w:color="auto"/>
        <w:left w:val="none" w:sz="0" w:space="0" w:color="auto"/>
        <w:bottom w:val="none" w:sz="0" w:space="0" w:color="auto"/>
        <w:right w:val="none" w:sz="0" w:space="0" w:color="auto"/>
      </w:divBdr>
    </w:div>
    <w:div w:id="1955481482">
      <w:bodyDiv w:val="1"/>
      <w:marLeft w:val="0"/>
      <w:marRight w:val="0"/>
      <w:marTop w:val="0"/>
      <w:marBottom w:val="0"/>
      <w:divBdr>
        <w:top w:val="none" w:sz="0" w:space="0" w:color="auto"/>
        <w:left w:val="none" w:sz="0" w:space="0" w:color="auto"/>
        <w:bottom w:val="none" w:sz="0" w:space="0" w:color="auto"/>
        <w:right w:val="none" w:sz="0" w:space="0" w:color="auto"/>
      </w:divBdr>
    </w:div>
    <w:div w:id="1956252791">
      <w:bodyDiv w:val="1"/>
      <w:marLeft w:val="0"/>
      <w:marRight w:val="0"/>
      <w:marTop w:val="0"/>
      <w:marBottom w:val="0"/>
      <w:divBdr>
        <w:top w:val="none" w:sz="0" w:space="0" w:color="auto"/>
        <w:left w:val="none" w:sz="0" w:space="0" w:color="auto"/>
        <w:bottom w:val="none" w:sz="0" w:space="0" w:color="auto"/>
        <w:right w:val="none" w:sz="0" w:space="0" w:color="auto"/>
      </w:divBdr>
    </w:div>
    <w:div w:id="1957173540">
      <w:bodyDiv w:val="1"/>
      <w:marLeft w:val="0"/>
      <w:marRight w:val="0"/>
      <w:marTop w:val="0"/>
      <w:marBottom w:val="0"/>
      <w:divBdr>
        <w:top w:val="none" w:sz="0" w:space="0" w:color="auto"/>
        <w:left w:val="none" w:sz="0" w:space="0" w:color="auto"/>
        <w:bottom w:val="none" w:sz="0" w:space="0" w:color="auto"/>
        <w:right w:val="none" w:sz="0" w:space="0" w:color="auto"/>
      </w:divBdr>
    </w:div>
    <w:div w:id="1957445224">
      <w:bodyDiv w:val="1"/>
      <w:marLeft w:val="0"/>
      <w:marRight w:val="0"/>
      <w:marTop w:val="0"/>
      <w:marBottom w:val="0"/>
      <w:divBdr>
        <w:top w:val="none" w:sz="0" w:space="0" w:color="auto"/>
        <w:left w:val="none" w:sz="0" w:space="0" w:color="auto"/>
        <w:bottom w:val="none" w:sz="0" w:space="0" w:color="auto"/>
        <w:right w:val="none" w:sz="0" w:space="0" w:color="auto"/>
      </w:divBdr>
    </w:div>
    <w:div w:id="1967160515">
      <w:bodyDiv w:val="1"/>
      <w:marLeft w:val="0"/>
      <w:marRight w:val="0"/>
      <w:marTop w:val="0"/>
      <w:marBottom w:val="0"/>
      <w:divBdr>
        <w:top w:val="none" w:sz="0" w:space="0" w:color="auto"/>
        <w:left w:val="none" w:sz="0" w:space="0" w:color="auto"/>
        <w:bottom w:val="none" w:sz="0" w:space="0" w:color="auto"/>
        <w:right w:val="none" w:sz="0" w:space="0" w:color="auto"/>
      </w:divBdr>
    </w:div>
    <w:div w:id="1968850662">
      <w:bodyDiv w:val="1"/>
      <w:marLeft w:val="0"/>
      <w:marRight w:val="0"/>
      <w:marTop w:val="0"/>
      <w:marBottom w:val="0"/>
      <w:divBdr>
        <w:top w:val="none" w:sz="0" w:space="0" w:color="auto"/>
        <w:left w:val="none" w:sz="0" w:space="0" w:color="auto"/>
        <w:bottom w:val="none" w:sz="0" w:space="0" w:color="auto"/>
        <w:right w:val="none" w:sz="0" w:space="0" w:color="auto"/>
      </w:divBdr>
    </w:div>
    <w:div w:id="1969821638">
      <w:bodyDiv w:val="1"/>
      <w:marLeft w:val="0"/>
      <w:marRight w:val="0"/>
      <w:marTop w:val="0"/>
      <w:marBottom w:val="0"/>
      <w:divBdr>
        <w:top w:val="none" w:sz="0" w:space="0" w:color="auto"/>
        <w:left w:val="none" w:sz="0" w:space="0" w:color="auto"/>
        <w:bottom w:val="none" w:sz="0" w:space="0" w:color="auto"/>
        <w:right w:val="none" w:sz="0" w:space="0" w:color="auto"/>
      </w:divBdr>
    </w:div>
    <w:div w:id="1969968113">
      <w:bodyDiv w:val="1"/>
      <w:marLeft w:val="0"/>
      <w:marRight w:val="0"/>
      <w:marTop w:val="0"/>
      <w:marBottom w:val="0"/>
      <w:divBdr>
        <w:top w:val="none" w:sz="0" w:space="0" w:color="auto"/>
        <w:left w:val="none" w:sz="0" w:space="0" w:color="auto"/>
        <w:bottom w:val="none" w:sz="0" w:space="0" w:color="auto"/>
        <w:right w:val="none" w:sz="0" w:space="0" w:color="auto"/>
      </w:divBdr>
    </w:div>
    <w:div w:id="1971932302">
      <w:bodyDiv w:val="1"/>
      <w:marLeft w:val="0"/>
      <w:marRight w:val="0"/>
      <w:marTop w:val="0"/>
      <w:marBottom w:val="0"/>
      <w:divBdr>
        <w:top w:val="none" w:sz="0" w:space="0" w:color="auto"/>
        <w:left w:val="none" w:sz="0" w:space="0" w:color="auto"/>
        <w:bottom w:val="none" w:sz="0" w:space="0" w:color="auto"/>
        <w:right w:val="none" w:sz="0" w:space="0" w:color="auto"/>
      </w:divBdr>
    </w:div>
    <w:div w:id="1973630085">
      <w:bodyDiv w:val="1"/>
      <w:marLeft w:val="0"/>
      <w:marRight w:val="0"/>
      <w:marTop w:val="0"/>
      <w:marBottom w:val="0"/>
      <w:divBdr>
        <w:top w:val="none" w:sz="0" w:space="0" w:color="auto"/>
        <w:left w:val="none" w:sz="0" w:space="0" w:color="auto"/>
        <w:bottom w:val="none" w:sz="0" w:space="0" w:color="auto"/>
        <w:right w:val="none" w:sz="0" w:space="0" w:color="auto"/>
      </w:divBdr>
    </w:div>
    <w:div w:id="1978417548">
      <w:bodyDiv w:val="1"/>
      <w:marLeft w:val="0"/>
      <w:marRight w:val="0"/>
      <w:marTop w:val="0"/>
      <w:marBottom w:val="0"/>
      <w:divBdr>
        <w:top w:val="none" w:sz="0" w:space="0" w:color="auto"/>
        <w:left w:val="none" w:sz="0" w:space="0" w:color="auto"/>
        <w:bottom w:val="none" w:sz="0" w:space="0" w:color="auto"/>
        <w:right w:val="none" w:sz="0" w:space="0" w:color="auto"/>
      </w:divBdr>
      <w:divsChild>
        <w:div w:id="1221137358">
          <w:marLeft w:val="274"/>
          <w:marRight w:val="0"/>
          <w:marTop w:val="0"/>
          <w:marBottom w:val="0"/>
          <w:divBdr>
            <w:top w:val="none" w:sz="0" w:space="0" w:color="auto"/>
            <w:left w:val="none" w:sz="0" w:space="0" w:color="auto"/>
            <w:bottom w:val="none" w:sz="0" w:space="0" w:color="auto"/>
            <w:right w:val="none" w:sz="0" w:space="0" w:color="auto"/>
          </w:divBdr>
        </w:div>
        <w:div w:id="1944993095">
          <w:marLeft w:val="274"/>
          <w:marRight w:val="0"/>
          <w:marTop w:val="0"/>
          <w:marBottom w:val="0"/>
          <w:divBdr>
            <w:top w:val="none" w:sz="0" w:space="0" w:color="auto"/>
            <w:left w:val="none" w:sz="0" w:space="0" w:color="auto"/>
            <w:bottom w:val="none" w:sz="0" w:space="0" w:color="auto"/>
            <w:right w:val="none" w:sz="0" w:space="0" w:color="auto"/>
          </w:divBdr>
        </w:div>
        <w:div w:id="1000501446">
          <w:marLeft w:val="274"/>
          <w:marRight w:val="0"/>
          <w:marTop w:val="0"/>
          <w:marBottom w:val="0"/>
          <w:divBdr>
            <w:top w:val="none" w:sz="0" w:space="0" w:color="auto"/>
            <w:left w:val="none" w:sz="0" w:space="0" w:color="auto"/>
            <w:bottom w:val="none" w:sz="0" w:space="0" w:color="auto"/>
            <w:right w:val="none" w:sz="0" w:space="0" w:color="auto"/>
          </w:divBdr>
        </w:div>
        <w:div w:id="1915048768">
          <w:marLeft w:val="274"/>
          <w:marRight w:val="0"/>
          <w:marTop w:val="0"/>
          <w:marBottom w:val="0"/>
          <w:divBdr>
            <w:top w:val="none" w:sz="0" w:space="0" w:color="auto"/>
            <w:left w:val="none" w:sz="0" w:space="0" w:color="auto"/>
            <w:bottom w:val="none" w:sz="0" w:space="0" w:color="auto"/>
            <w:right w:val="none" w:sz="0" w:space="0" w:color="auto"/>
          </w:divBdr>
        </w:div>
        <w:div w:id="871845363">
          <w:marLeft w:val="274"/>
          <w:marRight w:val="0"/>
          <w:marTop w:val="0"/>
          <w:marBottom w:val="0"/>
          <w:divBdr>
            <w:top w:val="none" w:sz="0" w:space="0" w:color="auto"/>
            <w:left w:val="none" w:sz="0" w:space="0" w:color="auto"/>
            <w:bottom w:val="none" w:sz="0" w:space="0" w:color="auto"/>
            <w:right w:val="none" w:sz="0" w:space="0" w:color="auto"/>
          </w:divBdr>
        </w:div>
        <w:div w:id="1507747161">
          <w:marLeft w:val="274"/>
          <w:marRight w:val="0"/>
          <w:marTop w:val="0"/>
          <w:marBottom w:val="0"/>
          <w:divBdr>
            <w:top w:val="none" w:sz="0" w:space="0" w:color="auto"/>
            <w:left w:val="none" w:sz="0" w:space="0" w:color="auto"/>
            <w:bottom w:val="none" w:sz="0" w:space="0" w:color="auto"/>
            <w:right w:val="none" w:sz="0" w:space="0" w:color="auto"/>
          </w:divBdr>
        </w:div>
        <w:div w:id="1837842148">
          <w:marLeft w:val="274"/>
          <w:marRight w:val="0"/>
          <w:marTop w:val="0"/>
          <w:marBottom w:val="0"/>
          <w:divBdr>
            <w:top w:val="none" w:sz="0" w:space="0" w:color="auto"/>
            <w:left w:val="none" w:sz="0" w:space="0" w:color="auto"/>
            <w:bottom w:val="none" w:sz="0" w:space="0" w:color="auto"/>
            <w:right w:val="none" w:sz="0" w:space="0" w:color="auto"/>
          </w:divBdr>
        </w:div>
        <w:div w:id="1857305851">
          <w:marLeft w:val="274"/>
          <w:marRight w:val="0"/>
          <w:marTop w:val="0"/>
          <w:marBottom w:val="0"/>
          <w:divBdr>
            <w:top w:val="none" w:sz="0" w:space="0" w:color="auto"/>
            <w:left w:val="none" w:sz="0" w:space="0" w:color="auto"/>
            <w:bottom w:val="none" w:sz="0" w:space="0" w:color="auto"/>
            <w:right w:val="none" w:sz="0" w:space="0" w:color="auto"/>
          </w:divBdr>
        </w:div>
        <w:div w:id="963075665">
          <w:marLeft w:val="274"/>
          <w:marRight w:val="0"/>
          <w:marTop w:val="0"/>
          <w:marBottom w:val="0"/>
          <w:divBdr>
            <w:top w:val="none" w:sz="0" w:space="0" w:color="auto"/>
            <w:left w:val="none" w:sz="0" w:space="0" w:color="auto"/>
            <w:bottom w:val="none" w:sz="0" w:space="0" w:color="auto"/>
            <w:right w:val="none" w:sz="0" w:space="0" w:color="auto"/>
          </w:divBdr>
        </w:div>
        <w:div w:id="1045370612">
          <w:marLeft w:val="274"/>
          <w:marRight w:val="0"/>
          <w:marTop w:val="0"/>
          <w:marBottom w:val="0"/>
          <w:divBdr>
            <w:top w:val="none" w:sz="0" w:space="0" w:color="auto"/>
            <w:left w:val="none" w:sz="0" w:space="0" w:color="auto"/>
            <w:bottom w:val="none" w:sz="0" w:space="0" w:color="auto"/>
            <w:right w:val="none" w:sz="0" w:space="0" w:color="auto"/>
          </w:divBdr>
        </w:div>
        <w:div w:id="940838219">
          <w:marLeft w:val="274"/>
          <w:marRight w:val="0"/>
          <w:marTop w:val="0"/>
          <w:marBottom w:val="0"/>
          <w:divBdr>
            <w:top w:val="none" w:sz="0" w:space="0" w:color="auto"/>
            <w:left w:val="none" w:sz="0" w:space="0" w:color="auto"/>
            <w:bottom w:val="none" w:sz="0" w:space="0" w:color="auto"/>
            <w:right w:val="none" w:sz="0" w:space="0" w:color="auto"/>
          </w:divBdr>
        </w:div>
      </w:divsChild>
    </w:div>
    <w:div w:id="1990551668">
      <w:bodyDiv w:val="1"/>
      <w:marLeft w:val="0"/>
      <w:marRight w:val="0"/>
      <w:marTop w:val="0"/>
      <w:marBottom w:val="0"/>
      <w:divBdr>
        <w:top w:val="none" w:sz="0" w:space="0" w:color="auto"/>
        <w:left w:val="none" w:sz="0" w:space="0" w:color="auto"/>
        <w:bottom w:val="none" w:sz="0" w:space="0" w:color="auto"/>
        <w:right w:val="none" w:sz="0" w:space="0" w:color="auto"/>
      </w:divBdr>
    </w:div>
    <w:div w:id="2001814049">
      <w:bodyDiv w:val="1"/>
      <w:marLeft w:val="0"/>
      <w:marRight w:val="0"/>
      <w:marTop w:val="0"/>
      <w:marBottom w:val="0"/>
      <w:divBdr>
        <w:top w:val="none" w:sz="0" w:space="0" w:color="auto"/>
        <w:left w:val="none" w:sz="0" w:space="0" w:color="auto"/>
        <w:bottom w:val="none" w:sz="0" w:space="0" w:color="auto"/>
        <w:right w:val="none" w:sz="0" w:space="0" w:color="auto"/>
      </w:divBdr>
    </w:div>
    <w:div w:id="2032490716">
      <w:bodyDiv w:val="1"/>
      <w:marLeft w:val="0"/>
      <w:marRight w:val="0"/>
      <w:marTop w:val="0"/>
      <w:marBottom w:val="0"/>
      <w:divBdr>
        <w:top w:val="none" w:sz="0" w:space="0" w:color="auto"/>
        <w:left w:val="none" w:sz="0" w:space="0" w:color="auto"/>
        <w:bottom w:val="none" w:sz="0" w:space="0" w:color="auto"/>
        <w:right w:val="none" w:sz="0" w:space="0" w:color="auto"/>
      </w:divBdr>
    </w:div>
    <w:div w:id="2038849123">
      <w:bodyDiv w:val="1"/>
      <w:marLeft w:val="0"/>
      <w:marRight w:val="0"/>
      <w:marTop w:val="0"/>
      <w:marBottom w:val="0"/>
      <w:divBdr>
        <w:top w:val="none" w:sz="0" w:space="0" w:color="auto"/>
        <w:left w:val="none" w:sz="0" w:space="0" w:color="auto"/>
        <w:bottom w:val="none" w:sz="0" w:space="0" w:color="auto"/>
        <w:right w:val="none" w:sz="0" w:space="0" w:color="auto"/>
      </w:divBdr>
    </w:div>
    <w:div w:id="2041927363">
      <w:bodyDiv w:val="1"/>
      <w:marLeft w:val="0"/>
      <w:marRight w:val="0"/>
      <w:marTop w:val="0"/>
      <w:marBottom w:val="0"/>
      <w:divBdr>
        <w:top w:val="none" w:sz="0" w:space="0" w:color="auto"/>
        <w:left w:val="none" w:sz="0" w:space="0" w:color="auto"/>
        <w:bottom w:val="none" w:sz="0" w:space="0" w:color="auto"/>
        <w:right w:val="none" w:sz="0" w:space="0" w:color="auto"/>
      </w:divBdr>
    </w:div>
    <w:div w:id="2043551507">
      <w:bodyDiv w:val="1"/>
      <w:marLeft w:val="0"/>
      <w:marRight w:val="0"/>
      <w:marTop w:val="0"/>
      <w:marBottom w:val="0"/>
      <w:divBdr>
        <w:top w:val="none" w:sz="0" w:space="0" w:color="auto"/>
        <w:left w:val="none" w:sz="0" w:space="0" w:color="auto"/>
        <w:bottom w:val="none" w:sz="0" w:space="0" w:color="auto"/>
        <w:right w:val="none" w:sz="0" w:space="0" w:color="auto"/>
      </w:divBdr>
    </w:div>
    <w:div w:id="2069646728">
      <w:bodyDiv w:val="1"/>
      <w:marLeft w:val="0"/>
      <w:marRight w:val="0"/>
      <w:marTop w:val="0"/>
      <w:marBottom w:val="0"/>
      <w:divBdr>
        <w:top w:val="none" w:sz="0" w:space="0" w:color="auto"/>
        <w:left w:val="none" w:sz="0" w:space="0" w:color="auto"/>
        <w:bottom w:val="none" w:sz="0" w:space="0" w:color="auto"/>
        <w:right w:val="none" w:sz="0" w:space="0" w:color="auto"/>
      </w:divBdr>
    </w:div>
    <w:div w:id="2077631121">
      <w:bodyDiv w:val="1"/>
      <w:marLeft w:val="0"/>
      <w:marRight w:val="0"/>
      <w:marTop w:val="0"/>
      <w:marBottom w:val="0"/>
      <w:divBdr>
        <w:top w:val="none" w:sz="0" w:space="0" w:color="auto"/>
        <w:left w:val="none" w:sz="0" w:space="0" w:color="auto"/>
        <w:bottom w:val="none" w:sz="0" w:space="0" w:color="auto"/>
        <w:right w:val="none" w:sz="0" w:space="0" w:color="auto"/>
      </w:divBdr>
    </w:div>
    <w:div w:id="2081250305">
      <w:bodyDiv w:val="1"/>
      <w:marLeft w:val="0"/>
      <w:marRight w:val="0"/>
      <w:marTop w:val="0"/>
      <w:marBottom w:val="0"/>
      <w:divBdr>
        <w:top w:val="none" w:sz="0" w:space="0" w:color="auto"/>
        <w:left w:val="none" w:sz="0" w:space="0" w:color="auto"/>
        <w:bottom w:val="none" w:sz="0" w:space="0" w:color="auto"/>
        <w:right w:val="none" w:sz="0" w:space="0" w:color="auto"/>
      </w:divBdr>
    </w:div>
    <w:div w:id="2106536742">
      <w:bodyDiv w:val="1"/>
      <w:marLeft w:val="0"/>
      <w:marRight w:val="0"/>
      <w:marTop w:val="0"/>
      <w:marBottom w:val="0"/>
      <w:divBdr>
        <w:top w:val="none" w:sz="0" w:space="0" w:color="auto"/>
        <w:left w:val="none" w:sz="0" w:space="0" w:color="auto"/>
        <w:bottom w:val="none" w:sz="0" w:space="0" w:color="auto"/>
        <w:right w:val="none" w:sz="0" w:space="0" w:color="auto"/>
      </w:divBdr>
    </w:div>
    <w:div w:id="2116828333">
      <w:bodyDiv w:val="1"/>
      <w:marLeft w:val="0"/>
      <w:marRight w:val="0"/>
      <w:marTop w:val="0"/>
      <w:marBottom w:val="0"/>
      <w:divBdr>
        <w:top w:val="none" w:sz="0" w:space="0" w:color="auto"/>
        <w:left w:val="none" w:sz="0" w:space="0" w:color="auto"/>
        <w:bottom w:val="none" w:sz="0" w:space="0" w:color="auto"/>
        <w:right w:val="none" w:sz="0" w:space="0" w:color="auto"/>
      </w:divBdr>
    </w:div>
    <w:div w:id="2116945870">
      <w:bodyDiv w:val="1"/>
      <w:marLeft w:val="0"/>
      <w:marRight w:val="0"/>
      <w:marTop w:val="0"/>
      <w:marBottom w:val="0"/>
      <w:divBdr>
        <w:top w:val="none" w:sz="0" w:space="0" w:color="auto"/>
        <w:left w:val="none" w:sz="0" w:space="0" w:color="auto"/>
        <w:bottom w:val="none" w:sz="0" w:space="0" w:color="auto"/>
        <w:right w:val="none" w:sz="0" w:space="0" w:color="auto"/>
      </w:divBdr>
    </w:div>
    <w:div w:id="2124768481">
      <w:bodyDiv w:val="1"/>
      <w:marLeft w:val="0"/>
      <w:marRight w:val="0"/>
      <w:marTop w:val="0"/>
      <w:marBottom w:val="0"/>
      <w:divBdr>
        <w:top w:val="none" w:sz="0" w:space="0" w:color="auto"/>
        <w:left w:val="none" w:sz="0" w:space="0" w:color="auto"/>
        <w:bottom w:val="none" w:sz="0" w:space="0" w:color="auto"/>
        <w:right w:val="none" w:sz="0" w:space="0" w:color="auto"/>
      </w:divBdr>
    </w:div>
    <w:div w:id="2132047218">
      <w:bodyDiv w:val="1"/>
      <w:marLeft w:val="0"/>
      <w:marRight w:val="0"/>
      <w:marTop w:val="0"/>
      <w:marBottom w:val="0"/>
      <w:divBdr>
        <w:top w:val="none" w:sz="0" w:space="0" w:color="auto"/>
        <w:left w:val="none" w:sz="0" w:space="0" w:color="auto"/>
        <w:bottom w:val="none" w:sz="0" w:space="0" w:color="auto"/>
        <w:right w:val="none" w:sz="0" w:space="0" w:color="auto"/>
      </w:divBdr>
    </w:div>
    <w:div w:id="2135783983">
      <w:bodyDiv w:val="1"/>
      <w:marLeft w:val="0"/>
      <w:marRight w:val="0"/>
      <w:marTop w:val="0"/>
      <w:marBottom w:val="0"/>
      <w:divBdr>
        <w:top w:val="none" w:sz="0" w:space="0" w:color="auto"/>
        <w:left w:val="none" w:sz="0" w:space="0" w:color="auto"/>
        <w:bottom w:val="none" w:sz="0" w:space="0" w:color="auto"/>
        <w:right w:val="none" w:sz="0" w:space="0" w:color="auto"/>
      </w:divBdr>
    </w:div>
    <w:div w:id="2137094390">
      <w:bodyDiv w:val="1"/>
      <w:marLeft w:val="0"/>
      <w:marRight w:val="0"/>
      <w:marTop w:val="0"/>
      <w:marBottom w:val="0"/>
      <w:divBdr>
        <w:top w:val="none" w:sz="0" w:space="0" w:color="auto"/>
        <w:left w:val="none" w:sz="0" w:space="0" w:color="auto"/>
        <w:bottom w:val="none" w:sz="0" w:space="0" w:color="auto"/>
        <w:right w:val="none" w:sz="0" w:space="0" w:color="auto"/>
      </w:divBdr>
    </w:div>
    <w:div w:id="2142915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8.png"/><Relationship Id="rId42" Type="http://schemas.openxmlformats.org/officeDocument/2006/relationships/oleObject" Target="embeddings/oleObject2.bin"/><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package" Target="embeddings/Microsoft_Excel_Worksheet12.xlsx"/><Relationship Id="rId84" Type="http://schemas.openxmlformats.org/officeDocument/2006/relationships/package" Target="embeddings/Microsoft_Word_Document15.docx"/><Relationship Id="rId16" Type="http://schemas.openxmlformats.org/officeDocument/2006/relationships/chart" Target="charts/chart3.xml"/><Relationship Id="rId11" Type="http://schemas.openxmlformats.org/officeDocument/2006/relationships/image" Target="media/image3.png"/><Relationship Id="rId32" Type="http://schemas.openxmlformats.org/officeDocument/2006/relationships/hyperlink" Target="https://gestionhumana.poder-judicial.go.cr/index.php/indice-salarial" TargetMode="External"/><Relationship Id="rId37" Type="http://schemas.openxmlformats.org/officeDocument/2006/relationships/image" Target="media/image15.emf"/><Relationship Id="rId53" Type="http://schemas.openxmlformats.org/officeDocument/2006/relationships/image" Target="media/image23.emf"/><Relationship Id="rId58" Type="http://schemas.openxmlformats.org/officeDocument/2006/relationships/oleObject" Target="embeddings/Microsoft_Word_97_-_2003_Document.doc"/><Relationship Id="rId74" Type="http://schemas.openxmlformats.org/officeDocument/2006/relationships/oleObject" Target="embeddings/oleObject13.bin"/><Relationship Id="rId79" Type="http://schemas.openxmlformats.org/officeDocument/2006/relationships/image" Target="media/image36.emf"/><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image" Target="media/image5.png"/><Relationship Id="rId22" Type="http://schemas.openxmlformats.org/officeDocument/2006/relationships/chart" Target="charts/chart6.xml"/><Relationship Id="rId27" Type="http://schemas.openxmlformats.org/officeDocument/2006/relationships/chart" Target="charts/chart9.xml"/><Relationship Id="rId30" Type="http://schemas.openxmlformats.org/officeDocument/2006/relationships/image" Target="media/image10.png"/><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5.bin"/><Relationship Id="rId56" Type="http://schemas.openxmlformats.org/officeDocument/2006/relationships/oleObject" Target="embeddings/oleObject9.bin"/><Relationship Id="rId64" Type="http://schemas.openxmlformats.org/officeDocument/2006/relationships/oleObject" Target="embeddings/oleObject12.bin"/><Relationship Id="rId69" Type="http://schemas.openxmlformats.org/officeDocument/2006/relationships/image" Target="media/image31.emf"/><Relationship Id="rId77" Type="http://schemas.openxmlformats.org/officeDocument/2006/relationships/image" Target="media/image35.emf"/><Relationship Id="rId8" Type="http://schemas.openxmlformats.org/officeDocument/2006/relationships/header" Target="header1.xml"/><Relationship Id="rId51" Type="http://schemas.openxmlformats.org/officeDocument/2006/relationships/image" Target="media/image22.emf"/><Relationship Id="rId72" Type="http://schemas.openxmlformats.org/officeDocument/2006/relationships/package" Target="embeddings/Microsoft_Word_Document.docx"/><Relationship Id="rId80" Type="http://schemas.openxmlformats.org/officeDocument/2006/relationships/oleObject" Target="embeddings/oleObject16.bin"/><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4.xml"/><Relationship Id="rId25" Type="http://schemas.openxmlformats.org/officeDocument/2006/relationships/footer" Target="footer2.xml"/><Relationship Id="rId33" Type="http://schemas.openxmlformats.org/officeDocument/2006/relationships/image" Target="media/image12.jpeg"/><Relationship Id="rId38" Type="http://schemas.openxmlformats.org/officeDocument/2006/relationships/oleObject" Target="embeddings/oleObject1.bin"/><Relationship Id="rId46" Type="http://schemas.openxmlformats.org/officeDocument/2006/relationships/oleObject" Target="embeddings/oleObject4.bin"/><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image" Target="media/image7.png"/><Relationship Id="rId41" Type="http://schemas.openxmlformats.org/officeDocument/2006/relationships/image" Target="media/image17.emf"/><Relationship Id="rId54" Type="http://schemas.openxmlformats.org/officeDocument/2006/relationships/oleObject" Target="embeddings/oleObject8.bin"/><Relationship Id="rId62" Type="http://schemas.openxmlformats.org/officeDocument/2006/relationships/oleObject" Target="embeddings/oleObject11.bin"/><Relationship Id="rId70" Type="http://schemas.openxmlformats.org/officeDocument/2006/relationships/package" Target="embeddings/Microsoft_Excel_Worksheet13.xlsx"/><Relationship Id="rId75" Type="http://schemas.openxmlformats.org/officeDocument/2006/relationships/image" Target="media/image34.emf"/><Relationship Id="rId83" Type="http://schemas.openxmlformats.org/officeDocument/2006/relationships/image" Target="media/image3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7.xml"/><Relationship Id="rId28" Type="http://schemas.openxmlformats.org/officeDocument/2006/relationships/image" Target="media/image9.emf"/><Relationship Id="rId36" Type="http://schemas.openxmlformats.org/officeDocument/2006/relationships/package" Target="embeddings/Microsoft_Excel_Worksheet9.xlsx"/><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image" Target="media/image2.jpeg"/><Relationship Id="rId31" Type="http://schemas.openxmlformats.org/officeDocument/2006/relationships/image" Target="media/image11.png"/><Relationship Id="rId44" Type="http://schemas.openxmlformats.org/officeDocument/2006/relationships/oleObject" Target="embeddings/oleObject3.bin"/><Relationship Id="rId52" Type="http://schemas.openxmlformats.org/officeDocument/2006/relationships/oleObject" Target="embeddings/oleObject7.bin"/><Relationship Id="rId60" Type="http://schemas.openxmlformats.org/officeDocument/2006/relationships/oleObject" Target="embeddings/oleObject10.bin"/><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oleObject" Target="embeddings/oleObject15.bin"/><Relationship Id="rId81" Type="http://schemas.openxmlformats.org/officeDocument/2006/relationships/image" Target="media/image37.emf"/><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1.xml"/><Relationship Id="rId18" Type="http://schemas.openxmlformats.org/officeDocument/2006/relationships/chart" Target="charts/chart5.xml"/><Relationship Id="rId39" Type="http://schemas.openxmlformats.org/officeDocument/2006/relationships/image" Target="media/image16.emf"/><Relationship Id="rId34" Type="http://schemas.openxmlformats.org/officeDocument/2006/relationships/image" Target="media/image13.emf"/><Relationship Id="rId50" Type="http://schemas.openxmlformats.org/officeDocument/2006/relationships/oleObject" Target="embeddings/oleObject6.bin"/><Relationship Id="rId55" Type="http://schemas.openxmlformats.org/officeDocument/2006/relationships/image" Target="media/image24.emf"/><Relationship Id="rId76" Type="http://schemas.openxmlformats.org/officeDocument/2006/relationships/oleObject" Target="embeddings/oleObject14.bin"/><Relationship Id="rId7" Type="http://schemas.openxmlformats.org/officeDocument/2006/relationships/endnotes" Target="endnotes.xml"/><Relationship Id="rId71" Type="http://schemas.openxmlformats.org/officeDocument/2006/relationships/image" Target="media/image32.emf"/><Relationship Id="rId2" Type="http://schemas.openxmlformats.org/officeDocument/2006/relationships/numbering" Target="numbering.xml"/><Relationship Id="rId29" Type="http://schemas.openxmlformats.org/officeDocument/2006/relationships/package" Target="embeddings/Microsoft_Excel_Worksheet8.xlsx"/><Relationship Id="rId24" Type="http://schemas.openxmlformats.org/officeDocument/2006/relationships/chart" Target="charts/chart8.xml"/><Relationship Id="rId40" Type="http://schemas.openxmlformats.org/officeDocument/2006/relationships/package" Target="embeddings/Microsoft_Excel_Worksheet10.xlsx"/><Relationship Id="rId45" Type="http://schemas.openxmlformats.org/officeDocument/2006/relationships/image" Target="media/image19.emf"/><Relationship Id="rId66" Type="http://schemas.openxmlformats.org/officeDocument/2006/relationships/package" Target="embeddings/Microsoft_Excel_Worksheet11.xlsx"/><Relationship Id="rId61" Type="http://schemas.openxmlformats.org/officeDocument/2006/relationships/image" Target="media/image27.emf"/><Relationship Id="rId82" Type="http://schemas.openxmlformats.org/officeDocument/2006/relationships/package" Target="embeddings/Microsoft_Word_Document14.docx"/></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ymelendez\Desktop\Memoria%20de%20C&#225;lculo%20Presupuesto%20Familia%202024%20al%207-3-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Reentrados'!$B$4</c:f>
              <c:strCache>
                <c:ptCount val="1"/>
                <c:pt idx="0">
                  <c:v>Entrada</c:v>
                </c:pt>
              </c:strCache>
            </c:strRef>
          </c:tx>
          <c:spPr>
            <a:solidFill>
              <a:srgbClr val="00B050"/>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9B2B-4640-9AFA-1A1AC9917829}"/>
              </c:ext>
            </c:extLst>
          </c:dPt>
          <c:dPt>
            <c:idx val="1"/>
            <c:invertIfNegative val="0"/>
            <c:bubble3D val="0"/>
            <c:spPr>
              <a:solidFill>
                <a:srgbClr val="00B050"/>
              </a:solidFill>
              <a:ln>
                <a:noFill/>
              </a:ln>
              <a:effectLst/>
            </c:spPr>
            <c:extLst>
              <c:ext xmlns:c16="http://schemas.microsoft.com/office/drawing/2014/chart" uri="{C3380CC4-5D6E-409C-BE32-E72D297353CC}">
                <c16:uniqueId val="{00000003-9B2B-4640-9AFA-1A1AC9917829}"/>
              </c:ext>
            </c:extLst>
          </c:dPt>
          <c:dPt>
            <c:idx val="2"/>
            <c:invertIfNegative val="0"/>
            <c:bubble3D val="0"/>
            <c:spPr>
              <a:solidFill>
                <a:srgbClr val="00B050"/>
              </a:solidFill>
              <a:ln>
                <a:noFill/>
              </a:ln>
              <a:effectLst/>
            </c:spPr>
            <c:extLst>
              <c:ext xmlns:c16="http://schemas.microsoft.com/office/drawing/2014/chart" uri="{C3380CC4-5D6E-409C-BE32-E72D297353CC}">
                <c16:uniqueId val="{00000005-9B2B-4640-9AFA-1A1AC9917829}"/>
              </c:ext>
            </c:extLst>
          </c:dPt>
          <c:dPt>
            <c:idx val="3"/>
            <c:invertIfNegative val="0"/>
            <c:bubble3D val="0"/>
            <c:spPr>
              <a:solidFill>
                <a:srgbClr val="00B050"/>
              </a:solidFill>
              <a:ln>
                <a:noFill/>
              </a:ln>
              <a:effectLst/>
            </c:spPr>
            <c:extLst>
              <c:ext xmlns:c16="http://schemas.microsoft.com/office/drawing/2014/chart" uri="{C3380CC4-5D6E-409C-BE32-E72D297353CC}">
                <c16:uniqueId val="{00000007-9B2B-4640-9AFA-1A1AC9917829}"/>
              </c:ext>
            </c:extLst>
          </c:dPt>
          <c:dPt>
            <c:idx val="4"/>
            <c:invertIfNegative val="0"/>
            <c:bubble3D val="0"/>
            <c:spPr>
              <a:solidFill>
                <a:srgbClr val="00B050"/>
              </a:solidFill>
              <a:ln>
                <a:noFill/>
              </a:ln>
              <a:effectLst/>
            </c:spPr>
            <c:extLst>
              <c:ext xmlns:c16="http://schemas.microsoft.com/office/drawing/2014/chart" uri="{C3380CC4-5D6E-409C-BE32-E72D297353CC}">
                <c16:uniqueId val="{00000009-9B2B-4640-9AFA-1A1AC991782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'Entrada y Reentrados'!$C$3:$H$3</c:f>
              <c:numCache>
                <c:formatCode>General</c:formatCode>
                <c:ptCount val="6"/>
                <c:pt idx="0">
                  <c:v>2017</c:v>
                </c:pt>
                <c:pt idx="1">
                  <c:v>2018</c:v>
                </c:pt>
                <c:pt idx="2">
                  <c:v>2019</c:v>
                </c:pt>
                <c:pt idx="3">
                  <c:v>2020</c:v>
                </c:pt>
                <c:pt idx="4">
                  <c:v>2021</c:v>
                </c:pt>
                <c:pt idx="5">
                  <c:v>2022</c:v>
                </c:pt>
              </c:numCache>
            </c:numRef>
          </c:cat>
          <c:val>
            <c:numRef>
              <c:f>'Entrada y Reentrados'!$C$4:$H$4</c:f>
              <c:numCache>
                <c:formatCode>General</c:formatCode>
                <c:ptCount val="6"/>
                <c:pt idx="0">
                  <c:v>22432</c:v>
                </c:pt>
                <c:pt idx="1">
                  <c:v>21385</c:v>
                </c:pt>
                <c:pt idx="2">
                  <c:v>23529</c:v>
                </c:pt>
                <c:pt idx="3">
                  <c:v>20244</c:v>
                </c:pt>
                <c:pt idx="4">
                  <c:v>24095</c:v>
                </c:pt>
                <c:pt idx="5">
                  <c:v>23715</c:v>
                </c:pt>
              </c:numCache>
            </c:numRef>
          </c:val>
          <c:extLst>
            <c:ext xmlns:c16="http://schemas.microsoft.com/office/drawing/2014/chart" uri="{C3380CC4-5D6E-409C-BE32-E72D297353CC}">
              <c16:uniqueId val="{0000000A-9B2B-4640-9AFA-1A1AC9917829}"/>
            </c:ext>
          </c:extLst>
        </c:ser>
        <c:ser>
          <c:idx val="1"/>
          <c:order val="1"/>
          <c:tx>
            <c:strRef>
              <c:f>'Entrada y Reentrados'!$B$5</c:f>
              <c:strCache>
                <c:ptCount val="1"/>
                <c:pt idx="0">
                  <c:v>Reentrados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'Entrada y Reentrados'!$C$3:$H$3</c:f>
              <c:numCache>
                <c:formatCode>General</c:formatCode>
                <c:ptCount val="6"/>
                <c:pt idx="0">
                  <c:v>2017</c:v>
                </c:pt>
                <c:pt idx="1">
                  <c:v>2018</c:v>
                </c:pt>
                <c:pt idx="2">
                  <c:v>2019</c:v>
                </c:pt>
                <c:pt idx="3">
                  <c:v>2020</c:v>
                </c:pt>
                <c:pt idx="4">
                  <c:v>2021</c:v>
                </c:pt>
                <c:pt idx="5">
                  <c:v>2022</c:v>
                </c:pt>
              </c:numCache>
            </c:numRef>
          </c:cat>
          <c:val>
            <c:numRef>
              <c:f>'Entrada y Reentrados'!$C$5:$H$5</c:f>
              <c:numCache>
                <c:formatCode>General</c:formatCode>
                <c:ptCount val="6"/>
                <c:pt idx="0">
                  <c:v>1305</c:v>
                </c:pt>
                <c:pt idx="1">
                  <c:v>1664</c:v>
                </c:pt>
                <c:pt idx="2">
                  <c:v>1556</c:v>
                </c:pt>
                <c:pt idx="3">
                  <c:v>1120</c:v>
                </c:pt>
                <c:pt idx="4">
                  <c:v>1144</c:v>
                </c:pt>
                <c:pt idx="5">
                  <c:v>1068</c:v>
                </c:pt>
              </c:numCache>
            </c:numRef>
          </c:val>
          <c:extLst>
            <c:ext xmlns:c16="http://schemas.microsoft.com/office/drawing/2014/chart" uri="{C3380CC4-5D6E-409C-BE32-E72D297353CC}">
              <c16:uniqueId val="{0000000B-9B2B-4640-9AFA-1A1AC9917829}"/>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'Entrada Incident y II Instancia'!$B$4</c:f>
              <c:strCache>
                <c:ptCount val="1"/>
                <c:pt idx="0">
                  <c:v>2018</c:v>
                </c:pt>
              </c:strCache>
            </c:strRef>
          </c:tx>
          <c:spPr>
            <a:solidFill>
              <a:schemeClr val="accent5">
                <a:lumMod val="75000"/>
              </a:schemeClr>
            </a:solidFill>
            <a:ln>
              <a:noFill/>
            </a:ln>
            <a:effectLst/>
          </c:spPr>
          <c:invertIfNegative val="0"/>
          <c:dPt>
            <c:idx val="0"/>
            <c:invertIfNegative val="0"/>
            <c:bubble3D val="0"/>
            <c:spPr>
              <a:solidFill>
                <a:schemeClr val="accent5">
                  <a:lumMod val="75000"/>
                </a:schemeClr>
              </a:solidFill>
              <a:ln>
                <a:noFill/>
              </a:ln>
              <a:effectLst/>
            </c:spPr>
            <c:extLst>
              <c:ext xmlns:c16="http://schemas.microsoft.com/office/drawing/2014/chart" uri="{C3380CC4-5D6E-409C-BE32-E72D297353CC}">
                <c16:uniqueId val="{00000001-85BA-48EC-BF2E-C5AC4626D46C}"/>
              </c:ext>
            </c:extLst>
          </c:dPt>
          <c:dPt>
            <c:idx val="1"/>
            <c:invertIfNegative val="0"/>
            <c:bubble3D val="0"/>
            <c:spPr>
              <a:solidFill>
                <a:schemeClr val="accent5">
                  <a:lumMod val="75000"/>
                </a:schemeClr>
              </a:solidFill>
              <a:ln>
                <a:noFill/>
              </a:ln>
              <a:effectLst/>
            </c:spPr>
            <c:extLst>
              <c:ext xmlns:c16="http://schemas.microsoft.com/office/drawing/2014/chart" uri="{C3380CC4-5D6E-409C-BE32-E72D297353CC}">
                <c16:uniqueId val="{00000003-85BA-48EC-BF2E-C5AC4626D46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Instancia'!$C$4:$D$4</c:f>
              <c:numCache>
                <c:formatCode>General</c:formatCode>
                <c:ptCount val="2"/>
                <c:pt idx="0">
                  <c:v>425</c:v>
                </c:pt>
                <c:pt idx="1">
                  <c:v>4536</c:v>
                </c:pt>
              </c:numCache>
            </c:numRef>
          </c:val>
          <c:extLst>
            <c:ext xmlns:c16="http://schemas.microsoft.com/office/drawing/2014/chart" uri="{C3380CC4-5D6E-409C-BE32-E72D297353CC}">
              <c16:uniqueId val="{00000004-85BA-48EC-BF2E-C5AC4626D46C}"/>
            </c:ext>
          </c:extLst>
        </c:ser>
        <c:ser>
          <c:idx val="1"/>
          <c:order val="1"/>
          <c:tx>
            <c:strRef>
              <c:f>'Entrada Incident y II Instancia'!$B$5</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Instancia'!$C$5:$D$5</c:f>
              <c:numCache>
                <c:formatCode>General</c:formatCode>
                <c:ptCount val="2"/>
                <c:pt idx="0">
                  <c:v>579</c:v>
                </c:pt>
                <c:pt idx="1">
                  <c:v>4622</c:v>
                </c:pt>
              </c:numCache>
            </c:numRef>
          </c:val>
          <c:extLst>
            <c:ext xmlns:c16="http://schemas.microsoft.com/office/drawing/2014/chart" uri="{C3380CC4-5D6E-409C-BE32-E72D297353CC}">
              <c16:uniqueId val="{00000005-85BA-48EC-BF2E-C5AC4626D46C}"/>
            </c:ext>
          </c:extLst>
        </c:ser>
        <c:ser>
          <c:idx val="2"/>
          <c:order val="2"/>
          <c:tx>
            <c:strRef>
              <c:f>'Entrada Incident y II Instancia'!$B$6</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Instancia'!$C$6:$D$6</c:f>
              <c:numCache>
                <c:formatCode>General</c:formatCode>
                <c:ptCount val="2"/>
                <c:pt idx="0">
                  <c:v>448</c:v>
                </c:pt>
                <c:pt idx="1">
                  <c:v>4413</c:v>
                </c:pt>
              </c:numCache>
            </c:numRef>
          </c:val>
          <c:extLst>
            <c:ext xmlns:c16="http://schemas.microsoft.com/office/drawing/2014/chart" uri="{C3380CC4-5D6E-409C-BE32-E72D297353CC}">
              <c16:uniqueId val="{00000006-85BA-48EC-BF2E-C5AC4626D46C}"/>
            </c:ext>
          </c:extLst>
        </c:ser>
        <c:ser>
          <c:idx val="3"/>
          <c:order val="3"/>
          <c:tx>
            <c:strRef>
              <c:f>'Entrada Incident y II Instancia'!$B$7</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Instancia'!$C$7:$D$7</c:f>
              <c:numCache>
                <c:formatCode>General</c:formatCode>
                <c:ptCount val="2"/>
                <c:pt idx="0">
                  <c:v>529</c:v>
                </c:pt>
                <c:pt idx="1">
                  <c:v>4058</c:v>
                </c:pt>
              </c:numCache>
            </c:numRef>
          </c:val>
          <c:extLst>
            <c:ext xmlns:c16="http://schemas.microsoft.com/office/drawing/2014/chart" uri="{C3380CC4-5D6E-409C-BE32-E72D297353CC}">
              <c16:uniqueId val="{00000007-85BA-48EC-BF2E-C5AC4626D46C}"/>
            </c:ext>
          </c:extLst>
        </c:ser>
        <c:ser>
          <c:idx val="4"/>
          <c:order val="4"/>
          <c:tx>
            <c:strRef>
              <c:f>'Entrada Incident y II Instancia'!$B$8</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'Entrada Incident y II Instancia'!$C$8:$D$8</c:f>
              <c:numCache>
                <c:formatCode>General</c:formatCode>
                <c:ptCount val="2"/>
                <c:pt idx="0">
                  <c:v>655</c:v>
                </c:pt>
                <c:pt idx="1">
                  <c:v>3920</c:v>
                </c:pt>
              </c:numCache>
            </c:numRef>
          </c:val>
          <c:extLst>
            <c:ext xmlns:c16="http://schemas.microsoft.com/office/drawing/2014/chart" uri="{C3380CC4-5D6E-409C-BE32-E72D297353CC}">
              <c16:uniqueId val="{00000008-85BA-48EC-BF2E-C5AC4626D46C}"/>
            </c:ext>
          </c:extLst>
        </c:ser>
        <c:dLbls>
          <c:dLblPos val="outEnd"/>
          <c:showLegendKey val="0"/>
          <c:showVal val="1"/>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'Terniados e Inactivos'!$B$4</c:f>
              <c:strCache>
                <c:ptCount val="1"/>
                <c:pt idx="0">
                  <c:v>Terminados</c:v>
                </c:pt>
              </c:strCache>
            </c:strRef>
          </c:tx>
          <c:spPr>
            <a:solidFill>
              <a:srgbClr val="19B2CB"/>
            </a:solidFill>
            <a:ln>
              <a:noFill/>
            </a:ln>
            <a:effectLst/>
          </c:spPr>
          <c:invertIfNegative val="0"/>
          <c:dPt>
            <c:idx val="0"/>
            <c:invertIfNegative val="0"/>
            <c:bubble3D val="0"/>
            <c:spPr>
              <a:solidFill>
                <a:srgbClr val="19B2CB"/>
              </a:solidFill>
              <a:ln>
                <a:noFill/>
              </a:ln>
              <a:effectLst/>
            </c:spPr>
            <c:extLst>
              <c:ext xmlns:c16="http://schemas.microsoft.com/office/drawing/2014/chart" uri="{C3380CC4-5D6E-409C-BE32-E72D297353CC}">
                <c16:uniqueId val="{00000001-E70E-467F-B5C8-6361C3F005E1}"/>
              </c:ext>
            </c:extLst>
          </c:dPt>
          <c:dPt>
            <c:idx val="1"/>
            <c:invertIfNegative val="0"/>
            <c:bubble3D val="0"/>
            <c:spPr>
              <a:solidFill>
                <a:srgbClr val="19B2CB"/>
              </a:solidFill>
              <a:ln>
                <a:noFill/>
              </a:ln>
              <a:effectLst/>
            </c:spPr>
            <c:extLst>
              <c:ext xmlns:c16="http://schemas.microsoft.com/office/drawing/2014/chart" uri="{C3380CC4-5D6E-409C-BE32-E72D297353CC}">
                <c16:uniqueId val="{00000003-E70E-467F-B5C8-6361C3F005E1}"/>
              </c:ext>
            </c:extLst>
          </c:dPt>
          <c:dPt>
            <c:idx val="2"/>
            <c:invertIfNegative val="0"/>
            <c:bubble3D val="0"/>
            <c:spPr>
              <a:solidFill>
                <a:srgbClr val="19B2CB"/>
              </a:solidFill>
              <a:ln>
                <a:noFill/>
              </a:ln>
              <a:effectLst/>
            </c:spPr>
            <c:extLst>
              <c:ext xmlns:c16="http://schemas.microsoft.com/office/drawing/2014/chart" uri="{C3380CC4-5D6E-409C-BE32-E72D297353CC}">
                <c16:uniqueId val="{00000005-E70E-467F-B5C8-6361C3F005E1}"/>
              </c:ext>
            </c:extLst>
          </c:dPt>
          <c:dPt>
            <c:idx val="3"/>
            <c:invertIfNegative val="0"/>
            <c:bubble3D val="0"/>
            <c:spPr>
              <a:solidFill>
                <a:srgbClr val="19B2CB"/>
              </a:solidFill>
              <a:ln>
                <a:noFill/>
              </a:ln>
              <a:effectLst/>
            </c:spPr>
            <c:extLst>
              <c:ext xmlns:c16="http://schemas.microsoft.com/office/drawing/2014/chart" uri="{C3380CC4-5D6E-409C-BE32-E72D297353CC}">
                <c16:uniqueId val="{00000007-E70E-467F-B5C8-6361C3F005E1}"/>
              </c:ext>
            </c:extLst>
          </c:dPt>
          <c:dPt>
            <c:idx val="4"/>
            <c:invertIfNegative val="0"/>
            <c:bubble3D val="0"/>
            <c:spPr>
              <a:solidFill>
                <a:srgbClr val="19B2CB"/>
              </a:solidFill>
              <a:ln>
                <a:noFill/>
              </a:ln>
              <a:effectLst/>
            </c:spPr>
            <c:extLst>
              <c:ext xmlns:c16="http://schemas.microsoft.com/office/drawing/2014/chart" uri="{C3380CC4-5D6E-409C-BE32-E72D297353CC}">
                <c16:uniqueId val="{00000009-E70E-467F-B5C8-6361C3F005E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'Terniados e Inactivos'!$C$3:$H$3</c:f>
              <c:numCache>
                <c:formatCode>General</c:formatCode>
                <c:ptCount val="6"/>
                <c:pt idx="0">
                  <c:v>2017</c:v>
                </c:pt>
                <c:pt idx="1">
                  <c:v>2018</c:v>
                </c:pt>
                <c:pt idx="2">
                  <c:v>2019</c:v>
                </c:pt>
                <c:pt idx="3">
                  <c:v>2020</c:v>
                </c:pt>
                <c:pt idx="4">
                  <c:v>2021</c:v>
                </c:pt>
                <c:pt idx="5">
                  <c:v>2022</c:v>
                </c:pt>
              </c:numCache>
            </c:numRef>
          </c:cat>
          <c:val>
            <c:numRef>
              <c:f>'Terniados e Inactivos'!$C$4:$H$4</c:f>
              <c:numCache>
                <c:formatCode>General</c:formatCode>
                <c:ptCount val="6"/>
                <c:pt idx="0">
                  <c:v>21443</c:v>
                </c:pt>
                <c:pt idx="1">
                  <c:v>20435</c:v>
                </c:pt>
                <c:pt idx="2">
                  <c:v>23141</c:v>
                </c:pt>
                <c:pt idx="3">
                  <c:v>19903</c:v>
                </c:pt>
                <c:pt idx="4">
                  <c:v>24299</c:v>
                </c:pt>
                <c:pt idx="5">
                  <c:v>23769</c:v>
                </c:pt>
              </c:numCache>
            </c:numRef>
          </c:val>
          <c:extLst>
            <c:ext xmlns:c16="http://schemas.microsoft.com/office/drawing/2014/chart" uri="{C3380CC4-5D6E-409C-BE32-E72D297353CC}">
              <c16:uniqueId val="{0000000A-E70E-467F-B5C8-6361C3F005E1}"/>
            </c:ext>
          </c:extLst>
        </c:ser>
        <c:ser>
          <c:idx val="1"/>
          <c:order val="1"/>
          <c:tx>
            <c:strRef>
              <c:f>'Terniados e Inactivos'!$B$5</c:f>
              <c:strCache>
                <c:ptCount val="1"/>
                <c:pt idx="0">
                  <c:v>Inactivos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'Terniados e Inactivos'!$C$3:$H$3</c:f>
              <c:numCache>
                <c:formatCode>General</c:formatCode>
                <c:ptCount val="6"/>
                <c:pt idx="0">
                  <c:v>2017</c:v>
                </c:pt>
                <c:pt idx="1">
                  <c:v>2018</c:v>
                </c:pt>
                <c:pt idx="2">
                  <c:v>2019</c:v>
                </c:pt>
                <c:pt idx="3">
                  <c:v>2020</c:v>
                </c:pt>
                <c:pt idx="4">
                  <c:v>2021</c:v>
                </c:pt>
                <c:pt idx="5">
                  <c:v>2022</c:v>
                </c:pt>
              </c:numCache>
            </c:numRef>
          </c:cat>
          <c:val>
            <c:numRef>
              <c:f>'Terniados e Inactivos'!$C$5:$H$5</c:f>
              <c:numCache>
                <c:formatCode>General</c:formatCode>
                <c:ptCount val="6"/>
                <c:pt idx="0">
                  <c:v>1858</c:v>
                </c:pt>
                <c:pt idx="1">
                  <c:v>1725</c:v>
                </c:pt>
                <c:pt idx="2">
                  <c:v>1767</c:v>
                </c:pt>
                <c:pt idx="3">
                  <c:v>1678</c:v>
                </c:pt>
                <c:pt idx="4">
                  <c:v>1667</c:v>
                </c:pt>
                <c:pt idx="5">
                  <c:v>1615</c:v>
                </c:pt>
              </c:numCache>
            </c:numRef>
          </c:val>
          <c:extLst>
            <c:ext xmlns:c16="http://schemas.microsoft.com/office/drawing/2014/chart" uri="{C3380CC4-5D6E-409C-BE32-E72D297353CC}">
              <c16:uniqueId val="{0000000B-E70E-467F-B5C8-6361C3F005E1}"/>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'Salida Incident y II Instan (2)'!$B$4</c:f>
              <c:strCache>
                <c:ptCount val="1"/>
                <c:pt idx="0">
                  <c:v>2018</c:v>
                </c:pt>
              </c:strCache>
            </c:strRef>
          </c:tx>
          <c:spPr>
            <a:solidFill>
              <a:schemeClr val="accent5">
                <a:lumMod val="75000"/>
              </a:schemeClr>
            </a:solidFill>
            <a:ln>
              <a:noFill/>
            </a:ln>
            <a:effectLst/>
          </c:spPr>
          <c:invertIfNegative val="0"/>
          <c:dPt>
            <c:idx val="0"/>
            <c:invertIfNegative val="0"/>
            <c:bubble3D val="0"/>
            <c:spPr>
              <a:solidFill>
                <a:schemeClr val="accent5">
                  <a:lumMod val="75000"/>
                </a:schemeClr>
              </a:solidFill>
              <a:ln>
                <a:noFill/>
              </a:ln>
              <a:effectLst/>
            </c:spPr>
            <c:extLst>
              <c:ext xmlns:c16="http://schemas.microsoft.com/office/drawing/2014/chart" uri="{C3380CC4-5D6E-409C-BE32-E72D297353CC}">
                <c16:uniqueId val="{00000001-A400-48A8-88F1-1E88DFFC7B6D}"/>
              </c:ext>
            </c:extLst>
          </c:dPt>
          <c:dPt>
            <c:idx val="1"/>
            <c:invertIfNegative val="0"/>
            <c:bubble3D val="0"/>
            <c:spPr>
              <a:solidFill>
                <a:schemeClr val="accent5">
                  <a:lumMod val="75000"/>
                </a:schemeClr>
              </a:solidFill>
              <a:ln>
                <a:noFill/>
              </a:ln>
              <a:effectLst/>
            </c:spPr>
            <c:extLst>
              <c:ext xmlns:c16="http://schemas.microsoft.com/office/drawing/2014/chart" uri="{C3380CC4-5D6E-409C-BE32-E72D297353CC}">
                <c16:uniqueId val="{00000003-A400-48A8-88F1-1E88DFFC7B6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 (2)'!$C$3:$D$3</c:f>
              <c:strCache>
                <c:ptCount val="2"/>
                <c:pt idx="0">
                  <c:v>Incidentes</c:v>
                </c:pt>
                <c:pt idx="1">
                  <c:v>Segunda Instancia</c:v>
                </c:pt>
              </c:strCache>
            </c:strRef>
          </c:cat>
          <c:val>
            <c:numRef>
              <c:f>'Salida Incident y II Instan (2)'!$C$4:$D$4</c:f>
              <c:numCache>
                <c:formatCode>General</c:formatCode>
                <c:ptCount val="2"/>
                <c:pt idx="0">
                  <c:v>335</c:v>
                </c:pt>
                <c:pt idx="1">
                  <c:v>5298</c:v>
                </c:pt>
              </c:numCache>
            </c:numRef>
          </c:val>
          <c:extLst>
            <c:ext xmlns:c16="http://schemas.microsoft.com/office/drawing/2014/chart" uri="{C3380CC4-5D6E-409C-BE32-E72D297353CC}">
              <c16:uniqueId val="{00000004-A400-48A8-88F1-1E88DFFC7B6D}"/>
            </c:ext>
          </c:extLst>
        </c:ser>
        <c:ser>
          <c:idx val="1"/>
          <c:order val="1"/>
          <c:tx>
            <c:strRef>
              <c:f>'Salida Incident y II Instan (2)'!$B$5</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 (2)'!$C$3:$D$3</c:f>
              <c:strCache>
                <c:ptCount val="2"/>
                <c:pt idx="0">
                  <c:v>Incidentes</c:v>
                </c:pt>
                <c:pt idx="1">
                  <c:v>Segunda Instancia</c:v>
                </c:pt>
              </c:strCache>
            </c:strRef>
          </c:cat>
          <c:val>
            <c:numRef>
              <c:f>'Salida Incident y II Instan (2)'!$C$5:$D$5</c:f>
              <c:numCache>
                <c:formatCode>General</c:formatCode>
                <c:ptCount val="2"/>
                <c:pt idx="0">
                  <c:v>655</c:v>
                </c:pt>
                <c:pt idx="1">
                  <c:v>5685</c:v>
                </c:pt>
              </c:numCache>
            </c:numRef>
          </c:val>
          <c:extLst>
            <c:ext xmlns:c16="http://schemas.microsoft.com/office/drawing/2014/chart" uri="{C3380CC4-5D6E-409C-BE32-E72D297353CC}">
              <c16:uniqueId val="{00000005-A400-48A8-88F1-1E88DFFC7B6D}"/>
            </c:ext>
          </c:extLst>
        </c:ser>
        <c:ser>
          <c:idx val="2"/>
          <c:order val="2"/>
          <c:tx>
            <c:strRef>
              <c:f>'Salida Incident y II Instan (2)'!$B$6</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 (2)'!$C$3:$D$3</c:f>
              <c:strCache>
                <c:ptCount val="2"/>
                <c:pt idx="0">
                  <c:v>Incidentes</c:v>
                </c:pt>
                <c:pt idx="1">
                  <c:v>Segunda Instancia</c:v>
                </c:pt>
              </c:strCache>
            </c:strRef>
          </c:cat>
          <c:val>
            <c:numRef>
              <c:f>'Salida Incident y II Instan (2)'!$C$6:$D$6</c:f>
              <c:numCache>
                <c:formatCode>General</c:formatCode>
                <c:ptCount val="2"/>
                <c:pt idx="0">
                  <c:v>783</c:v>
                </c:pt>
                <c:pt idx="1">
                  <c:v>4891</c:v>
                </c:pt>
              </c:numCache>
            </c:numRef>
          </c:val>
          <c:extLst>
            <c:ext xmlns:c16="http://schemas.microsoft.com/office/drawing/2014/chart" uri="{C3380CC4-5D6E-409C-BE32-E72D297353CC}">
              <c16:uniqueId val="{00000006-A400-48A8-88F1-1E88DFFC7B6D}"/>
            </c:ext>
          </c:extLst>
        </c:ser>
        <c:ser>
          <c:idx val="3"/>
          <c:order val="3"/>
          <c:tx>
            <c:strRef>
              <c:f>'Salida Incident y II Instan (2)'!$B$7</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 (2)'!$C$3:$D$3</c:f>
              <c:strCache>
                <c:ptCount val="2"/>
                <c:pt idx="0">
                  <c:v>Incidentes</c:v>
                </c:pt>
                <c:pt idx="1">
                  <c:v>Segunda Instancia</c:v>
                </c:pt>
              </c:strCache>
            </c:strRef>
          </c:cat>
          <c:val>
            <c:numRef>
              <c:f>'Salida Incident y II Instan (2)'!$C$7:$D$7</c:f>
              <c:numCache>
                <c:formatCode>General</c:formatCode>
                <c:ptCount val="2"/>
                <c:pt idx="0">
                  <c:v>535</c:v>
                </c:pt>
                <c:pt idx="1">
                  <c:v>5054</c:v>
                </c:pt>
              </c:numCache>
            </c:numRef>
          </c:val>
          <c:extLst>
            <c:ext xmlns:c16="http://schemas.microsoft.com/office/drawing/2014/chart" uri="{C3380CC4-5D6E-409C-BE32-E72D297353CC}">
              <c16:uniqueId val="{00000007-A400-48A8-88F1-1E88DFFC7B6D}"/>
            </c:ext>
          </c:extLst>
        </c:ser>
        <c:ser>
          <c:idx val="4"/>
          <c:order val="4"/>
          <c:tx>
            <c:strRef>
              <c:f>'Salida Incident y II Instan (2)'!$B$8</c:f>
              <c:strCache>
                <c:ptCount val="1"/>
                <c:pt idx="0">
                  <c:v>2022</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'Salida Incident y II Instan (2)'!$C$8:$D$8</c:f>
              <c:numCache>
                <c:formatCode>General</c:formatCode>
                <c:ptCount val="2"/>
                <c:pt idx="0">
                  <c:v>575</c:v>
                </c:pt>
                <c:pt idx="1">
                  <c:v>4434</c:v>
                </c:pt>
              </c:numCache>
            </c:numRef>
          </c:val>
          <c:extLst>
            <c:ext xmlns:c16="http://schemas.microsoft.com/office/drawing/2014/chart" uri="{C3380CC4-5D6E-409C-BE32-E72D297353CC}">
              <c16:uniqueId val="{00000008-A400-48A8-88F1-1E88DFFC7B6D}"/>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'Total Ent-Sal y Cir'!$B$5</c:f>
              <c:strCache>
                <c:ptCount val="1"/>
                <c:pt idx="0">
                  <c:v>Entrados Totales</c:v>
                </c:pt>
              </c:strCache>
            </c:strRef>
          </c:tx>
          <c:spPr>
            <a:ln w="28575" cap="rnd">
              <a:solidFill>
                <a:schemeClr val="accent1"/>
              </a:solidFill>
              <a:round/>
            </a:ln>
            <a:effectLst/>
          </c:spPr>
          <c:marker>
            <c:symbol val="none"/>
          </c:marker>
          <c:dLbls>
            <c:dLbl>
              <c:idx val="0"/>
              <c:layout>
                <c:manualLayout>
                  <c:x val="-2.7777777777777776E-2"/>
                  <c:y val="-5.09259259259259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C20-422C-8DA1-FC2DE8BEFA62}"/>
                </c:ext>
              </c:extLst>
            </c:dLbl>
            <c:dLbl>
              <c:idx val="1"/>
              <c:layout>
                <c:manualLayout>
                  <c:x val="-5.5555555555556061E-3"/>
                  <c:y val="-5.55555555555555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C20-422C-8DA1-FC2DE8BEFA62}"/>
                </c:ext>
              </c:extLst>
            </c:dLbl>
            <c:dLbl>
              <c:idx val="2"/>
              <c:layout>
                <c:manualLayout>
                  <c:x val="-2.4999890638670166E-2"/>
                  <c:y val="-3.4722222222222231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15:layout>
                    <c:manualLayout>
                      <c:w val="7.9999999999999988E-2"/>
                      <c:h val="6.9375182268883062E-2"/>
                    </c:manualLayout>
                  </c15:layout>
                </c:ext>
                <c:ext xmlns:c16="http://schemas.microsoft.com/office/drawing/2014/chart" uri="{C3380CC4-5D6E-409C-BE32-E72D297353CC}">
                  <c16:uniqueId val="{00000002-9C20-422C-8DA1-FC2DE8BEFA62}"/>
                </c:ext>
              </c:extLst>
            </c:dLbl>
            <c:dLbl>
              <c:idx val="3"/>
              <c:layout>
                <c:manualLayout>
                  <c:x val="-8.3333333333333332E-3"/>
                  <c:y val="-6.9444444444444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C20-422C-8DA1-FC2DE8BEFA62}"/>
                </c:ext>
              </c:extLst>
            </c:dLbl>
            <c:dLbl>
              <c:idx val="4"/>
              <c:layout>
                <c:manualLayout>
                  <c:x val="-5.5555555555555558E-3"/>
                  <c:y val="-4.62962962962963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C20-422C-8DA1-FC2DE8BEFA6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'Total Ent-Sal y Cir'!$C$4:$H$4</c:f>
              <c:numCache>
                <c:formatCode>General</c:formatCode>
                <c:ptCount val="6"/>
                <c:pt idx="0">
                  <c:v>2017</c:v>
                </c:pt>
                <c:pt idx="1">
                  <c:v>2018</c:v>
                </c:pt>
                <c:pt idx="2">
                  <c:v>2019</c:v>
                </c:pt>
                <c:pt idx="3">
                  <c:v>2020</c:v>
                </c:pt>
                <c:pt idx="4">
                  <c:v>2021</c:v>
                </c:pt>
                <c:pt idx="5">
                  <c:v>2022</c:v>
                </c:pt>
              </c:numCache>
            </c:numRef>
          </c:cat>
          <c:val>
            <c:numRef>
              <c:f>'Total Ent-Sal y Cir'!$C$5:$H$5</c:f>
              <c:numCache>
                <c:formatCode>General</c:formatCode>
                <c:ptCount val="6"/>
                <c:pt idx="0">
                  <c:v>23737</c:v>
                </c:pt>
                <c:pt idx="1">
                  <c:v>23049</c:v>
                </c:pt>
                <c:pt idx="2">
                  <c:v>25085</c:v>
                </c:pt>
                <c:pt idx="3">
                  <c:v>21364</c:v>
                </c:pt>
                <c:pt idx="4">
                  <c:v>25239</c:v>
                </c:pt>
                <c:pt idx="5">
                  <c:v>24783</c:v>
                </c:pt>
              </c:numCache>
            </c:numRef>
          </c:val>
          <c:smooth val="0"/>
          <c:extLst>
            <c:ext xmlns:c16="http://schemas.microsoft.com/office/drawing/2014/chart" uri="{C3380CC4-5D6E-409C-BE32-E72D297353CC}">
              <c16:uniqueId val="{00000005-9C20-422C-8DA1-FC2DE8BEFA62}"/>
            </c:ext>
          </c:extLst>
        </c:ser>
        <c:ser>
          <c:idx val="1"/>
          <c:order val="1"/>
          <c:tx>
            <c:strRef>
              <c:f>'Total Ent-Sal y Cir'!$B$6</c:f>
              <c:strCache>
                <c:ptCount val="1"/>
                <c:pt idx="0">
                  <c:v>Terminados Totales</c:v>
                </c:pt>
              </c:strCache>
            </c:strRef>
          </c:tx>
          <c:spPr>
            <a:ln w="28575" cap="rnd">
              <a:solidFill>
                <a:schemeClr val="accent2"/>
              </a:solidFill>
              <a:round/>
            </a:ln>
            <a:effectLst/>
          </c:spPr>
          <c:marker>
            <c:symbol val="none"/>
          </c:marker>
          <c:dLbls>
            <c:dLbl>
              <c:idx val="0"/>
              <c:layout>
                <c:manualLayout>
                  <c:x val="-3.0555555555555555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C20-422C-8DA1-FC2DE8BEFA62}"/>
                </c:ext>
              </c:extLst>
            </c:dLbl>
            <c:dLbl>
              <c:idx val="1"/>
              <c:layout>
                <c:manualLayout>
                  <c:x val="-1.1111111111111112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C20-422C-8DA1-FC2DE8BEFA62}"/>
                </c:ext>
              </c:extLst>
            </c:dLbl>
            <c:dLbl>
              <c:idx val="2"/>
              <c:layout>
                <c:manualLayout>
                  <c:x val="-4.7222222222222325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C20-422C-8DA1-FC2DE8BEFA62}"/>
                </c:ext>
              </c:extLst>
            </c:dLbl>
            <c:dLbl>
              <c:idx val="3"/>
              <c:layout>
                <c:manualLayout>
                  <c:x val="1.1111111111111112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C20-422C-8DA1-FC2DE8BEFA62}"/>
                </c:ext>
              </c:extLst>
            </c:dLbl>
            <c:dLbl>
              <c:idx val="4"/>
              <c:layout>
                <c:manualLayout>
                  <c:x val="1.0185067526415994E-16"/>
                  <c:y val="5.07623234631731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C20-422C-8DA1-FC2DE8BEFA62}"/>
                </c:ext>
              </c:extLst>
            </c:dLbl>
            <c:dLbl>
              <c:idx val="5"/>
              <c:layout>
                <c:manualLayout>
                  <c:x val="0"/>
                  <c:y val="-2.2984445141015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C20-422C-8DA1-FC2DE8BEFA6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'Total Ent-Sal y Cir'!$C$4:$H$4</c:f>
              <c:numCache>
                <c:formatCode>General</c:formatCode>
                <c:ptCount val="6"/>
                <c:pt idx="0">
                  <c:v>2017</c:v>
                </c:pt>
                <c:pt idx="1">
                  <c:v>2018</c:v>
                </c:pt>
                <c:pt idx="2">
                  <c:v>2019</c:v>
                </c:pt>
                <c:pt idx="3">
                  <c:v>2020</c:v>
                </c:pt>
                <c:pt idx="4">
                  <c:v>2021</c:v>
                </c:pt>
                <c:pt idx="5">
                  <c:v>2022</c:v>
                </c:pt>
              </c:numCache>
            </c:numRef>
          </c:cat>
          <c:val>
            <c:numRef>
              <c:f>'Total Ent-Sal y Cir'!$C$6:$H$6</c:f>
              <c:numCache>
                <c:formatCode>General</c:formatCode>
                <c:ptCount val="6"/>
                <c:pt idx="0">
                  <c:v>23301</c:v>
                </c:pt>
                <c:pt idx="1">
                  <c:v>22160</c:v>
                </c:pt>
                <c:pt idx="2">
                  <c:v>24908</c:v>
                </c:pt>
                <c:pt idx="3">
                  <c:v>21581</c:v>
                </c:pt>
                <c:pt idx="4">
                  <c:v>25966</c:v>
                </c:pt>
                <c:pt idx="5">
                  <c:v>25384</c:v>
                </c:pt>
              </c:numCache>
            </c:numRef>
          </c:val>
          <c:smooth val="0"/>
          <c:extLst>
            <c:ext xmlns:c16="http://schemas.microsoft.com/office/drawing/2014/chart" uri="{C3380CC4-5D6E-409C-BE32-E72D297353CC}">
              <c16:uniqueId val="{0000000C-9C20-422C-8DA1-FC2DE8BEFA62}"/>
            </c:ext>
          </c:extLst>
        </c:ser>
        <c:ser>
          <c:idx val="2"/>
          <c:order val="2"/>
          <c:tx>
            <c:strRef>
              <c:f>'Total Ent-Sal y Cir'!$B$7</c:f>
              <c:strCache>
                <c:ptCount val="1"/>
                <c:pt idx="0">
                  <c:v>Circulante al finalizar el periodo</c:v>
                </c:pt>
              </c:strCache>
            </c:strRef>
          </c:tx>
          <c:spPr>
            <a:ln w="28575" cap="rnd">
              <a:solidFill>
                <a:schemeClr val="accent3"/>
              </a:solidFill>
              <a:round/>
            </a:ln>
            <a:effectLst/>
          </c:spPr>
          <c:marker>
            <c:symbol val="none"/>
          </c:marker>
          <c:dLbls>
            <c:dLbl>
              <c:idx val="0"/>
              <c:layout>
                <c:manualLayout>
                  <c:x val="-2.5462668816039986E-17"/>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C20-422C-8DA1-FC2DE8BEFA62}"/>
                </c:ext>
              </c:extLst>
            </c:dLbl>
            <c:dLbl>
              <c:idx val="1"/>
              <c:layout>
                <c:manualLayout>
                  <c:x val="-2.7776684164479951E-3"/>
                  <c:y val="-4.6296296296296294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15:layout>
                    <c:manualLayout>
                      <c:w val="7.9999999999999988E-2"/>
                      <c:h val="6.0115923009623796E-2"/>
                    </c:manualLayout>
                  </c15:layout>
                </c:ext>
                <c:ext xmlns:c16="http://schemas.microsoft.com/office/drawing/2014/chart" uri="{C3380CC4-5D6E-409C-BE32-E72D297353CC}">
                  <c16:uniqueId val="{0000000E-9C20-422C-8DA1-FC2DE8BEFA62}"/>
                </c:ext>
              </c:extLst>
            </c:dLbl>
            <c:dLbl>
              <c:idx val="2"/>
              <c:layout>
                <c:manualLayout>
                  <c:x val="0"/>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C20-422C-8DA1-FC2DE8BEFA62}"/>
                </c:ext>
              </c:extLst>
            </c:dLbl>
            <c:dLbl>
              <c:idx val="3"/>
              <c:layout>
                <c:manualLayout>
                  <c:x val="2.7777777777777779E-3"/>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C20-422C-8DA1-FC2DE8BEFA62}"/>
                </c:ext>
              </c:extLst>
            </c:dLbl>
            <c:dLbl>
              <c:idx val="4"/>
              <c:layout>
                <c:manualLayout>
                  <c:x val="2.7777777777778798E-3"/>
                  <c:y val="-2.7581334169219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C20-422C-8DA1-FC2DE8BEFA6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'Total Ent-Sal y Cir'!$C$4:$H$4</c:f>
              <c:numCache>
                <c:formatCode>General</c:formatCode>
                <c:ptCount val="6"/>
                <c:pt idx="0">
                  <c:v>2017</c:v>
                </c:pt>
                <c:pt idx="1">
                  <c:v>2018</c:v>
                </c:pt>
                <c:pt idx="2">
                  <c:v>2019</c:v>
                </c:pt>
                <c:pt idx="3">
                  <c:v>2020</c:v>
                </c:pt>
                <c:pt idx="4">
                  <c:v>2021</c:v>
                </c:pt>
                <c:pt idx="5">
                  <c:v>2022</c:v>
                </c:pt>
              </c:numCache>
            </c:numRef>
          </c:cat>
          <c:val>
            <c:numRef>
              <c:f>'Total Ent-Sal y Cir'!$C$7:$H$7</c:f>
              <c:numCache>
                <c:formatCode>General</c:formatCode>
                <c:ptCount val="6"/>
                <c:pt idx="0">
                  <c:v>13698</c:v>
                </c:pt>
                <c:pt idx="1">
                  <c:v>14443</c:v>
                </c:pt>
                <c:pt idx="2">
                  <c:v>14424</c:v>
                </c:pt>
                <c:pt idx="3">
                  <c:v>14446</c:v>
                </c:pt>
                <c:pt idx="4">
                  <c:v>13471</c:v>
                </c:pt>
                <c:pt idx="5">
                  <c:v>12829</c:v>
                </c:pt>
              </c:numCache>
            </c:numRef>
          </c:val>
          <c:smooth val="0"/>
          <c:extLst>
            <c:ext xmlns:c16="http://schemas.microsoft.com/office/drawing/2014/chart" uri="{C3380CC4-5D6E-409C-BE32-E72D297353CC}">
              <c16:uniqueId val="{00000012-9C20-422C-8DA1-FC2DE8BEFA62}"/>
            </c:ext>
          </c:extLst>
        </c:ser>
        <c:dLbls>
          <c:showLegendKey val="0"/>
          <c:showVal val="0"/>
          <c:showCatName val="0"/>
          <c:showSerName val="0"/>
          <c:showPercent val="0"/>
          <c:showBubbleSize val="0"/>
        </c:dLbls>
        <c:smooth val="0"/>
        <c:axId val="2001536943"/>
        <c:axId val="2001542351"/>
      </c:lineChart>
      <c:catAx>
        <c:axId val="2001536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01542351"/>
        <c:crosses val="autoZero"/>
        <c:auto val="1"/>
        <c:lblAlgn val="ctr"/>
        <c:lblOffset val="100"/>
        <c:noMultiLvlLbl val="0"/>
      </c:catAx>
      <c:valAx>
        <c:axId val="20015423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01536943"/>
        <c:crosses val="autoZero"/>
        <c:crossBetween val="between"/>
      </c:valAx>
      <c:spPr>
        <a:noFill/>
        <a:ln>
          <a:noFill/>
        </a:ln>
        <a:effectLst/>
      </c:spPr>
    </c:plotArea>
    <c:legend>
      <c:legendPos val="b"/>
      <c:layout>
        <c:manualLayout>
          <c:xMode val="edge"/>
          <c:yMode val="edge"/>
          <c:x val="6.7080052493438319E-2"/>
          <c:y val="0.81173228346456694"/>
          <c:w val="0.91306211723534558"/>
          <c:h val="0.1604899387576553"/>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'Gráfico 6'!$A$3</c:f>
              <c:strCache>
                <c:ptCount val="1"/>
                <c:pt idx="0">
                  <c:v>2020</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6'!$B$2:$E$2</c:f>
              <c:strCache>
                <c:ptCount val="4"/>
                <c:pt idx="0">
                  <c:v>Casos Ingresados Psicología</c:v>
                </c:pt>
                <c:pt idx="1">
                  <c:v>Casos Ingresados Trabajo Social</c:v>
                </c:pt>
                <c:pt idx="2">
                  <c:v>Atención Inmediata Psicológica</c:v>
                </c:pt>
                <c:pt idx="3">
                  <c:v>Atención Inmediata Trabajo Social</c:v>
                </c:pt>
              </c:strCache>
            </c:strRef>
          </c:cat>
          <c:val>
            <c:numRef>
              <c:f>'Gráfico 6'!$B$3:$E$3</c:f>
              <c:numCache>
                <c:formatCode>General</c:formatCode>
                <c:ptCount val="4"/>
                <c:pt idx="0">
                  <c:v>9273</c:v>
                </c:pt>
                <c:pt idx="1">
                  <c:v>14836</c:v>
                </c:pt>
                <c:pt idx="2">
                  <c:v>1775</c:v>
                </c:pt>
                <c:pt idx="3">
                  <c:v>2048</c:v>
                </c:pt>
              </c:numCache>
            </c:numRef>
          </c:val>
          <c:extLst>
            <c:ext xmlns:c16="http://schemas.microsoft.com/office/drawing/2014/chart" uri="{C3380CC4-5D6E-409C-BE32-E72D297353CC}">
              <c16:uniqueId val="{00000000-9A7F-4534-878F-79E491EB29AD}"/>
            </c:ext>
          </c:extLst>
        </c:ser>
        <c:ser>
          <c:idx val="1"/>
          <c:order val="1"/>
          <c:tx>
            <c:strRef>
              <c:f>'Gráfico 6'!$A$4</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6'!$B$2:$E$2</c:f>
              <c:strCache>
                <c:ptCount val="4"/>
                <c:pt idx="0">
                  <c:v>Casos Ingresados Psicología</c:v>
                </c:pt>
                <c:pt idx="1">
                  <c:v>Casos Ingresados Trabajo Social</c:v>
                </c:pt>
                <c:pt idx="2">
                  <c:v>Atención Inmediata Psicológica</c:v>
                </c:pt>
                <c:pt idx="3">
                  <c:v>Atención Inmediata Trabajo Social</c:v>
                </c:pt>
              </c:strCache>
            </c:strRef>
          </c:cat>
          <c:val>
            <c:numRef>
              <c:f>'Gráfico 6'!$B$4:$E$4</c:f>
              <c:numCache>
                <c:formatCode>General</c:formatCode>
                <c:ptCount val="4"/>
                <c:pt idx="0">
                  <c:v>10425</c:v>
                </c:pt>
                <c:pt idx="1">
                  <c:v>15959</c:v>
                </c:pt>
                <c:pt idx="2">
                  <c:v>993</c:v>
                </c:pt>
                <c:pt idx="3">
                  <c:v>1570</c:v>
                </c:pt>
              </c:numCache>
            </c:numRef>
          </c:val>
          <c:extLst>
            <c:ext xmlns:c16="http://schemas.microsoft.com/office/drawing/2014/chart" uri="{C3380CC4-5D6E-409C-BE32-E72D297353CC}">
              <c16:uniqueId val="{00000001-9A7F-4534-878F-79E491EB29AD}"/>
            </c:ext>
          </c:extLst>
        </c:ser>
        <c:ser>
          <c:idx val="2"/>
          <c:order val="2"/>
          <c:tx>
            <c:strRef>
              <c:f>'Gráfico 6'!$A$5</c:f>
              <c:strCache>
                <c:ptCount val="1"/>
                <c:pt idx="0">
                  <c:v>2022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6'!$B$2:$E$2</c:f>
              <c:strCache>
                <c:ptCount val="4"/>
                <c:pt idx="0">
                  <c:v>Casos Ingresados Psicología</c:v>
                </c:pt>
                <c:pt idx="1">
                  <c:v>Casos Ingresados Trabajo Social</c:v>
                </c:pt>
                <c:pt idx="2">
                  <c:v>Atención Inmediata Psicológica</c:v>
                </c:pt>
                <c:pt idx="3">
                  <c:v>Atención Inmediata Trabajo Social</c:v>
                </c:pt>
              </c:strCache>
            </c:strRef>
          </c:cat>
          <c:val>
            <c:numRef>
              <c:f>'Gráfico 6'!$B$5:$E$5</c:f>
              <c:numCache>
                <c:formatCode>General</c:formatCode>
                <c:ptCount val="4"/>
                <c:pt idx="0">
                  <c:v>5242</c:v>
                </c:pt>
                <c:pt idx="1">
                  <c:v>7851</c:v>
                </c:pt>
                <c:pt idx="2">
                  <c:v>1657</c:v>
                </c:pt>
                <c:pt idx="3">
                  <c:v>2324</c:v>
                </c:pt>
              </c:numCache>
            </c:numRef>
          </c:val>
          <c:extLst>
            <c:ext xmlns:c16="http://schemas.microsoft.com/office/drawing/2014/chart" uri="{C3380CC4-5D6E-409C-BE32-E72D297353CC}">
              <c16:uniqueId val="{00000002-9A7F-4534-878F-79E491EB29AD}"/>
            </c:ext>
          </c:extLst>
        </c:ser>
        <c:dLbls>
          <c:dLblPos val="outEnd"/>
          <c:showLegendKey val="0"/>
          <c:showVal val="1"/>
          <c:showCatName val="0"/>
          <c:showSerName val="0"/>
          <c:showPercent val="0"/>
          <c:showBubbleSize val="0"/>
        </c:dLbls>
        <c:gapWidth val="219"/>
        <c:overlap val="-27"/>
        <c:axId val="581303423"/>
        <c:axId val="617298287"/>
      </c:barChart>
      <c:catAx>
        <c:axId val="581303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617298287"/>
        <c:crosses val="autoZero"/>
        <c:auto val="1"/>
        <c:lblAlgn val="ctr"/>
        <c:lblOffset val="100"/>
        <c:noMultiLvlLbl val="0"/>
      </c:catAx>
      <c:valAx>
        <c:axId val="6172982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81303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'Gráfico 7'!$A$3</c:f>
              <c:strCache>
                <c:ptCount val="1"/>
                <c:pt idx="0">
                  <c:v>2020</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7'!$B$2:$C$2</c:f>
              <c:strCache>
                <c:ptCount val="2"/>
                <c:pt idx="0">
                  <c:v>Casos Cerrados Psicología</c:v>
                </c:pt>
                <c:pt idx="1">
                  <c:v>Casos Cerrados Trabajo Social</c:v>
                </c:pt>
              </c:strCache>
            </c:strRef>
          </c:cat>
          <c:val>
            <c:numRef>
              <c:f>'Gráfico 7'!$B$3:$C$3</c:f>
              <c:numCache>
                <c:formatCode>General</c:formatCode>
                <c:ptCount val="2"/>
                <c:pt idx="0">
                  <c:v>9024</c:v>
                </c:pt>
                <c:pt idx="1">
                  <c:v>15821</c:v>
                </c:pt>
              </c:numCache>
            </c:numRef>
          </c:val>
          <c:extLst>
            <c:ext xmlns:c16="http://schemas.microsoft.com/office/drawing/2014/chart" uri="{C3380CC4-5D6E-409C-BE32-E72D297353CC}">
              <c16:uniqueId val="{00000000-5D78-4FB6-9CD7-AACA396BDBBF}"/>
            </c:ext>
          </c:extLst>
        </c:ser>
        <c:ser>
          <c:idx val="1"/>
          <c:order val="1"/>
          <c:tx>
            <c:strRef>
              <c:f>'Gráfico 7'!$A$4</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7'!$B$2:$C$2</c:f>
              <c:strCache>
                <c:ptCount val="2"/>
                <c:pt idx="0">
                  <c:v>Casos Cerrados Psicología</c:v>
                </c:pt>
                <c:pt idx="1">
                  <c:v>Casos Cerrados Trabajo Social</c:v>
                </c:pt>
              </c:strCache>
            </c:strRef>
          </c:cat>
          <c:val>
            <c:numRef>
              <c:f>'Gráfico 7'!$B$4:$C$4</c:f>
              <c:numCache>
                <c:formatCode>General</c:formatCode>
                <c:ptCount val="2"/>
                <c:pt idx="0">
                  <c:v>9722</c:v>
                </c:pt>
                <c:pt idx="1">
                  <c:v>15475</c:v>
                </c:pt>
              </c:numCache>
            </c:numRef>
          </c:val>
          <c:extLst>
            <c:ext xmlns:c16="http://schemas.microsoft.com/office/drawing/2014/chart" uri="{C3380CC4-5D6E-409C-BE32-E72D297353CC}">
              <c16:uniqueId val="{00000001-5D78-4FB6-9CD7-AACA396BDBBF}"/>
            </c:ext>
          </c:extLst>
        </c:ser>
        <c:ser>
          <c:idx val="2"/>
          <c:order val="2"/>
          <c:tx>
            <c:strRef>
              <c:f>'Gráfico 7'!$A$5</c:f>
              <c:strCache>
                <c:ptCount val="1"/>
                <c:pt idx="0">
                  <c:v>2022</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7'!$B$2:$C$2</c:f>
              <c:strCache>
                <c:ptCount val="2"/>
                <c:pt idx="0">
                  <c:v>Casos Cerrados Psicología</c:v>
                </c:pt>
                <c:pt idx="1">
                  <c:v>Casos Cerrados Trabajo Social</c:v>
                </c:pt>
              </c:strCache>
            </c:strRef>
          </c:cat>
          <c:val>
            <c:numRef>
              <c:f>'Gráfico 7'!$B$5:$C$5</c:f>
              <c:numCache>
                <c:formatCode>General</c:formatCode>
                <c:ptCount val="2"/>
                <c:pt idx="0">
                  <c:v>4969</c:v>
                </c:pt>
                <c:pt idx="1">
                  <c:v>7264</c:v>
                </c:pt>
              </c:numCache>
            </c:numRef>
          </c:val>
          <c:extLst>
            <c:ext xmlns:c16="http://schemas.microsoft.com/office/drawing/2014/chart" uri="{C3380CC4-5D6E-409C-BE32-E72D297353CC}">
              <c16:uniqueId val="{00000002-5D78-4FB6-9CD7-AACA396BDBBF}"/>
            </c:ext>
          </c:extLst>
        </c:ser>
        <c:dLbls>
          <c:dLblPos val="outEnd"/>
          <c:showLegendKey val="0"/>
          <c:showVal val="1"/>
          <c:showCatName val="0"/>
          <c:showSerName val="0"/>
          <c:showPercent val="0"/>
          <c:showBubbleSize val="0"/>
        </c:dLbls>
        <c:gapWidth val="219"/>
        <c:overlap val="-27"/>
        <c:axId val="625486271"/>
        <c:axId val="625512479"/>
      </c:barChart>
      <c:catAx>
        <c:axId val="62548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625512479"/>
        <c:crosses val="autoZero"/>
        <c:auto val="1"/>
        <c:lblAlgn val="ctr"/>
        <c:lblOffset val="100"/>
        <c:noMultiLvlLbl val="0"/>
      </c:catAx>
      <c:valAx>
        <c:axId val="6255124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6254862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'Datos Niñez y Adolesc.'!$B$17</c:f>
              <c:strCache>
                <c:ptCount val="1"/>
                <c:pt idx="0">
                  <c:v>Entrados Totales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bg1"/>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Adolesc.'!$C$16:$H$16</c:f>
              <c:numCache>
                <c:formatCode>General</c:formatCode>
                <c:ptCount val="6"/>
                <c:pt idx="0">
                  <c:v>2017</c:v>
                </c:pt>
                <c:pt idx="1">
                  <c:v>2018</c:v>
                </c:pt>
                <c:pt idx="2">
                  <c:v>2019</c:v>
                </c:pt>
                <c:pt idx="3">
                  <c:v>2020</c:v>
                </c:pt>
                <c:pt idx="4">
                  <c:v>2021</c:v>
                </c:pt>
                <c:pt idx="5">
                  <c:v>2022</c:v>
                </c:pt>
              </c:numCache>
            </c:numRef>
          </c:cat>
          <c:val>
            <c:numRef>
              <c:f>'Datos Niñez y Adolesc.'!$C$17:$H$17</c:f>
              <c:numCache>
                <c:formatCode>General</c:formatCode>
                <c:ptCount val="6"/>
                <c:pt idx="0">
                  <c:v>1053</c:v>
                </c:pt>
                <c:pt idx="1">
                  <c:v>1045</c:v>
                </c:pt>
                <c:pt idx="2">
                  <c:v>1189</c:v>
                </c:pt>
                <c:pt idx="3">
                  <c:v>1083</c:v>
                </c:pt>
                <c:pt idx="4">
                  <c:v>1145</c:v>
                </c:pt>
                <c:pt idx="5">
                  <c:v>1153</c:v>
                </c:pt>
              </c:numCache>
            </c:numRef>
          </c:val>
          <c:extLst>
            <c:ext xmlns:c16="http://schemas.microsoft.com/office/drawing/2014/chart" uri="{C3380CC4-5D6E-409C-BE32-E72D297353CC}">
              <c16:uniqueId val="{00000000-385A-410F-834B-5C9A1770377D}"/>
            </c:ext>
          </c:extLst>
        </c:ser>
        <c:ser>
          <c:idx val="1"/>
          <c:order val="1"/>
          <c:tx>
            <c:strRef>
              <c:f>'Datos Niñez y Adolesc.'!$B$18</c:f>
              <c:strCache>
                <c:ptCount val="1"/>
                <c:pt idx="0">
                  <c:v>Terminados Totales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bg1"/>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Adolesc.'!$C$16:$H$16</c:f>
              <c:numCache>
                <c:formatCode>General</c:formatCode>
                <c:ptCount val="6"/>
                <c:pt idx="0">
                  <c:v>2017</c:v>
                </c:pt>
                <c:pt idx="1">
                  <c:v>2018</c:v>
                </c:pt>
                <c:pt idx="2">
                  <c:v>2019</c:v>
                </c:pt>
                <c:pt idx="3">
                  <c:v>2020</c:v>
                </c:pt>
                <c:pt idx="4">
                  <c:v>2021</c:v>
                </c:pt>
                <c:pt idx="5">
                  <c:v>2022</c:v>
                </c:pt>
              </c:numCache>
            </c:numRef>
          </c:cat>
          <c:val>
            <c:numRef>
              <c:f>'Datos Niñez y Adolesc.'!$C$18:$H$18</c:f>
              <c:numCache>
                <c:formatCode>General</c:formatCode>
                <c:ptCount val="6"/>
                <c:pt idx="0">
                  <c:v>761</c:v>
                </c:pt>
                <c:pt idx="1">
                  <c:v>887</c:v>
                </c:pt>
                <c:pt idx="2">
                  <c:v>985</c:v>
                </c:pt>
                <c:pt idx="3">
                  <c:v>1099</c:v>
                </c:pt>
                <c:pt idx="4">
                  <c:v>803</c:v>
                </c:pt>
                <c:pt idx="5">
                  <c:v>1021</c:v>
                </c:pt>
              </c:numCache>
            </c:numRef>
          </c:val>
          <c:extLst>
            <c:ext xmlns:c16="http://schemas.microsoft.com/office/drawing/2014/chart" uri="{C3380CC4-5D6E-409C-BE32-E72D297353CC}">
              <c16:uniqueId val="{00000001-385A-410F-834B-5C9A1770377D}"/>
            </c:ext>
          </c:extLst>
        </c:ser>
        <c:ser>
          <c:idx val="2"/>
          <c:order val="2"/>
          <c:tx>
            <c:strRef>
              <c:f>'Datos Niñez y Adolesc.'!$B$19</c:f>
              <c:strCache>
                <c:ptCount val="1"/>
                <c:pt idx="0">
                  <c:v>Circulante al finalizar el periodo</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Adolesc.'!$C$16:$H$16</c:f>
              <c:numCache>
                <c:formatCode>General</c:formatCode>
                <c:ptCount val="6"/>
                <c:pt idx="0">
                  <c:v>2017</c:v>
                </c:pt>
                <c:pt idx="1">
                  <c:v>2018</c:v>
                </c:pt>
                <c:pt idx="2">
                  <c:v>2019</c:v>
                </c:pt>
                <c:pt idx="3">
                  <c:v>2020</c:v>
                </c:pt>
                <c:pt idx="4">
                  <c:v>2021</c:v>
                </c:pt>
                <c:pt idx="5">
                  <c:v>2022</c:v>
                </c:pt>
              </c:numCache>
            </c:numRef>
          </c:cat>
          <c:val>
            <c:numRef>
              <c:f>'Datos Niñez y Adolesc.'!$C$19:$H$19</c:f>
              <c:numCache>
                <c:formatCode>General</c:formatCode>
                <c:ptCount val="6"/>
                <c:pt idx="0">
                  <c:v>840</c:v>
                </c:pt>
                <c:pt idx="1">
                  <c:v>998</c:v>
                </c:pt>
                <c:pt idx="2">
                  <c:v>1203</c:v>
                </c:pt>
                <c:pt idx="3">
                  <c:v>1187</c:v>
                </c:pt>
                <c:pt idx="4">
                  <c:v>1529</c:v>
                </c:pt>
                <c:pt idx="5">
                  <c:v>1659</c:v>
                </c:pt>
              </c:numCache>
            </c:numRef>
          </c:val>
          <c:extLst>
            <c:ext xmlns:c16="http://schemas.microsoft.com/office/drawing/2014/chart" uri="{C3380CC4-5D6E-409C-BE32-E72D297353CC}">
              <c16:uniqueId val="{00000002-385A-410F-834B-5C9A1770377D}"/>
            </c:ext>
          </c:extLst>
        </c:ser>
        <c:dLbls>
          <c:showLegendKey val="0"/>
          <c:showVal val="0"/>
          <c:showCatName val="0"/>
          <c:showSerName val="0"/>
          <c:showPercent val="0"/>
          <c:showBubbleSize val="0"/>
        </c:dLbls>
        <c:gapWidth val="150"/>
        <c:overlap val="100"/>
        <c:axId val="342612816"/>
        <c:axId val="342601584"/>
      </c:barChart>
      <c:catAx>
        <c:axId val="34261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crossAx val="342601584"/>
        <c:crosses val="autoZero"/>
        <c:auto val="1"/>
        <c:lblAlgn val="ctr"/>
        <c:lblOffset val="100"/>
        <c:noMultiLvlLbl val="0"/>
      </c:catAx>
      <c:valAx>
        <c:axId val="342601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0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crossAx val="342612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'Gráfico 9'!$A$3</c:f>
              <c:strCache>
                <c:ptCount val="1"/>
                <c:pt idx="0">
                  <c:v>Demanda+Demostrativa+Conclusiva</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9'!$B$2:$G$2</c:f>
              <c:numCache>
                <c:formatCode>General</c:formatCode>
                <c:ptCount val="6"/>
                <c:pt idx="0">
                  <c:v>2017</c:v>
                </c:pt>
                <c:pt idx="1">
                  <c:v>2018</c:v>
                </c:pt>
                <c:pt idx="2">
                  <c:v>2019</c:v>
                </c:pt>
                <c:pt idx="3">
                  <c:v>2020</c:v>
                </c:pt>
                <c:pt idx="4">
                  <c:v>2021</c:v>
                </c:pt>
                <c:pt idx="5">
                  <c:v>2022</c:v>
                </c:pt>
              </c:numCache>
            </c:numRef>
          </c:cat>
          <c:val>
            <c:numRef>
              <c:f>'Gráfico 9'!$B$3:$G$3</c:f>
              <c:numCache>
                <c:formatCode>General</c:formatCode>
                <c:ptCount val="6"/>
                <c:pt idx="0">
                  <c:v>7659</c:v>
                </c:pt>
                <c:pt idx="1">
                  <c:v>7903</c:v>
                </c:pt>
                <c:pt idx="2">
                  <c:v>7452</c:v>
                </c:pt>
                <c:pt idx="3">
                  <c:v>5855</c:v>
                </c:pt>
                <c:pt idx="4">
                  <c:v>5328</c:v>
                </c:pt>
                <c:pt idx="5">
                  <c:v>4493</c:v>
                </c:pt>
              </c:numCache>
            </c:numRef>
          </c:val>
          <c:smooth val="0"/>
          <c:extLst>
            <c:ext xmlns:c16="http://schemas.microsoft.com/office/drawing/2014/chart" uri="{C3380CC4-5D6E-409C-BE32-E72D297353CC}">
              <c16:uniqueId val="{00000000-255C-4F04-803B-02CDE58F098D}"/>
            </c:ext>
          </c:extLst>
        </c:ser>
        <c:ser>
          <c:idx val="1"/>
          <c:order val="1"/>
          <c:tx>
            <c:strRef>
              <c:f>'Gráfico 9'!$A$4</c:f>
              <c:strCache>
                <c:ptCount val="1"/>
                <c:pt idx="0">
                  <c:v>Eject.Activa+Eject.Pasiva</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9'!$B$2:$G$2</c:f>
              <c:numCache>
                <c:formatCode>General</c:formatCode>
                <c:ptCount val="6"/>
                <c:pt idx="0">
                  <c:v>2017</c:v>
                </c:pt>
                <c:pt idx="1">
                  <c:v>2018</c:v>
                </c:pt>
                <c:pt idx="2">
                  <c:v>2019</c:v>
                </c:pt>
                <c:pt idx="3">
                  <c:v>2020</c:v>
                </c:pt>
                <c:pt idx="4">
                  <c:v>2021</c:v>
                </c:pt>
                <c:pt idx="5">
                  <c:v>2022</c:v>
                </c:pt>
              </c:numCache>
            </c:numRef>
          </c:cat>
          <c:val>
            <c:numRef>
              <c:f>'Gráfico 9'!$B$4:$G$4</c:f>
              <c:numCache>
                <c:formatCode>General</c:formatCode>
                <c:ptCount val="6"/>
                <c:pt idx="0">
                  <c:v>71323</c:v>
                </c:pt>
                <c:pt idx="1">
                  <c:v>75336</c:v>
                </c:pt>
                <c:pt idx="2">
                  <c:v>77418</c:v>
                </c:pt>
                <c:pt idx="3">
                  <c:v>71263</c:v>
                </c:pt>
                <c:pt idx="4">
                  <c:v>80567</c:v>
                </c:pt>
                <c:pt idx="5">
                  <c:v>78474</c:v>
                </c:pt>
              </c:numCache>
            </c:numRef>
          </c:val>
          <c:smooth val="0"/>
          <c:extLst>
            <c:ext xmlns:c16="http://schemas.microsoft.com/office/drawing/2014/chart" uri="{C3380CC4-5D6E-409C-BE32-E72D297353CC}">
              <c16:uniqueId val="{00000001-255C-4F04-803B-02CDE58F098D}"/>
            </c:ext>
          </c:extLst>
        </c:ser>
        <c:dLbls>
          <c:dLblPos val="t"/>
          <c:showLegendKey val="0"/>
          <c:showVal val="1"/>
          <c:showCatName val="0"/>
          <c:showSerName val="0"/>
          <c:showPercent val="0"/>
          <c:showBubbleSize val="0"/>
        </c:dLbls>
        <c:smooth val="0"/>
        <c:axId val="403411456"/>
        <c:axId val="403430176"/>
      </c:lineChart>
      <c:catAx>
        <c:axId val="40341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03430176"/>
        <c:crosses val="autoZero"/>
        <c:auto val="1"/>
        <c:lblAlgn val="ctr"/>
        <c:lblOffset val="100"/>
        <c:noMultiLvlLbl val="0"/>
      </c:catAx>
      <c:valAx>
        <c:axId val="403430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03411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83056</Words>
  <Characters>456811</Characters>
  <Application>Microsoft Office Word</Application>
  <DocSecurity>0</DocSecurity>
  <Lines>3806</Lines>
  <Paragraphs>1077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538790</CharactersWithSpaces>
  <SharedDoc>false</SharedDoc>
  <HLinks>
    <vt:vector size="6" baseType="variant">
      <vt:variant>
        <vt:i4>1835085</vt:i4>
      </vt:variant>
      <vt:variant>
        <vt:i4>329</vt:i4>
      </vt:variant>
      <vt:variant>
        <vt:i4>0</vt:i4>
      </vt:variant>
      <vt:variant>
        <vt:i4>5</vt:i4>
      </vt:variant>
      <vt:variant>
        <vt:lpwstr>https://gestionhumana.poder-judicial.go.cr/index.php/indice-salarial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Laura Sánchez Cordoba</cp:lastModifiedBy>
  <cp:revision>2</cp:revision>
  <cp:lastPrinted>2022-03-11T16:25:00Z</cp:lastPrinted>
  <dcterms:created xsi:type="dcterms:W3CDTF">2023-05-19T14:25:00Z</dcterms:created>
  <dcterms:modified xsi:type="dcterms:W3CDTF">2023-05-19T14:25:00Z</dcterms:modified>
</cp:coreProperties>
</file>