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5E2B" w14:textId="678FFFCB" w:rsidR="0045697B" w:rsidRPr="002C172B" w:rsidRDefault="0045697B" w:rsidP="0045697B">
      <w:pPr>
        <w:jc w:val="center"/>
        <w:rPr>
          <w:rFonts w:cs="Arial"/>
          <w:b/>
          <w:bCs/>
          <w:szCs w:val="24"/>
          <w:lang w:val="es-MX"/>
        </w:rPr>
      </w:pPr>
      <w:bookmarkStart w:id="0" w:name="_Hlk160629219"/>
      <w:r w:rsidRPr="002C172B">
        <w:rPr>
          <w:rFonts w:cs="Arial"/>
          <w:b/>
          <w:bCs/>
          <w:noProof/>
          <w:szCs w:val="24"/>
          <w:lang w:val="es-MX"/>
        </w:rPr>
        <w:drawing>
          <wp:inline distT="0" distB="0" distL="0" distR="0" wp14:anchorId="3ABE3FE9" wp14:editId="6542E5C6">
            <wp:extent cx="2238375" cy="1211418"/>
            <wp:effectExtent l="0" t="0" r="0" b="0"/>
            <wp:docPr id="7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27" cy="1228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B85C3" w14:textId="77777777" w:rsidR="0045697B" w:rsidRPr="002C172B" w:rsidRDefault="0045697B" w:rsidP="0045697B">
      <w:pPr>
        <w:jc w:val="center"/>
        <w:rPr>
          <w:rFonts w:cs="Arial"/>
          <w:b/>
          <w:bCs/>
          <w:szCs w:val="24"/>
          <w:lang w:val="es-MX"/>
        </w:rPr>
      </w:pPr>
      <w:r w:rsidRPr="002C172B">
        <w:rPr>
          <w:rFonts w:cs="Arial"/>
          <w:b/>
          <w:bCs/>
          <w:szCs w:val="24"/>
          <w:lang w:val="es-MX"/>
        </w:rPr>
        <w:t>Departamento de Prensa y Comunicación Organizacional</w:t>
      </w:r>
    </w:p>
    <w:p w14:paraId="1E462A3F" w14:textId="07CDA3D5" w:rsidR="004D29B0" w:rsidRDefault="004D29B0" w:rsidP="003C6504">
      <w:pPr>
        <w:jc w:val="both"/>
        <w:rPr>
          <w:rFonts w:cs="Arial"/>
          <w:b/>
          <w:bCs/>
          <w:szCs w:val="24"/>
          <w:lang w:val="es-MX"/>
        </w:rPr>
      </w:pPr>
    </w:p>
    <w:p w14:paraId="741ABF3E" w14:textId="77777777" w:rsidR="005E2E35" w:rsidRPr="005E2E35" w:rsidRDefault="005E2E35" w:rsidP="005E2E35">
      <w:pPr>
        <w:suppressAutoHyphens/>
        <w:jc w:val="center"/>
        <w:rPr>
          <w:rFonts w:eastAsia="Times New Roman" w:cs="Arial"/>
          <w:b/>
          <w:bCs/>
          <w:sz w:val="32"/>
          <w:szCs w:val="32"/>
          <w:lang w:val="es-ES" w:eastAsia="ar-SA"/>
        </w:rPr>
      </w:pPr>
      <w:r w:rsidRPr="005E2E35">
        <w:rPr>
          <w:rFonts w:eastAsia="Times New Roman" w:cs="Arial"/>
          <w:b/>
          <w:bCs/>
          <w:sz w:val="32"/>
          <w:szCs w:val="32"/>
          <w:lang w:val="es-ES" w:eastAsia="ar-SA"/>
        </w:rPr>
        <w:t>Construcción del presupuesto 2025 del Poder Judicial:</w:t>
      </w:r>
    </w:p>
    <w:p w14:paraId="4127A662" w14:textId="77777777" w:rsidR="005E2E35" w:rsidRPr="005E2E35" w:rsidRDefault="005E2E35" w:rsidP="005E2E35">
      <w:pPr>
        <w:suppressAutoHyphens/>
        <w:jc w:val="center"/>
        <w:rPr>
          <w:rFonts w:eastAsia="Times New Roman" w:cs="Arial"/>
          <w:b/>
          <w:bCs/>
          <w:sz w:val="32"/>
          <w:szCs w:val="32"/>
          <w:lang w:val="es-ES" w:eastAsia="ar-SA"/>
        </w:rPr>
      </w:pPr>
      <w:r w:rsidRPr="005E2E35">
        <w:rPr>
          <w:rFonts w:eastAsia="Times New Roman" w:cs="Arial"/>
          <w:b/>
          <w:bCs/>
          <w:sz w:val="32"/>
          <w:szCs w:val="32"/>
          <w:lang w:val="es-ES" w:eastAsia="ar-SA"/>
        </w:rPr>
        <w:t>Conozca el detalle en las actas públicas</w:t>
      </w:r>
    </w:p>
    <w:p w14:paraId="2926D6FE" w14:textId="77777777" w:rsidR="005E2E35" w:rsidRPr="005E2E35" w:rsidRDefault="005E2E35" w:rsidP="005E2E35">
      <w:pPr>
        <w:suppressAutoHyphens/>
        <w:jc w:val="center"/>
        <w:rPr>
          <w:rFonts w:eastAsia="Times New Roman" w:cs="Arial"/>
          <w:b/>
          <w:bCs/>
          <w:szCs w:val="24"/>
          <w:lang w:val="es-ES" w:eastAsia="ar-SA"/>
        </w:rPr>
      </w:pPr>
    </w:p>
    <w:p w14:paraId="52129C7F" w14:textId="482E8C15" w:rsidR="005E2E35" w:rsidRPr="005F54D5" w:rsidRDefault="005E2E35" w:rsidP="005E2E35">
      <w:pPr>
        <w:numPr>
          <w:ilvl w:val="0"/>
          <w:numId w:val="3"/>
        </w:numPr>
        <w:suppressAutoHyphens/>
        <w:contextualSpacing/>
        <w:jc w:val="both"/>
        <w:rPr>
          <w:rFonts w:eastAsia="Times New Roman" w:cs="Arial"/>
          <w:b/>
          <w:bCs/>
          <w:szCs w:val="24"/>
          <w:lang w:val="es-ES" w:eastAsia="ar-SA"/>
        </w:rPr>
      </w:pPr>
      <w:r w:rsidRPr="005F54D5">
        <w:rPr>
          <w:rFonts w:eastAsia="Times New Roman" w:cs="Arial"/>
          <w:b/>
          <w:bCs/>
          <w:szCs w:val="24"/>
          <w:lang w:val="es-ES" w:eastAsia="ar-SA"/>
        </w:rPr>
        <w:t>Autoridades judiciales administrativas transparent</w:t>
      </w:r>
      <w:r w:rsidR="00C20E4A" w:rsidRPr="005F54D5">
        <w:rPr>
          <w:rFonts w:eastAsia="Times New Roman" w:cs="Arial"/>
          <w:b/>
          <w:bCs/>
          <w:szCs w:val="24"/>
          <w:lang w:val="es-ES" w:eastAsia="ar-SA"/>
        </w:rPr>
        <w:t>an</w:t>
      </w:r>
      <w:r w:rsidRPr="005F54D5">
        <w:rPr>
          <w:rFonts w:eastAsia="Times New Roman" w:cs="Arial"/>
          <w:b/>
          <w:bCs/>
          <w:szCs w:val="24"/>
          <w:lang w:val="es-ES" w:eastAsia="ar-SA"/>
        </w:rPr>
        <w:t xml:space="preserve"> proceso, desde </w:t>
      </w:r>
      <w:r w:rsidR="00C20E4A" w:rsidRPr="005F54D5">
        <w:rPr>
          <w:rFonts w:eastAsia="Times New Roman" w:cs="Arial"/>
          <w:b/>
          <w:bCs/>
          <w:szCs w:val="24"/>
          <w:lang w:val="es-ES" w:eastAsia="ar-SA"/>
        </w:rPr>
        <w:t xml:space="preserve">el </w:t>
      </w:r>
      <w:r w:rsidRPr="005F54D5">
        <w:rPr>
          <w:rFonts w:eastAsia="Times New Roman" w:cs="Arial"/>
          <w:b/>
          <w:bCs/>
          <w:szCs w:val="24"/>
          <w:lang w:val="es-ES" w:eastAsia="ar-SA"/>
        </w:rPr>
        <w:t xml:space="preserve">sitio web: </w:t>
      </w:r>
    </w:p>
    <w:p w14:paraId="2F0AA641" w14:textId="77777777" w:rsidR="005E2E35" w:rsidRPr="005E2E35" w:rsidRDefault="005E2E35" w:rsidP="005E2E35">
      <w:pPr>
        <w:suppressAutoHyphens/>
        <w:jc w:val="both"/>
        <w:rPr>
          <w:rFonts w:eastAsia="Times New Roman" w:cs="Arial"/>
          <w:b/>
          <w:bCs/>
          <w:szCs w:val="24"/>
          <w:lang w:val="es-ES" w:eastAsia="ar-SA"/>
        </w:rPr>
      </w:pPr>
    </w:p>
    <w:p w14:paraId="4698D797" w14:textId="77777777" w:rsidR="005E2E35" w:rsidRPr="005E2E35" w:rsidRDefault="005E2E35" w:rsidP="005E2E35">
      <w:pPr>
        <w:suppressAutoHyphens/>
        <w:jc w:val="both"/>
        <w:rPr>
          <w:rFonts w:eastAsia="Times New Roman" w:cs="Arial"/>
          <w:szCs w:val="24"/>
          <w:lang w:val="es-ES" w:eastAsia="ar-SA"/>
        </w:rPr>
      </w:pPr>
      <w:r w:rsidRPr="005E2E35">
        <w:rPr>
          <w:rFonts w:eastAsia="Times New Roman" w:cs="Arial"/>
          <w:szCs w:val="24"/>
          <w:lang w:val="es-ES" w:eastAsia="ar-SA"/>
        </w:rPr>
        <w:t xml:space="preserve">Usted y yo podemos darle seguimiento al proceso que realiza el Poder Judicial para construir el plan de gastos para el 2025, el cual ya dio inicio.  </w:t>
      </w:r>
    </w:p>
    <w:p w14:paraId="70939CBC" w14:textId="77777777" w:rsidR="005E2E35" w:rsidRPr="005E2E35" w:rsidRDefault="005E2E35" w:rsidP="005E2E35">
      <w:pPr>
        <w:suppressAutoHyphens/>
        <w:jc w:val="both"/>
        <w:rPr>
          <w:rFonts w:eastAsia="Times New Roman" w:cs="Arial"/>
          <w:szCs w:val="24"/>
          <w:lang w:val="es-ES" w:eastAsia="ar-SA"/>
        </w:rPr>
      </w:pPr>
    </w:p>
    <w:p w14:paraId="69F0D32D" w14:textId="77777777" w:rsidR="005E2E35" w:rsidRPr="005E2E35" w:rsidRDefault="005E2E35" w:rsidP="005E2E35">
      <w:pPr>
        <w:suppressAutoHyphens/>
        <w:jc w:val="both"/>
        <w:rPr>
          <w:rFonts w:eastAsia="Times New Roman" w:cs="Arial"/>
          <w:szCs w:val="24"/>
          <w:lang w:val="es-ES" w:eastAsia="ar-SA"/>
        </w:rPr>
      </w:pPr>
      <w:r w:rsidRPr="005E2E35">
        <w:rPr>
          <w:rFonts w:eastAsia="Times New Roman" w:cs="Arial"/>
          <w:szCs w:val="24"/>
          <w:lang w:val="es-ES" w:eastAsia="ar-SA"/>
        </w:rPr>
        <w:t xml:space="preserve">Las actas correspondientes a las diversas sesiones de trabajo están disponibles en el sitio web: </w:t>
      </w:r>
    </w:p>
    <w:p w14:paraId="56E2615A" w14:textId="77777777" w:rsidR="005E2E35" w:rsidRPr="005E2E35" w:rsidRDefault="005E2E35" w:rsidP="005E2E35">
      <w:pPr>
        <w:suppressAutoHyphens/>
        <w:jc w:val="both"/>
        <w:rPr>
          <w:rFonts w:eastAsia="Times New Roman" w:cs="Arial"/>
          <w:szCs w:val="24"/>
          <w:lang w:val="es-ES" w:eastAsia="ar-SA"/>
        </w:rPr>
      </w:pPr>
    </w:p>
    <w:p w14:paraId="45BDAB23" w14:textId="46D9EE3C" w:rsidR="005E2E35" w:rsidRPr="005E2E35" w:rsidRDefault="005E2E35" w:rsidP="005E2E35">
      <w:pPr>
        <w:suppressAutoHyphens/>
        <w:jc w:val="both"/>
        <w:rPr>
          <w:rFonts w:eastAsia="Times New Roman" w:cs="Arial"/>
          <w:szCs w:val="24"/>
          <w:lang w:val="es-ES" w:eastAsia="ar-SA"/>
        </w:rPr>
      </w:pPr>
      <w:r w:rsidRPr="005E2E35">
        <w:rPr>
          <w:rFonts w:eastAsia="Times New Roman" w:cs="Arial"/>
          <w:szCs w:val="24"/>
          <w:lang w:val="es-ES" w:eastAsia="ar-SA"/>
        </w:rPr>
        <w:t>En el detalle de las prioridades trabajan 8</w:t>
      </w:r>
      <w:r w:rsidR="005A7F0C">
        <w:rPr>
          <w:rFonts w:eastAsia="Times New Roman" w:cs="Arial"/>
          <w:szCs w:val="24"/>
          <w:lang w:val="es-ES" w:eastAsia="ar-SA"/>
        </w:rPr>
        <w:t>2</w:t>
      </w:r>
      <w:r w:rsidRPr="005E2E35">
        <w:rPr>
          <w:rFonts w:eastAsia="Times New Roman" w:cs="Arial"/>
          <w:szCs w:val="24"/>
          <w:lang w:val="es-ES" w:eastAsia="ar-SA"/>
        </w:rPr>
        <w:t xml:space="preserve"> centros de responsabilidad establecidos para las más de </w:t>
      </w:r>
      <w:r w:rsidR="00422B1D">
        <w:rPr>
          <w:rFonts w:eastAsia="Times New Roman" w:cs="Arial"/>
          <w:szCs w:val="24"/>
          <w:lang w:val="es-ES" w:eastAsia="ar-SA"/>
        </w:rPr>
        <w:t>900</w:t>
      </w:r>
      <w:r w:rsidR="00422B1D" w:rsidRPr="005E2E35">
        <w:rPr>
          <w:rFonts w:eastAsia="Times New Roman" w:cs="Arial"/>
          <w:szCs w:val="24"/>
          <w:lang w:val="es-ES" w:eastAsia="ar-SA"/>
        </w:rPr>
        <w:t xml:space="preserve"> </w:t>
      </w:r>
      <w:r w:rsidRPr="005E2E35">
        <w:rPr>
          <w:rFonts w:eastAsia="Times New Roman" w:cs="Arial"/>
          <w:szCs w:val="24"/>
          <w:lang w:val="es-ES" w:eastAsia="ar-SA"/>
        </w:rPr>
        <w:t xml:space="preserve">oficinas judiciales, el Consejo Superior y jefaturas administrativas. </w:t>
      </w:r>
      <w:r w:rsidR="008E5E11">
        <w:rPr>
          <w:rFonts w:eastAsia="Times New Roman" w:cs="Arial"/>
          <w:szCs w:val="24"/>
          <w:lang w:val="es-ES" w:eastAsia="ar-SA"/>
        </w:rPr>
        <w:t xml:space="preserve">Cabe destacar que </w:t>
      </w:r>
      <w:r w:rsidRPr="005E2E35">
        <w:rPr>
          <w:rFonts w:eastAsia="Times New Roman" w:cs="Arial"/>
          <w:szCs w:val="24"/>
          <w:lang w:val="es-ES" w:eastAsia="ar-SA"/>
        </w:rPr>
        <w:t>este proceso se transparenta al garantizarse el acceso a las actas de sesiones.</w:t>
      </w:r>
    </w:p>
    <w:p w14:paraId="185B37B5" w14:textId="77777777" w:rsidR="005E2E35" w:rsidRPr="005E2E35" w:rsidRDefault="005E2E35" w:rsidP="005E2E35">
      <w:pPr>
        <w:suppressAutoHyphens/>
        <w:jc w:val="both"/>
        <w:rPr>
          <w:rFonts w:eastAsia="Times New Roman" w:cs="Arial"/>
          <w:szCs w:val="24"/>
          <w:lang w:val="es-ES" w:eastAsia="ar-SA"/>
        </w:rPr>
      </w:pPr>
    </w:p>
    <w:p w14:paraId="7E74D3FF" w14:textId="49517D8F" w:rsidR="005E2E35" w:rsidRDefault="005E2E35" w:rsidP="005E2E35">
      <w:pPr>
        <w:suppressAutoHyphens/>
        <w:jc w:val="both"/>
        <w:rPr>
          <w:rFonts w:eastAsia="Times New Roman" w:cs="Arial"/>
          <w:szCs w:val="24"/>
          <w:lang w:val="es-ES" w:eastAsia="ar-SA"/>
        </w:rPr>
      </w:pPr>
      <w:r w:rsidRPr="005E2E35">
        <w:rPr>
          <w:rFonts w:eastAsia="Times New Roman" w:cs="Arial"/>
          <w:szCs w:val="24"/>
          <w:lang w:val="es-ES" w:eastAsia="ar-SA"/>
        </w:rPr>
        <w:t xml:space="preserve">Al ingresar a la página web, </w:t>
      </w:r>
      <w:hyperlink r:id="rId7" w:history="1">
        <w:r w:rsidRPr="005E2E35">
          <w:rPr>
            <w:rFonts w:eastAsia="Times New Roman" w:cs="Arial"/>
            <w:color w:val="0563C1" w:themeColor="hyperlink"/>
            <w:szCs w:val="24"/>
            <w:u w:val="single"/>
            <w:lang w:val="es-ES" w:eastAsia="ar-SA"/>
          </w:rPr>
          <w:t>https://pj.poder-judicial.go.cr</w:t>
        </w:r>
      </w:hyperlink>
      <w:r w:rsidRPr="005E2E35">
        <w:rPr>
          <w:rFonts w:eastAsia="Times New Roman" w:cs="Arial"/>
          <w:szCs w:val="24"/>
          <w:lang w:val="es-ES" w:eastAsia="ar-SA"/>
        </w:rPr>
        <w:t>, se debe ubicar el apartado Transparencia</w:t>
      </w:r>
      <w:r w:rsidR="007A0500">
        <w:rPr>
          <w:rFonts w:eastAsia="Times New Roman" w:cs="Arial"/>
          <w:szCs w:val="24"/>
          <w:lang w:val="es-ES" w:eastAsia="ar-SA"/>
        </w:rPr>
        <w:t xml:space="preserve">, luego ingresar a Poder Judicial / Rendición de Cuentas / Proyecto de Presupuesto / Documentos 2025 / </w:t>
      </w:r>
      <w:r w:rsidRPr="005E2E35">
        <w:rPr>
          <w:rFonts w:eastAsia="Times New Roman" w:cs="Arial"/>
          <w:szCs w:val="24"/>
          <w:lang w:val="es-ES" w:eastAsia="ar-SA"/>
        </w:rPr>
        <w:t>y finalmente dar clic en la pestaña que hace referencia a las actas de las sesiones extraordinarias del Consejo Superior sobre la construcción del anteproyecto de presupuesto judicial.</w:t>
      </w:r>
    </w:p>
    <w:p w14:paraId="1EEB23A8" w14:textId="77777777" w:rsidR="007A0500" w:rsidRDefault="007A0500" w:rsidP="005E2E35">
      <w:pPr>
        <w:suppressAutoHyphens/>
        <w:jc w:val="both"/>
        <w:rPr>
          <w:rFonts w:eastAsia="Times New Roman" w:cs="Arial"/>
          <w:szCs w:val="24"/>
          <w:lang w:val="es-ES" w:eastAsia="ar-SA"/>
        </w:rPr>
      </w:pPr>
    </w:p>
    <w:p w14:paraId="31BD33A0" w14:textId="511182B5" w:rsidR="007A0500" w:rsidRPr="005E2E35" w:rsidRDefault="007A0500" w:rsidP="005F54D5">
      <w:pPr>
        <w:suppressAutoHyphens/>
        <w:jc w:val="center"/>
        <w:rPr>
          <w:rFonts w:eastAsia="Times New Roman" w:cs="Arial"/>
          <w:szCs w:val="24"/>
          <w:lang w:val="es-ES" w:eastAsia="ar-SA"/>
        </w:rPr>
      </w:pPr>
      <w:r w:rsidRPr="007A0500">
        <w:rPr>
          <w:rFonts w:eastAsia="Times New Roman" w:cs="Arial"/>
          <w:noProof/>
          <w:szCs w:val="24"/>
          <w:lang w:val="es-ES" w:eastAsia="ar-SA"/>
        </w:rPr>
        <w:drawing>
          <wp:inline distT="0" distB="0" distL="0" distR="0" wp14:anchorId="27D02DD4" wp14:editId="5B2FEAA6">
            <wp:extent cx="5399549" cy="2419350"/>
            <wp:effectExtent l="0" t="0" r="0" b="0"/>
            <wp:docPr id="360502996" name="Imagen 2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02996" name="Imagen 1" descr="Interfaz de usuario gráfica, Sitio web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3989" cy="242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72993" w14:textId="46F8CEF6" w:rsidR="00454CC4" w:rsidRPr="0031564B" w:rsidRDefault="00556F22" w:rsidP="005F54D5">
      <w:pPr>
        <w:suppressAutoHyphens/>
        <w:jc w:val="both"/>
        <w:rPr>
          <w:rFonts w:cs="Arial"/>
        </w:rPr>
      </w:pPr>
      <w:r w:rsidRPr="005F54D5">
        <w:rPr>
          <w:rFonts w:eastAsia="Times New Roman" w:cs="Arial"/>
          <w:szCs w:val="24"/>
          <w:lang w:val="es-ES" w:eastAsia="ar-SA"/>
        </w:rPr>
        <w:lastRenderedPageBreak/>
        <w:t xml:space="preserve">Según el criterio del </w:t>
      </w:r>
      <w:proofErr w:type="gramStart"/>
      <w:r w:rsidRPr="005F54D5">
        <w:rPr>
          <w:rFonts w:eastAsia="Times New Roman" w:cs="Arial"/>
          <w:szCs w:val="24"/>
          <w:lang w:val="es-ES" w:eastAsia="ar-SA"/>
        </w:rPr>
        <w:t>Master</w:t>
      </w:r>
      <w:proofErr w:type="gramEnd"/>
      <w:r w:rsidRPr="005F54D5">
        <w:rPr>
          <w:rFonts w:eastAsia="Times New Roman" w:cs="Arial"/>
          <w:szCs w:val="24"/>
          <w:lang w:val="es-ES" w:eastAsia="ar-SA"/>
        </w:rPr>
        <w:t xml:space="preserve"> Allan Pow Hing, Director de Planificación, la</w:t>
      </w:r>
      <w:r w:rsidR="009407FD" w:rsidRPr="005F54D5">
        <w:rPr>
          <w:rFonts w:cs="Arial"/>
        </w:rPr>
        <w:t xml:space="preserve"> Formulación </w:t>
      </w:r>
      <w:r w:rsidR="00454CC4" w:rsidRPr="005F54D5">
        <w:rPr>
          <w:rFonts w:cs="Arial"/>
        </w:rPr>
        <w:t xml:space="preserve">del Presupuesto Institucional conlleva un proceso complejo, que combina una serie de directrices de formulación internas, </w:t>
      </w:r>
      <w:r w:rsidR="00473F75" w:rsidRPr="005F54D5">
        <w:rPr>
          <w:rFonts w:cs="Arial"/>
        </w:rPr>
        <w:t>como lineamientos</w:t>
      </w:r>
      <w:r w:rsidR="00454CC4" w:rsidRPr="005F54D5">
        <w:rPr>
          <w:rFonts w:cs="Arial"/>
        </w:rPr>
        <w:t xml:space="preserve"> del Ministerio de Hacienda que por lo general son de carácter muy restrictivo.  En este contexto </w:t>
      </w:r>
      <w:r w:rsidRPr="005F54D5">
        <w:rPr>
          <w:rFonts w:cs="Arial"/>
        </w:rPr>
        <w:t xml:space="preserve">se trabaja con la finalidad de asignar </w:t>
      </w:r>
      <w:r w:rsidR="00454CC4" w:rsidRPr="005F54D5">
        <w:rPr>
          <w:rFonts w:cs="Arial"/>
        </w:rPr>
        <w:t>los recursos</w:t>
      </w:r>
      <w:r w:rsidRPr="005F54D5">
        <w:rPr>
          <w:rFonts w:cs="Arial"/>
        </w:rPr>
        <w:t xml:space="preserve"> </w:t>
      </w:r>
      <w:r w:rsidR="00234225" w:rsidRPr="005F54D5">
        <w:rPr>
          <w:rFonts w:cs="Arial"/>
        </w:rPr>
        <w:t xml:space="preserve">limitados </w:t>
      </w:r>
      <w:r w:rsidR="00454CC4" w:rsidRPr="005F54D5">
        <w:rPr>
          <w:rFonts w:cs="Arial"/>
        </w:rPr>
        <w:t xml:space="preserve">a las </w:t>
      </w:r>
      <w:r w:rsidRPr="005F54D5">
        <w:rPr>
          <w:rFonts w:cs="Arial"/>
        </w:rPr>
        <w:t xml:space="preserve">principales necesidades institucionales, considerando la </w:t>
      </w:r>
      <w:r w:rsidR="00454CC4" w:rsidRPr="005F54D5">
        <w:rPr>
          <w:rFonts w:cs="Arial"/>
        </w:rPr>
        <w:t xml:space="preserve">planificación estratégica y en apego a las políticas </w:t>
      </w:r>
      <w:r w:rsidRPr="005F54D5">
        <w:rPr>
          <w:rFonts w:cs="Arial"/>
        </w:rPr>
        <w:t>aprobadas por el Poder Judicial</w:t>
      </w:r>
      <w:r w:rsidR="00454CC4" w:rsidRPr="005F54D5">
        <w:rPr>
          <w:rFonts w:cs="Arial"/>
        </w:rPr>
        <w:t xml:space="preserve">, </w:t>
      </w:r>
      <w:r w:rsidR="00F119D7" w:rsidRPr="005F54D5">
        <w:rPr>
          <w:rFonts w:cs="Arial"/>
        </w:rPr>
        <w:t>buscando dar</w:t>
      </w:r>
      <w:r w:rsidR="00454CC4" w:rsidRPr="005F54D5">
        <w:rPr>
          <w:rFonts w:cs="Arial"/>
        </w:rPr>
        <w:t xml:space="preserve"> el máximo uso </w:t>
      </w:r>
      <w:r w:rsidRPr="005F54D5">
        <w:rPr>
          <w:rFonts w:cs="Arial"/>
        </w:rPr>
        <w:t>a</w:t>
      </w:r>
      <w:r w:rsidR="00454CC4" w:rsidRPr="005F54D5">
        <w:rPr>
          <w:rFonts w:cs="Arial"/>
        </w:rPr>
        <w:t xml:space="preserve"> los recursos. </w:t>
      </w:r>
      <w:r w:rsidRPr="005F54D5">
        <w:rPr>
          <w:rFonts w:cs="Arial"/>
        </w:rPr>
        <w:t xml:space="preserve">Finalmente, el Master Pow Hing Cordero reiteró que para </w:t>
      </w:r>
      <w:r w:rsidR="00473F75" w:rsidRPr="005F54D5">
        <w:rPr>
          <w:rFonts w:cs="Arial"/>
        </w:rPr>
        <w:t>el conocimiento</w:t>
      </w:r>
      <w:r w:rsidR="00454CC4" w:rsidRPr="005F54D5">
        <w:rPr>
          <w:rFonts w:cs="Arial"/>
        </w:rPr>
        <w:t xml:space="preserve"> y aprobación del Anteproyecto de Presupuesto 2025, se </w:t>
      </w:r>
      <w:r w:rsidRPr="005F54D5">
        <w:rPr>
          <w:rFonts w:cs="Arial"/>
        </w:rPr>
        <w:t xml:space="preserve">programaron varias </w:t>
      </w:r>
      <w:r w:rsidR="00454CC4" w:rsidRPr="005F54D5">
        <w:rPr>
          <w:rFonts w:cs="Arial"/>
        </w:rPr>
        <w:t xml:space="preserve">reuniones de trabajo y sesiones extraordinarias del Consejo Superior, con la participación de  representantes </w:t>
      </w:r>
      <w:r w:rsidR="009407FD" w:rsidRPr="005F54D5">
        <w:rPr>
          <w:rFonts w:cs="Arial"/>
        </w:rPr>
        <w:t xml:space="preserve">de los gremios de las </w:t>
      </w:r>
      <w:r w:rsidR="00454CC4" w:rsidRPr="005F54D5">
        <w:rPr>
          <w:rFonts w:cs="Arial"/>
        </w:rPr>
        <w:t xml:space="preserve">organizaciones </w:t>
      </w:r>
      <w:r w:rsidR="00F119D7" w:rsidRPr="005F54D5">
        <w:rPr>
          <w:rFonts w:cs="Arial"/>
        </w:rPr>
        <w:t>de personas trabajadoras</w:t>
      </w:r>
      <w:r w:rsidR="00334E92" w:rsidRPr="005F54D5">
        <w:rPr>
          <w:rFonts w:cs="Arial"/>
        </w:rPr>
        <w:t>.</w:t>
      </w:r>
    </w:p>
    <w:p w14:paraId="0BFEE1DC" w14:textId="64629BAE" w:rsidR="005E2E35" w:rsidRPr="005E2E35" w:rsidRDefault="005E2E35" w:rsidP="005E2E35">
      <w:pPr>
        <w:suppressAutoHyphens/>
        <w:jc w:val="both"/>
        <w:rPr>
          <w:rFonts w:eastAsia="Times New Roman" w:cs="Arial"/>
          <w:szCs w:val="24"/>
          <w:lang w:val="es-ES" w:eastAsia="ar-SA"/>
        </w:rPr>
      </w:pPr>
    </w:p>
    <w:p w14:paraId="4C2B5A3C" w14:textId="77777777" w:rsidR="005E2E35" w:rsidRPr="005E2E35" w:rsidRDefault="005E2E35" w:rsidP="005E2E35">
      <w:pPr>
        <w:suppressAutoHyphens/>
        <w:jc w:val="both"/>
        <w:rPr>
          <w:rFonts w:eastAsia="Times New Roman" w:cs="Arial"/>
          <w:szCs w:val="24"/>
          <w:lang w:val="es-ES" w:eastAsia="ar-SA"/>
        </w:rPr>
      </w:pPr>
    </w:p>
    <w:p w14:paraId="36319B2C" w14:textId="7D5D1730" w:rsidR="005E2E35" w:rsidRPr="005E2E35" w:rsidRDefault="005E2E35" w:rsidP="005E2E35">
      <w:pPr>
        <w:suppressAutoHyphens/>
        <w:jc w:val="both"/>
        <w:rPr>
          <w:rFonts w:eastAsia="Times New Roman" w:cs="Arial"/>
          <w:szCs w:val="24"/>
          <w:lang w:val="es-ES" w:eastAsia="ar-SA"/>
        </w:rPr>
      </w:pPr>
      <w:r w:rsidRPr="005E2E35">
        <w:rPr>
          <w:rFonts w:eastAsia="Times New Roman" w:cs="Arial"/>
          <w:szCs w:val="24"/>
          <w:lang w:val="es-ES" w:eastAsia="ar-SA"/>
        </w:rPr>
        <w:t xml:space="preserve">Las Direcciones de Planificación y de Tecnología de la Información </w:t>
      </w:r>
      <w:r w:rsidR="005A7F0C">
        <w:rPr>
          <w:rFonts w:eastAsia="Times New Roman" w:cs="Arial"/>
          <w:szCs w:val="24"/>
          <w:lang w:val="es-ES" w:eastAsia="ar-SA"/>
        </w:rPr>
        <w:t xml:space="preserve">y Comunicaciones </w:t>
      </w:r>
      <w:r w:rsidRPr="005E2E35">
        <w:rPr>
          <w:rFonts w:eastAsia="Times New Roman" w:cs="Arial"/>
          <w:szCs w:val="24"/>
          <w:lang w:val="es-ES" w:eastAsia="ar-SA"/>
        </w:rPr>
        <w:t>del Poder Judicial</w:t>
      </w:r>
      <w:r w:rsidR="005A7F0C">
        <w:rPr>
          <w:rFonts w:eastAsia="Times New Roman" w:cs="Arial"/>
          <w:szCs w:val="24"/>
          <w:lang w:val="es-ES" w:eastAsia="ar-SA"/>
        </w:rPr>
        <w:t>,</w:t>
      </w:r>
      <w:r w:rsidRPr="005E2E35">
        <w:rPr>
          <w:rFonts w:eastAsia="Times New Roman" w:cs="Arial"/>
          <w:szCs w:val="24"/>
          <w:lang w:val="es-ES" w:eastAsia="ar-SA"/>
        </w:rPr>
        <w:t xml:space="preserve"> tuvieron a cargo el trabajo para garantizar la publicidad y transparencia de este proceso administrativo judicial, para la construcción del plan presupuestario 202</w:t>
      </w:r>
      <w:r w:rsidR="008E5E11">
        <w:rPr>
          <w:rFonts w:eastAsia="Times New Roman" w:cs="Arial"/>
          <w:szCs w:val="24"/>
          <w:lang w:val="es-ES" w:eastAsia="ar-SA"/>
        </w:rPr>
        <w:t>5</w:t>
      </w:r>
      <w:r w:rsidRPr="005E2E35">
        <w:rPr>
          <w:rFonts w:eastAsia="Times New Roman" w:cs="Arial"/>
          <w:szCs w:val="24"/>
          <w:lang w:val="es-ES" w:eastAsia="ar-SA"/>
        </w:rPr>
        <w:t>.</w:t>
      </w:r>
    </w:p>
    <w:p w14:paraId="281AA5A0" w14:textId="77777777" w:rsidR="005E2E35" w:rsidRPr="005E2E35" w:rsidRDefault="005E2E35" w:rsidP="005E2E35">
      <w:pPr>
        <w:suppressAutoHyphens/>
        <w:jc w:val="both"/>
        <w:rPr>
          <w:rFonts w:eastAsia="Times New Roman" w:cs="Arial"/>
          <w:szCs w:val="24"/>
          <w:lang w:val="es-ES" w:eastAsia="ar-SA"/>
        </w:rPr>
      </w:pPr>
    </w:p>
    <w:p w14:paraId="2150BF46" w14:textId="77777777" w:rsidR="005E2E35" w:rsidRPr="005E2E35" w:rsidRDefault="005E2E35" w:rsidP="005E2E35">
      <w:pPr>
        <w:suppressAutoHyphens/>
        <w:jc w:val="center"/>
        <w:rPr>
          <w:rFonts w:eastAsia="Times New Roman" w:cs="Arial"/>
          <w:b/>
          <w:bCs/>
          <w:szCs w:val="24"/>
          <w:lang w:val="es-ES" w:eastAsia="ar-SA"/>
        </w:rPr>
      </w:pPr>
    </w:p>
    <w:p w14:paraId="31C6933B" w14:textId="77777777" w:rsidR="005E2E35" w:rsidRPr="005E2E35" w:rsidRDefault="005E2E35" w:rsidP="005E2E35">
      <w:pPr>
        <w:suppressAutoHyphens/>
        <w:rPr>
          <w:rFonts w:eastAsia="Times New Roman" w:cs="Arial"/>
          <w:szCs w:val="24"/>
          <w:lang w:val="es-ES" w:eastAsia="ar-SA"/>
        </w:rPr>
      </w:pPr>
    </w:p>
    <w:p w14:paraId="55CD2982" w14:textId="69C95780" w:rsidR="0045697B" w:rsidRPr="002C172B" w:rsidRDefault="0045697B" w:rsidP="00480D37">
      <w:pPr>
        <w:jc w:val="both"/>
        <w:rPr>
          <w:rFonts w:cs="Arial"/>
          <w:szCs w:val="24"/>
          <w:lang w:val="es-MX"/>
        </w:rPr>
      </w:pPr>
      <w:r w:rsidRPr="002C172B">
        <w:rPr>
          <w:rFonts w:cs="Arial"/>
          <w:noProof/>
          <w:szCs w:val="24"/>
          <w:lang w:val="es-MX"/>
        </w:rPr>
        <w:drawing>
          <wp:inline distT="0" distB="0" distL="0" distR="0" wp14:anchorId="2EBC0FF4" wp14:editId="0668783D">
            <wp:extent cx="5612130" cy="873760"/>
            <wp:effectExtent l="0" t="0" r="7620" b="2540"/>
            <wp:docPr id="5" name="Imagen 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Aplicación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0B5B683" w14:textId="0CF7B6D9" w:rsidR="00EF7C53" w:rsidRDefault="00EF7C53">
      <w:pPr>
        <w:rPr>
          <w:rFonts w:cs="Arial"/>
          <w:szCs w:val="24"/>
        </w:rPr>
      </w:pPr>
    </w:p>
    <w:p w14:paraId="55CEB7A4" w14:textId="77777777" w:rsidR="006A5606" w:rsidRPr="002C172B" w:rsidRDefault="006A5606">
      <w:pPr>
        <w:rPr>
          <w:rFonts w:cs="Arial"/>
          <w:szCs w:val="24"/>
        </w:rPr>
      </w:pPr>
    </w:p>
    <w:sectPr w:rsidR="006A5606" w:rsidRPr="002C1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970"/>
    <w:multiLevelType w:val="hybridMultilevel"/>
    <w:tmpl w:val="AFD64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4B74"/>
    <w:multiLevelType w:val="hybridMultilevel"/>
    <w:tmpl w:val="C14C2B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026A9"/>
    <w:multiLevelType w:val="hybridMultilevel"/>
    <w:tmpl w:val="C002A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011518">
    <w:abstractNumId w:val="0"/>
  </w:num>
  <w:num w:numId="2" w16cid:durableId="611713971">
    <w:abstractNumId w:val="1"/>
  </w:num>
  <w:num w:numId="3" w16cid:durableId="23150505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7B"/>
    <w:rsid w:val="00034CC8"/>
    <w:rsid w:val="000427DE"/>
    <w:rsid w:val="00055999"/>
    <w:rsid w:val="00062335"/>
    <w:rsid w:val="0006279D"/>
    <w:rsid w:val="00082193"/>
    <w:rsid w:val="000910E0"/>
    <w:rsid w:val="000A3847"/>
    <w:rsid w:val="000C19F1"/>
    <w:rsid w:val="000D6FF9"/>
    <w:rsid w:val="000D7BA0"/>
    <w:rsid w:val="000E4F99"/>
    <w:rsid w:val="001230FB"/>
    <w:rsid w:val="00124741"/>
    <w:rsid w:val="00142E3B"/>
    <w:rsid w:val="00143C03"/>
    <w:rsid w:val="001A19CD"/>
    <w:rsid w:val="001A249A"/>
    <w:rsid w:val="001B3CC9"/>
    <w:rsid w:val="001C433C"/>
    <w:rsid w:val="001D735F"/>
    <w:rsid w:val="001D7A53"/>
    <w:rsid w:val="001F7EB3"/>
    <w:rsid w:val="00207219"/>
    <w:rsid w:val="00210F1E"/>
    <w:rsid w:val="00210FB5"/>
    <w:rsid w:val="00212CCA"/>
    <w:rsid w:val="00230BBF"/>
    <w:rsid w:val="00234225"/>
    <w:rsid w:val="0024528C"/>
    <w:rsid w:val="00257C5F"/>
    <w:rsid w:val="00266CE9"/>
    <w:rsid w:val="00267C7A"/>
    <w:rsid w:val="002A168B"/>
    <w:rsid w:val="002A1C47"/>
    <w:rsid w:val="002C172B"/>
    <w:rsid w:val="002D38F3"/>
    <w:rsid w:val="00334E92"/>
    <w:rsid w:val="0036033D"/>
    <w:rsid w:val="00365163"/>
    <w:rsid w:val="0036785C"/>
    <w:rsid w:val="00380258"/>
    <w:rsid w:val="00390F34"/>
    <w:rsid w:val="003A4965"/>
    <w:rsid w:val="003A5BF7"/>
    <w:rsid w:val="003C6504"/>
    <w:rsid w:val="003D4DFA"/>
    <w:rsid w:val="003E6791"/>
    <w:rsid w:val="004010FC"/>
    <w:rsid w:val="00410066"/>
    <w:rsid w:val="00422B1D"/>
    <w:rsid w:val="00440E80"/>
    <w:rsid w:val="00441325"/>
    <w:rsid w:val="00447F78"/>
    <w:rsid w:val="00451F65"/>
    <w:rsid w:val="00454CC4"/>
    <w:rsid w:val="0045697B"/>
    <w:rsid w:val="00466CAA"/>
    <w:rsid w:val="0047133F"/>
    <w:rsid w:val="00473F75"/>
    <w:rsid w:val="00480D37"/>
    <w:rsid w:val="0048554F"/>
    <w:rsid w:val="00497D8D"/>
    <w:rsid w:val="004A7F6B"/>
    <w:rsid w:val="004B736A"/>
    <w:rsid w:val="004C32D1"/>
    <w:rsid w:val="004D29B0"/>
    <w:rsid w:val="004E29BF"/>
    <w:rsid w:val="00522341"/>
    <w:rsid w:val="00544FFB"/>
    <w:rsid w:val="00556F22"/>
    <w:rsid w:val="005720EC"/>
    <w:rsid w:val="00583BE1"/>
    <w:rsid w:val="00593CB2"/>
    <w:rsid w:val="005A7F0C"/>
    <w:rsid w:val="005B72EA"/>
    <w:rsid w:val="005C13BE"/>
    <w:rsid w:val="005E2E35"/>
    <w:rsid w:val="005F54D5"/>
    <w:rsid w:val="005F679B"/>
    <w:rsid w:val="00610BB6"/>
    <w:rsid w:val="00627833"/>
    <w:rsid w:val="00630F6A"/>
    <w:rsid w:val="006323BC"/>
    <w:rsid w:val="00643537"/>
    <w:rsid w:val="00647056"/>
    <w:rsid w:val="00673B97"/>
    <w:rsid w:val="0069470F"/>
    <w:rsid w:val="006A13E8"/>
    <w:rsid w:val="006A5606"/>
    <w:rsid w:val="006B3E6A"/>
    <w:rsid w:val="0071247E"/>
    <w:rsid w:val="0073260A"/>
    <w:rsid w:val="007338AC"/>
    <w:rsid w:val="007429B3"/>
    <w:rsid w:val="00746AEC"/>
    <w:rsid w:val="007525FB"/>
    <w:rsid w:val="0075664B"/>
    <w:rsid w:val="00764D2D"/>
    <w:rsid w:val="00795125"/>
    <w:rsid w:val="007A0500"/>
    <w:rsid w:val="007A2587"/>
    <w:rsid w:val="007B6616"/>
    <w:rsid w:val="007C698F"/>
    <w:rsid w:val="007C6FAF"/>
    <w:rsid w:val="007D372F"/>
    <w:rsid w:val="007D6422"/>
    <w:rsid w:val="007E06B4"/>
    <w:rsid w:val="007E37B3"/>
    <w:rsid w:val="007F1CB4"/>
    <w:rsid w:val="00805467"/>
    <w:rsid w:val="008073D6"/>
    <w:rsid w:val="00815D9C"/>
    <w:rsid w:val="008520FA"/>
    <w:rsid w:val="008548DC"/>
    <w:rsid w:val="00863E18"/>
    <w:rsid w:val="008979B3"/>
    <w:rsid w:val="008A1594"/>
    <w:rsid w:val="008A6E21"/>
    <w:rsid w:val="008B09A2"/>
    <w:rsid w:val="008B4F4B"/>
    <w:rsid w:val="008C3E2B"/>
    <w:rsid w:val="008D5788"/>
    <w:rsid w:val="008E1176"/>
    <w:rsid w:val="008E4BF2"/>
    <w:rsid w:val="008E5A43"/>
    <w:rsid w:val="008E5E11"/>
    <w:rsid w:val="008F0298"/>
    <w:rsid w:val="009244D6"/>
    <w:rsid w:val="009314D5"/>
    <w:rsid w:val="009407FD"/>
    <w:rsid w:val="00951D58"/>
    <w:rsid w:val="009806BD"/>
    <w:rsid w:val="009938D2"/>
    <w:rsid w:val="009A1B55"/>
    <w:rsid w:val="009A211C"/>
    <w:rsid w:val="009A5E94"/>
    <w:rsid w:val="009B1098"/>
    <w:rsid w:val="009B39F5"/>
    <w:rsid w:val="009B711A"/>
    <w:rsid w:val="009D42A2"/>
    <w:rsid w:val="009F51CE"/>
    <w:rsid w:val="00A21844"/>
    <w:rsid w:val="00A224BA"/>
    <w:rsid w:val="00A44C41"/>
    <w:rsid w:val="00A61B80"/>
    <w:rsid w:val="00A72B32"/>
    <w:rsid w:val="00A76E6E"/>
    <w:rsid w:val="00AA1F13"/>
    <w:rsid w:val="00AB2738"/>
    <w:rsid w:val="00AB43D0"/>
    <w:rsid w:val="00AB5097"/>
    <w:rsid w:val="00AB76BC"/>
    <w:rsid w:val="00AC4BD8"/>
    <w:rsid w:val="00AC75A7"/>
    <w:rsid w:val="00AD20A3"/>
    <w:rsid w:val="00AE3399"/>
    <w:rsid w:val="00B10366"/>
    <w:rsid w:val="00B51DBB"/>
    <w:rsid w:val="00B83263"/>
    <w:rsid w:val="00B87F08"/>
    <w:rsid w:val="00BA0E54"/>
    <w:rsid w:val="00BC38ED"/>
    <w:rsid w:val="00BC41CE"/>
    <w:rsid w:val="00BC5BC4"/>
    <w:rsid w:val="00BD0636"/>
    <w:rsid w:val="00BE67F1"/>
    <w:rsid w:val="00BF7A3C"/>
    <w:rsid w:val="00C20E4A"/>
    <w:rsid w:val="00C21AD8"/>
    <w:rsid w:val="00C22645"/>
    <w:rsid w:val="00C352DE"/>
    <w:rsid w:val="00C40CB7"/>
    <w:rsid w:val="00C40D6D"/>
    <w:rsid w:val="00C52550"/>
    <w:rsid w:val="00C62D8E"/>
    <w:rsid w:val="00C678E4"/>
    <w:rsid w:val="00C8109B"/>
    <w:rsid w:val="00C93631"/>
    <w:rsid w:val="00CA6979"/>
    <w:rsid w:val="00CB0207"/>
    <w:rsid w:val="00CB2F92"/>
    <w:rsid w:val="00CD29BE"/>
    <w:rsid w:val="00CE4E90"/>
    <w:rsid w:val="00D13D0E"/>
    <w:rsid w:val="00D41106"/>
    <w:rsid w:val="00D43146"/>
    <w:rsid w:val="00D60D1E"/>
    <w:rsid w:val="00DC022D"/>
    <w:rsid w:val="00DC174D"/>
    <w:rsid w:val="00DF6973"/>
    <w:rsid w:val="00E16C20"/>
    <w:rsid w:val="00E22610"/>
    <w:rsid w:val="00E22FE9"/>
    <w:rsid w:val="00E3032A"/>
    <w:rsid w:val="00E60493"/>
    <w:rsid w:val="00E614FD"/>
    <w:rsid w:val="00E97FF9"/>
    <w:rsid w:val="00EA5920"/>
    <w:rsid w:val="00EA7A5B"/>
    <w:rsid w:val="00EE0FB1"/>
    <w:rsid w:val="00EF7AFA"/>
    <w:rsid w:val="00EF7C53"/>
    <w:rsid w:val="00F04E30"/>
    <w:rsid w:val="00F119D7"/>
    <w:rsid w:val="00F26363"/>
    <w:rsid w:val="00F91E53"/>
    <w:rsid w:val="00FA6B59"/>
    <w:rsid w:val="00FD6B2B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643E"/>
  <w15:chartTrackingRefBased/>
  <w15:docId w15:val="{13CF243C-9505-4722-A744-AB7D3481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97B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45697B"/>
    <w:pPr>
      <w:spacing w:after="200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9314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3E6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3E6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40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4E3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F04E30"/>
    <w:rPr>
      <w:b/>
      <w:bCs/>
    </w:rPr>
  </w:style>
  <w:style w:type="paragraph" w:customStyle="1" w:styleId="Default">
    <w:name w:val="Default"/>
    <w:rsid w:val="008A1594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customStyle="1" w:styleId="xxmsonormal">
    <w:name w:val="x_x_msonormal"/>
    <w:basedOn w:val="Normal"/>
    <w:rsid w:val="00266CE9"/>
    <w:rPr>
      <w:rFonts w:ascii="Calibri" w:hAnsi="Calibri" w:cs="Calibri"/>
      <w:sz w:val="22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073D6"/>
    <w:rPr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073D6"/>
    <w:rPr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EF7AFA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3E6791"/>
  </w:style>
  <w:style w:type="paragraph" w:customStyle="1" w:styleId="xxmsonormal0">
    <w:name w:val="x_xmsonormal"/>
    <w:basedOn w:val="Normal"/>
    <w:rsid w:val="00C52550"/>
    <w:rPr>
      <w:rFonts w:ascii="Calibri" w:hAnsi="Calibri" w:cs="Calibri"/>
      <w:sz w:val="22"/>
      <w:lang w:val="es-MX" w:eastAsia="es-MX"/>
    </w:rPr>
  </w:style>
  <w:style w:type="paragraph" w:customStyle="1" w:styleId="elementtoproof">
    <w:name w:val="elementtoproof"/>
    <w:basedOn w:val="Normal"/>
    <w:uiPriority w:val="99"/>
    <w:semiHidden/>
    <w:rsid w:val="006323BC"/>
    <w:rPr>
      <w:rFonts w:ascii="Calibri" w:hAnsi="Calibri" w:cs="Calibri"/>
      <w:sz w:val="22"/>
      <w:lang w:val="es-MX" w:eastAsia="es-MX"/>
    </w:rPr>
  </w:style>
  <w:style w:type="paragraph" w:styleId="Revisin">
    <w:name w:val="Revision"/>
    <w:hidden/>
    <w:uiPriority w:val="99"/>
    <w:semiHidden/>
    <w:rsid w:val="00422B1D"/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pj.poder-judicial.go.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F9F8-72A7-4779-9EC5-33E9E8B9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Marín Mena</dc:creator>
  <cp:keywords/>
  <dc:description/>
  <cp:lastModifiedBy>Paulo Mena Quesada</cp:lastModifiedBy>
  <cp:revision>2</cp:revision>
  <dcterms:created xsi:type="dcterms:W3CDTF">2024-06-04T13:54:00Z</dcterms:created>
  <dcterms:modified xsi:type="dcterms:W3CDTF">2024-06-04T13:54:00Z</dcterms:modified>
</cp:coreProperties>
</file>