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F1D0" w14:textId="6AFBF06F" w:rsidR="00F57FE2" w:rsidRDefault="00F57FE2" w:rsidP="00F57FE2">
      <w:pPr>
        <w:jc w:val="center"/>
        <w:rPr>
          <w:lang w:val="es-MX"/>
        </w:rPr>
      </w:pPr>
      <w:r>
        <w:rPr>
          <w:noProof/>
        </w:rPr>
        <w:drawing>
          <wp:inline distT="0" distB="0" distL="0" distR="0" wp14:anchorId="301FF9B0" wp14:editId="5BA1D883">
            <wp:extent cx="3379470" cy="1431290"/>
            <wp:effectExtent l="0" t="0" r="0" b="0"/>
            <wp:docPr id="1660159337"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9470" cy="1431290"/>
                    </a:xfrm>
                    <a:prstGeom prst="rect">
                      <a:avLst/>
                    </a:prstGeom>
                    <a:noFill/>
                    <a:ln>
                      <a:noFill/>
                    </a:ln>
                  </pic:spPr>
                </pic:pic>
              </a:graphicData>
            </a:graphic>
          </wp:inline>
        </w:drawing>
      </w:r>
    </w:p>
    <w:p w14:paraId="653DC13B" w14:textId="77777777" w:rsidR="00F57FE2" w:rsidRDefault="00F57FE2" w:rsidP="00F57FE2">
      <w:pPr>
        <w:rPr>
          <w:lang w:val="es-MX"/>
        </w:rPr>
      </w:pPr>
      <w:r>
        <w:rPr>
          <w:rFonts w:ascii="Book Antiqua" w:hAnsi="Book Antiqua"/>
        </w:rPr>
        <w:t> </w:t>
      </w:r>
    </w:p>
    <w:p w14:paraId="0D2ADA44" w14:textId="77777777" w:rsidR="00F57FE2" w:rsidRDefault="00F57FE2" w:rsidP="00F57FE2">
      <w:pPr>
        <w:jc w:val="center"/>
        <w:rPr>
          <w:lang w:val="es-MX"/>
        </w:rPr>
      </w:pPr>
      <w:r>
        <w:rPr>
          <w:rFonts w:ascii="Book Antiqua" w:hAnsi="Book Antiqua"/>
          <w:b/>
          <w:bCs/>
          <w:sz w:val="32"/>
          <w:szCs w:val="32"/>
          <w:u w:val="single"/>
        </w:rPr>
        <w:t>28 de mayo 2024</w:t>
      </w:r>
    </w:p>
    <w:p w14:paraId="40041069" w14:textId="77777777" w:rsidR="00F57FE2" w:rsidRDefault="00F57FE2" w:rsidP="00F57FE2">
      <w:pPr>
        <w:jc w:val="center"/>
        <w:rPr>
          <w:lang w:val="es-MX"/>
        </w:rPr>
      </w:pPr>
      <w:r>
        <w:rPr>
          <w:rFonts w:ascii="Book Antiqua" w:hAnsi="Book Antiqua"/>
          <w:b/>
          <w:bCs/>
          <w:sz w:val="32"/>
          <w:szCs w:val="32"/>
        </w:rPr>
        <w:t> </w:t>
      </w:r>
    </w:p>
    <w:p w14:paraId="76F65E56" w14:textId="77777777" w:rsidR="00F57FE2" w:rsidRDefault="00F57FE2" w:rsidP="00F57FE2">
      <w:pPr>
        <w:ind w:left="57"/>
        <w:jc w:val="center"/>
        <w:rPr>
          <w:lang w:val="es-MX"/>
        </w:rPr>
      </w:pPr>
      <w:r>
        <w:rPr>
          <w:rFonts w:ascii="Book Antiqua" w:hAnsi="Book Antiqua"/>
          <w:b/>
          <w:bCs/>
          <w:sz w:val="32"/>
          <w:szCs w:val="32"/>
        </w:rPr>
        <w:t xml:space="preserve">Corte Plena aprueba anteproyecto de presupuesto 2025 </w:t>
      </w:r>
    </w:p>
    <w:p w14:paraId="648E1368" w14:textId="77777777" w:rsidR="00F57FE2" w:rsidRDefault="00F57FE2" w:rsidP="00F57FE2">
      <w:pPr>
        <w:ind w:left="57"/>
        <w:jc w:val="center"/>
        <w:rPr>
          <w:lang w:val="es-MX"/>
        </w:rPr>
      </w:pPr>
      <w:r>
        <w:rPr>
          <w:rFonts w:ascii="Book Antiqua" w:hAnsi="Book Antiqua"/>
          <w:b/>
          <w:bCs/>
          <w:sz w:val="32"/>
          <w:szCs w:val="32"/>
        </w:rPr>
        <w:t> </w:t>
      </w:r>
    </w:p>
    <w:p w14:paraId="398B7AE3" w14:textId="77777777" w:rsidR="00F57FE2" w:rsidRDefault="00F57FE2" w:rsidP="00F57FE2">
      <w:pPr>
        <w:numPr>
          <w:ilvl w:val="0"/>
          <w:numId w:val="1"/>
        </w:numPr>
        <w:contextualSpacing/>
        <w:rPr>
          <w:rFonts w:eastAsia="Times New Roman"/>
          <w:lang w:val="es-MX"/>
        </w:rPr>
      </w:pPr>
      <w:r>
        <w:rPr>
          <w:rFonts w:ascii="Book Antiqua" w:eastAsia="Times New Roman" w:hAnsi="Book Antiqua"/>
          <w:b/>
          <w:bCs/>
          <w:sz w:val="24"/>
          <w:szCs w:val="24"/>
        </w:rPr>
        <w:t>Construcción presupuestaria judicial se apegó a directrices emitidas por autoridades hacendarias.</w:t>
      </w:r>
    </w:p>
    <w:p w14:paraId="36F624D7" w14:textId="77777777" w:rsidR="00F57FE2" w:rsidRDefault="00F57FE2" w:rsidP="00F57FE2">
      <w:pPr>
        <w:ind w:left="57"/>
        <w:rPr>
          <w:lang w:val="es-MX"/>
        </w:rPr>
      </w:pPr>
      <w:r>
        <w:rPr>
          <w:rFonts w:ascii="Book Antiqua" w:hAnsi="Book Antiqua"/>
        </w:rPr>
        <w:t> </w:t>
      </w:r>
    </w:p>
    <w:p w14:paraId="1BF025CC" w14:textId="2A6BEE36" w:rsidR="00F57FE2" w:rsidRDefault="00F57FE2" w:rsidP="00F57FE2">
      <w:pPr>
        <w:ind w:left="57"/>
        <w:jc w:val="both"/>
        <w:rPr>
          <w:lang w:val="es-MX"/>
        </w:rPr>
      </w:pPr>
      <w:r>
        <w:rPr>
          <w:rFonts w:ascii="Book Antiqua" w:hAnsi="Book Antiqua"/>
          <w:sz w:val="24"/>
          <w:szCs w:val="24"/>
        </w:rPr>
        <w:t xml:space="preserve">La Corte Plena aprobó el anteproyecto de presupuesto del Poder Judicial para el </w:t>
      </w:r>
      <w:r>
        <w:rPr>
          <w:rFonts w:ascii="Book Antiqua" w:hAnsi="Book Antiqua"/>
          <w:sz w:val="24"/>
          <w:szCs w:val="24"/>
        </w:rPr>
        <w:t>año 2025</w:t>
      </w:r>
      <w:r>
        <w:rPr>
          <w:rFonts w:ascii="Book Antiqua" w:hAnsi="Book Antiqua"/>
          <w:sz w:val="24"/>
          <w:szCs w:val="24"/>
        </w:rPr>
        <w:t xml:space="preserve">.  Durante la sesión extraordinaria de este lunes 27 de mayo </w:t>
      </w:r>
      <w:r>
        <w:rPr>
          <w:rFonts w:ascii="Book Antiqua" w:hAnsi="Book Antiqua"/>
          <w:sz w:val="24"/>
          <w:szCs w:val="24"/>
        </w:rPr>
        <w:t>2025 magistrados</w:t>
      </w:r>
      <w:r>
        <w:rPr>
          <w:rFonts w:ascii="Book Antiqua" w:hAnsi="Book Antiqua"/>
          <w:sz w:val="24"/>
          <w:szCs w:val="24"/>
        </w:rPr>
        <w:t xml:space="preserve"> y magistradas dieron el aval para remitir la propuesta al Ministerio de Hacienda, manteniendo un nivel austero de gasto. La votación de la formulación fue unánime. </w:t>
      </w:r>
    </w:p>
    <w:p w14:paraId="66E6C6D8" w14:textId="77777777" w:rsidR="00F57FE2" w:rsidRDefault="00F57FE2" w:rsidP="00F57FE2">
      <w:pPr>
        <w:ind w:left="57"/>
        <w:jc w:val="both"/>
        <w:rPr>
          <w:lang w:val="es-MX"/>
        </w:rPr>
      </w:pPr>
      <w:r>
        <w:rPr>
          <w:rFonts w:ascii="Book Antiqua" w:hAnsi="Book Antiqua"/>
          <w:sz w:val="24"/>
          <w:szCs w:val="24"/>
        </w:rPr>
        <w:t> </w:t>
      </w:r>
    </w:p>
    <w:p w14:paraId="3E672E1A" w14:textId="18C0B58C" w:rsidR="00F57FE2" w:rsidRDefault="00F57FE2" w:rsidP="00F57FE2">
      <w:pPr>
        <w:ind w:left="57"/>
        <w:jc w:val="both"/>
        <w:rPr>
          <w:lang w:val="es-MX"/>
        </w:rPr>
      </w:pPr>
      <w:r>
        <w:rPr>
          <w:rFonts w:ascii="Book Antiqua" w:hAnsi="Book Antiqua"/>
          <w:sz w:val="24"/>
          <w:szCs w:val="24"/>
        </w:rPr>
        <w:t xml:space="preserve">La limitación presupuestaria ante la situación del </w:t>
      </w:r>
      <w:proofErr w:type="gramStart"/>
      <w:r>
        <w:rPr>
          <w:rFonts w:ascii="Book Antiqua" w:hAnsi="Book Antiqua"/>
          <w:sz w:val="24"/>
          <w:szCs w:val="24"/>
        </w:rPr>
        <w:t>país,</w:t>
      </w:r>
      <w:proofErr w:type="gramEnd"/>
      <w:r>
        <w:rPr>
          <w:rFonts w:ascii="Book Antiqua" w:hAnsi="Book Antiqua"/>
          <w:sz w:val="24"/>
          <w:szCs w:val="24"/>
        </w:rPr>
        <w:t xml:space="preserve"> es uno de los aspectos que definen el </w:t>
      </w:r>
      <w:r>
        <w:rPr>
          <w:rFonts w:ascii="Book Antiqua" w:hAnsi="Book Antiqua"/>
          <w:sz w:val="24"/>
          <w:szCs w:val="24"/>
        </w:rPr>
        <w:t>plan de</w:t>
      </w:r>
      <w:r>
        <w:rPr>
          <w:rFonts w:ascii="Book Antiqua" w:hAnsi="Book Antiqua"/>
          <w:sz w:val="24"/>
          <w:szCs w:val="24"/>
        </w:rPr>
        <w:t xml:space="preserve"> gasto del Poder Judicial, en los últimos años.  Como garantes de la administración de justicia, se procura que con los recursos existentes se dé continuidad a los servicios que se brinda a las personas usuarias, maximizando el contenido en cada partida. </w:t>
      </w:r>
    </w:p>
    <w:p w14:paraId="176068ED" w14:textId="77777777" w:rsidR="00F57FE2" w:rsidRDefault="00F57FE2" w:rsidP="00F57FE2">
      <w:pPr>
        <w:ind w:left="57"/>
        <w:jc w:val="both"/>
        <w:rPr>
          <w:lang w:val="es-MX"/>
        </w:rPr>
      </w:pPr>
      <w:r>
        <w:rPr>
          <w:rFonts w:ascii="Book Antiqua" w:hAnsi="Book Antiqua"/>
          <w:sz w:val="24"/>
          <w:szCs w:val="24"/>
        </w:rPr>
        <w:t> </w:t>
      </w:r>
    </w:p>
    <w:p w14:paraId="68A5F887" w14:textId="77777777" w:rsidR="00F57FE2" w:rsidRDefault="00F57FE2" w:rsidP="00F57FE2">
      <w:pPr>
        <w:ind w:left="57"/>
        <w:jc w:val="both"/>
        <w:rPr>
          <w:lang w:val="es-MX"/>
        </w:rPr>
      </w:pPr>
      <w:r>
        <w:rPr>
          <w:rFonts w:ascii="Book Antiqua" w:hAnsi="Book Antiqua"/>
          <w:sz w:val="24"/>
          <w:szCs w:val="24"/>
        </w:rPr>
        <w:t>El anteproyecto lo remitió el Consejo Superior y la exposición del detalle estuvo a cargo del Director de Planificación del Poder Judicial, Allan Pow Hing Cordero.</w:t>
      </w:r>
    </w:p>
    <w:p w14:paraId="423C483B" w14:textId="77777777" w:rsidR="00F57FE2" w:rsidRDefault="00F57FE2" w:rsidP="00F57FE2">
      <w:pPr>
        <w:ind w:left="57"/>
        <w:jc w:val="both"/>
        <w:rPr>
          <w:lang w:val="es-MX"/>
        </w:rPr>
      </w:pPr>
      <w:r>
        <w:rPr>
          <w:rFonts w:ascii="Book Antiqua" w:hAnsi="Book Antiqua"/>
          <w:sz w:val="24"/>
          <w:szCs w:val="24"/>
        </w:rPr>
        <w:t> </w:t>
      </w:r>
    </w:p>
    <w:p w14:paraId="1DABDC92" w14:textId="370A7D0D" w:rsidR="00F57FE2" w:rsidRDefault="00F57FE2" w:rsidP="00F57FE2">
      <w:pPr>
        <w:ind w:left="57"/>
        <w:jc w:val="both"/>
        <w:rPr>
          <w:lang w:val="es-MX"/>
        </w:rPr>
      </w:pPr>
      <w:r>
        <w:rPr>
          <w:rFonts w:ascii="Book Antiqua" w:hAnsi="Book Antiqua"/>
          <w:sz w:val="24"/>
          <w:szCs w:val="24"/>
        </w:rPr>
        <w:t xml:space="preserve">El gasto presupuestario máximo para el 2025, se definió en </w:t>
      </w:r>
      <w:r>
        <w:rPr>
          <w:rFonts w:ascii="Times New Roman" w:hAnsi="Times New Roman" w:cs="Times New Roman"/>
          <w:sz w:val="24"/>
          <w:szCs w:val="24"/>
        </w:rPr>
        <w:t>₡</w:t>
      </w:r>
      <w:r>
        <w:rPr>
          <w:rFonts w:ascii="Book Antiqua" w:hAnsi="Book Antiqua"/>
          <w:sz w:val="24"/>
          <w:szCs w:val="24"/>
        </w:rPr>
        <w:t xml:space="preserve">521.145 millones, de los cuales, el gasto corriente se fijó en </w:t>
      </w:r>
      <w:r>
        <w:rPr>
          <w:rFonts w:ascii="Times New Roman" w:hAnsi="Times New Roman" w:cs="Times New Roman"/>
          <w:sz w:val="24"/>
          <w:szCs w:val="24"/>
        </w:rPr>
        <w:t>₡</w:t>
      </w:r>
      <w:r>
        <w:rPr>
          <w:rFonts w:ascii="Book Antiqua" w:hAnsi="Book Antiqua"/>
          <w:sz w:val="24"/>
          <w:szCs w:val="24"/>
        </w:rPr>
        <w:t xml:space="preserve">490.834 millones y el gasto de capital </w:t>
      </w:r>
      <w:r>
        <w:rPr>
          <w:rFonts w:ascii="Book Antiqua" w:hAnsi="Book Antiqua"/>
          <w:sz w:val="24"/>
          <w:szCs w:val="24"/>
        </w:rPr>
        <w:t xml:space="preserve">en </w:t>
      </w:r>
      <w:r>
        <w:rPr>
          <w:rFonts w:ascii="Times New Roman" w:hAnsi="Times New Roman" w:cs="Times New Roman"/>
          <w:sz w:val="24"/>
          <w:szCs w:val="24"/>
        </w:rPr>
        <w:t>₡</w:t>
      </w:r>
      <w:r>
        <w:rPr>
          <w:rFonts w:ascii="Book Antiqua" w:hAnsi="Book Antiqua"/>
          <w:caps/>
          <w:sz w:val="24"/>
          <w:szCs w:val="24"/>
          <w:lang w:val="en-US" w:eastAsia="es-MX"/>
        </w:rPr>
        <w:t>30.311</w:t>
      </w:r>
      <w:r>
        <w:rPr>
          <w:rFonts w:ascii="Book Antiqua" w:hAnsi="Book Antiqua"/>
          <w:sz w:val="24"/>
          <w:szCs w:val="24"/>
          <w:lang w:val="en-US"/>
        </w:rPr>
        <w:t xml:space="preserve"> </w:t>
      </w:r>
      <w:r>
        <w:rPr>
          <w:rFonts w:ascii="Book Antiqua" w:hAnsi="Book Antiqua"/>
          <w:sz w:val="24"/>
          <w:szCs w:val="24"/>
        </w:rPr>
        <w:t>millones.</w:t>
      </w:r>
    </w:p>
    <w:p w14:paraId="65399E69" w14:textId="77777777" w:rsidR="00F57FE2" w:rsidRDefault="00F57FE2" w:rsidP="00F57FE2">
      <w:pPr>
        <w:ind w:left="57"/>
        <w:jc w:val="both"/>
        <w:rPr>
          <w:lang w:val="es-MX"/>
        </w:rPr>
      </w:pPr>
      <w:r>
        <w:rPr>
          <w:rFonts w:ascii="Book Antiqua" w:hAnsi="Book Antiqua"/>
          <w:sz w:val="24"/>
          <w:szCs w:val="24"/>
        </w:rPr>
        <w:t> </w:t>
      </w:r>
    </w:p>
    <w:p w14:paraId="6E7F0605" w14:textId="77777777" w:rsidR="00F57FE2" w:rsidRDefault="00F57FE2" w:rsidP="00F57FE2">
      <w:pPr>
        <w:ind w:left="57"/>
        <w:jc w:val="both"/>
        <w:textAlignment w:val="baseline"/>
        <w:rPr>
          <w:lang w:val="es-MX"/>
        </w:rPr>
      </w:pPr>
      <w:r>
        <w:rPr>
          <w:rFonts w:ascii="Book Antiqua" w:hAnsi="Book Antiqua"/>
          <w:sz w:val="24"/>
          <w:szCs w:val="24"/>
        </w:rPr>
        <w:t>El plan se ajustó para garantizar la operatividad de los siete programas que integran el presupuesto del Poder Judicial.</w:t>
      </w:r>
    </w:p>
    <w:p w14:paraId="1A16F2E4" w14:textId="77777777" w:rsidR="00F57FE2" w:rsidRDefault="00F57FE2" w:rsidP="00F57FE2">
      <w:pPr>
        <w:ind w:left="57"/>
        <w:jc w:val="both"/>
        <w:textAlignment w:val="baseline"/>
        <w:rPr>
          <w:lang w:val="es-MX"/>
        </w:rPr>
      </w:pPr>
      <w:r>
        <w:rPr>
          <w:rFonts w:ascii="Book Antiqua" w:hAnsi="Book Antiqua"/>
          <w:sz w:val="24"/>
          <w:szCs w:val="24"/>
        </w:rPr>
        <w:t> </w:t>
      </w:r>
    </w:p>
    <w:p w14:paraId="7D70DF14" w14:textId="77777777" w:rsidR="00F57FE2" w:rsidRDefault="00F57FE2" w:rsidP="00F57FE2">
      <w:pPr>
        <w:ind w:left="57"/>
        <w:jc w:val="both"/>
        <w:textAlignment w:val="baseline"/>
        <w:rPr>
          <w:lang w:val="es-MX"/>
        </w:rPr>
      </w:pPr>
      <w:r>
        <w:rPr>
          <w:rFonts w:ascii="Book Antiqua" w:hAnsi="Book Antiqua"/>
          <w:sz w:val="24"/>
          <w:szCs w:val="24"/>
        </w:rPr>
        <w:t>Para el 2025, las autoridades de Hacienda otorgaron recursos adicionales que permitirán impulsar los siguientes proyectos:</w:t>
      </w:r>
    </w:p>
    <w:p w14:paraId="6E2B02B1" w14:textId="77777777" w:rsidR="00F57FE2" w:rsidRDefault="00F57FE2" w:rsidP="00F57FE2">
      <w:pPr>
        <w:ind w:left="57"/>
        <w:jc w:val="both"/>
        <w:textAlignment w:val="baseline"/>
        <w:rPr>
          <w:lang w:val="es-MX"/>
        </w:rPr>
      </w:pPr>
      <w:r>
        <w:rPr>
          <w:rFonts w:ascii="Book Antiqua" w:hAnsi="Book Antiqua"/>
          <w:sz w:val="24"/>
          <w:szCs w:val="24"/>
        </w:rPr>
        <w:t> </w:t>
      </w:r>
    </w:p>
    <w:tbl>
      <w:tblPr>
        <w:tblpPr w:leftFromText="141" w:rightFromText="141" w:vertAnchor="text"/>
        <w:tblW w:w="8718" w:type="dxa"/>
        <w:tblCellMar>
          <w:left w:w="0" w:type="dxa"/>
          <w:right w:w="0" w:type="dxa"/>
        </w:tblCellMar>
        <w:tblLook w:val="04A0" w:firstRow="1" w:lastRow="0" w:firstColumn="1" w:lastColumn="0" w:noHBand="0" w:noVBand="1"/>
      </w:tblPr>
      <w:tblGrid>
        <w:gridCol w:w="4359"/>
        <w:gridCol w:w="4359"/>
      </w:tblGrid>
      <w:tr w:rsidR="00F57FE2" w14:paraId="264EAC35" w14:textId="77777777" w:rsidTr="00F57FE2">
        <w:trPr>
          <w:trHeight w:val="655"/>
        </w:trPr>
        <w:tc>
          <w:tcPr>
            <w:tcW w:w="4359" w:type="dxa"/>
            <w:tcBorders>
              <w:top w:val="single" w:sz="8" w:space="0" w:color="FFFFFF"/>
              <w:left w:val="single" w:sz="8" w:space="0" w:color="FFFFFF"/>
              <w:bottom w:val="single" w:sz="8" w:space="0" w:color="FFFFFF"/>
              <w:right w:val="single" w:sz="8" w:space="0" w:color="FFFFFF"/>
            </w:tcBorders>
            <w:shd w:val="clear" w:color="auto" w:fill="444665"/>
            <w:tcMar>
              <w:top w:w="15" w:type="dxa"/>
              <w:left w:w="15" w:type="dxa"/>
              <w:bottom w:w="0" w:type="dxa"/>
              <w:right w:w="15" w:type="dxa"/>
            </w:tcMar>
            <w:vAlign w:val="bottom"/>
            <w:hideMark/>
          </w:tcPr>
          <w:p w14:paraId="03132708" w14:textId="77777777" w:rsidR="00F57FE2" w:rsidRDefault="00F57FE2">
            <w:pPr>
              <w:jc w:val="center"/>
              <w:textAlignment w:val="bottom"/>
            </w:pPr>
            <w:r>
              <w:rPr>
                <w:rFonts w:ascii="Book Antiqua" w:hAnsi="Book Antiqua"/>
                <w:color w:val="FFFFFF"/>
                <w:sz w:val="24"/>
                <w:szCs w:val="24"/>
                <w:lang w:eastAsia="es-CR"/>
              </w:rPr>
              <w:lastRenderedPageBreak/>
              <w:t>Concepto </w:t>
            </w:r>
          </w:p>
        </w:tc>
        <w:tc>
          <w:tcPr>
            <w:tcW w:w="4359" w:type="dxa"/>
            <w:tcBorders>
              <w:top w:val="single" w:sz="8" w:space="0" w:color="FFFFFF"/>
              <w:left w:val="nil"/>
              <w:bottom w:val="single" w:sz="8" w:space="0" w:color="FFFFFF"/>
              <w:right w:val="single" w:sz="8" w:space="0" w:color="FFFFFF"/>
            </w:tcBorders>
            <w:shd w:val="clear" w:color="auto" w:fill="444665"/>
            <w:tcMar>
              <w:top w:w="15" w:type="dxa"/>
              <w:left w:w="15" w:type="dxa"/>
              <w:bottom w:w="0" w:type="dxa"/>
              <w:right w:w="15" w:type="dxa"/>
            </w:tcMar>
            <w:vAlign w:val="bottom"/>
            <w:hideMark/>
          </w:tcPr>
          <w:p w14:paraId="10CD1296" w14:textId="77777777" w:rsidR="00F57FE2" w:rsidRDefault="00F57FE2">
            <w:pPr>
              <w:jc w:val="center"/>
              <w:textAlignment w:val="bottom"/>
            </w:pPr>
            <w:r>
              <w:rPr>
                <w:rFonts w:ascii="Book Antiqua" w:hAnsi="Book Antiqua"/>
                <w:color w:val="FFFFFF"/>
                <w:sz w:val="24"/>
                <w:szCs w:val="24"/>
                <w:lang w:eastAsia="es-CR"/>
              </w:rPr>
              <w:t>Monto </w:t>
            </w:r>
          </w:p>
        </w:tc>
      </w:tr>
      <w:tr w:rsidR="00F57FE2" w14:paraId="0F7C600C" w14:textId="77777777" w:rsidTr="00F57FE2">
        <w:trPr>
          <w:trHeight w:val="396"/>
        </w:trPr>
        <w:tc>
          <w:tcPr>
            <w:tcW w:w="4359" w:type="dxa"/>
            <w:tcBorders>
              <w:top w:val="nil"/>
              <w:left w:val="single" w:sz="8" w:space="0" w:color="FFFFFF"/>
              <w:bottom w:val="single" w:sz="8" w:space="0" w:color="FFFFFF"/>
              <w:right w:val="single" w:sz="8" w:space="0" w:color="000000"/>
            </w:tcBorders>
            <w:tcMar>
              <w:top w:w="15" w:type="dxa"/>
              <w:left w:w="15" w:type="dxa"/>
              <w:bottom w:w="0" w:type="dxa"/>
              <w:right w:w="15" w:type="dxa"/>
            </w:tcMar>
            <w:vAlign w:val="bottom"/>
            <w:hideMark/>
          </w:tcPr>
          <w:p w14:paraId="33314213" w14:textId="77777777" w:rsidR="00F57FE2" w:rsidRDefault="00F57FE2">
            <w:pPr>
              <w:textAlignment w:val="bottom"/>
            </w:pPr>
            <w:r>
              <w:rPr>
                <w:rFonts w:ascii="Book Antiqua" w:hAnsi="Book Antiqua"/>
                <w:color w:val="000000"/>
                <w:lang w:eastAsia="es-CR"/>
              </w:rPr>
              <w:t>Complejo Medicina Legal - Buenos Aires</w:t>
            </w:r>
          </w:p>
        </w:tc>
        <w:tc>
          <w:tcPr>
            <w:tcW w:w="4359" w:type="dxa"/>
            <w:tcBorders>
              <w:top w:val="nil"/>
              <w:left w:val="nil"/>
              <w:bottom w:val="single" w:sz="8" w:space="0" w:color="FFFFFF"/>
              <w:right w:val="single" w:sz="8" w:space="0" w:color="FFFFFF"/>
            </w:tcBorders>
            <w:tcMar>
              <w:top w:w="15" w:type="dxa"/>
              <w:left w:w="15" w:type="dxa"/>
              <w:bottom w:w="0" w:type="dxa"/>
              <w:right w:w="15" w:type="dxa"/>
            </w:tcMar>
            <w:vAlign w:val="bottom"/>
            <w:hideMark/>
          </w:tcPr>
          <w:p w14:paraId="03C09E0F" w14:textId="77777777" w:rsidR="00F57FE2" w:rsidRDefault="00F57FE2">
            <w:pPr>
              <w:jc w:val="center"/>
              <w:textAlignment w:val="bottom"/>
            </w:pPr>
            <w:r>
              <w:rPr>
                <w:rFonts w:ascii="Times New Roman" w:hAnsi="Times New Roman" w:cs="Times New Roman"/>
                <w:color w:val="000000"/>
                <w:lang w:eastAsia="es-CR"/>
              </w:rPr>
              <w:t>₡</w:t>
            </w:r>
            <w:r>
              <w:rPr>
                <w:rFonts w:ascii="Book Antiqua" w:hAnsi="Book Antiqua"/>
                <w:color w:val="000000"/>
                <w:lang w:eastAsia="es-CR"/>
              </w:rPr>
              <w:t>3.395,9 millones </w:t>
            </w:r>
          </w:p>
        </w:tc>
      </w:tr>
      <w:tr w:rsidR="00F57FE2" w14:paraId="69BCE37D" w14:textId="77777777" w:rsidTr="00F57FE2">
        <w:trPr>
          <w:trHeight w:val="396"/>
        </w:trPr>
        <w:tc>
          <w:tcPr>
            <w:tcW w:w="4359" w:type="dxa"/>
            <w:tcBorders>
              <w:top w:val="nil"/>
              <w:left w:val="single" w:sz="8" w:space="0" w:color="FFFFFF"/>
              <w:bottom w:val="single" w:sz="8" w:space="0" w:color="FFFFFF"/>
              <w:right w:val="single" w:sz="8" w:space="0" w:color="000000"/>
            </w:tcBorders>
            <w:shd w:val="clear" w:color="auto" w:fill="F2F2F2"/>
            <w:tcMar>
              <w:top w:w="15" w:type="dxa"/>
              <w:left w:w="15" w:type="dxa"/>
              <w:bottom w:w="0" w:type="dxa"/>
              <w:right w:w="15" w:type="dxa"/>
            </w:tcMar>
            <w:vAlign w:val="bottom"/>
            <w:hideMark/>
          </w:tcPr>
          <w:p w14:paraId="317D617C" w14:textId="77777777" w:rsidR="00F57FE2" w:rsidRDefault="00F57FE2">
            <w:pPr>
              <w:textAlignment w:val="bottom"/>
            </w:pPr>
            <w:r>
              <w:rPr>
                <w:rFonts w:ascii="Book Antiqua" w:hAnsi="Book Antiqua"/>
                <w:color w:val="000000"/>
                <w:lang w:eastAsia="es-CR"/>
              </w:rPr>
              <w:t>Necesidades para reforma Familia </w:t>
            </w:r>
          </w:p>
        </w:tc>
        <w:tc>
          <w:tcPr>
            <w:tcW w:w="4359" w:type="dxa"/>
            <w:tcBorders>
              <w:top w:val="nil"/>
              <w:left w:val="nil"/>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3211A392" w14:textId="77777777" w:rsidR="00F57FE2" w:rsidRDefault="00F57FE2">
            <w:pPr>
              <w:jc w:val="center"/>
              <w:textAlignment w:val="bottom"/>
            </w:pPr>
            <w:r>
              <w:rPr>
                <w:rFonts w:ascii="Times New Roman" w:hAnsi="Times New Roman" w:cs="Times New Roman"/>
                <w:color w:val="000000"/>
                <w:lang w:eastAsia="es-CR"/>
              </w:rPr>
              <w:t>₡</w:t>
            </w:r>
            <w:r>
              <w:rPr>
                <w:rFonts w:ascii="Book Antiqua" w:hAnsi="Book Antiqua"/>
                <w:color w:val="000000"/>
                <w:lang w:eastAsia="es-CR"/>
              </w:rPr>
              <w:t>3.895,5 millones </w:t>
            </w:r>
          </w:p>
        </w:tc>
      </w:tr>
      <w:tr w:rsidR="00F57FE2" w14:paraId="730C9610" w14:textId="77777777" w:rsidTr="00F57FE2">
        <w:trPr>
          <w:trHeight w:val="396"/>
        </w:trPr>
        <w:tc>
          <w:tcPr>
            <w:tcW w:w="4359" w:type="dxa"/>
            <w:tcBorders>
              <w:top w:val="nil"/>
              <w:left w:val="single" w:sz="8" w:space="0" w:color="FFFFFF"/>
              <w:bottom w:val="single" w:sz="8" w:space="0" w:color="FFFFFF"/>
              <w:right w:val="single" w:sz="8" w:space="0" w:color="000000"/>
            </w:tcBorders>
            <w:tcMar>
              <w:top w:w="15" w:type="dxa"/>
              <w:left w:w="15" w:type="dxa"/>
              <w:bottom w:w="0" w:type="dxa"/>
              <w:right w:w="15" w:type="dxa"/>
            </w:tcMar>
            <w:vAlign w:val="bottom"/>
            <w:hideMark/>
          </w:tcPr>
          <w:p w14:paraId="0E702F3E" w14:textId="77777777" w:rsidR="00F57FE2" w:rsidRDefault="00F57FE2">
            <w:pPr>
              <w:textAlignment w:val="bottom"/>
            </w:pPr>
            <w:r>
              <w:rPr>
                <w:rFonts w:ascii="Book Antiqua" w:hAnsi="Book Antiqua"/>
                <w:color w:val="000000"/>
                <w:lang w:eastAsia="es-CR"/>
              </w:rPr>
              <w:t>Necesidades para reforma Agraria </w:t>
            </w:r>
          </w:p>
        </w:tc>
        <w:tc>
          <w:tcPr>
            <w:tcW w:w="4359" w:type="dxa"/>
            <w:tcBorders>
              <w:top w:val="nil"/>
              <w:left w:val="nil"/>
              <w:bottom w:val="single" w:sz="8" w:space="0" w:color="FFFFFF"/>
              <w:right w:val="single" w:sz="8" w:space="0" w:color="FFFFFF"/>
            </w:tcBorders>
            <w:tcMar>
              <w:top w:w="15" w:type="dxa"/>
              <w:left w:w="15" w:type="dxa"/>
              <w:bottom w:w="0" w:type="dxa"/>
              <w:right w:w="15" w:type="dxa"/>
            </w:tcMar>
            <w:vAlign w:val="bottom"/>
            <w:hideMark/>
          </w:tcPr>
          <w:p w14:paraId="00D12888" w14:textId="77777777" w:rsidR="00F57FE2" w:rsidRDefault="00F57FE2">
            <w:pPr>
              <w:jc w:val="center"/>
              <w:textAlignment w:val="bottom"/>
            </w:pPr>
            <w:r>
              <w:rPr>
                <w:rFonts w:ascii="Times New Roman" w:hAnsi="Times New Roman" w:cs="Times New Roman"/>
                <w:color w:val="000000"/>
                <w:lang w:eastAsia="es-CR"/>
              </w:rPr>
              <w:t>₡</w:t>
            </w:r>
            <w:r>
              <w:rPr>
                <w:rFonts w:ascii="Book Antiqua" w:hAnsi="Book Antiqua"/>
                <w:color w:val="000000"/>
                <w:lang w:eastAsia="es-CR"/>
              </w:rPr>
              <w:t>910,8 millones </w:t>
            </w:r>
          </w:p>
        </w:tc>
      </w:tr>
      <w:tr w:rsidR="00F57FE2" w14:paraId="2BDFE585" w14:textId="77777777" w:rsidTr="00F57FE2">
        <w:trPr>
          <w:trHeight w:val="396"/>
        </w:trPr>
        <w:tc>
          <w:tcPr>
            <w:tcW w:w="4359" w:type="dxa"/>
            <w:tcBorders>
              <w:top w:val="nil"/>
              <w:left w:val="single" w:sz="8" w:space="0" w:color="FFFFFF"/>
              <w:bottom w:val="single" w:sz="8" w:space="0" w:color="FFFFFF"/>
              <w:right w:val="single" w:sz="8" w:space="0" w:color="000000"/>
            </w:tcBorders>
            <w:shd w:val="clear" w:color="auto" w:fill="F2F2F2"/>
            <w:tcMar>
              <w:top w:w="15" w:type="dxa"/>
              <w:left w:w="15" w:type="dxa"/>
              <w:bottom w:w="0" w:type="dxa"/>
              <w:right w:w="15" w:type="dxa"/>
            </w:tcMar>
            <w:vAlign w:val="bottom"/>
            <w:hideMark/>
          </w:tcPr>
          <w:p w14:paraId="44E5C78B" w14:textId="77777777" w:rsidR="00F57FE2" w:rsidRDefault="00F57FE2">
            <w:pPr>
              <w:textAlignment w:val="bottom"/>
            </w:pPr>
            <w:r>
              <w:rPr>
                <w:rFonts w:ascii="Book Antiqua" w:hAnsi="Book Antiqua"/>
                <w:color w:val="000000"/>
                <w:lang w:eastAsia="es-CR"/>
              </w:rPr>
              <w:t>Proyecto de Fortalecimiento de Seguridad en PJ</w:t>
            </w:r>
          </w:p>
        </w:tc>
        <w:tc>
          <w:tcPr>
            <w:tcW w:w="4359" w:type="dxa"/>
            <w:tcBorders>
              <w:top w:val="nil"/>
              <w:left w:val="nil"/>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3E24FBE2" w14:textId="77777777" w:rsidR="00F57FE2" w:rsidRDefault="00F57FE2">
            <w:pPr>
              <w:jc w:val="center"/>
              <w:textAlignment w:val="bottom"/>
            </w:pPr>
            <w:r>
              <w:rPr>
                <w:rFonts w:ascii="Times New Roman" w:hAnsi="Times New Roman" w:cs="Times New Roman"/>
                <w:color w:val="000000"/>
                <w:lang w:eastAsia="es-CR"/>
              </w:rPr>
              <w:t>₡</w:t>
            </w:r>
            <w:r>
              <w:rPr>
                <w:rFonts w:ascii="Book Antiqua" w:hAnsi="Book Antiqua"/>
                <w:color w:val="000000"/>
                <w:lang w:eastAsia="es-CR"/>
              </w:rPr>
              <w:t>2.402,3 millones </w:t>
            </w:r>
          </w:p>
        </w:tc>
      </w:tr>
      <w:tr w:rsidR="00F57FE2" w14:paraId="03F21275" w14:textId="77777777" w:rsidTr="00F57FE2">
        <w:trPr>
          <w:trHeight w:val="396"/>
        </w:trPr>
        <w:tc>
          <w:tcPr>
            <w:tcW w:w="4359" w:type="dxa"/>
            <w:tcBorders>
              <w:top w:val="nil"/>
              <w:left w:val="single" w:sz="8" w:space="0" w:color="FFFFFF"/>
              <w:bottom w:val="single" w:sz="8" w:space="0" w:color="FFFFFF"/>
              <w:right w:val="single" w:sz="8" w:space="0" w:color="000000"/>
            </w:tcBorders>
            <w:tcMar>
              <w:top w:w="15" w:type="dxa"/>
              <w:left w:w="15" w:type="dxa"/>
              <w:bottom w:w="0" w:type="dxa"/>
              <w:right w:w="15" w:type="dxa"/>
            </w:tcMar>
            <w:vAlign w:val="bottom"/>
            <w:hideMark/>
          </w:tcPr>
          <w:p w14:paraId="4774DFAE" w14:textId="77777777" w:rsidR="00F57FE2" w:rsidRDefault="00F57FE2">
            <w:pPr>
              <w:textAlignment w:val="bottom"/>
            </w:pPr>
            <w:r>
              <w:rPr>
                <w:rFonts w:ascii="Book Antiqua" w:hAnsi="Book Antiqua"/>
                <w:color w:val="000000"/>
                <w:lang w:eastAsia="es-CR"/>
              </w:rPr>
              <w:t>Necesidades operativas en Construcciones </w:t>
            </w:r>
          </w:p>
        </w:tc>
        <w:tc>
          <w:tcPr>
            <w:tcW w:w="4359" w:type="dxa"/>
            <w:tcBorders>
              <w:top w:val="nil"/>
              <w:left w:val="nil"/>
              <w:bottom w:val="single" w:sz="8" w:space="0" w:color="FFFFFF"/>
              <w:right w:val="single" w:sz="8" w:space="0" w:color="FFFFFF"/>
            </w:tcBorders>
            <w:tcMar>
              <w:top w:w="15" w:type="dxa"/>
              <w:left w:w="15" w:type="dxa"/>
              <w:bottom w:w="0" w:type="dxa"/>
              <w:right w:w="15" w:type="dxa"/>
            </w:tcMar>
            <w:vAlign w:val="bottom"/>
            <w:hideMark/>
          </w:tcPr>
          <w:p w14:paraId="69B5F12C" w14:textId="77777777" w:rsidR="00F57FE2" w:rsidRDefault="00F57FE2">
            <w:pPr>
              <w:jc w:val="center"/>
              <w:textAlignment w:val="bottom"/>
            </w:pPr>
            <w:r>
              <w:rPr>
                <w:rFonts w:ascii="Times New Roman" w:hAnsi="Times New Roman" w:cs="Times New Roman"/>
                <w:color w:val="000000"/>
                <w:lang w:eastAsia="es-CR"/>
              </w:rPr>
              <w:t>₡</w:t>
            </w:r>
            <w:r>
              <w:rPr>
                <w:rFonts w:ascii="Book Antiqua" w:hAnsi="Book Antiqua"/>
                <w:color w:val="000000"/>
                <w:lang w:eastAsia="es-CR"/>
              </w:rPr>
              <w:t>1.347,5 millones </w:t>
            </w:r>
          </w:p>
        </w:tc>
      </w:tr>
      <w:tr w:rsidR="00F57FE2" w14:paraId="44FF22EC" w14:textId="77777777" w:rsidTr="00F57FE2">
        <w:trPr>
          <w:trHeight w:val="396"/>
        </w:trPr>
        <w:tc>
          <w:tcPr>
            <w:tcW w:w="4359" w:type="dxa"/>
            <w:tcBorders>
              <w:top w:val="nil"/>
              <w:left w:val="single" w:sz="8" w:space="0" w:color="FFFFFF"/>
              <w:bottom w:val="single" w:sz="8" w:space="0" w:color="FFFFFF"/>
              <w:right w:val="single" w:sz="8" w:space="0" w:color="000000"/>
            </w:tcBorders>
            <w:shd w:val="clear" w:color="auto" w:fill="F2F2F2"/>
            <w:tcMar>
              <w:top w:w="15" w:type="dxa"/>
              <w:left w:w="15" w:type="dxa"/>
              <w:bottom w:w="0" w:type="dxa"/>
              <w:right w:w="15" w:type="dxa"/>
            </w:tcMar>
            <w:vAlign w:val="bottom"/>
            <w:hideMark/>
          </w:tcPr>
          <w:p w14:paraId="78BAD470" w14:textId="77777777" w:rsidR="00F57FE2" w:rsidRDefault="00F57FE2">
            <w:pPr>
              <w:textAlignment w:val="bottom"/>
            </w:pPr>
            <w:r>
              <w:rPr>
                <w:rFonts w:ascii="Book Antiqua" w:hAnsi="Book Antiqua"/>
                <w:color w:val="000000"/>
                <w:lang w:eastAsia="es-CR"/>
              </w:rPr>
              <w:t>Necesidades operativas en Tecnología</w:t>
            </w:r>
          </w:p>
        </w:tc>
        <w:tc>
          <w:tcPr>
            <w:tcW w:w="4359" w:type="dxa"/>
            <w:tcBorders>
              <w:top w:val="nil"/>
              <w:left w:val="nil"/>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3274C6E6" w14:textId="77777777" w:rsidR="00F57FE2" w:rsidRDefault="00F57FE2">
            <w:pPr>
              <w:jc w:val="center"/>
              <w:textAlignment w:val="bottom"/>
            </w:pPr>
            <w:r>
              <w:rPr>
                <w:rFonts w:ascii="Times New Roman" w:hAnsi="Times New Roman" w:cs="Times New Roman"/>
                <w:color w:val="000000"/>
                <w:lang w:eastAsia="es-CR"/>
              </w:rPr>
              <w:t>₡</w:t>
            </w:r>
            <w:r>
              <w:rPr>
                <w:rFonts w:ascii="Book Antiqua" w:hAnsi="Book Antiqua"/>
                <w:color w:val="000000"/>
                <w:lang w:eastAsia="es-CR"/>
              </w:rPr>
              <w:t>3.074,4 millones </w:t>
            </w:r>
          </w:p>
        </w:tc>
      </w:tr>
    </w:tbl>
    <w:p w14:paraId="0AEB8883" w14:textId="77777777" w:rsidR="00F57FE2" w:rsidRDefault="00F57FE2" w:rsidP="00F57FE2">
      <w:pPr>
        <w:ind w:left="57"/>
        <w:jc w:val="both"/>
        <w:textAlignment w:val="baseline"/>
        <w:rPr>
          <w:lang w:val="es-MX"/>
        </w:rPr>
      </w:pPr>
      <w:r>
        <w:rPr>
          <w:rFonts w:ascii="Book Antiqua" w:hAnsi="Book Antiqua"/>
          <w:sz w:val="24"/>
          <w:szCs w:val="24"/>
        </w:rPr>
        <w:t> </w:t>
      </w:r>
    </w:p>
    <w:p w14:paraId="144278DF" w14:textId="65F7A02C" w:rsidR="00F57FE2" w:rsidRDefault="00F57FE2" w:rsidP="00F57FE2">
      <w:pPr>
        <w:ind w:left="57"/>
        <w:jc w:val="both"/>
        <w:textAlignment w:val="baseline"/>
        <w:rPr>
          <w:lang w:val="es-MX"/>
        </w:rPr>
      </w:pPr>
      <w:r>
        <w:rPr>
          <w:rFonts w:ascii="Book Antiqua" w:hAnsi="Book Antiqua"/>
          <w:b/>
          <w:bCs/>
          <w:color w:val="000000"/>
          <w:sz w:val="24"/>
          <w:szCs w:val="24"/>
          <w:bdr w:val="none" w:sz="0" w:space="0" w:color="auto" w:frame="1"/>
          <w:lang w:val="es-MX" w:eastAsia="es-MX"/>
        </w:rPr>
        <w:t xml:space="preserve">Necesidades institucionales sin contenido presupuestario. </w:t>
      </w:r>
      <w:r>
        <w:rPr>
          <w:rFonts w:ascii="Book Antiqua" w:hAnsi="Book Antiqua"/>
          <w:color w:val="000000"/>
          <w:sz w:val="24"/>
          <w:szCs w:val="24"/>
          <w:bdr w:val="none" w:sz="0" w:space="0" w:color="auto" w:frame="1"/>
          <w:lang w:val="es-MX" w:eastAsia="es-MX"/>
        </w:rPr>
        <w:t>La institución mantiene un requerimiento de recursos para la atención de leyes aprobadas sin contenido económico como lo son:</w:t>
      </w:r>
    </w:p>
    <w:p w14:paraId="5523D0C9" w14:textId="77777777" w:rsidR="00F57FE2" w:rsidRDefault="00F57FE2" w:rsidP="00F57FE2">
      <w:pPr>
        <w:shd w:val="clear" w:color="auto" w:fill="FFFFFF"/>
        <w:jc w:val="both"/>
        <w:textAlignment w:val="baseline"/>
        <w:rPr>
          <w:lang w:val="es-MX"/>
        </w:rPr>
      </w:pPr>
      <w:r>
        <w:rPr>
          <w:rFonts w:ascii="Book Antiqua" w:hAnsi="Book Antiqua"/>
          <w:color w:val="000000"/>
          <w:sz w:val="24"/>
          <w:szCs w:val="24"/>
          <w:bdr w:val="none" w:sz="0" w:space="0" w:color="auto" w:frame="1"/>
          <w:lang w:val="es-MX" w:eastAsia="es-MX"/>
        </w:rPr>
        <w:t> </w:t>
      </w:r>
    </w:p>
    <w:p w14:paraId="5A0D9DB0" w14:textId="77777777" w:rsidR="00F57FE2" w:rsidRDefault="00F57FE2" w:rsidP="00F57FE2">
      <w:pPr>
        <w:numPr>
          <w:ilvl w:val="0"/>
          <w:numId w:val="2"/>
        </w:numPr>
        <w:shd w:val="clear" w:color="auto" w:fill="FFFFFF"/>
        <w:jc w:val="both"/>
        <w:textAlignment w:val="baseline"/>
        <w:rPr>
          <w:rFonts w:eastAsia="Times New Roman"/>
          <w:lang w:val="es-MX"/>
        </w:rPr>
      </w:pPr>
      <w:r>
        <w:rPr>
          <w:rFonts w:ascii="Book Antiqua" w:eastAsia="Times New Roman" w:hAnsi="Book Antiqua"/>
          <w:color w:val="000000"/>
          <w:sz w:val="24"/>
          <w:szCs w:val="24"/>
          <w:lang w:val="es-MX" w:eastAsia="es-MX"/>
        </w:rPr>
        <w:t>Ley 9458 de Bienestar de los Animales:          Requiere ¢591,7 millones</w:t>
      </w:r>
    </w:p>
    <w:p w14:paraId="57674DA4" w14:textId="77777777" w:rsidR="00F57FE2" w:rsidRDefault="00F57FE2" w:rsidP="00F57FE2">
      <w:pPr>
        <w:numPr>
          <w:ilvl w:val="0"/>
          <w:numId w:val="2"/>
        </w:numPr>
        <w:shd w:val="clear" w:color="auto" w:fill="FFFFFF"/>
        <w:jc w:val="both"/>
        <w:textAlignment w:val="baseline"/>
        <w:rPr>
          <w:rFonts w:eastAsia="Times New Roman"/>
          <w:lang w:val="es-MX"/>
        </w:rPr>
      </w:pPr>
      <w:r>
        <w:rPr>
          <w:rFonts w:ascii="Book Antiqua" w:eastAsia="Times New Roman" w:hAnsi="Book Antiqua"/>
          <w:color w:val="000000"/>
          <w:sz w:val="24"/>
          <w:szCs w:val="24"/>
          <w:lang w:val="es-MX" w:eastAsia="es-MX"/>
        </w:rPr>
        <w:t xml:space="preserve">Ley 9582 Justicia Restaurativa:                       Requiere </w:t>
      </w:r>
      <w:r>
        <w:rPr>
          <w:rFonts w:ascii="Book Antiqua" w:eastAsia="Times New Roman" w:hAnsi="Book Antiqua"/>
          <w:color w:val="000000"/>
          <w:sz w:val="24"/>
          <w:szCs w:val="24"/>
          <w:lang w:val="en-US"/>
        </w:rPr>
        <w:t>¢1.422,3 millones</w:t>
      </w:r>
    </w:p>
    <w:p w14:paraId="311A6B37" w14:textId="77777777" w:rsidR="00F57FE2" w:rsidRDefault="00F57FE2" w:rsidP="00F57FE2">
      <w:pPr>
        <w:numPr>
          <w:ilvl w:val="0"/>
          <w:numId w:val="2"/>
        </w:numPr>
        <w:shd w:val="clear" w:color="auto" w:fill="FFFFFF"/>
        <w:jc w:val="both"/>
        <w:textAlignment w:val="baseline"/>
        <w:rPr>
          <w:rFonts w:eastAsia="Times New Roman"/>
          <w:lang w:val="es-MX"/>
        </w:rPr>
      </w:pPr>
      <w:r>
        <w:rPr>
          <w:rFonts w:ascii="Book Antiqua" w:eastAsia="Times New Roman" w:hAnsi="Book Antiqua"/>
          <w:color w:val="000000"/>
          <w:sz w:val="24"/>
          <w:szCs w:val="24"/>
          <w:lang w:val="es-MX" w:eastAsia="es-MX"/>
        </w:rPr>
        <w:t>Ley 9983 Nueva Ley de Contratación Pública: Requiere ¢577,8 millones</w:t>
      </w:r>
    </w:p>
    <w:p w14:paraId="5D8FE044" w14:textId="77777777" w:rsidR="00F57FE2" w:rsidRDefault="00F57FE2" w:rsidP="00F57FE2">
      <w:pPr>
        <w:shd w:val="clear" w:color="auto" w:fill="FFFFFF"/>
        <w:jc w:val="both"/>
        <w:textAlignment w:val="baseline"/>
        <w:rPr>
          <w:lang w:val="es-MX"/>
        </w:rPr>
      </w:pPr>
      <w:r>
        <w:rPr>
          <w:rFonts w:ascii="Book Antiqua" w:hAnsi="Book Antiqua"/>
          <w:color w:val="000000"/>
          <w:sz w:val="24"/>
          <w:szCs w:val="24"/>
          <w:lang w:val="es-MX" w:eastAsia="es-MX"/>
        </w:rPr>
        <w:t> </w:t>
      </w:r>
    </w:p>
    <w:p w14:paraId="739B6EE3" w14:textId="77777777" w:rsidR="00F57FE2" w:rsidRDefault="00F57FE2" w:rsidP="00F57FE2">
      <w:pPr>
        <w:shd w:val="clear" w:color="auto" w:fill="FFFFFF"/>
        <w:jc w:val="both"/>
        <w:textAlignment w:val="baseline"/>
        <w:rPr>
          <w:lang w:val="es-MX"/>
        </w:rPr>
      </w:pPr>
      <w:r>
        <w:rPr>
          <w:rFonts w:ascii="Book Antiqua" w:hAnsi="Book Antiqua"/>
          <w:color w:val="000000"/>
          <w:sz w:val="24"/>
          <w:szCs w:val="24"/>
          <w:lang w:val="es-MX" w:eastAsia="es-MX"/>
        </w:rPr>
        <w:t>Adicionalmente, la Corte Plena conoció una serie de necesidades institucionales que no pueden ser incorporados al presupuesto debido a las restricciones presupuestarias, y dispuso enviarlas al Ministerio de Hacienda de manera adicional al presupuesto ordinario del Poder Judicial para el 2025.  El proyecto de presupuesto se deberá remitir a más tardar el 8 de junio al Ministerio de Hacienda.</w:t>
      </w:r>
    </w:p>
    <w:p w14:paraId="2CF9E0AB" w14:textId="77777777" w:rsidR="00F57FE2" w:rsidRDefault="00F57FE2" w:rsidP="00F57FE2">
      <w:pPr>
        <w:shd w:val="clear" w:color="auto" w:fill="FFFFFF"/>
        <w:jc w:val="both"/>
        <w:textAlignment w:val="baseline"/>
        <w:rPr>
          <w:lang w:val="es-MX"/>
        </w:rPr>
      </w:pPr>
      <w:r>
        <w:rPr>
          <w:rFonts w:ascii="Book Antiqua" w:hAnsi="Book Antiqua"/>
          <w:color w:val="000000"/>
          <w:sz w:val="24"/>
          <w:szCs w:val="24"/>
          <w:lang w:val="es-MX" w:eastAsia="es-MX"/>
        </w:rPr>
        <w:t> </w:t>
      </w:r>
    </w:p>
    <w:p w14:paraId="092CD0AC" w14:textId="77777777" w:rsidR="00F57FE2" w:rsidRDefault="00F57FE2" w:rsidP="00F57FE2">
      <w:pPr>
        <w:shd w:val="clear" w:color="auto" w:fill="FFFFFF"/>
        <w:jc w:val="both"/>
        <w:textAlignment w:val="baseline"/>
        <w:rPr>
          <w:lang w:val="es-MX"/>
        </w:rPr>
      </w:pPr>
      <w:r>
        <w:rPr>
          <w:rFonts w:ascii="Book Antiqua" w:hAnsi="Book Antiqua"/>
          <w:color w:val="000000"/>
          <w:sz w:val="24"/>
          <w:szCs w:val="24"/>
          <w:lang w:val="es-MX" w:eastAsia="es-MX"/>
        </w:rPr>
        <w:t>Durante la presentación, análisis y aprobación de la propuesta presupuestaria del Poder Judicial para el 2025, participaron las personas integrantes del Consejo Superior, las personas directoras de las diferentes dependencias gerenciales así como las jefaturas de la Dirección de la Defensa Pública, el Organismo de Investigación Judicial y la Fiscalía General de la República.</w:t>
      </w:r>
    </w:p>
    <w:p w14:paraId="174E1414" w14:textId="77777777" w:rsidR="00F57FE2" w:rsidRDefault="00F57FE2" w:rsidP="00F57FE2">
      <w:pPr>
        <w:shd w:val="clear" w:color="auto" w:fill="FFFFFF"/>
        <w:ind w:left="57"/>
        <w:jc w:val="both"/>
        <w:textAlignment w:val="baseline"/>
        <w:rPr>
          <w:lang w:val="es-MX"/>
        </w:rPr>
      </w:pPr>
      <w:r>
        <w:rPr>
          <w:color w:val="000000"/>
          <w:sz w:val="24"/>
          <w:szCs w:val="24"/>
          <w:lang w:val="es-MX" w:eastAsia="es-MX"/>
        </w:rPr>
        <w:t> </w:t>
      </w:r>
    </w:p>
    <w:p w14:paraId="29650295" w14:textId="50128684" w:rsidR="00F57FE2" w:rsidRDefault="00F57FE2" w:rsidP="00F57FE2">
      <w:pPr>
        <w:shd w:val="clear" w:color="auto" w:fill="FFFFFF"/>
        <w:jc w:val="both"/>
        <w:textAlignment w:val="baseline"/>
        <w:rPr>
          <w:lang w:val="es-MX"/>
        </w:rPr>
      </w:pPr>
      <w:r>
        <w:rPr>
          <w:rFonts w:ascii="Book Antiqua" w:hAnsi="Book Antiqua"/>
          <w:color w:val="000000"/>
          <w:sz w:val="24"/>
          <w:szCs w:val="24"/>
          <w:lang w:val="es-MX" w:eastAsia="es-MX"/>
        </w:rPr>
        <w:t xml:space="preserve">La aprobación del anteproyecto de presupuesto para el próximo año se transmitió por </w:t>
      </w:r>
      <w:proofErr w:type="spellStart"/>
      <w:r>
        <w:rPr>
          <w:rFonts w:ascii="Book Antiqua" w:hAnsi="Book Antiqua"/>
          <w:color w:val="000000"/>
          <w:sz w:val="24"/>
          <w:szCs w:val="24"/>
          <w:lang w:val="es-MX" w:eastAsia="es-MX"/>
        </w:rPr>
        <w:t>livestreaming</w:t>
      </w:r>
      <w:proofErr w:type="spellEnd"/>
      <w:r>
        <w:rPr>
          <w:rFonts w:ascii="Book Antiqua" w:hAnsi="Book Antiqua"/>
          <w:color w:val="000000"/>
          <w:sz w:val="24"/>
          <w:szCs w:val="24"/>
          <w:lang w:val="es-MX" w:eastAsia="es-MX"/>
        </w:rPr>
        <w:t xml:space="preserve"> disponible</w:t>
      </w:r>
      <w:r>
        <w:rPr>
          <w:rFonts w:ascii="Book Antiqua" w:hAnsi="Book Antiqua"/>
          <w:color w:val="000000"/>
          <w:sz w:val="24"/>
          <w:szCs w:val="24"/>
          <w:lang w:val="es-MX" w:eastAsia="es-MX"/>
        </w:rPr>
        <w:t xml:space="preserve"> en </w:t>
      </w:r>
      <w:proofErr w:type="gramStart"/>
      <w:r>
        <w:rPr>
          <w:rFonts w:ascii="Book Antiqua" w:hAnsi="Book Antiqua"/>
          <w:color w:val="000000"/>
          <w:sz w:val="24"/>
          <w:szCs w:val="24"/>
          <w:lang w:val="es-MX" w:eastAsia="es-MX"/>
        </w:rPr>
        <w:t>el  siguiente</w:t>
      </w:r>
      <w:proofErr w:type="gramEnd"/>
      <w:r>
        <w:rPr>
          <w:rFonts w:ascii="Book Antiqua" w:hAnsi="Book Antiqua"/>
          <w:color w:val="000000"/>
          <w:sz w:val="24"/>
          <w:szCs w:val="24"/>
          <w:lang w:val="es-MX" w:eastAsia="es-MX"/>
        </w:rPr>
        <w:t xml:space="preserve"> enlace: </w:t>
      </w:r>
      <w:hyperlink r:id="rId6" w:history="1">
        <w:r>
          <w:rPr>
            <w:rStyle w:val="Hipervnculo"/>
            <w:rFonts w:ascii="Book Antiqua" w:hAnsi="Book Antiqua"/>
            <w:sz w:val="24"/>
            <w:szCs w:val="24"/>
            <w:lang w:val="es-MX" w:eastAsia="es-MX"/>
          </w:rPr>
          <w:t>https://livestream.com/poderjudicial-costarica/events/11149355</w:t>
        </w:r>
      </w:hyperlink>
      <w:r>
        <w:rPr>
          <w:color w:val="000000"/>
        </w:rPr>
        <w:t xml:space="preserve"> </w:t>
      </w:r>
      <w:r>
        <w:rPr>
          <w:rFonts w:ascii="Book Antiqua" w:hAnsi="Book Antiqua"/>
          <w:color w:val="000000"/>
        </w:rPr>
        <w:t xml:space="preserve">es una sesión pública. </w:t>
      </w:r>
    </w:p>
    <w:p w14:paraId="2320D444" w14:textId="77777777" w:rsidR="00F57FE2" w:rsidRDefault="00F57FE2" w:rsidP="00F57FE2">
      <w:pPr>
        <w:shd w:val="clear" w:color="auto" w:fill="FFFFFF"/>
        <w:jc w:val="both"/>
        <w:textAlignment w:val="baseline"/>
        <w:rPr>
          <w:lang w:val="es-MX"/>
        </w:rPr>
      </w:pPr>
      <w:r>
        <w:rPr>
          <w:rFonts w:ascii="Book Antiqua" w:hAnsi="Book Antiqua"/>
          <w:color w:val="000000"/>
          <w:sz w:val="24"/>
          <w:szCs w:val="24"/>
          <w:lang w:val="es-MX" w:eastAsia="es-MX"/>
        </w:rPr>
        <w:t> </w:t>
      </w:r>
    </w:p>
    <w:p w14:paraId="3D7BE8C7" w14:textId="44ABA14E" w:rsidR="00F57FE2" w:rsidRDefault="00F57FE2" w:rsidP="00F57FE2">
      <w:pPr>
        <w:ind w:left="57"/>
        <w:rPr>
          <w:lang w:val="es-MX"/>
        </w:rPr>
      </w:pPr>
      <w:r>
        <w:rPr>
          <w:rFonts w:ascii="Book Antiqua" w:hAnsi="Book Antiqua"/>
        </w:rPr>
        <w:t> </w:t>
      </w:r>
      <w:r>
        <w:t> </w:t>
      </w:r>
      <w:r>
        <w:rPr>
          <w:lang w:eastAsia="es-CR"/>
        </w:rPr>
        <w:t xml:space="preserve"> </w:t>
      </w:r>
      <w:r>
        <w:rPr>
          <w:noProof/>
          <w:lang w:val="es-MX"/>
        </w:rPr>
        <w:drawing>
          <wp:inline distT="0" distB="0" distL="0" distR="0" wp14:anchorId="55BAB37F" wp14:editId="4E5C440E">
            <wp:extent cx="5612130" cy="874395"/>
            <wp:effectExtent l="0" t="0" r="7620" b="1905"/>
            <wp:docPr id="214084456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terfaz de usuario gráfica, Aplicació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874395"/>
                    </a:xfrm>
                    <a:prstGeom prst="rect">
                      <a:avLst/>
                    </a:prstGeom>
                    <a:noFill/>
                    <a:ln>
                      <a:noFill/>
                    </a:ln>
                  </pic:spPr>
                </pic:pic>
              </a:graphicData>
            </a:graphic>
          </wp:inline>
        </w:drawing>
      </w:r>
    </w:p>
    <w:p w14:paraId="2E514E4D" w14:textId="77777777" w:rsidR="00B805D5" w:rsidRDefault="00B805D5"/>
    <w:sectPr w:rsidR="00B805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7583"/>
    <w:multiLevelType w:val="hybridMultilevel"/>
    <w:tmpl w:val="D8DC08EA"/>
    <w:lvl w:ilvl="0" w:tplc="080A0001">
      <w:start w:val="1"/>
      <w:numFmt w:val="bullet"/>
      <w:lvlText w:val=""/>
      <w:lvlJc w:val="left"/>
      <w:pPr>
        <w:ind w:left="777" w:hanging="360"/>
      </w:pPr>
      <w:rPr>
        <w:rFonts w:ascii="Symbol" w:hAnsi="Symbol" w:hint="default"/>
      </w:rPr>
    </w:lvl>
    <w:lvl w:ilvl="1" w:tplc="080A0003">
      <w:start w:val="1"/>
      <w:numFmt w:val="bullet"/>
      <w:lvlText w:val="o"/>
      <w:lvlJc w:val="left"/>
      <w:pPr>
        <w:ind w:left="1497" w:hanging="360"/>
      </w:pPr>
      <w:rPr>
        <w:rFonts w:ascii="Courier New" w:hAnsi="Courier New" w:cs="Courier New" w:hint="default"/>
      </w:rPr>
    </w:lvl>
    <w:lvl w:ilvl="2" w:tplc="080A0005">
      <w:start w:val="1"/>
      <w:numFmt w:val="bullet"/>
      <w:lvlText w:val=""/>
      <w:lvlJc w:val="left"/>
      <w:pPr>
        <w:ind w:left="2217" w:hanging="360"/>
      </w:pPr>
      <w:rPr>
        <w:rFonts w:ascii="Wingdings" w:hAnsi="Wingdings" w:hint="default"/>
      </w:rPr>
    </w:lvl>
    <w:lvl w:ilvl="3" w:tplc="080A0001">
      <w:start w:val="1"/>
      <w:numFmt w:val="bullet"/>
      <w:lvlText w:val=""/>
      <w:lvlJc w:val="left"/>
      <w:pPr>
        <w:ind w:left="2937" w:hanging="360"/>
      </w:pPr>
      <w:rPr>
        <w:rFonts w:ascii="Symbol" w:hAnsi="Symbol" w:hint="default"/>
      </w:rPr>
    </w:lvl>
    <w:lvl w:ilvl="4" w:tplc="080A0003">
      <w:start w:val="1"/>
      <w:numFmt w:val="bullet"/>
      <w:lvlText w:val="o"/>
      <w:lvlJc w:val="left"/>
      <w:pPr>
        <w:ind w:left="3657" w:hanging="360"/>
      </w:pPr>
      <w:rPr>
        <w:rFonts w:ascii="Courier New" w:hAnsi="Courier New" w:cs="Courier New" w:hint="default"/>
      </w:rPr>
    </w:lvl>
    <w:lvl w:ilvl="5" w:tplc="080A0005">
      <w:start w:val="1"/>
      <w:numFmt w:val="bullet"/>
      <w:lvlText w:val=""/>
      <w:lvlJc w:val="left"/>
      <w:pPr>
        <w:ind w:left="4377" w:hanging="360"/>
      </w:pPr>
      <w:rPr>
        <w:rFonts w:ascii="Wingdings" w:hAnsi="Wingdings" w:hint="default"/>
      </w:rPr>
    </w:lvl>
    <w:lvl w:ilvl="6" w:tplc="080A0001">
      <w:start w:val="1"/>
      <w:numFmt w:val="bullet"/>
      <w:lvlText w:val=""/>
      <w:lvlJc w:val="left"/>
      <w:pPr>
        <w:ind w:left="5097" w:hanging="360"/>
      </w:pPr>
      <w:rPr>
        <w:rFonts w:ascii="Symbol" w:hAnsi="Symbol" w:hint="default"/>
      </w:rPr>
    </w:lvl>
    <w:lvl w:ilvl="7" w:tplc="080A0003">
      <w:start w:val="1"/>
      <w:numFmt w:val="bullet"/>
      <w:lvlText w:val="o"/>
      <w:lvlJc w:val="left"/>
      <w:pPr>
        <w:ind w:left="5817" w:hanging="360"/>
      </w:pPr>
      <w:rPr>
        <w:rFonts w:ascii="Courier New" w:hAnsi="Courier New" w:cs="Courier New" w:hint="default"/>
      </w:rPr>
    </w:lvl>
    <w:lvl w:ilvl="8" w:tplc="080A0005">
      <w:start w:val="1"/>
      <w:numFmt w:val="bullet"/>
      <w:lvlText w:val=""/>
      <w:lvlJc w:val="left"/>
      <w:pPr>
        <w:ind w:left="6537" w:hanging="360"/>
      </w:pPr>
      <w:rPr>
        <w:rFonts w:ascii="Wingdings" w:hAnsi="Wingdings" w:hint="default"/>
      </w:rPr>
    </w:lvl>
  </w:abstractNum>
  <w:abstractNum w:abstractNumId="1" w15:restartNumberingAfterBreak="0">
    <w:nsid w:val="75091ECD"/>
    <w:multiLevelType w:val="hybridMultilevel"/>
    <w:tmpl w:val="5E44B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620380115">
    <w:abstractNumId w:val="0"/>
    <w:lvlOverride w:ilvl="0"/>
    <w:lvlOverride w:ilvl="1"/>
    <w:lvlOverride w:ilvl="2"/>
    <w:lvlOverride w:ilvl="3"/>
    <w:lvlOverride w:ilvl="4"/>
    <w:lvlOverride w:ilvl="5"/>
    <w:lvlOverride w:ilvl="6"/>
    <w:lvlOverride w:ilvl="7"/>
    <w:lvlOverride w:ilvl="8"/>
  </w:num>
  <w:num w:numId="2" w16cid:durableId="119965998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E2"/>
    <w:rsid w:val="00B805D5"/>
    <w:rsid w:val="00F57F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3134"/>
  <w15:chartTrackingRefBased/>
  <w15:docId w15:val="{397E61E7-85F0-45F0-927E-E805CAC0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E2"/>
    <w:pPr>
      <w:spacing w:after="0" w:line="240" w:lineRule="auto"/>
    </w:pPr>
    <w:rPr>
      <w:rFonts w:ascii="Calibri" w:hAnsi="Calibri" w:cs="Calibri"/>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7F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stream.com/poderjudicial-costarica/events/1114935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2824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Mena Quesada</dc:creator>
  <cp:keywords/>
  <dc:description/>
  <cp:lastModifiedBy>Paulo Mena Quesada</cp:lastModifiedBy>
  <cp:revision>1</cp:revision>
  <dcterms:created xsi:type="dcterms:W3CDTF">2024-06-26T19:38:00Z</dcterms:created>
  <dcterms:modified xsi:type="dcterms:W3CDTF">2024-06-26T19:42:00Z</dcterms:modified>
</cp:coreProperties>
</file>