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9FB8" w14:textId="0D4ADBD8" w:rsidR="00921F72" w:rsidRPr="00E24C49" w:rsidRDefault="00921F72" w:rsidP="00324E91">
      <w:pPr>
        <w:jc w:val="both"/>
        <w:rPr>
          <w:b/>
          <w:bCs/>
          <w:color w:val="000000"/>
          <w:sz w:val="23"/>
          <w:szCs w:val="23"/>
          <w:u w:val="single"/>
        </w:rPr>
      </w:pPr>
      <w:r w:rsidRPr="00E24C49">
        <w:rPr>
          <w:b/>
          <w:bCs/>
          <w:color w:val="000000"/>
          <w:sz w:val="23"/>
          <w:szCs w:val="23"/>
          <w:u w:val="single"/>
        </w:rPr>
        <w:t>CIRCULAR No.</w:t>
      </w:r>
      <w:r w:rsidR="00615AD9" w:rsidRPr="00E24C49">
        <w:rPr>
          <w:b/>
          <w:bCs/>
          <w:color w:val="000000"/>
          <w:sz w:val="23"/>
          <w:szCs w:val="23"/>
          <w:u w:val="single"/>
        </w:rPr>
        <w:t xml:space="preserve"> </w:t>
      </w:r>
      <w:r w:rsidR="00E24C49">
        <w:rPr>
          <w:b/>
          <w:bCs/>
          <w:color w:val="000000"/>
          <w:sz w:val="23"/>
          <w:szCs w:val="23"/>
          <w:u w:val="single"/>
        </w:rPr>
        <w:t>255</w:t>
      </w:r>
      <w:r w:rsidRPr="00E24C49">
        <w:rPr>
          <w:b/>
          <w:bCs/>
          <w:color w:val="000000"/>
          <w:sz w:val="23"/>
          <w:szCs w:val="23"/>
          <w:u w:val="single"/>
        </w:rPr>
        <w:t>-20</w:t>
      </w:r>
      <w:r w:rsidR="00615AD9" w:rsidRPr="00E24C49">
        <w:rPr>
          <w:b/>
          <w:bCs/>
          <w:color w:val="000000"/>
          <w:sz w:val="23"/>
          <w:szCs w:val="23"/>
          <w:u w:val="single"/>
        </w:rPr>
        <w:t>20</w:t>
      </w:r>
    </w:p>
    <w:p w14:paraId="0ADF0188" w14:textId="77777777" w:rsidR="00921F72" w:rsidRPr="00E24C49" w:rsidRDefault="00921F72" w:rsidP="00324E91">
      <w:pPr>
        <w:jc w:val="both"/>
        <w:rPr>
          <w:b/>
          <w:bCs/>
          <w:color w:val="000000"/>
          <w:sz w:val="23"/>
          <w:szCs w:val="23"/>
          <w:u w:val="single"/>
          <w:lang w:eastAsia="es-CR"/>
        </w:rPr>
      </w:pPr>
    </w:p>
    <w:p w14:paraId="599E3DCE" w14:textId="23C67B8E" w:rsidR="00C23BFE" w:rsidRPr="00E24C49" w:rsidRDefault="00921F72" w:rsidP="00324E91">
      <w:pPr>
        <w:jc w:val="both"/>
        <w:rPr>
          <w:bCs/>
          <w:sz w:val="23"/>
          <w:szCs w:val="23"/>
        </w:rPr>
      </w:pPr>
      <w:r w:rsidRPr="00E24C49">
        <w:rPr>
          <w:b/>
          <w:bCs/>
          <w:sz w:val="23"/>
          <w:szCs w:val="23"/>
          <w:u w:val="single"/>
        </w:rPr>
        <w:t>Asunto</w:t>
      </w:r>
      <w:r w:rsidRPr="00E24C49">
        <w:rPr>
          <w:bCs/>
          <w:sz w:val="23"/>
          <w:szCs w:val="23"/>
        </w:rPr>
        <w:t>:</w:t>
      </w:r>
      <w:r w:rsidR="005C0329" w:rsidRPr="00E24C49">
        <w:rPr>
          <w:sz w:val="23"/>
          <w:szCs w:val="23"/>
        </w:rPr>
        <w:t xml:space="preserve"> </w:t>
      </w:r>
      <w:r w:rsidR="00CF19D9" w:rsidRPr="00E24C49">
        <w:rPr>
          <w:bCs/>
          <w:sz w:val="23"/>
          <w:szCs w:val="23"/>
          <w:lang w:val="es-CR"/>
        </w:rPr>
        <w:t>Recomendaciones para el cumplimiento de las metas del PAO 2020</w:t>
      </w:r>
      <w:r w:rsidR="00D26CD6" w:rsidRPr="00E24C49">
        <w:rPr>
          <w:sz w:val="23"/>
          <w:szCs w:val="23"/>
        </w:rPr>
        <w:t>.</w:t>
      </w:r>
      <w:r w:rsidR="00CF19D9" w:rsidRPr="00E24C49">
        <w:rPr>
          <w:sz w:val="23"/>
          <w:szCs w:val="23"/>
        </w:rPr>
        <w:t>-</w:t>
      </w:r>
      <w:r w:rsidR="00D26CD6" w:rsidRPr="00E24C49">
        <w:rPr>
          <w:bCs/>
          <w:sz w:val="23"/>
          <w:szCs w:val="23"/>
          <w:lang w:val="es-CR"/>
        </w:rPr>
        <w:t xml:space="preserve"> </w:t>
      </w:r>
    </w:p>
    <w:p w14:paraId="4A6763A1" w14:textId="77777777" w:rsidR="00921F72" w:rsidRPr="00E24C49" w:rsidRDefault="00921F72" w:rsidP="00324E91">
      <w:pPr>
        <w:jc w:val="both"/>
        <w:rPr>
          <w:bCs/>
          <w:sz w:val="23"/>
          <w:szCs w:val="23"/>
        </w:rPr>
      </w:pPr>
    </w:p>
    <w:p w14:paraId="586B777C" w14:textId="5C288F08" w:rsidR="007B4F32" w:rsidRPr="00E24C49" w:rsidRDefault="007B4F32" w:rsidP="00324E91">
      <w:pPr>
        <w:jc w:val="center"/>
        <w:rPr>
          <w:b/>
          <w:bCs/>
          <w:sz w:val="23"/>
          <w:szCs w:val="23"/>
          <w:u w:val="single"/>
        </w:rPr>
      </w:pPr>
      <w:r w:rsidRPr="00E24C49">
        <w:rPr>
          <w:b/>
          <w:bCs/>
          <w:sz w:val="23"/>
          <w:szCs w:val="23"/>
          <w:u w:val="single"/>
        </w:rPr>
        <w:t xml:space="preserve">A </w:t>
      </w:r>
      <w:r w:rsidR="008D2571" w:rsidRPr="00E24C49">
        <w:rPr>
          <w:b/>
          <w:bCs/>
          <w:sz w:val="23"/>
          <w:szCs w:val="23"/>
          <w:u w:val="single"/>
        </w:rPr>
        <w:t>TODOS LOS DESPACHOS JUDICIALES DEL PAÍS</w:t>
      </w:r>
    </w:p>
    <w:p w14:paraId="5BB8F615" w14:textId="77777777" w:rsidR="007B4F32" w:rsidRPr="00E24C49" w:rsidRDefault="007B4F32" w:rsidP="00324E91">
      <w:pPr>
        <w:jc w:val="both"/>
        <w:rPr>
          <w:b/>
          <w:bCs/>
          <w:sz w:val="23"/>
          <w:szCs w:val="23"/>
          <w:u w:val="single"/>
        </w:rPr>
      </w:pPr>
    </w:p>
    <w:p w14:paraId="0F136A45" w14:textId="7BA3F347" w:rsidR="00921F72" w:rsidRPr="00E24C49" w:rsidRDefault="00921F72" w:rsidP="00324E91">
      <w:pPr>
        <w:jc w:val="both"/>
        <w:rPr>
          <w:b/>
          <w:bCs/>
          <w:sz w:val="23"/>
          <w:szCs w:val="23"/>
        </w:rPr>
      </w:pPr>
      <w:r w:rsidRPr="00E24C49">
        <w:rPr>
          <w:b/>
          <w:bCs/>
          <w:sz w:val="23"/>
          <w:szCs w:val="23"/>
          <w:u w:val="single"/>
        </w:rPr>
        <w:t>SE LES HACE SABER QUE</w:t>
      </w:r>
      <w:r w:rsidRPr="00E24C49">
        <w:rPr>
          <w:b/>
          <w:bCs/>
          <w:sz w:val="23"/>
          <w:szCs w:val="23"/>
        </w:rPr>
        <w:t>:</w:t>
      </w:r>
    </w:p>
    <w:p w14:paraId="76E09FB9" w14:textId="77777777" w:rsidR="00921F72" w:rsidRPr="00E24C49" w:rsidRDefault="00921F72" w:rsidP="00324E91">
      <w:pPr>
        <w:pStyle w:val="Textodebloque2"/>
        <w:ind w:left="0" w:right="0" w:firstLine="0"/>
        <w:rPr>
          <w:sz w:val="23"/>
          <w:szCs w:val="23"/>
        </w:rPr>
      </w:pPr>
    </w:p>
    <w:p w14:paraId="0A21DE59" w14:textId="5548A500" w:rsidR="00322363" w:rsidRPr="00E24C49" w:rsidRDefault="0033597B" w:rsidP="00324E91">
      <w:pPr>
        <w:shd w:val="clear" w:color="auto" w:fill="FFFFFF"/>
        <w:jc w:val="both"/>
        <w:rPr>
          <w:color w:val="000000" w:themeColor="text1"/>
          <w:sz w:val="23"/>
          <w:szCs w:val="23"/>
          <w:lang w:val="es-CR"/>
        </w:rPr>
      </w:pPr>
      <w:r w:rsidRPr="00E24C49">
        <w:rPr>
          <w:sz w:val="23"/>
          <w:szCs w:val="23"/>
        </w:rPr>
        <w:t>El Consejo Superior del Poder Judicial e</w:t>
      </w:r>
      <w:r w:rsidR="00C23BFE" w:rsidRPr="00E24C49">
        <w:rPr>
          <w:sz w:val="23"/>
          <w:szCs w:val="23"/>
        </w:rPr>
        <w:t>n sesión</w:t>
      </w:r>
      <w:r w:rsidR="00F63449" w:rsidRPr="00E24C49">
        <w:rPr>
          <w:sz w:val="23"/>
          <w:szCs w:val="23"/>
        </w:rPr>
        <w:t xml:space="preserve"> </w:t>
      </w:r>
      <w:proofErr w:type="spellStart"/>
      <w:r w:rsidR="00D26CD6" w:rsidRPr="00E24C49">
        <w:rPr>
          <w:sz w:val="23"/>
          <w:szCs w:val="23"/>
        </w:rPr>
        <w:t>N°</w:t>
      </w:r>
      <w:proofErr w:type="spellEnd"/>
      <w:r w:rsidR="00D26CD6" w:rsidRPr="00E24C49">
        <w:rPr>
          <w:sz w:val="23"/>
          <w:szCs w:val="23"/>
        </w:rPr>
        <w:t xml:space="preserve"> 91-2020 celebrada el 17 de setiembre del 2020, artículo </w:t>
      </w:r>
      <w:r w:rsidR="00CF19D9" w:rsidRPr="00E24C49">
        <w:rPr>
          <w:sz w:val="23"/>
          <w:szCs w:val="23"/>
          <w:lang w:val="es-CR"/>
        </w:rPr>
        <w:t>XLVII,</w:t>
      </w:r>
      <w:r w:rsidR="00D26CD6" w:rsidRPr="00E24C49">
        <w:rPr>
          <w:sz w:val="23"/>
          <w:szCs w:val="23"/>
          <w:lang w:val="es-CR"/>
        </w:rPr>
        <w:t xml:space="preserve"> </w:t>
      </w:r>
      <w:r w:rsidR="00322363" w:rsidRPr="00E24C49">
        <w:rPr>
          <w:bCs/>
          <w:color w:val="000000" w:themeColor="text1"/>
          <w:sz w:val="23"/>
          <w:szCs w:val="23"/>
          <w:lang w:val="es-CR"/>
        </w:rPr>
        <w:t xml:space="preserve">conoció el informe No. </w:t>
      </w:r>
      <w:r w:rsidR="00CF19D9" w:rsidRPr="00E24C49">
        <w:rPr>
          <w:bCs/>
          <w:color w:val="000000" w:themeColor="text1"/>
          <w:sz w:val="23"/>
          <w:szCs w:val="23"/>
          <w:lang w:val="es-CR"/>
        </w:rPr>
        <w:t>1379-PLA-EV-2020 del 3 de setiembre de 2020,</w:t>
      </w:r>
      <w:r w:rsidR="00CF19D9" w:rsidRPr="00E24C49">
        <w:rPr>
          <w:rFonts w:eastAsia="Calibri"/>
          <w:color w:val="000000" w:themeColor="text1"/>
          <w:sz w:val="23"/>
          <w:szCs w:val="23"/>
          <w:lang w:val="es-CR" w:eastAsia="en-US"/>
        </w:rPr>
        <w:t xml:space="preserve"> relacionado con el seguimiento semestral de las metas del PAO 2020.</w:t>
      </w:r>
    </w:p>
    <w:p w14:paraId="4E34F6D0" w14:textId="60ED5DEE" w:rsidR="00322363" w:rsidRPr="00E24C49" w:rsidRDefault="00322363" w:rsidP="00324E91">
      <w:pPr>
        <w:shd w:val="clear" w:color="auto" w:fill="FFFFFF"/>
        <w:jc w:val="both"/>
        <w:rPr>
          <w:color w:val="000000" w:themeColor="text1"/>
          <w:sz w:val="23"/>
          <w:szCs w:val="23"/>
          <w:lang w:val="es-CR"/>
        </w:rPr>
      </w:pPr>
    </w:p>
    <w:p w14:paraId="22BDBDCC" w14:textId="35C50AC8" w:rsidR="00CF19D9" w:rsidRPr="00E24C49" w:rsidRDefault="00322363" w:rsidP="00CF19D9">
      <w:pPr>
        <w:keepNext/>
        <w:tabs>
          <w:tab w:val="num" w:pos="0"/>
        </w:tabs>
        <w:jc w:val="both"/>
        <w:outlineLvl w:val="1"/>
        <w:rPr>
          <w:color w:val="000000" w:themeColor="text1"/>
          <w:sz w:val="23"/>
          <w:szCs w:val="23"/>
          <w:lang w:val="es-CR" w:eastAsia="es-ES"/>
        </w:rPr>
      </w:pPr>
      <w:r w:rsidRPr="00E24C49">
        <w:rPr>
          <w:color w:val="000000" w:themeColor="text1"/>
          <w:sz w:val="23"/>
          <w:szCs w:val="23"/>
          <w:lang w:val="es-CR"/>
        </w:rPr>
        <w:t>En esa oportunidad</w:t>
      </w:r>
      <w:r w:rsidR="00CF19D9" w:rsidRPr="00E24C49">
        <w:rPr>
          <w:b/>
          <w:color w:val="000000" w:themeColor="text1"/>
          <w:sz w:val="23"/>
          <w:szCs w:val="23"/>
          <w:lang w:val="es-CR" w:eastAsia="es-ES"/>
        </w:rPr>
        <w:t xml:space="preserve"> </w:t>
      </w:r>
      <w:r w:rsidR="00CF19D9" w:rsidRPr="00E24C49">
        <w:rPr>
          <w:bCs/>
          <w:color w:val="000000" w:themeColor="text1"/>
          <w:sz w:val="23"/>
          <w:szCs w:val="23"/>
          <w:lang w:val="es-CR" w:eastAsia="es-ES"/>
        </w:rPr>
        <w:t>se avalaron</w:t>
      </w:r>
      <w:r w:rsidR="00CF19D9" w:rsidRPr="00E24C49">
        <w:rPr>
          <w:b/>
          <w:color w:val="000000" w:themeColor="text1"/>
          <w:sz w:val="23"/>
          <w:szCs w:val="23"/>
          <w:lang w:val="es-CR" w:eastAsia="es-ES"/>
        </w:rPr>
        <w:t xml:space="preserve"> </w:t>
      </w:r>
      <w:r w:rsidR="00CF19D9" w:rsidRPr="00E24C49">
        <w:rPr>
          <w:color w:val="000000" w:themeColor="text1"/>
          <w:sz w:val="23"/>
          <w:szCs w:val="23"/>
          <w:lang w:val="es-CR" w:eastAsia="es-ES"/>
        </w:rPr>
        <w:t>las recomendaciones dadas en el citado informe, por lo que se ordenó lo siguiente</w:t>
      </w:r>
      <w:r w:rsidR="00226815" w:rsidRPr="00E24C49">
        <w:rPr>
          <w:color w:val="000000" w:themeColor="text1"/>
          <w:sz w:val="23"/>
          <w:szCs w:val="23"/>
          <w:lang w:val="es-CR" w:eastAsia="es-ES"/>
        </w:rPr>
        <w:t>:</w:t>
      </w:r>
    </w:p>
    <w:p w14:paraId="6619C40D" w14:textId="77777777" w:rsidR="00CF19D9" w:rsidRPr="00E24C49" w:rsidRDefault="00CF19D9" w:rsidP="00CF19D9">
      <w:pPr>
        <w:keepNext/>
        <w:tabs>
          <w:tab w:val="num" w:pos="0"/>
        </w:tabs>
        <w:jc w:val="both"/>
        <w:outlineLvl w:val="1"/>
        <w:rPr>
          <w:color w:val="000000" w:themeColor="text1"/>
          <w:sz w:val="23"/>
          <w:szCs w:val="23"/>
          <w:lang w:val="es-CR" w:eastAsia="es-ES"/>
        </w:rPr>
      </w:pPr>
    </w:p>
    <w:p w14:paraId="2F1C0FC7" w14:textId="5122C495" w:rsidR="00CF19D9" w:rsidRPr="00E24C49" w:rsidRDefault="00CF19D9" w:rsidP="00CF19D9">
      <w:pPr>
        <w:keepNext/>
        <w:jc w:val="both"/>
        <w:outlineLvl w:val="1"/>
        <w:rPr>
          <w:b/>
          <w:color w:val="000000" w:themeColor="text1"/>
          <w:sz w:val="23"/>
          <w:szCs w:val="23"/>
          <w:lang w:val="es-CR" w:eastAsia="es-ES"/>
        </w:rPr>
      </w:pPr>
      <w:r w:rsidRPr="00E24C49">
        <w:rPr>
          <w:b/>
          <w:bCs/>
          <w:color w:val="000000" w:themeColor="text1"/>
          <w:sz w:val="23"/>
          <w:szCs w:val="23"/>
          <w:lang w:val="es-CR" w:eastAsia="es-ES"/>
        </w:rPr>
        <w:t>a)</w:t>
      </w:r>
      <w:r w:rsidRPr="00E24C49">
        <w:rPr>
          <w:color w:val="000000" w:themeColor="text1"/>
          <w:sz w:val="23"/>
          <w:szCs w:val="23"/>
          <w:lang w:val="es-CR" w:eastAsia="es-ES"/>
        </w:rPr>
        <w:t xml:space="preserve"> Las oficinas y despachos judiciales deben acatar lo indicado en la circular 141-2020, de la Secretaría General de la Corte, del 03 de julio de 2020, denominada “Obligación de realizar evaluaciones semestrales y anuales de Planes anuales y operativos”, siendo que todos los despachos y oficinas judiciales del país que formularon sus Planes Anuales Operativos para el 2020 deben mantener actualizado el avance logrado en cada una de las metas formuladas.</w:t>
      </w:r>
      <w:r w:rsidRPr="00E24C49">
        <w:rPr>
          <w:b/>
          <w:color w:val="000000" w:themeColor="text1"/>
          <w:sz w:val="23"/>
          <w:szCs w:val="23"/>
          <w:lang w:val="es-CR" w:eastAsia="es-ES"/>
        </w:rPr>
        <w:t xml:space="preserve"> </w:t>
      </w:r>
    </w:p>
    <w:p w14:paraId="3AC77FED" w14:textId="77777777" w:rsidR="00CF19D9" w:rsidRPr="00E24C49" w:rsidRDefault="00CF19D9" w:rsidP="00CF19D9">
      <w:pPr>
        <w:pStyle w:val="Prrafodelista"/>
        <w:keepNext/>
        <w:ind w:left="420"/>
        <w:jc w:val="both"/>
        <w:outlineLvl w:val="1"/>
        <w:rPr>
          <w:b/>
          <w:color w:val="000000" w:themeColor="text1"/>
          <w:sz w:val="23"/>
          <w:szCs w:val="23"/>
          <w:lang w:val="es-CR" w:eastAsia="es-ES"/>
        </w:rPr>
      </w:pPr>
    </w:p>
    <w:p w14:paraId="0F64B5CE" w14:textId="77777777" w:rsidR="00CF19D9" w:rsidRPr="00E24C49" w:rsidRDefault="00CF19D9" w:rsidP="00CF19D9">
      <w:pPr>
        <w:keepNext/>
        <w:tabs>
          <w:tab w:val="num" w:pos="0"/>
        </w:tabs>
        <w:jc w:val="both"/>
        <w:outlineLvl w:val="1"/>
        <w:rPr>
          <w:bCs/>
          <w:color w:val="000000" w:themeColor="text1"/>
          <w:sz w:val="23"/>
          <w:szCs w:val="23"/>
          <w:lang w:val="es-CR" w:eastAsia="es-ES"/>
        </w:rPr>
      </w:pPr>
      <w:r w:rsidRPr="00E24C49">
        <w:rPr>
          <w:b/>
          <w:color w:val="000000" w:themeColor="text1"/>
          <w:sz w:val="23"/>
          <w:szCs w:val="23"/>
          <w:lang w:val="es-CR" w:eastAsia="es-ES"/>
        </w:rPr>
        <w:t>b)</w:t>
      </w:r>
      <w:r w:rsidRPr="00E24C49">
        <w:rPr>
          <w:color w:val="000000" w:themeColor="text1"/>
          <w:sz w:val="23"/>
          <w:szCs w:val="23"/>
          <w:lang w:val="es-CR" w:eastAsia="es-ES"/>
        </w:rPr>
        <w:t xml:space="preserve"> Las oficinas y despachos judiciales deberán r</w:t>
      </w:r>
      <w:r w:rsidRPr="00E24C49">
        <w:rPr>
          <w:bCs/>
          <w:color w:val="000000" w:themeColor="text1"/>
          <w:sz w:val="23"/>
          <w:szCs w:val="23"/>
          <w:lang w:val="es-CR" w:eastAsia="es-ES"/>
        </w:rPr>
        <w:t xml:space="preserve">egistrar avances a las metas de los Planes Anuales Operativos que están vinculados con el Plan Estratégico Institucional de manera periódica, debido a la importancia que revisten esas metas al contribuir de manera directa con el cumplimiento del PEI. </w:t>
      </w:r>
    </w:p>
    <w:p w14:paraId="6E45DEF8" w14:textId="77777777" w:rsidR="00CF19D9" w:rsidRPr="00E24C49" w:rsidRDefault="00CF19D9" w:rsidP="00CF19D9">
      <w:pPr>
        <w:keepNext/>
        <w:tabs>
          <w:tab w:val="num" w:pos="0"/>
        </w:tabs>
        <w:jc w:val="both"/>
        <w:outlineLvl w:val="1"/>
        <w:rPr>
          <w:bCs/>
          <w:color w:val="000000" w:themeColor="text1"/>
          <w:sz w:val="23"/>
          <w:szCs w:val="23"/>
          <w:lang w:val="es-CR" w:eastAsia="es-ES"/>
        </w:rPr>
      </w:pPr>
    </w:p>
    <w:p w14:paraId="57FF3F7D" w14:textId="77777777" w:rsidR="00CF19D9" w:rsidRPr="00E24C49" w:rsidRDefault="00CF19D9" w:rsidP="00CF19D9">
      <w:pPr>
        <w:keepNext/>
        <w:tabs>
          <w:tab w:val="num" w:pos="0"/>
        </w:tabs>
        <w:jc w:val="both"/>
        <w:outlineLvl w:val="1"/>
        <w:rPr>
          <w:bCs/>
          <w:color w:val="000000" w:themeColor="text1"/>
          <w:sz w:val="23"/>
          <w:szCs w:val="23"/>
          <w:lang w:val="es-CR" w:eastAsia="es-ES"/>
        </w:rPr>
      </w:pPr>
      <w:r w:rsidRPr="00E24C49">
        <w:rPr>
          <w:b/>
          <w:bCs/>
          <w:color w:val="000000" w:themeColor="text1"/>
          <w:sz w:val="23"/>
          <w:szCs w:val="23"/>
          <w:lang w:val="es-CR" w:eastAsia="es-ES"/>
        </w:rPr>
        <w:t xml:space="preserve">c) </w:t>
      </w:r>
      <w:r w:rsidRPr="00E24C49">
        <w:rPr>
          <w:bCs/>
          <w:color w:val="000000" w:themeColor="text1"/>
          <w:sz w:val="23"/>
          <w:szCs w:val="23"/>
          <w:lang w:val="es-CR" w:eastAsia="es-ES"/>
        </w:rPr>
        <w:t xml:space="preserve">Se les recuerda a las oficinas que tienen metas operativas vinculadas al PEI y que no tienen registro de avance al primer semestre, que, si bien su plazo de cumplimiento está previsto al finalizar el 2020, deben estar atentos para registrar los avances de las metas, dado el impacto que tienen en el cumplimiento del Plan Estratégico Institucional. </w:t>
      </w:r>
      <w:r w:rsidRPr="00E24C49">
        <w:rPr>
          <w:color w:val="000000" w:themeColor="text1"/>
          <w:sz w:val="23"/>
          <w:szCs w:val="23"/>
          <w:lang w:val="es-CR" w:eastAsia="es-ES"/>
        </w:rPr>
        <w:t xml:space="preserve">Lo anterior para el caso de las oficinas y despachos mencionados en la recomendación 8.3 de este informe. </w:t>
      </w:r>
      <w:r w:rsidRPr="00E24C49">
        <w:rPr>
          <w:bCs/>
          <w:color w:val="000000" w:themeColor="text1"/>
          <w:sz w:val="23"/>
          <w:szCs w:val="23"/>
          <w:lang w:val="es-CR" w:eastAsia="es-ES"/>
        </w:rPr>
        <w:t xml:space="preserve">Aunado a lo anterior, se les remite en este informe las acciones estratégicas de cada Tema Estratégico que requieren un mayor nivel de avance en la consecución de las metas operativas asociadas, de manera tal que al finalizar el año se alcancen los mayores porcentajes posibles de cumplimiento. </w:t>
      </w:r>
    </w:p>
    <w:p w14:paraId="341F6CCE" w14:textId="77777777" w:rsidR="00CF19D9" w:rsidRPr="00E24C49" w:rsidRDefault="00CF19D9" w:rsidP="00CF19D9">
      <w:pPr>
        <w:keepNext/>
        <w:tabs>
          <w:tab w:val="num" w:pos="0"/>
        </w:tabs>
        <w:jc w:val="both"/>
        <w:outlineLvl w:val="1"/>
        <w:rPr>
          <w:bCs/>
          <w:color w:val="000000" w:themeColor="text1"/>
          <w:sz w:val="23"/>
          <w:szCs w:val="23"/>
          <w:lang w:val="es-CR" w:eastAsia="es-ES"/>
        </w:rPr>
      </w:pPr>
    </w:p>
    <w:p w14:paraId="2905B670" w14:textId="77777777" w:rsidR="00CF19D9" w:rsidRPr="00E24C49" w:rsidRDefault="00CF19D9" w:rsidP="00CF19D9">
      <w:pPr>
        <w:keepNext/>
        <w:tabs>
          <w:tab w:val="num" w:pos="0"/>
        </w:tabs>
        <w:jc w:val="both"/>
        <w:outlineLvl w:val="1"/>
        <w:rPr>
          <w:bCs/>
          <w:color w:val="000000" w:themeColor="text1"/>
          <w:sz w:val="23"/>
          <w:szCs w:val="23"/>
          <w:lang w:val="es-CR" w:eastAsia="es-ES"/>
        </w:rPr>
      </w:pPr>
      <w:r w:rsidRPr="00E24C49">
        <w:rPr>
          <w:b/>
          <w:bCs/>
          <w:color w:val="000000" w:themeColor="text1"/>
          <w:sz w:val="23"/>
          <w:szCs w:val="23"/>
          <w:lang w:val="es-CR" w:eastAsia="es-ES"/>
        </w:rPr>
        <w:t xml:space="preserve">d) </w:t>
      </w:r>
      <w:r w:rsidRPr="00E24C49">
        <w:rPr>
          <w:bCs/>
          <w:color w:val="000000" w:themeColor="text1"/>
          <w:sz w:val="23"/>
          <w:szCs w:val="23"/>
          <w:lang w:val="es-CR" w:eastAsia="es-ES"/>
        </w:rPr>
        <w:t xml:space="preserve">Las oficinas enlistadas en la recomendación 8.4 de este informe (despachos y oficinas que no registraron ningún tipo de avances) deberán cumplir con la actualización de avances al PAO para el periodo 2020, por lo que se realizarán un monitoreo constante en lo que resta del 2020, con el fin de informarles a los Centros de Responsabilidad y las oficinas el deber de mantener actualizados los registros de avances al PAO. </w:t>
      </w:r>
    </w:p>
    <w:p w14:paraId="0F18EBC2" w14:textId="77777777" w:rsidR="00CF19D9" w:rsidRPr="00E24C49" w:rsidRDefault="00CF19D9" w:rsidP="00CF19D9">
      <w:pPr>
        <w:keepNext/>
        <w:tabs>
          <w:tab w:val="num" w:pos="0"/>
        </w:tabs>
        <w:jc w:val="both"/>
        <w:outlineLvl w:val="1"/>
        <w:rPr>
          <w:bCs/>
          <w:color w:val="000000" w:themeColor="text1"/>
          <w:sz w:val="23"/>
          <w:szCs w:val="23"/>
          <w:lang w:val="es-CR" w:eastAsia="es-ES"/>
        </w:rPr>
      </w:pPr>
    </w:p>
    <w:p w14:paraId="7705CAF1" w14:textId="77777777" w:rsidR="00226815" w:rsidRPr="00E24C49" w:rsidRDefault="00CF19D9" w:rsidP="00CF19D9">
      <w:pPr>
        <w:keepNext/>
        <w:tabs>
          <w:tab w:val="num" w:pos="0"/>
        </w:tabs>
        <w:jc w:val="both"/>
        <w:outlineLvl w:val="1"/>
        <w:rPr>
          <w:color w:val="000000" w:themeColor="text1"/>
          <w:sz w:val="23"/>
          <w:szCs w:val="23"/>
          <w:lang w:val="es-CR" w:eastAsia="es-ES"/>
        </w:rPr>
      </w:pPr>
      <w:r w:rsidRPr="00E24C49">
        <w:rPr>
          <w:b/>
          <w:bCs/>
          <w:color w:val="000000" w:themeColor="text1"/>
          <w:sz w:val="23"/>
          <w:szCs w:val="23"/>
          <w:lang w:val="es-CR" w:eastAsia="es-ES"/>
        </w:rPr>
        <w:t xml:space="preserve">e) </w:t>
      </w:r>
      <w:r w:rsidRPr="00E24C49">
        <w:rPr>
          <w:bCs/>
          <w:color w:val="000000" w:themeColor="text1"/>
          <w:sz w:val="23"/>
          <w:szCs w:val="23"/>
          <w:lang w:val="es-CR" w:eastAsia="es-ES"/>
        </w:rPr>
        <w:t xml:space="preserve">Todas las </w:t>
      </w:r>
      <w:r w:rsidRPr="00E24C49">
        <w:rPr>
          <w:color w:val="000000" w:themeColor="text1"/>
          <w:sz w:val="23"/>
          <w:szCs w:val="23"/>
          <w:lang w:val="es-CR" w:eastAsia="es-ES"/>
        </w:rPr>
        <w:t xml:space="preserve">Oficinas y despachos judiciales deben procurar que los objetivos y metas formuladas sean ejecutadas de manera planificada a lo largo de todo el año y evitar formular que el plazo de las metas sea cumplido en su totalidad al finalizar el año. </w:t>
      </w:r>
    </w:p>
    <w:p w14:paraId="32FD6351" w14:textId="77777777" w:rsidR="00226815" w:rsidRPr="00E24C49" w:rsidRDefault="00226815" w:rsidP="00CF19D9">
      <w:pPr>
        <w:keepNext/>
        <w:tabs>
          <w:tab w:val="num" w:pos="0"/>
        </w:tabs>
        <w:jc w:val="both"/>
        <w:outlineLvl w:val="1"/>
        <w:rPr>
          <w:color w:val="000000" w:themeColor="text1"/>
          <w:sz w:val="23"/>
          <w:szCs w:val="23"/>
          <w:lang w:val="es-CR" w:eastAsia="es-ES"/>
        </w:rPr>
      </w:pPr>
    </w:p>
    <w:p w14:paraId="40584593" w14:textId="34476BC0" w:rsidR="00CF19D9" w:rsidRPr="00E24C49" w:rsidRDefault="00CF19D9" w:rsidP="00CF19D9">
      <w:pPr>
        <w:keepNext/>
        <w:tabs>
          <w:tab w:val="num" w:pos="0"/>
        </w:tabs>
        <w:jc w:val="both"/>
        <w:outlineLvl w:val="1"/>
        <w:rPr>
          <w:color w:val="000000" w:themeColor="text1"/>
          <w:sz w:val="23"/>
          <w:szCs w:val="23"/>
          <w:lang w:val="es-CR" w:eastAsia="es-ES"/>
        </w:rPr>
      </w:pPr>
      <w:r w:rsidRPr="00E24C49">
        <w:rPr>
          <w:b/>
          <w:color w:val="000000" w:themeColor="text1"/>
          <w:sz w:val="23"/>
          <w:szCs w:val="23"/>
          <w:lang w:val="es-CR" w:eastAsia="es-ES"/>
        </w:rPr>
        <w:t>f)</w:t>
      </w:r>
      <w:r w:rsidRPr="00E24C49">
        <w:rPr>
          <w:color w:val="000000" w:themeColor="text1"/>
          <w:sz w:val="23"/>
          <w:szCs w:val="23"/>
          <w:lang w:val="es-CR" w:eastAsia="es-ES"/>
        </w:rPr>
        <w:t xml:space="preserve"> Se recuerda a las oficinas la necesidad de actualizar adecuadamente los estados de las metas contenidas en el Sistema PAO.  Por su parte, al llevar a cabo la evaluación final del PAO al </w:t>
      </w:r>
      <w:r w:rsidRPr="00E24C49">
        <w:rPr>
          <w:color w:val="000000" w:themeColor="text1"/>
          <w:sz w:val="23"/>
          <w:szCs w:val="23"/>
          <w:lang w:val="es-CR" w:eastAsia="es-ES"/>
        </w:rPr>
        <w:lastRenderedPageBreak/>
        <w:t xml:space="preserve">finalizar el año, las metas deben quedar clasificadas en los únicos tres estados avalados: completado, pendiente o cancelado. </w:t>
      </w:r>
    </w:p>
    <w:p w14:paraId="4D789C70" w14:textId="77777777" w:rsidR="00CF19D9" w:rsidRPr="00E24C49" w:rsidRDefault="00CF19D9" w:rsidP="00CF19D9">
      <w:pPr>
        <w:keepNext/>
        <w:tabs>
          <w:tab w:val="num" w:pos="0"/>
        </w:tabs>
        <w:jc w:val="both"/>
        <w:outlineLvl w:val="1"/>
        <w:rPr>
          <w:color w:val="000000" w:themeColor="text1"/>
          <w:sz w:val="23"/>
          <w:szCs w:val="23"/>
          <w:lang w:val="es-CR" w:eastAsia="es-ES"/>
        </w:rPr>
      </w:pPr>
    </w:p>
    <w:p w14:paraId="207B83F0" w14:textId="77777777" w:rsidR="00CF19D9" w:rsidRPr="00E24C49" w:rsidRDefault="00CF19D9" w:rsidP="00CF19D9">
      <w:pPr>
        <w:keepNext/>
        <w:tabs>
          <w:tab w:val="num" w:pos="0"/>
        </w:tabs>
        <w:jc w:val="both"/>
        <w:outlineLvl w:val="1"/>
        <w:rPr>
          <w:color w:val="000000" w:themeColor="text1"/>
          <w:sz w:val="23"/>
          <w:szCs w:val="23"/>
          <w:lang w:val="es-CR" w:eastAsia="es-ES"/>
        </w:rPr>
      </w:pPr>
      <w:r w:rsidRPr="00E24C49">
        <w:rPr>
          <w:b/>
          <w:color w:val="000000" w:themeColor="text1"/>
          <w:sz w:val="23"/>
          <w:szCs w:val="23"/>
          <w:lang w:val="es-CR" w:eastAsia="es-ES"/>
        </w:rPr>
        <w:t>g)</w:t>
      </w:r>
      <w:r w:rsidRPr="00E24C49">
        <w:rPr>
          <w:color w:val="000000" w:themeColor="text1"/>
          <w:sz w:val="23"/>
          <w:szCs w:val="23"/>
          <w:lang w:val="es-CR" w:eastAsia="es-ES"/>
        </w:rPr>
        <w:t xml:space="preserve"> Se reitera que la persona que funge como jefatura de la oficina será la responsable de garantizar el cumplimiento del Plan Anual Operativo, procurando la </w:t>
      </w:r>
      <w:proofErr w:type="gramStart"/>
      <w:r w:rsidRPr="00E24C49">
        <w:rPr>
          <w:color w:val="000000" w:themeColor="text1"/>
          <w:sz w:val="23"/>
          <w:szCs w:val="23"/>
          <w:lang w:val="es-CR" w:eastAsia="es-ES"/>
        </w:rPr>
        <w:t>participación activa</w:t>
      </w:r>
      <w:proofErr w:type="gramEnd"/>
      <w:r w:rsidRPr="00E24C49">
        <w:rPr>
          <w:color w:val="000000" w:themeColor="text1"/>
          <w:sz w:val="23"/>
          <w:szCs w:val="23"/>
          <w:lang w:val="es-CR" w:eastAsia="es-ES"/>
        </w:rPr>
        <w:t xml:space="preserve"> del personal a cargo; lo cual contribuirá al logro de los objetivos propuestos en el PAO del 2020. </w:t>
      </w:r>
    </w:p>
    <w:p w14:paraId="252DCC7F" w14:textId="77777777" w:rsidR="00CF19D9" w:rsidRPr="00E24C49" w:rsidRDefault="00CF19D9" w:rsidP="00CF19D9">
      <w:pPr>
        <w:keepNext/>
        <w:tabs>
          <w:tab w:val="num" w:pos="0"/>
        </w:tabs>
        <w:jc w:val="both"/>
        <w:outlineLvl w:val="1"/>
        <w:rPr>
          <w:color w:val="000000" w:themeColor="text1"/>
          <w:sz w:val="23"/>
          <w:szCs w:val="23"/>
          <w:lang w:val="es-CR" w:eastAsia="es-ES"/>
        </w:rPr>
      </w:pPr>
    </w:p>
    <w:p w14:paraId="5E472F14" w14:textId="77777777" w:rsidR="00A62453" w:rsidRPr="00E24C49" w:rsidRDefault="00CF19D9" w:rsidP="00CF19D9">
      <w:pPr>
        <w:keepNext/>
        <w:tabs>
          <w:tab w:val="num" w:pos="0"/>
        </w:tabs>
        <w:jc w:val="both"/>
        <w:outlineLvl w:val="1"/>
        <w:rPr>
          <w:color w:val="000000" w:themeColor="text1"/>
          <w:sz w:val="23"/>
          <w:szCs w:val="23"/>
          <w:lang w:val="es-CR" w:eastAsia="es-ES"/>
        </w:rPr>
      </w:pPr>
      <w:r w:rsidRPr="00E24C49">
        <w:rPr>
          <w:b/>
          <w:color w:val="000000" w:themeColor="text1"/>
          <w:sz w:val="23"/>
          <w:szCs w:val="23"/>
          <w:lang w:val="es-CR" w:eastAsia="es-ES"/>
        </w:rPr>
        <w:t>h)</w:t>
      </w:r>
      <w:r w:rsidRPr="00E24C49">
        <w:rPr>
          <w:color w:val="000000" w:themeColor="text1"/>
          <w:sz w:val="23"/>
          <w:szCs w:val="23"/>
          <w:lang w:val="es-CR" w:eastAsia="es-ES"/>
        </w:rPr>
        <w:t xml:space="preserve"> Las</w:t>
      </w:r>
      <w:r w:rsidRPr="00E24C49">
        <w:rPr>
          <w:bCs/>
          <w:color w:val="000000" w:themeColor="text1"/>
          <w:sz w:val="23"/>
          <w:szCs w:val="23"/>
          <w:lang w:val="es-CR" w:eastAsia="es-ES"/>
        </w:rPr>
        <w:t xml:space="preserve"> Administraciones Regionales, Consejos de Administración y Centros de Responsabilidad deberán mejorar el apoyo y revisión del proceso de Formulación y Seguimiento de Planes Anuales Operativos. Algunos aspectos que deben fortalecer son los siguientes: </w:t>
      </w:r>
      <w:r w:rsidRPr="00E24C49">
        <w:rPr>
          <w:b/>
          <w:bCs/>
          <w:color w:val="000000" w:themeColor="text1"/>
          <w:sz w:val="23"/>
          <w:szCs w:val="23"/>
          <w:lang w:val="es-CR" w:eastAsia="es-ES"/>
        </w:rPr>
        <w:t xml:space="preserve">h.1) </w:t>
      </w:r>
      <w:r w:rsidRPr="00E24C49">
        <w:rPr>
          <w:bCs/>
          <w:color w:val="000000" w:themeColor="text1"/>
          <w:sz w:val="23"/>
          <w:szCs w:val="23"/>
          <w:lang w:val="es-CR" w:eastAsia="es-ES"/>
        </w:rPr>
        <w:t xml:space="preserve">La utilización de </w:t>
      </w:r>
      <w:r w:rsidRPr="00E24C49">
        <w:rPr>
          <w:color w:val="000000" w:themeColor="text1"/>
          <w:sz w:val="23"/>
          <w:szCs w:val="23"/>
          <w:lang w:val="es-CR" w:eastAsia="es-ES"/>
        </w:rPr>
        <w:t xml:space="preserve">datos históricos de variables que produce la oficina como patrón de comportamiento, para que la formulación de las metas sea acorde a la realidad y se pueda alcanzar efectivamente. </w:t>
      </w:r>
      <w:r w:rsidRPr="00E24C49">
        <w:rPr>
          <w:b/>
          <w:color w:val="000000" w:themeColor="text1"/>
          <w:sz w:val="23"/>
          <w:szCs w:val="23"/>
          <w:lang w:val="es-CR" w:eastAsia="es-ES"/>
        </w:rPr>
        <w:t xml:space="preserve">h.2) </w:t>
      </w:r>
      <w:r w:rsidRPr="00E24C49">
        <w:rPr>
          <w:color w:val="000000" w:themeColor="text1"/>
          <w:sz w:val="23"/>
          <w:szCs w:val="23"/>
          <w:lang w:val="es-CR" w:eastAsia="es-ES"/>
        </w:rPr>
        <w:t xml:space="preserve">La importancia de tomar en cuenta la capacidad instalada de la oficina, así como los riesgos asociados a cada objetivo, para valorar la posibilidad de cumplimiento de las metas que se proponen.  </w:t>
      </w:r>
      <w:r w:rsidRPr="00E24C49">
        <w:rPr>
          <w:b/>
          <w:color w:val="000000" w:themeColor="text1"/>
          <w:sz w:val="23"/>
          <w:szCs w:val="23"/>
          <w:lang w:val="es-CR" w:eastAsia="es-ES"/>
        </w:rPr>
        <w:t xml:space="preserve">h.3) </w:t>
      </w:r>
      <w:r w:rsidRPr="00E24C49">
        <w:rPr>
          <w:color w:val="000000" w:themeColor="text1"/>
          <w:sz w:val="23"/>
          <w:szCs w:val="23"/>
          <w:lang w:val="es-CR" w:eastAsia="es-ES"/>
        </w:rPr>
        <w:t xml:space="preserve">El seguimiento efectivo de la ejecución de las actividades programadas en la forma y plazo establecido, garantizando el avance de las metas al finalizar el segundo semestre del 2020. </w:t>
      </w:r>
      <w:r w:rsidRPr="00E24C49">
        <w:rPr>
          <w:b/>
          <w:color w:val="000000" w:themeColor="text1"/>
          <w:sz w:val="23"/>
          <w:szCs w:val="23"/>
          <w:lang w:val="es-CR" w:eastAsia="es-ES"/>
        </w:rPr>
        <w:t xml:space="preserve">h.4) </w:t>
      </w:r>
      <w:r w:rsidRPr="00E24C49">
        <w:rPr>
          <w:color w:val="000000" w:themeColor="text1"/>
          <w:sz w:val="23"/>
          <w:szCs w:val="23"/>
          <w:lang w:val="es-CR" w:eastAsia="es-ES"/>
        </w:rPr>
        <w:t xml:space="preserve">La importancia de realizar de manera anticipada la coordinación con instancias relacionadas a la ejecución de las metas propuestas, que asegure el cumplimiento de los planes de trabajo. </w:t>
      </w:r>
      <w:r w:rsidRPr="00E24C49">
        <w:rPr>
          <w:b/>
          <w:color w:val="000000" w:themeColor="text1"/>
          <w:sz w:val="23"/>
          <w:szCs w:val="23"/>
          <w:lang w:val="es-CR" w:eastAsia="es-ES"/>
        </w:rPr>
        <w:t xml:space="preserve">h.5) </w:t>
      </w:r>
      <w:r w:rsidRPr="00E24C49">
        <w:rPr>
          <w:color w:val="000000" w:themeColor="text1"/>
          <w:sz w:val="23"/>
          <w:szCs w:val="23"/>
          <w:lang w:val="es-CR" w:eastAsia="es-ES"/>
        </w:rPr>
        <w:t xml:space="preserve">La inclusión en el PAO de indicadores en la gestión de las oficinas que cuentan con este tipo de herramienta, derivados de los informes técnicos que ha emitido la Dirección de Planificación. </w:t>
      </w:r>
    </w:p>
    <w:p w14:paraId="6E5D7C74" w14:textId="77777777" w:rsidR="00A62453" w:rsidRPr="00E24C49" w:rsidRDefault="00A62453" w:rsidP="00CF19D9">
      <w:pPr>
        <w:keepNext/>
        <w:tabs>
          <w:tab w:val="num" w:pos="0"/>
        </w:tabs>
        <w:jc w:val="both"/>
        <w:outlineLvl w:val="1"/>
        <w:rPr>
          <w:color w:val="000000" w:themeColor="text1"/>
          <w:sz w:val="23"/>
          <w:szCs w:val="23"/>
          <w:lang w:val="es-CR" w:eastAsia="es-ES"/>
        </w:rPr>
      </w:pPr>
    </w:p>
    <w:p w14:paraId="78621617" w14:textId="6BE5EA61" w:rsidR="00CF19D9" w:rsidRPr="00E24C49" w:rsidRDefault="00CF19D9" w:rsidP="00CF19D9">
      <w:pPr>
        <w:keepNext/>
        <w:tabs>
          <w:tab w:val="num" w:pos="0"/>
        </w:tabs>
        <w:jc w:val="both"/>
        <w:outlineLvl w:val="1"/>
        <w:rPr>
          <w:b/>
          <w:bCs/>
          <w:snapToGrid w:val="0"/>
          <w:sz w:val="23"/>
          <w:szCs w:val="23"/>
          <w:u w:color="000000"/>
          <w:lang w:eastAsia="es-ES"/>
        </w:rPr>
      </w:pPr>
      <w:r w:rsidRPr="00E24C49">
        <w:rPr>
          <w:b/>
          <w:color w:val="000000" w:themeColor="text1"/>
          <w:sz w:val="23"/>
          <w:szCs w:val="23"/>
          <w:lang w:val="es-CR" w:eastAsia="es-ES"/>
        </w:rPr>
        <w:t>i)</w:t>
      </w:r>
      <w:r w:rsidRPr="00E24C49">
        <w:rPr>
          <w:color w:val="000000" w:themeColor="text1"/>
          <w:sz w:val="23"/>
          <w:szCs w:val="23"/>
          <w:lang w:val="es-CR" w:eastAsia="es-ES"/>
        </w:rPr>
        <w:t xml:space="preserve"> La Defensa Pública y Organismo de Investigación Judicial tomarán acciones para mejorar el porcentaje de cumplimiento de su PAO porque al finalizar el primer semestre se registran porcentajes de avance inferiores a los que se tenían en el 2019. </w:t>
      </w:r>
    </w:p>
    <w:p w14:paraId="6A011793" w14:textId="65F66099" w:rsidR="00D26CD6" w:rsidRPr="00E24C49" w:rsidRDefault="00D26CD6" w:rsidP="00324E91">
      <w:pPr>
        <w:shd w:val="clear" w:color="auto" w:fill="FFFFFF"/>
        <w:jc w:val="both"/>
        <w:rPr>
          <w:sz w:val="23"/>
          <w:szCs w:val="23"/>
          <w:lang w:val="es-CR"/>
        </w:rPr>
      </w:pPr>
    </w:p>
    <w:p w14:paraId="1946AB54" w14:textId="694C78E2" w:rsidR="00500431" w:rsidRPr="00E24C49" w:rsidRDefault="00322363" w:rsidP="00500431">
      <w:pPr>
        <w:shd w:val="clear" w:color="auto" w:fill="FFFFFF"/>
        <w:jc w:val="both"/>
        <w:rPr>
          <w:sz w:val="23"/>
          <w:szCs w:val="23"/>
        </w:rPr>
      </w:pPr>
      <w:r w:rsidRPr="00E24C49">
        <w:rPr>
          <w:sz w:val="23"/>
          <w:szCs w:val="23"/>
        </w:rPr>
        <w:t>El informe</w:t>
      </w:r>
      <w:r w:rsidR="00331950" w:rsidRPr="00E24C49">
        <w:rPr>
          <w:bCs/>
          <w:color w:val="000000" w:themeColor="text1"/>
          <w:sz w:val="23"/>
          <w:szCs w:val="23"/>
          <w:lang w:val="es-CR"/>
        </w:rPr>
        <w:t xml:space="preserve"> No. </w:t>
      </w:r>
      <w:r w:rsidR="00CF19D9" w:rsidRPr="00E24C49">
        <w:rPr>
          <w:bCs/>
          <w:color w:val="000000" w:themeColor="text1"/>
          <w:sz w:val="23"/>
          <w:szCs w:val="23"/>
          <w:lang w:val="es-CR"/>
        </w:rPr>
        <w:t xml:space="preserve">1379-PLA-EV-2020 </w:t>
      </w:r>
      <w:r w:rsidR="00331950" w:rsidRPr="00E24C49">
        <w:rPr>
          <w:bCs/>
          <w:color w:val="000000" w:themeColor="text1"/>
          <w:sz w:val="23"/>
          <w:szCs w:val="23"/>
          <w:lang w:val="es-CR"/>
        </w:rPr>
        <w:t>de la Dirección de Planificación</w:t>
      </w:r>
      <w:r w:rsidRPr="00E24C49">
        <w:rPr>
          <w:sz w:val="23"/>
          <w:szCs w:val="23"/>
        </w:rPr>
        <w:t xml:space="preserve">, se encuentra disponible en el siguiente </w:t>
      </w:r>
      <w:r w:rsidR="00331950" w:rsidRPr="00E24C49">
        <w:rPr>
          <w:sz w:val="23"/>
          <w:szCs w:val="23"/>
        </w:rPr>
        <w:t>enlace</w:t>
      </w:r>
      <w:r w:rsidRPr="00E24C49">
        <w:rPr>
          <w:sz w:val="23"/>
          <w:szCs w:val="23"/>
        </w:rPr>
        <w:t xml:space="preserve">: </w:t>
      </w:r>
      <w:hyperlink r:id="rId7" w:history="1">
        <w:r w:rsidR="00E24C49" w:rsidRPr="00E24C49">
          <w:rPr>
            <w:rStyle w:val="Hipervnculo"/>
            <w:sz w:val="23"/>
            <w:szCs w:val="23"/>
          </w:rPr>
          <w:t>https://secretariacorte.poder-judicial.go.cr/index.php/documentos</w:t>
        </w:r>
      </w:hyperlink>
    </w:p>
    <w:p w14:paraId="2BEA8C46" w14:textId="714BDB06" w:rsidR="00331950" w:rsidRPr="00E24C49" w:rsidRDefault="00331950" w:rsidP="00324E91">
      <w:pPr>
        <w:shd w:val="clear" w:color="auto" w:fill="FFFFFF"/>
        <w:jc w:val="both"/>
        <w:rPr>
          <w:color w:val="000000"/>
          <w:sz w:val="23"/>
          <w:szCs w:val="23"/>
          <w:lang w:val="es-CR" w:eastAsia="es-CR"/>
        </w:rPr>
      </w:pPr>
    </w:p>
    <w:p w14:paraId="42CA13D4" w14:textId="588D6C02" w:rsidR="005705F1" w:rsidRPr="00E24C49" w:rsidRDefault="005705F1" w:rsidP="00324E91">
      <w:pPr>
        <w:pStyle w:val="Textodebloque2"/>
        <w:ind w:left="0" w:right="0" w:firstLine="0"/>
        <w:rPr>
          <w:b/>
          <w:bCs/>
          <w:sz w:val="23"/>
          <w:szCs w:val="23"/>
          <w:lang w:val="es-ES_tradnl" w:eastAsia="ar-SA"/>
        </w:rPr>
      </w:pPr>
      <w:r w:rsidRPr="00E24C49">
        <w:rPr>
          <w:b/>
          <w:bCs/>
          <w:color w:val="000000"/>
          <w:sz w:val="23"/>
          <w:szCs w:val="23"/>
        </w:rPr>
        <w:t xml:space="preserve">De conformidad con la circular N° 67-09 emitida por la Secretaría de la Corte el 22 de junio de 2009, se le comunica que en virtud del principio de gratuidad que rige esta materia, la publicación está exenta de todo pago de derechos. </w:t>
      </w:r>
      <w:r w:rsidRPr="00E24C49">
        <w:rPr>
          <w:b/>
          <w:bCs/>
          <w:sz w:val="23"/>
          <w:szCs w:val="23"/>
          <w:lang w:val="es-ES_tradnl" w:eastAsia="ar-SA"/>
        </w:rPr>
        <w:t>Publíquese una sola vez en el Boletín Judicial.</w:t>
      </w:r>
    </w:p>
    <w:p w14:paraId="116486A0" w14:textId="74E27AAE" w:rsidR="00324E91" w:rsidRPr="00E24C49" w:rsidRDefault="00324E91" w:rsidP="00324E91">
      <w:pPr>
        <w:suppressAutoHyphens w:val="0"/>
        <w:autoSpaceDE w:val="0"/>
        <w:autoSpaceDN w:val="0"/>
        <w:adjustRightInd w:val="0"/>
        <w:jc w:val="both"/>
        <w:rPr>
          <w:b/>
          <w:bCs/>
          <w:sz w:val="23"/>
          <w:szCs w:val="23"/>
        </w:rPr>
      </w:pPr>
      <w:r w:rsidRPr="00E24C49">
        <w:rPr>
          <w:b/>
          <w:bCs/>
          <w:sz w:val="23"/>
          <w:szCs w:val="23"/>
        </w:rPr>
        <w:t xml:space="preserve">San José, </w:t>
      </w:r>
      <w:r w:rsidR="00E24C49">
        <w:rPr>
          <w:b/>
          <w:bCs/>
          <w:sz w:val="23"/>
          <w:szCs w:val="23"/>
        </w:rPr>
        <w:t>6</w:t>
      </w:r>
      <w:r w:rsidR="00CF19D9" w:rsidRPr="00E24C49">
        <w:rPr>
          <w:b/>
          <w:bCs/>
          <w:sz w:val="23"/>
          <w:szCs w:val="23"/>
        </w:rPr>
        <w:t xml:space="preserve"> </w:t>
      </w:r>
      <w:r w:rsidRPr="00E24C49">
        <w:rPr>
          <w:b/>
          <w:bCs/>
          <w:sz w:val="23"/>
          <w:szCs w:val="23"/>
        </w:rPr>
        <w:t xml:space="preserve">de </w:t>
      </w:r>
      <w:r w:rsidR="00CF19D9" w:rsidRPr="00E24C49">
        <w:rPr>
          <w:b/>
          <w:bCs/>
          <w:sz w:val="23"/>
          <w:szCs w:val="23"/>
        </w:rPr>
        <w:t>noviembre</w:t>
      </w:r>
      <w:r w:rsidRPr="00E24C49">
        <w:rPr>
          <w:b/>
          <w:bCs/>
          <w:sz w:val="23"/>
          <w:szCs w:val="23"/>
        </w:rPr>
        <w:t xml:space="preserve"> de 2020</w:t>
      </w:r>
    </w:p>
    <w:p w14:paraId="6DCF4B33" w14:textId="77777777" w:rsidR="00322363" w:rsidRPr="00E24C49" w:rsidRDefault="00322363" w:rsidP="00324E91">
      <w:pPr>
        <w:pStyle w:val="Textodebloque2"/>
        <w:ind w:left="0" w:right="0" w:firstLine="0"/>
        <w:rPr>
          <w:b/>
          <w:bCs/>
          <w:sz w:val="23"/>
          <w:szCs w:val="23"/>
          <w:lang w:val="es-ES_tradnl" w:eastAsia="ar-SA"/>
        </w:rPr>
      </w:pPr>
    </w:p>
    <w:p w14:paraId="124CDF25" w14:textId="77777777" w:rsidR="00C928F6" w:rsidRPr="00E24C49" w:rsidRDefault="00C928F6" w:rsidP="00324E91">
      <w:pPr>
        <w:jc w:val="both"/>
        <w:rPr>
          <w:rFonts w:eastAsia="Arial Unicode MS"/>
          <w:b/>
          <w:bCs/>
          <w:kern w:val="2"/>
          <w:sz w:val="23"/>
          <w:szCs w:val="23"/>
          <w:lang w:eastAsia="es-CR"/>
        </w:rPr>
      </w:pPr>
    </w:p>
    <w:p w14:paraId="645A5019" w14:textId="77777777" w:rsidR="00921F72" w:rsidRPr="00E24C49" w:rsidRDefault="00921F72" w:rsidP="00324E91">
      <w:pPr>
        <w:pStyle w:val="Ttulo51"/>
        <w:keepNext w:val="0"/>
        <w:tabs>
          <w:tab w:val="clear" w:pos="0"/>
          <w:tab w:val="left" w:pos="708"/>
        </w:tabs>
        <w:jc w:val="both"/>
        <w:rPr>
          <w:rFonts w:eastAsia="Times New Roman"/>
          <w:i w:val="0"/>
          <w:iCs w:val="0"/>
          <w:sz w:val="23"/>
          <w:szCs w:val="23"/>
          <w:u w:val="none"/>
        </w:rPr>
      </w:pPr>
      <w:r w:rsidRPr="00E24C49">
        <w:rPr>
          <w:rFonts w:eastAsia="Times New Roman"/>
          <w:i w:val="0"/>
          <w:iCs w:val="0"/>
          <w:sz w:val="23"/>
          <w:szCs w:val="23"/>
          <w:u w:val="none"/>
        </w:rPr>
        <w:t>Lic. Carlos Toscano Mora Rodríguez</w:t>
      </w:r>
    </w:p>
    <w:p w14:paraId="77BFAE03" w14:textId="77777777" w:rsidR="00921F72" w:rsidRPr="00E24C49" w:rsidRDefault="00921F72" w:rsidP="00324E91">
      <w:pPr>
        <w:pStyle w:val="Ttulo51"/>
        <w:keepNext w:val="0"/>
        <w:tabs>
          <w:tab w:val="clear" w:pos="0"/>
          <w:tab w:val="left" w:pos="708"/>
        </w:tabs>
        <w:jc w:val="both"/>
        <w:rPr>
          <w:rFonts w:eastAsia="Times New Roman"/>
          <w:i w:val="0"/>
          <w:iCs w:val="0"/>
          <w:sz w:val="23"/>
          <w:szCs w:val="23"/>
          <w:u w:val="none"/>
        </w:rPr>
      </w:pPr>
      <w:r w:rsidRPr="00E24C49">
        <w:rPr>
          <w:rFonts w:eastAsia="Times New Roman"/>
          <w:i w:val="0"/>
          <w:iCs w:val="0"/>
          <w:sz w:val="23"/>
          <w:szCs w:val="23"/>
          <w:u w:val="none"/>
        </w:rPr>
        <w:t>Subsecretario General interino</w:t>
      </w:r>
    </w:p>
    <w:p w14:paraId="0F83AE9E" w14:textId="6F9658EB" w:rsidR="00921F72" w:rsidRPr="00E24C49" w:rsidRDefault="00921F72" w:rsidP="00324E91">
      <w:pPr>
        <w:jc w:val="both"/>
        <w:rPr>
          <w:b/>
          <w:bCs/>
          <w:sz w:val="23"/>
          <w:szCs w:val="23"/>
        </w:rPr>
      </w:pPr>
      <w:r w:rsidRPr="00E24C49">
        <w:rPr>
          <w:b/>
          <w:bCs/>
          <w:sz w:val="23"/>
          <w:szCs w:val="23"/>
        </w:rPr>
        <w:t>Corte Suprema de Justicia</w:t>
      </w:r>
    </w:p>
    <w:p w14:paraId="75DE21C9" w14:textId="65C303F1" w:rsidR="00322363" w:rsidRPr="00E24C49" w:rsidRDefault="00322363" w:rsidP="00324E91">
      <w:pPr>
        <w:jc w:val="both"/>
        <w:rPr>
          <w:b/>
          <w:bCs/>
          <w:sz w:val="23"/>
          <w:szCs w:val="23"/>
        </w:rPr>
      </w:pPr>
    </w:p>
    <w:p w14:paraId="03B2816F" w14:textId="63DE3D93" w:rsidR="00615AD9" w:rsidRPr="00E24C49" w:rsidRDefault="00322363" w:rsidP="00324E91">
      <w:pPr>
        <w:jc w:val="both"/>
        <w:rPr>
          <w:bCs/>
          <w:sz w:val="23"/>
          <w:szCs w:val="23"/>
        </w:rPr>
      </w:pPr>
      <w:proofErr w:type="spellStart"/>
      <w:r w:rsidRPr="00E24C49">
        <w:rPr>
          <w:sz w:val="23"/>
          <w:szCs w:val="23"/>
        </w:rPr>
        <w:t>Refs</w:t>
      </w:r>
      <w:proofErr w:type="spellEnd"/>
      <w:r w:rsidRPr="00E24C49">
        <w:rPr>
          <w:sz w:val="23"/>
          <w:szCs w:val="23"/>
        </w:rPr>
        <w:t xml:space="preserve">: </w:t>
      </w:r>
      <w:r w:rsidR="00CF19D9" w:rsidRPr="00E24C49">
        <w:rPr>
          <w:sz w:val="23"/>
          <w:szCs w:val="23"/>
        </w:rPr>
        <w:t>(</w:t>
      </w:r>
      <w:r w:rsidR="00CF19D9" w:rsidRPr="00E24C49">
        <w:rPr>
          <w:b/>
          <w:color w:val="000000" w:themeColor="text1"/>
          <w:sz w:val="23"/>
          <w:szCs w:val="23"/>
        </w:rPr>
        <w:t>10279-2020, 11124-19</w:t>
      </w:r>
      <w:r w:rsidR="00CF19D9" w:rsidRPr="00E24C49">
        <w:rPr>
          <w:sz w:val="23"/>
          <w:szCs w:val="23"/>
        </w:rPr>
        <w:t>)</w:t>
      </w:r>
    </w:p>
    <w:p w14:paraId="282B0089" w14:textId="5DC1EB49" w:rsidR="00834F47" w:rsidRPr="00E24C49" w:rsidRDefault="00322363" w:rsidP="00324E91">
      <w:pPr>
        <w:jc w:val="both"/>
        <w:rPr>
          <w:bCs/>
          <w:i/>
          <w:iCs/>
          <w:color w:val="BFBFBF" w:themeColor="background1" w:themeShade="BF"/>
          <w:sz w:val="23"/>
          <w:szCs w:val="23"/>
        </w:rPr>
      </w:pPr>
      <w:r w:rsidRPr="00E24C49">
        <w:rPr>
          <w:bCs/>
          <w:i/>
          <w:iCs/>
          <w:color w:val="BFBFBF" w:themeColor="background1" w:themeShade="BF"/>
          <w:sz w:val="23"/>
          <w:szCs w:val="23"/>
        </w:rPr>
        <w:t xml:space="preserve">Nickole </w:t>
      </w:r>
    </w:p>
    <w:sectPr w:rsidR="00834F47" w:rsidRPr="00E24C49" w:rsidSect="00F668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CDFC4" w14:textId="77777777" w:rsidR="00095124" w:rsidRDefault="00095124" w:rsidP="00B3519F">
      <w:r>
        <w:separator/>
      </w:r>
    </w:p>
  </w:endnote>
  <w:endnote w:type="continuationSeparator" w:id="0">
    <w:p w14:paraId="69C4BEE6" w14:textId="77777777" w:rsidR="00095124" w:rsidRDefault="00095124" w:rsidP="00B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2E077" w14:textId="77777777" w:rsidR="00095124" w:rsidRDefault="00095124" w:rsidP="00B3519F">
      <w:r>
        <w:separator/>
      </w:r>
    </w:p>
  </w:footnote>
  <w:footnote w:type="continuationSeparator" w:id="0">
    <w:p w14:paraId="3EACEED2" w14:textId="77777777" w:rsidR="00095124" w:rsidRDefault="00095124" w:rsidP="00B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5C2"/>
    <w:multiLevelType w:val="multilevel"/>
    <w:tmpl w:val="F0F44C88"/>
    <w:lvl w:ilvl="0">
      <w:start w:val="1"/>
      <w:numFmt w:val="decimal"/>
      <w:lvlText w:val="%1."/>
      <w:lvlJc w:val="left"/>
      <w:pPr>
        <w:ind w:left="360" w:hanging="360"/>
      </w:pPr>
    </w:lvl>
    <w:lvl w:ilvl="1">
      <w:start w:val="1"/>
      <w:numFmt w:val="decimal"/>
      <w:lvlText w:val="%1.%2."/>
      <w:lvlJc w:val="left"/>
      <w:pPr>
        <w:ind w:left="567" w:hanging="45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A7E69"/>
    <w:multiLevelType w:val="hybridMultilevel"/>
    <w:tmpl w:val="B9B4CB4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1DD94183"/>
    <w:multiLevelType w:val="hybridMultilevel"/>
    <w:tmpl w:val="97FE77F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21DA72A3"/>
    <w:multiLevelType w:val="multilevel"/>
    <w:tmpl w:val="54B40372"/>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FE2D38"/>
    <w:multiLevelType w:val="multilevel"/>
    <w:tmpl w:val="2C16D48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750604"/>
    <w:multiLevelType w:val="hybridMultilevel"/>
    <w:tmpl w:val="C9067E3A"/>
    <w:lvl w:ilvl="0" w:tplc="140A0017">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057486E"/>
    <w:multiLevelType w:val="hybridMultilevel"/>
    <w:tmpl w:val="D396996A"/>
    <w:lvl w:ilvl="0" w:tplc="C5CA4D1E">
      <w:start w:val="1"/>
      <w:numFmt w:val="low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7" w15:restartNumberingAfterBreak="0">
    <w:nsid w:val="3D616B0C"/>
    <w:multiLevelType w:val="hybridMultilevel"/>
    <w:tmpl w:val="EF841E9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57702AC9"/>
    <w:multiLevelType w:val="hybridMultilevel"/>
    <w:tmpl w:val="959C296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15:restartNumberingAfterBreak="0">
    <w:nsid w:val="5D95601D"/>
    <w:multiLevelType w:val="multilevel"/>
    <w:tmpl w:val="CDACFE1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13E603D"/>
    <w:multiLevelType w:val="hybridMultilevel"/>
    <w:tmpl w:val="C4AC93C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626E5304"/>
    <w:multiLevelType w:val="multilevel"/>
    <w:tmpl w:val="EF2E4E8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B62F62"/>
    <w:multiLevelType w:val="hybridMultilevel"/>
    <w:tmpl w:val="F37C85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2"/>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012CAB"/>
    <w:rsid w:val="0007381B"/>
    <w:rsid w:val="00095124"/>
    <w:rsid w:val="000A2D20"/>
    <w:rsid w:val="000C63CA"/>
    <w:rsid w:val="001035E6"/>
    <w:rsid w:val="00106DD4"/>
    <w:rsid w:val="001C5D72"/>
    <w:rsid w:val="00226815"/>
    <w:rsid w:val="002F55D2"/>
    <w:rsid w:val="00322363"/>
    <w:rsid w:val="00324E91"/>
    <w:rsid w:val="00331950"/>
    <w:rsid w:val="0033597B"/>
    <w:rsid w:val="004173F0"/>
    <w:rsid w:val="004963CB"/>
    <w:rsid w:val="004C1F31"/>
    <w:rsid w:val="004E6862"/>
    <w:rsid w:val="004F71EC"/>
    <w:rsid w:val="00500431"/>
    <w:rsid w:val="00533A4A"/>
    <w:rsid w:val="005705F1"/>
    <w:rsid w:val="00593142"/>
    <w:rsid w:val="005C0329"/>
    <w:rsid w:val="00611920"/>
    <w:rsid w:val="00615AD9"/>
    <w:rsid w:val="006531BE"/>
    <w:rsid w:val="00671363"/>
    <w:rsid w:val="00686CB3"/>
    <w:rsid w:val="00746B18"/>
    <w:rsid w:val="00777C18"/>
    <w:rsid w:val="007B4F32"/>
    <w:rsid w:val="0081222D"/>
    <w:rsid w:val="008A12F4"/>
    <w:rsid w:val="008B3086"/>
    <w:rsid w:val="008D2571"/>
    <w:rsid w:val="00921F72"/>
    <w:rsid w:val="00950553"/>
    <w:rsid w:val="00954549"/>
    <w:rsid w:val="00955D1C"/>
    <w:rsid w:val="00955EEF"/>
    <w:rsid w:val="009C0BAE"/>
    <w:rsid w:val="009C1FB0"/>
    <w:rsid w:val="00A42F3D"/>
    <w:rsid w:val="00A62453"/>
    <w:rsid w:val="00A71976"/>
    <w:rsid w:val="00AE1ED0"/>
    <w:rsid w:val="00B3519F"/>
    <w:rsid w:val="00B3741E"/>
    <w:rsid w:val="00B803A6"/>
    <w:rsid w:val="00B92D5E"/>
    <w:rsid w:val="00BD421F"/>
    <w:rsid w:val="00C07105"/>
    <w:rsid w:val="00C23BFE"/>
    <w:rsid w:val="00C36E93"/>
    <w:rsid w:val="00C9085D"/>
    <w:rsid w:val="00C928F6"/>
    <w:rsid w:val="00CE3215"/>
    <w:rsid w:val="00CF19D9"/>
    <w:rsid w:val="00D26CD6"/>
    <w:rsid w:val="00DE7F0C"/>
    <w:rsid w:val="00E00D1C"/>
    <w:rsid w:val="00E24C49"/>
    <w:rsid w:val="00EC04E7"/>
    <w:rsid w:val="00F2236D"/>
    <w:rsid w:val="00F63449"/>
    <w:rsid w:val="00FC4DA5"/>
    <w:rsid w:val="00FE1671"/>
    <w:rsid w:val="00FE71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B48"/>
  <w15:docId w15:val="{C6D2058F-8381-4FB6-B821-44C529AA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 w:type="paragraph" w:styleId="Textonotapie">
    <w:name w:val="footnote text"/>
    <w:basedOn w:val="Normal"/>
    <w:link w:val="TextonotapieCar"/>
    <w:uiPriority w:val="99"/>
    <w:semiHidden/>
    <w:unhideWhenUsed/>
    <w:rsid w:val="00B3519F"/>
    <w:rPr>
      <w:sz w:val="20"/>
      <w:szCs w:val="20"/>
    </w:rPr>
  </w:style>
  <w:style w:type="character" w:customStyle="1" w:styleId="TextonotapieCar">
    <w:name w:val="Texto nota pie Car"/>
    <w:basedOn w:val="Fuentedeprrafopredeter"/>
    <w:link w:val="Textonotapie"/>
    <w:uiPriority w:val="99"/>
    <w:semiHidden/>
    <w:rsid w:val="00B3519F"/>
    <w:rPr>
      <w:rFonts w:ascii="Times New Roman" w:eastAsia="Times New Roman" w:hAnsi="Times New Roman" w:cs="Times New Roman"/>
      <w:sz w:val="20"/>
      <w:szCs w:val="20"/>
      <w:lang w:val="es-ES" w:eastAsia="zh-CN"/>
    </w:rPr>
  </w:style>
  <w:style w:type="character" w:styleId="Hipervnculo">
    <w:name w:val="Hyperlink"/>
    <w:uiPriority w:val="99"/>
    <w:rsid w:val="00B3519F"/>
    <w:rPr>
      <w:color w:val="0000FF"/>
      <w:u w:val="single"/>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B3519F"/>
    <w:rPr>
      <w:vertAlign w:val="superscript"/>
    </w:rPr>
  </w:style>
  <w:style w:type="paragraph" w:customStyle="1" w:styleId="Default">
    <w:name w:val="Default"/>
    <w:rsid w:val="00B3519F"/>
    <w:pPr>
      <w:widowControl w:val="0"/>
      <w:autoSpaceDE w:val="0"/>
      <w:autoSpaceDN w:val="0"/>
      <w:adjustRightInd w:val="0"/>
      <w:spacing w:before="0" w:beforeAutospacing="0" w:after="0" w:afterAutospacing="0"/>
      <w:ind w:left="0" w:right="0" w:firstLine="0"/>
      <w:jc w:val="left"/>
    </w:pPr>
    <w:rPr>
      <w:rFonts w:ascii="Verdana" w:eastAsia="Times New Roman" w:hAnsi="Verdana" w:cs="Verdana"/>
      <w:color w:val="000000"/>
      <w:sz w:val="24"/>
      <w:szCs w:val="24"/>
      <w:lang w:val="es-ES" w:eastAsia="es-ES"/>
    </w:rPr>
  </w:style>
  <w:style w:type="paragraph" w:customStyle="1" w:styleId="xmsonormal">
    <w:name w:val="x_msonormal"/>
    <w:basedOn w:val="Normal"/>
    <w:rsid w:val="0033597B"/>
    <w:pPr>
      <w:suppressAutoHyphens w:val="0"/>
      <w:spacing w:before="100" w:beforeAutospacing="1" w:after="100" w:afterAutospacing="1"/>
    </w:pPr>
    <w:rPr>
      <w:lang w:val="en-US" w:eastAsia="en-US"/>
    </w:rPr>
  </w:style>
  <w:style w:type="character" w:customStyle="1" w:styleId="Ttulo2Car">
    <w:name w:val="Título 2 Car"/>
    <w:aliases w:val="Títulos de Hallazgo e Introducción Car"/>
    <w:basedOn w:val="Fuentedeprrafopredeter"/>
    <w:link w:val="Ttulo21"/>
    <w:locked/>
    <w:rsid w:val="00F2236D"/>
    <w:rPr>
      <w:rFonts w:ascii="Arial" w:hAnsi="Arial" w:cs="Arial"/>
      <w:i/>
      <w:iCs/>
      <w:lang w:eastAsia="ar-SA"/>
    </w:rPr>
  </w:style>
  <w:style w:type="paragraph" w:customStyle="1" w:styleId="Ttulo21">
    <w:name w:val="Título 21"/>
    <w:aliases w:val="Títulos de Hallazgo e Introducción"/>
    <w:basedOn w:val="Normal"/>
    <w:link w:val="Ttulo2Car"/>
    <w:rsid w:val="00F2236D"/>
    <w:pPr>
      <w:keepNext/>
      <w:suppressAutoHyphens w:val="0"/>
      <w:spacing w:before="240" w:after="60"/>
    </w:pPr>
    <w:rPr>
      <w:rFonts w:ascii="Arial" w:eastAsiaTheme="minorHAnsi" w:hAnsi="Arial" w:cs="Arial"/>
      <w:i/>
      <w:iCs/>
      <w:sz w:val="22"/>
      <w:szCs w:val="22"/>
      <w:lang w:val="es-CR" w:eastAsia="ar-SA"/>
    </w:rPr>
  </w:style>
  <w:style w:type="character" w:customStyle="1" w:styleId="encabezadodelaCar">
    <w:name w:val="encabezado de la Car"/>
    <w:basedOn w:val="Fuentedeprrafopredeter"/>
    <w:link w:val="encabezadodela"/>
    <w:qFormat/>
    <w:locked/>
    <w:rsid w:val="007B4F32"/>
    <w:rPr>
      <w:color w:val="000099"/>
      <w:sz w:val="28"/>
      <w:szCs w:val="28"/>
      <w:lang w:val="es-ES_tradnl" w:eastAsia="ar-SA"/>
    </w:rPr>
  </w:style>
  <w:style w:type="paragraph" w:customStyle="1" w:styleId="encabezadodela">
    <w:name w:val="encabezado de la"/>
    <w:basedOn w:val="Normal"/>
    <w:link w:val="encabezadodelaCar"/>
    <w:qFormat/>
    <w:rsid w:val="007B4F32"/>
    <w:pPr>
      <w:spacing w:line="480" w:lineRule="auto"/>
      <w:ind w:firstLine="708"/>
      <w:jc w:val="both"/>
    </w:pPr>
    <w:rPr>
      <w:rFonts w:asciiTheme="minorHAnsi" w:eastAsiaTheme="minorHAnsi" w:hAnsiTheme="minorHAnsi" w:cstheme="minorBidi"/>
      <w:color w:val="000099"/>
      <w:sz w:val="28"/>
      <w:szCs w:val="28"/>
      <w:lang w:val="es-ES_tradnl" w:eastAsia="ar-SA"/>
    </w:rPr>
  </w:style>
  <w:style w:type="character" w:styleId="Mencinsinresolver">
    <w:name w:val="Unresolved Mention"/>
    <w:basedOn w:val="Fuentedeprrafopredeter"/>
    <w:uiPriority w:val="99"/>
    <w:semiHidden/>
    <w:unhideWhenUsed/>
    <w:rsid w:val="008A12F4"/>
    <w:rPr>
      <w:color w:val="605E5C"/>
      <w:shd w:val="clear" w:color="auto" w:fill="E1DFDD"/>
    </w:rPr>
  </w:style>
  <w:style w:type="paragraph" w:styleId="Prrafodelista">
    <w:name w:val="List Paragraph"/>
    <w:basedOn w:val="Normal"/>
    <w:uiPriority w:val="34"/>
    <w:qFormat/>
    <w:rsid w:val="00CF1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1479">
      <w:bodyDiv w:val="1"/>
      <w:marLeft w:val="0"/>
      <w:marRight w:val="0"/>
      <w:marTop w:val="0"/>
      <w:marBottom w:val="0"/>
      <w:divBdr>
        <w:top w:val="none" w:sz="0" w:space="0" w:color="auto"/>
        <w:left w:val="none" w:sz="0" w:space="0" w:color="auto"/>
        <w:bottom w:val="none" w:sz="0" w:space="0" w:color="auto"/>
        <w:right w:val="none" w:sz="0" w:space="0" w:color="auto"/>
      </w:divBdr>
    </w:div>
    <w:div w:id="499197997">
      <w:bodyDiv w:val="1"/>
      <w:marLeft w:val="0"/>
      <w:marRight w:val="0"/>
      <w:marTop w:val="0"/>
      <w:marBottom w:val="0"/>
      <w:divBdr>
        <w:top w:val="none" w:sz="0" w:space="0" w:color="auto"/>
        <w:left w:val="none" w:sz="0" w:space="0" w:color="auto"/>
        <w:bottom w:val="none" w:sz="0" w:space="0" w:color="auto"/>
        <w:right w:val="none" w:sz="0" w:space="0" w:color="auto"/>
      </w:divBdr>
    </w:div>
    <w:div w:id="565920673">
      <w:bodyDiv w:val="1"/>
      <w:marLeft w:val="0"/>
      <w:marRight w:val="0"/>
      <w:marTop w:val="0"/>
      <w:marBottom w:val="0"/>
      <w:divBdr>
        <w:top w:val="none" w:sz="0" w:space="0" w:color="auto"/>
        <w:left w:val="none" w:sz="0" w:space="0" w:color="auto"/>
        <w:bottom w:val="none" w:sz="0" w:space="0" w:color="auto"/>
        <w:right w:val="none" w:sz="0" w:space="0" w:color="auto"/>
      </w:divBdr>
    </w:div>
    <w:div w:id="580067921">
      <w:bodyDiv w:val="1"/>
      <w:marLeft w:val="0"/>
      <w:marRight w:val="0"/>
      <w:marTop w:val="0"/>
      <w:marBottom w:val="0"/>
      <w:divBdr>
        <w:top w:val="none" w:sz="0" w:space="0" w:color="auto"/>
        <w:left w:val="none" w:sz="0" w:space="0" w:color="auto"/>
        <w:bottom w:val="none" w:sz="0" w:space="0" w:color="auto"/>
        <w:right w:val="none" w:sz="0" w:space="0" w:color="auto"/>
      </w:divBdr>
    </w:div>
    <w:div w:id="600529075">
      <w:bodyDiv w:val="1"/>
      <w:marLeft w:val="0"/>
      <w:marRight w:val="0"/>
      <w:marTop w:val="0"/>
      <w:marBottom w:val="0"/>
      <w:divBdr>
        <w:top w:val="none" w:sz="0" w:space="0" w:color="auto"/>
        <w:left w:val="none" w:sz="0" w:space="0" w:color="auto"/>
        <w:bottom w:val="none" w:sz="0" w:space="0" w:color="auto"/>
        <w:right w:val="none" w:sz="0" w:space="0" w:color="auto"/>
      </w:divBdr>
    </w:div>
    <w:div w:id="1017003425">
      <w:bodyDiv w:val="1"/>
      <w:marLeft w:val="0"/>
      <w:marRight w:val="0"/>
      <w:marTop w:val="0"/>
      <w:marBottom w:val="0"/>
      <w:divBdr>
        <w:top w:val="none" w:sz="0" w:space="0" w:color="auto"/>
        <w:left w:val="none" w:sz="0" w:space="0" w:color="auto"/>
        <w:bottom w:val="none" w:sz="0" w:space="0" w:color="auto"/>
        <w:right w:val="none" w:sz="0" w:space="0" w:color="auto"/>
      </w:divBdr>
    </w:div>
    <w:div w:id="1217357978">
      <w:bodyDiv w:val="1"/>
      <w:marLeft w:val="0"/>
      <w:marRight w:val="0"/>
      <w:marTop w:val="0"/>
      <w:marBottom w:val="0"/>
      <w:divBdr>
        <w:top w:val="none" w:sz="0" w:space="0" w:color="auto"/>
        <w:left w:val="none" w:sz="0" w:space="0" w:color="auto"/>
        <w:bottom w:val="none" w:sz="0" w:space="0" w:color="auto"/>
        <w:right w:val="none" w:sz="0" w:space="0" w:color="auto"/>
      </w:divBdr>
    </w:div>
    <w:div w:id="1399593847">
      <w:bodyDiv w:val="1"/>
      <w:marLeft w:val="0"/>
      <w:marRight w:val="0"/>
      <w:marTop w:val="0"/>
      <w:marBottom w:val="0"/>
      <w:divBdr>
        <w:top w:val="none" w:sz="0" w:space="0" w:color="auto"/>
        <w:left w:val="none" w:sz="0" w:space="0" w:color="auto"/>
        <w:bottom w:val="none" w:sz="0" w:space="0" w:color="auto"/>
        <w:right w:val="none" w:sz="0" w:space="0" w:color="auto"/>
      </w:divBdr>
    </w:div>
    <w:div w:id="1400326954">
      <w:bodyDiv w:val="1"/>
      <w:marLeft w:val="0"/>
      <w:marRight w:val="0"/>
      <w:marTop w:val="0"/>
      <w:marBottom w:val="0"/>
      <w:divBdr>
        <w:top w:val="none" w:sz="0" w:space="0" w:color="auto"/>
        <w:left w:val="none" w:sz="0" w:space="0" w:color="auto"/>
        <w:bottom w:val="none" w:sz="0" w:space="0" w:color="auto"/>
        <w:right w:val="none" w:sz="0" w:space="0" w:color="auto"/>
      </w:divBdr>
    </w:div>
    <w:div w:id="1419331950">
      <w:bodyDiv w:val="1"/>
      <w:marLeft w:val="0"/>
      <w:marRight w:val="0"/>
      <w:marTop w:val="0"/>
      <w:marBottom w:val="0"/>
      <w:divBdr>
        <w:top w:val="none" w:sz="0" w:space="0" w:color="auto"/>
        <w:left w:val="none" w:sz="0" w:space="0" w:color="auto"/>
        <w:bottom w:val="none" w:sz="0" w:space="0" w:color="auto"/>
        <w:right w:val="none" w:sz="0" w:space="0" w:color="auto"/>
      </w:divBdr>
    </w:div>
    <w:div w:id="1422290150">
      <w:bodyDiv w:val="1"/>
      <w:marLeft w:val="0"/>
      <w:marRight w:val="0"/>
      <w:marTop w:val="0"/>
      <w:marBottom w:val="0"/>
      <w:divBdr>
        <w:top w:val="none" w:sz="0" w:space="0" w:color="auto"/>
        <w:left w:val="none" w:sz="0" w:space="0" w:color="auto"/>
        <w:bottom w:val="none" w:sz="0" w:space="0" w:color="auto"/>
        <w:right w:val="none" w:sz="0" w:space="0" w:color="auto"/>
      </w:divBdr>
    </w:div>
    <w:div w:id="1486775958">
      <w:bodyDiv w:val="1"/>
      <w:marLeft w:val="0"/>
      <w:marRight w:val="0"/>
      <w:marTop w:val="0"/>
      <w:marBottom w:val="0"/>
      <w:divBdr>
        <w:top w:val="none" w:sz="0" w:space="0" w:color="auto"/>
        <w:left w:val="none" w:sz="0" w:space="0" w:color="auto"/>
        <w:bottom w:val="none" w:sz="0" w:space="0" w:color="auto"/>
        <w:right w:val="none" w:sz="0" w:space="0" w:color="auto"/>
      </w:divBdr>
    </w:div>
    <w:div w:id="1552838269">
      <w:bodyDiv w:val="1"/>
      <w:marLeft w:val="0"/>
      <w:marRight w:val="0"/>
      <w:marTop w:val="0"/>
      <w:marBottom w:val="0"/>
      <w:divBdr>
        <w:top w:val="none" w:sz="0" w:space="0" w:color="auto"/>
        <w:left w:val="none" w:sz="0" w:space="0" w:color="auto"/>
        <w:bottom w:val="none" w:sz="0" w:space="0" w:color="auto"/>
        <w:right w:val="none" w:sz="0" w:space="0" w:color="auto"/>
      </w:divBdr>
    </w:div>
    <w:div w:id="1618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retariacorte.poder-judicial.go.cr/index.php/documen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4675</Characters>
  <Application>Microsoft Office Word</Application>
  <DocSecurity>4</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Isidro Quesada Castillo</cp:lastModifiedBy>
  <cp:revision>2</cp:revision>
  <dcterms:created xsi:type="dcterms:W3CDTF">2020-11-06T17:41:00Z</dcterms:created>
  <dcterms:modified xsi:type="dcterms:W3CDTF">2020-11-06T17:41:00Z</dcterms:modified>
</cp:coreProperties>
</file>