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3F49" w:rsidRPr="00B83F49" w:rsidRDefault="00B83F49" w:rsidP="00B83F49">
      <w:pPr>
        <w:suppressAutoHyphens/>
        <w:spacing w:before="120" w:after="120" w:line="480" w:lineRule="auto"/>
        <w:rPr>
          <w:rFonts w:ascii="Times New Roman" w:eastAsia="Calibri" w:hAnsi="Times New Roman" w:cs="Times New Roman"/>
          <w:b/>
          <w:bCs/>
          <w:sz w:val="24"/>
          <w:szCs w:val="24"/>
          <w:u w:val="single"/>
          <w:lang w:val="es-ES_tradnl" w:eastAsia="ar-SA"/>
        </w:rPr>
      </w:pPr>
      <w:r w:rsidRPr="00B83F49">
        <w:rPr>
          <w:rFonts w:ascii="Times New Roman" w:eastAsia="Calibri" w:hAnsi="Times New Roman" w:cs="Times New Roman"/>
          <w:b/>
          <w:bCs/>
          <w:sz w:val="24"/>
          <w:szCs w:val="24"/>
          <w:u w:val="single"/>
          <w:lang w:val="es-ES_tradnl" w:eastAsia="ar-SA"/>
        </w:rPr>
        <w:t>CIRCULAR </w:t>
      </w:r>
      <w:r>
        <w:rPr>
          <w:rFonts w:ascii="Times New Roman" w:eastAsia="Calibri" w:hAnsi="Times New Roman" w:cs="Times New Roman"/>
          <w:b/>
          <w:bCs/>
          <w:sz w:val="24"/>
          <w:szCs w:val="24"/>
          <w:u w:val="single"/>
          <w:lang w:val="es-ES_tradnl" w:eastAsia="ar-SA"/>
        </w:rPr>
        <w:t>No. 141</w:t>
      </w:r>
      <w:r w:rsidRPr="00B83F49">
        <w:rPr>
          <w:rFonts w:ascii="Times New Roman" w:eastAsia="Calibri" w:hAnsi="Times New Roman" w:cs="Times New Roman"/>
          <w:b/>
          <w:bCs/>
          <w:sz w:val="24"/>
          <w:szCs w:val="24"/>
          <w:u w:val="single"/>
          <w:lang w:val="es-ES_tradnl" w:eastAsia="ar-SA"/>
        </w:rPr>
        <w:t>-2020</w:t>
      </w:r>
    </w:p>
    <w:p w:rsidR="00B83F49" w:rsidRPr="00B83F49" w:rsidRDefault="00B83F49" w:rsidP="00B83F49">
      <w:pPr>
        <w:suppressAutoHyphens/>
        <w:spacing w:before="120" w:after="120" w:line="240" w:lineRule="auto"/>
        <w:rPr>
          <w:rFonts w:ascii="Times New Roman" w:eastAsia="Calibri" w:hAnsi="Times New Roman" w:cs="Times New Roman"/>
          <w:b/>
          <w:bCs/>
          <w:sz w:val="24"/>
          <w:szCs w:val="24"/>
          <w:u w:val="single"/>
          <w:lang w:val="es-ES_tradnl" w:eastAsia="ar-SA"/>
        </w:rPr>
      </w:pPr>
      <w:r w:rsidRPr="00B83F49">
        <w:rPr>
          <w:rFonts w:ascii="Times New Roman" w:eastAsia="Calibri" w:hAnsi="Times New Roman" w:cs="Times New Roman"/>
          <w:b/>
          <w:bCs/>
          <w:sz w:val="24"/>
          <w:szCs w:val="24"/>
          <w:u w:val="single"/>
          <w:lang w:val="es-ES_tradnl" w:eastAsia="ar-SA"/>
        </w:rPr>
        <w:t>Asunto:</w:t>
      </w:r>
      <w:r w:rsidRPr="00B83F49">
        <w:rPr>
          <w:rFonts w:ascii="Times New Roman" w:eastAsia="Calibri" w:hAnsi="Times New Roman" w:cs="Times New Roman"/>
          <w:b/>
          <w:bCs/>
          <w:sz w:val="24"/>
          <w:szCs w:val="24"/>
          <w:lang w:val="es-ES_tradnl" w:eastAsia="ar-SA"/>
        </w:rPr>
        <w:t xml:space="preserve">   </w:t>
      </w:r>
      <w:r w:rsidRPr="00B83F49">
        <w:rPr>
          <w:rFonts w:ascii="Times New Roman" w:eastAsia="Calibri" w:hAnsi="Times New Roman" w:cs="Times New Roman"/>
          <w:bCs/>
          <w:sz w:val="24"/>
          <w:szCs w:val="24"/>
          <w:lang w:val="es-ES_tradnl" w:eastAsia="ar-SA"/>
        </w:rPr>
        <w:t>“Obligación de realizar evaluaciones semestrales y anuales a los Planes Anuales O</w:t>
      </w:r>
      <w:r>
        <w:rPr>
          <w:rFonts w:ascii="Times New Roman" w:eastAsia="Calibri" w:hAnsi="Times New Roman" w:cs="Times New Roman"/>
          <w:bCs/>
          <w:sz w:val="24"/>
          <w:szCs w:val="24"/>
          <w:lang w:val="es-ES_tradnl" w:eastAsia="ar-SA"/>
        </w:rPr>
        <w:t>perativos”.</w:t>
      </w:r>
    </w:p>
    <w:p w:rsidR="00B83F49" w:rsidRPr="00B83F49" w:rsidRDefault="00B83F49" w:rsidP="00B83F49">
      <w:pPr>
        <w:suppressAutoHyphens/>
        <w:spacing w:before="120" w:after="120" w:line="240" w:lineRule="auto"/>
        <w:rPr>
          <w:rFonts w:ascii="Times New Roman" w:eastAsia="Calibri" w:hAnsi="Times New Roman" w:cs="Times New Roman"/>
          <w:b/>
          <w:bCs/>
          <w:sz w:val="24"/>
          <w:szCs w:val="24"/>
          <w:u w:val="single"/>
          <w:lang w:val="es-ES_tradnl" w:eastAsia="ar-SA"/>
        </w:rPr>
      </w:pPr>
    </w:p>
    <w:p w:rsidR="00B83F49" w:rsidRDefault="00B83F49" w:rsidP="00B83F49">
      <w:pPr>
        <w:suppressAutoHyphens/>
        <w:spacing w:before="120" w:after="120" w:line="240" w:lineRule="auto"/>
        <w:rPr>
          <w:rFonts w:ascii="Times New Roman" w:eastAsia="Calibri" w:hAnsi="Times New Roman" w:cs="Times New Roman"/>
          <w:b/>
          <w:bCs/>
          <w:sz w:val="24"/>
          <w:szCs w:val="24"/>
          <w:u w:val="single"/>
          <w:lang w:val="es-ES_tradnl" w:eastAsia="ar-SA"/>
        </w:rPr>
      </w:pPr>
      <w:r w:rsidRPr="00B83F49">
        <w:rPr>
          <w:rFonts w:ascii="Times New Roman" w:eastAsia="Calibri" w:hAnsi="Times New Roman" w:cs="Times New Roman"/>
          <w:b/>
          <w:bCs/>
          <w:sz w:val="24"/>
          <w:szCs w:val="24"/>
          <w:u w:val="single"/>
          <w:lang w:val="es-ES_tradnl" w:eastAsia="ar-SA"/>
        </w:rPr>
        <w:t>A LOS DESPACHOS JUDICIALES DEL PAÍS</w:t>
      </w:r>
    </w:p>
    <w:p w:rsidR="00B83F49" w:rsidRPr="00B83F49" w:rsidRDefault="00B83F49" w:rsidP="00B83F49">
      <w:pPr>
        <w:suppressAutoHyphens/>
        <w:spacing w:before="120" w:after="120" w:line="240" w:lineRule="auto"/>
        <w:rPr>
          <w:rFonts w:ascii="Times New Roman" w:eastAsia="Calibri" w:hAnsi="Times New Roman" w:cs="Times New Roman"/>
          <w:b/>
          <w:bCs/>
          <w:sz w:val="24"/>
          <w:szCs w:val="24"/>
          <w:u w:val="single"/>
          <w:lang w:val="es-ES_tradnl" w:eastAsia="ar-SA"/>
        </w:rPr>
      </w:pPr>
    </w:p>
    <w:p w:rsidR="00B83F49" w:rsidRPr="00B83F49" w:rsidRDefault="00B83F49" w:rsidP="00B83F49">
      <w:pPr>
        <w:suppressAutoHyphens/>
        <w:spacing w:before="120" w:after="120" w:line="240" w:lineRule="auto"/>
        <w:rPr>
          <w:rFonts w:ascii="Times New Roman" w:eastAsia="Calibri" w:hAnsi="Times New Roman" w:cs="Times New Roman"/>
          <w:b/>
          <w:bCs/>
          <w:sz w:val="24"/>
          <w:szCs w:val="24"/>
          <w:u w:val="single"/>
          <w:lang w:val="es-ES_tradnl" w:eastAsia="ar-SA"/>
        </w:rPr>
      </w:pPr>
      <w:r w:rsidRPr="00B83F49">
        <w:rPr>
          <w:rFonts w:ascii="Times New Roman" w:eastAsia="Calibri" w:hAnsi="Times New Roman" w:cs="Times New Roman"/>
          <w:b/>
          <w:bCs/>
          <w:sz w:val="24"/>
          <w:szCs w:val="24"/>
          <w:u w:val="single"/>
          <w:lang w:val="es-ES_tradnl" w:eastAsia="ar-SA"/>
        </w:rPr>
        <w:t>SE LES HACE SABER QUE:</w:t>
      </w:r>
    </w:p>
    <w:p w:rsidR="00B83F49" w:rsidRPr="00B83F49" w:rsidRDefault="00B83F49" w:rsidP="00B83F49">
      <w:pPr>
        <w:shd w:val="clear" w:color="auto" w:fill="FFFFFF"/>
        <w:spacing w:after="0" w:line="240" w:lineRule="auto"/>
        <w:ind w:left="567"/>
        <w:rPr>
          <w:rFonts w:ascii="Arial" w:eastAsia="Times New Roman" w:hAnsi="Arial" w:cs="Arial"/>
          <w:b/>
          <w:bCs/>
          <w:color w:val="000000"/>
          <w:sz w:val="21"/>
          <w:szCs w:val="21"/>
          <w:u w:val="single"/>
          <w:lang w:eastAsia="es-CR"/>
        </w:rPr>
      </w:pPr>
    </w:p>
    <w:p w:rsidR="00B83F49" w:rsidRPr="00B83F49" w:rsidRDefault="00B83F49" w:rsidP="00B83F49">
      <w:pPr>
        <w:shd w:val="clear" w:color="auto" w:fill="FFFFFF"/>
        <w:spacing w:after="0" w:line="240" w:lineRule="auto"/>
        <w:ind w:left="567"/>
        <w:jc w:val="center"/>
        <w:rPr>
          <w:rFonts w:ascii="Arial" w:eastAsia="Times New Roman" w:hAnsi="Arial" w:cs="Arial"/>
          <w:color w:val="000000"/>
          <w:sz w:val="21"/>
          <w:szCs w:val="21"/>
          <w:lang w:eastAsia="es-CR"/>
        </w:rPr>
      </w:pPr>
    </w:p>
    <w:p w:rsidR="00B83F49" w:rsidRPr="00B83F49" w:rsidRDefault="00B83F49" w:rsidP="00B83F49">
      <w:pPr>
        <w:suppressAutoHyphens/>
        <w:spacing w:before="100" w:beforeAutospacing="1" w:after="0" w:line="360" w:lineRule="auto"/>
        <w:ind w:firstLine="709"/>
        <w:jc w:val="both"/>
        <w:rPr>
          <w:rFonts w:ascii="Times New Roman" w:eastAsia="Calibri" w:hAnsi="Times New Roman" w:cs="Times New Roman"/>
          <w:sz w:val="24"/>
          <w:szCs w:val="24"/>
          <w:lang w:val="es-ES_tradnl" w:eastAsia="es-CR"/>
        </w:rPr>
      </w:pPr>
      <w:r w:rsidRPr="00B83F49">
        <w:rPr>
          <w:rFonts w:ascii="Times New Roman" w:eastAsia="Calibri" w:hAnsi="Times New Roman" w:cs="Times New Roman"/>
          <w:sz w:val="24"/>
          <w:szCs w:val="24"/>
          <w:lang w:val="es-ES_tradnl" w:eastAsia="es-CR"/>
        </w:rPr>
        <w:t>El Consejo Superior del Pod</w:t>
      </w:r>
      <w:r w:rsidR="005B0A1D">
        <w:rPr>
          <w:rFonts w:ascii="Times New Roman" w:eastAsia="Calibri" w:hAnsi="Times New Roman" w:cs="Times New Roman"/>
          <w:sz w:val="24"/>
          <w:szCs w:val="24"/>
          <w:lang w:val="es-ES_tradnl" w:eastAsia="es-CR"/>
        </w:rPr>
        <w:t>er Judicial en sesión No. 55-2020</w:t>
      </w:r>
      <w:r w:rsidRPr="00B83F49">
        <w:rPr>
          <w:rFonts w:ascii="Times New Roman" w:eastAsia="Calibri" w:hAnsi="Times New Roman" w:cs="Times New Roman"/>
          <w:sz w:val="24"/>
          <w:szCs w:val="24"/>
          <w:lang w:val="es-ES_tradnl" w:eastAsia="es-CR"/>
        </w:rPr>
        <w:t xml:space="preserve">, </w:t>
      </w:r>
      <w:r w:rsidR="005B0A1D">
        <w:rPr>
          <w:rFonts w:ascii="Times New Roman" w:eastAsia="Calibri" w:hAnsi="Times New Roman" w:cs="Times New Roman"/>
          <w:sz w:val="24"/>
          <w:szCs w:val="24"/>
          <w:lang w:val="es-ES_tradnl" w:eastAsia="es-CR"/>
        </w:rPr>
        <w:t>celebrada el 4 de junio de 2020, artículo L</w:t>
      </w:r>
      <w:r w:rsidRPr="00B83F49">
        <w:rPr>
          <w:rFonts w:ascii="Times New Roman" w:eastAsia="Calibri" w:hAnsi="Times New Roman" w:cs="Times New Roman"/>
          <w:sz w:val="24"/>
          <w:szCs w:val="24"/>
          <w:lang w:val="es-ES_tradnl" w:eastAsia="es-CR"/>
        </w:rPr>
        <w:t>III, acordó reiterarles lo dispuesto en la sesión No. 03-07, celebrada el 16 de enero de 2007, artículo LXXXVI, que indica:</w:t>
      </w:r>
    </w:p>
    <w:p w:rsidR="00B83F49" w:rsidRPr="00B83F49" w:rsidRDefault="00B83F49" w:rsidP="00B83F49">
      <w:pPr>
        <w:suppressAutoHyphens/>
        <w:spacing w:before="100" w:beforeAutospacing="1" w:after="0" w:line="360" w:lineRule="auto"/>
        <w:ind w:firstLine="709"/>
        <w:jc w:val="both"/>
        <w:rPr>
          <w:rFonts w:ascii="Times New Roman" w:eastAsia="Calibri" w:hAnsi="Times New Roman" w:cs="Times New Roman"/>
          <w:sz w:val="24"/>
          <w:szCs w:val="24"/>
          <w:lang w:val="es-ES_tradnl" w:eastAsia="es-CR"/>
        </w:rPr>
      </w:pPr>
      <w:r w:rsidRPr="00B83F49">
        <w:rPr>
          <w:rFonts w:ascii="Times New Roman" w:eastAsia="Calibri" w:hAnsi="Times New Roman" w:cs="Times New Roman"/>
          <w:sz w:val="24"/>
          <w:szCs w:val="24"/>
          <w:lang w:val="es-ES_tradnl" w:eastAsia="es-CR"/>
        </w:rPr>
        <w:t>“Que todos los responsables de los despachos judiciales, realicen un seguimiento de al menos 2 veces al año del plan anual operativo de su área con participación del personal del despacho.”</w:t>
      </w:r>
    </w:p>
    <w:p w:rsidR="00B83F49" w:rsidRPr="00B83F49" w:rsidRDefault="00B83F49" w:rsidP="00B83F49">
      <w:pPr>
        <w:suppressAutoHyphens/>
        <w:spacing w:before="100" w:beforeAutospacing="1" w:after="0" w:line="360" w:lineRule="auto"/>
        <w:ind w:firstLine="709"/>
        <w:jc w:val="both"/>
        <w:rPr>
          <w:rFonts w:ascii="Times New Roman" w:eastAsia="Calibri" w:hAnsi="Times New Roman" w:cs="Times New Roman"/>
          <w:sz w:val="24"/>
          <w:szCs w:val="24"/>
          <w:lang w:val="es-ES_tradnl" w:eastAsia="es-CR"/>
        </w:rPr>
      </w:pPr>
      <w:r w:rsidRPr="00B83F49">
        <w:rPr>
          <w:rFonts w:ascii="Times New Roman" w:eastAsia="Calibri" w:hAnsi="Times New Roman" w:cs="Times New Roman"/>
          <w:sz w:val="24"/>
          <w:szCs w:val="24"/>
          <w:lang w:val="es-ES_tradnl" w:eastAsia="es-CR"/>
        </w:rPr>
        <w:t xml:space="preserve">Con el objetivo de establecer la periodicidad de los seguimientos, se informa que la Dirección de Planificación realizará un seguimiento semestral a los Planes Anuales Operativos al corte del 30 de junio de cada año y posteriormente, una evaluación anual con corte del 31 de diciembre de cada año. Ambos resultados serán comunicados al Consejo Superior para lo que corresponda. </w:t>
      </w:r>
    </w:p>
    <w:p w:rsidR="00B83F49" w:rsidRPr="00B83F49" w:rsidRDefault="00B83F49" w:rsidP="00B83F49">
      <w:pPr>
        <w:suppressAutoHyphens/>
        <w:spacing w:before="100" w:beforeAutospacing="1" w:after="0" w:line="360" w:lineRule="auto"/>
        <w:ind w:firstLine="709"/>
        <w:jc w:val="both"/>
        <w:rPr>
          <w:rFonts w:ascii="Times New Roman" w:eastAsia="Calibri" w:hAnsi="Times New Roman" w:cs="Times New Roman"/>
          <w:sz w:val="24"/>
          <w:szCs w:val="24"/>
          <w:lang w:val="es-ES_tradnl" w:eastAsia="es-CR"/>
        </w:rPr>
      </w:pPr>
      <w:r w:rsidRPr="00B83F49">
        <w:rPr>
          <w:rFonts w:ascii="Times New Roman" w:eastAsia="Calibri" w:hAnsi="Times New Roman" w:cs="Times New Roman"/>
          <w:sz w:val="24"/>
          <w:szCs w:val="24"/>
          <w:lang w:val="es-ES_tradnl" w:eastAsia="es-CR"/>
        </w:rPr>
        <w:t>Para ello, se solicita a todas las oficinas y despachos judiciales del país realizar seguimientos periódicos a sus Planes Anuales Operativos, se sugiere de forma bimensual o trimestral, para tener un mayor control y seguimiento por medio del Sistema PAO de sus planes y su ejecución, y así evitar incumplimientos al momento de realizarse las evaluaciones por parte de la Dirección de Planificación.</w:t>
      </w:r>
    </w:p>
    <w:p w:rsidR="00B83F49" w:rsidRPr="00B83F49" w:rsidRDefault="00B83F49" w:rsidP="00B83F49">
      <w:pPr>
        <w:suppressAutoHyphens/>
        <w:spacing w:before="100" w:beforeAutospacing="1" w:after="0" w:line="360" w:lineRule="auto"/>
        <w:ind w:firstLine="709"/>
        <w:jc w:val="both"/>
        <w:rPr>
          <w:rFonts w:ascii="Times New Roman" w:eastAsia="Calibri" w:hAnsi="Times New Roman" w:cs="Times New Roman"/>
          <w:sz w:val="24"/>
          <w:szCs w:val="24"/>
          <w:lang w:val="es-ES_tradnl" w:eastAsia="es-CR"/>
        </w:rPr>
      </w:pPr>
      <w:r w:rsidRPr="00B83F49">
        <w:rPr>
          <w:rFonts w:ascii="Times New Roman" w:eastAsia="Calibri" w:hAnsi="Times New Roman" w:cs="Times New Roman"/>
          <w:sz w:val="24"/>
          <w:szCs w:val="24"/>
          <w:lang w:val="es-ES_tradnl" w:eastAsia="es-CR"/>
        </w:rPr>
        <w:t>Además, se reitera la realización de estas evaluaciones, atendiendo el interés institucional, plasmado en el Plan Estratégico periodo 2019-2024 aprobado por el Consejo Superior del Poder Judicial, en sesión 83-17, celebrada el 12 de setiembre del 2017, Artículo LXIV; y que se encuentra en concordancia con en el tema estratégico “N°5. PLANIFICACIÓN INSTITUCIONAL” el cual menciona que se debe “Dirigir la gestión judicial en función de las prioridades institucionales con el fin de maximizar el uso de los recursos”.</w:t>
      </w:r>
    </w:p>
    <w:p w:rsidR="00B83F49" w:rsidRPr="00B83F49" w:rsidRDefault="00B83F49" w:rsidP="00B83F49">
      <w:pPr>
        <w:suppressAutoHyphens/>
        <w:spacing w:after="240" w:line="276" w:lineRule="auto"/>
        <w:jc w:val="both"/>
        <w:rPr>
          <w:rFonts w:ascii="Times New Roman" w:eastAsia="Calibri" w:hAnsi="Times New Roman" w:cs="Times New Roman"/>
          <w:b/>
          <w:bCs/>
          <w:sz w:val="24"/>
          <w:szCs w:val="24"/>
          <w:lang w:val="es-ES_tradnl" w:eastAsia="es-CR"/>
        </w:rPr>
      </w:pPr>
    </w:p>
    <w:p w:rsidR="00B83F49" w:rsidRPr="00B83F49" w:rsidRDefault="00B83F49" w:rsidP="00B83F49">
      <w:pPr>
        <w:suppressAutoHyphens/>
        <w:spacing w:after="240" w:line="276" w:lineRule="auto"/>
        <w:jc w:val="both"/>
        <w:rPr>
          <w:rFonts w:ascii="Times New Roman" w:eastAsia="Calibri" w:hAnsi="Times New Roman" w:cs="Times New Roman"/>
          <w:b/>
          <w:bCs/>
          <w:sz w:val="24"/>
          <w:szCs w:val="24"/>
          <w:lang w:val="es-ES_tradnl" w:eastAsia="es-CR"/>
        </w:rPr>
      </w:pPr>
      <w:r w:rsidRPr="00B83F49">
        <w:rPr>
          <w:rFonts w:ascii="Times New Roman" w:eastAsia="Calibri" w:hAnsi="Times New Roman" w:cs="Times New Roman"/>
          <w:b/>
          <w:bCs/>
          <w:sz w:val="24"/>
          <w:szCs w:val="24"/>
          <w:lang w:val="es-ES_tradnl" w:eastAsia="es-CR"/>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rsidR="00B83F49" w:rsidRPr="00B83F49" w:rsidRDefault="00B83F49" w:rsidP="00B83F49">
      <w:pPr>
        <w:suppressAutoHyphens/>
        <w:spacing w:after="240" w:line="276" w:lineRule="auto"/>
        <w:rPr>
          <w:rFonts w:ascii="Times New Roman" w:eastAsia="Calibri" w:hAnsi="Times New Roman" w:cs="Times New Roman"/>
          <w:sz w:val="24"/>
          <w:szCs w:val="24"/>
          <w:lang w:val="es-ES_tradnl" w:eastAsia="es-CR"/>
        </w:rPr>
      </w:pPr>
      <w:r w:rsidRPr="00B83F49">
        <w:rPr>
          <w:rFonts w:ascii="Times New Roman" w:eastAsia="Calibri" w:hAnsi="Times New Roman" w:cs="Times New Roman"/>
          <w:b/>
          <w:bCs/>
          <w:sz w:val="24"/>
          <w:szCs w:val="24"/>
          <w:lang w:val="es-ES_tradnl" w:eastAsia="es-CR"/>
        </w:rPr>
        <w:t>San José, 3 de julio de 2020.</w:t>
      </w:r>
    </w:p>
    <w:p w:rsidR="00B83F49" w:rsidRPr="00B83F49" w:rsidRDefault="00B83F49" w:rsidP="00B83F49">
      <w:pPr>
        <w:suppressAutoHyphens/>
        <w:spacing w:after="240" w:line="240" w:lineRule="auto"/>
        <w:jc w:val="both"/>
        <w:rPr>
          <w:rFonts w:ascii="Times New Roman" w:eastAsia="Calibri" w:hAnsi="Times New Roman" w:cs="Times New Roman"/>
          <w:sz w:val="24"/>
          <w:szCs w:val="24"/>
          <w:lang w:val="es-ES_tradnl" w:eastAsia="ar-SA"/>
        </w:rPr>
      </w:pPr>
    </w:p>
    <w:p w:rsidR="00B83F49" w:rsidRPr="00B83F49" w:rsidRDefault="00B83F49" w:rsidP="00B83F49">
      <w:pPr>
        <w:suppressAutoHyphens/>
        <w:spacing w:after="0" w:line="240" w:lineRule="auto"/>
        <w:jc w:val="both"/>
        <w:rPr>
          <w:rFonts w:ascii="Times New Roman" w:eastAsia="Calibri" w:hAnsi="Times New Roman" w:cs="Times New Roman"/>
          <w:sz w:val="24"/>
          <w:szCs w:val="24"/>
          <w:lang w:val="es-ES_tradnl" w:eastAsia="ar-SA"/>
        </w:rPr>
      </w:pPr>
    </w:p>
    <w:p w:rsidR="00B83F49" w:rsidRPr="00B83F49" w:rsidRDefault="00B83F49" w:rsidP="00B83F49">
      <w:pPr>
        <w:suppressAutoHyphens/>
        <w:spacing w:after="0" w:line="240" w:lineRule="auto"/>
        <w:jc w:val="both"/>
        <w:rPr>
          <w:rFonts w:ascii="Times New Roman" w:eastAsia="Calibri" w:hAnsi="Times New Roman" w:cs="Times New Roman"/>
          <w:sz w:val="24"/>
          <w:szCs w:val="24"/>
          <w:lang w:val="es-ES_tradnl" w:eastAsia="ar-SA"/>
        </w:rPr>
      </w:pPr>
    </w:p>
    <w:p w:rsidR="00B83F49" w:rsidRPr="00B83F49" w:rsidRDefault="00B83F49" w:rsidP="00B83F49">
      <w:pPr>
        <w:suppressAutoHyphens/>
        <w:spacing w:after="0" w:line="240" w:lineRule="auto"/>
        <w:rPr>
          <w:rFonts w:ascii="Times New Roman" w:eastAsia="Calibri" w:hAnsi="Times New Roman" w:cs="Times New Roman"/>
          <w:b/>
          <w:bCs/>
          <w:sz w:val="24"/>
          <w:szCs w:val="24"/>
          <w:lang w:val="es-ES_tradnl" w:eastAsia="ar-SA"/>
        </w:rPr>
      </w:pPr>
      <w:r w:rsidRPr="00B83F49">
        <w:rPr>
          <w:rFonts w:ascii="Times New Roman" w:eastAsia="Calibri" w:hAnsi="Times New Roman" w:cs="Times New Roman"/>
          <w:b/>
          <w:bCs/>
          <w:sz w:val="24"/>
          <w:szCs w:val="24"/>
          <w:lang w:val="es-ES_tradnl" w:eastAsia="ar-SA"/>
        </w:rPr>
        <w:t>Lic. Carlos T. Mora Rodríguez</w:t>
      </w:r>
    </w:p>
    <w:p w:rsidR="00B83F49" w:rsidRPr="00B83F49" w:rsidRDefault="00B83F49" w:rsidP="00B83F49">
      <w:pPr>
        <w:suppressAutoHyphens/>
        <w:spacing w:after="0" w:line="240" w:lineRule="auto"/>
        <w:rPr>
          <w:rFonts w:ascii="Times New Roman" w:eastAsia="Calibri" w:hAnsi="Times New Roman" w:cs="Times New Roman"/>
          <w:b/>
          <w:bCs/>
          <w:sz w:val="24"/>
          <w:szCs w:val="24"/>
          <w:lang w:val="es-ES_tradnl" w:eastAsia="ar-SA"/>
        </w:rPr>
      </w:pPr>
      <w:r w:rsidRPr="00B83F49">
        <w:rPr>
          <w:rFonts w:ascii="Times New Roman" w:eastAsia="Calibri" w:hAnsi="Times New Roman" w:cs="Times New Roman"/>
          <w:b/>
          <w:bCs/>
          <w:sz w:val="24"/>
          <w:szCs w:val="24"/>
          <w:lang w:val="es-ES_tradnl" w:eastAsia="ar-SA"/>
        </w:rPr>
        <w:t>Subsecretario General interino</w:t>
      </w:r>
    </w:p>
    <w:p w:rsidR="00B83F49" w:rsidRPr="00B83F49" w:rsidRDefault="00B83F49" w:rsidP="00B83F49">
      <w:pPr>
        <w:suppressAutoHyphens/>
        <w:spacing w:after="0" w:line="240" w:lineRule="auto"/>
        <w:rPr>
          <w:rFonts w:ascii="Times New Roman" w:eastAsia="Calibri" w:hAnsi="Times New Roman" w:cs="Times New Roman"/>
          <w:b/>
          <w:bCs/>
          <w:sz w:val="24"/>
          <w:szCs w:val="24"/>
          <w:lang w:val="es-ES_tradnl" w:eastAsia="ar-SA"/>
        </w:rPr>
      </w:pPr>
      <w:r w:rsidRPr="00B83F49">
        <w:rPr>
          <w:rFonts w:ascii="Times New Roman" w:eastAsia="Calibri" w:hAnsi="Times New Roman" w:cs="Times New Roman"/>
          <w:b/>
          <w:bCs/>
          <w:sz w:val="24"/>
          <w:szCs w:val="24"/>
          <w:lang w:val="es-ES_tradnl" w:eastAsia="ar-SA"/>
        </w:rPr>
        <w:t>Corte Suprema de Justicia</w:t>
      </w:r>
    </w:p>
    <w:p w:rsidR="00B83F49" w:rsidRPr="00B83F49" w:rsidRDefault="00B83F49" w:rsidP="00B83F49">
      <w:pPr>
        <w:suppressAutoHyphens/>
        <w:spacing w:after="0" w:line="240" w:lineRule="auto"/>
        <w:ind w:right="141"/>
        <w:rPr>
          <w:rFonts w:ascii="Times New Roman" w:eastAsia="Calibri" w:hAnsi="Times New Roman" w:cs="Times New Roman"/>
          <w:i/>
          <w:iCs/>
          <w:sz w:val="24"/>
          <w:szCs w:val="24"/>
          <w:lang w:val="es-ES_tradnl" w:eastAsia="es-CR"/>
        </w:rPr>
      </w:pPr>
    </w:p>
    <w:p w:rsidR="00B83F49" w:rsidRPr="00B83F49" w:rsidRDefault="00B83F49" w:rsidP="00B83F49">
      <w:pPr>
        <w:suppressAutoHyphens/>
        <w:spacing w:after="0" w:line="240" w:lineRule="auto"/>
        <w:jc w:val="both"/>
        <w:rPr>
          <w:rFonts w:ascii="Times New Roman" w:eastAsia="Times New Roman" w:hAnsi="Times New Roman" w:cs="Times New Roman"/>
          <w:sz w:val="24"/>
          <w:szCs w:val="24"/>
          <w:lang w:val="es-ES_tradnl" w:eastAsia="ar-SA"/>
        </w:rPr>
      </w:pPr>
      <w:r w:rsidRPr="00B83F49">
        <w:rPr>
          <w:rFonts w:ascii="Times New Roman" w:eastAsia="Times New Roman" w:hAnsi="Times New Roman" w:cs="Times New Roman"/>
          <w:sz w:val="24"/>
          <w:szCs w:val="24"/>
          <w:lang w:val="es-ES_tradnl" w:eastAsia="ar-SA"/>
        </w:rPr>
        <w:t xml:space="preserve">Diligencias / </w:t>
      </w:r>
      <w:proofErr w:type="spellStart"/>
      <w:r w:rsidRPr="00B83F49">
        <w:rPr>
          <w:rFonts w:ascii="Times New Roman" w:eastAsia="Times New Roman" w:hAnsi="Times New Roman" w:cs="Times New Roman"/>
          <w:sz w:val="24"/>
          <w:szCs w:val="24"/>
          <w:lang w:val="es-ES_tradnl" w:eastAsia="ar-SA"/>
        </w:rPr>
        <w:t>Refs</w:t>
      </w:r>
      <w:proofErr w:type="spellEnd"/>
      <w:r w:rsidRPr="00B83F49">
        <w:rPr>
          <w:rFonts w:ascii="Times New Roman" w:eastAsia="Times New Roman" w:hAnsi="Times New Roman" w:cs="Times New Roman"/>
          <w:sz w:val="24"/>
          <w:szCs w:val="24"/>
          <w:lang w:val="es-ES_tradnl" w:eastAsia="ar-SA"/>
        </w:rPr>
        <w:t>: (</w:t>
      </w:r>
      <w:r>
        <w:rPr>
          <w:rFonts w:ascii="Times New Roman" w:eastAsia="Times New Roman" w:hAnsi="Times New Roman" w:cs="Times New Roman"/>
          <w:sz w:val="24"/>
          <w:szCs w:val="24"/>
          <w:lang w:val="es-ES_tradnl" w:eastAsia="ar-SA"/>
        </w:rPr>
        <w:t xml:space="preserve">11124-19 y </w:t>
      </w:r>
      <w:r w:rsidRPr="00B83F49">
        <w:rPr>
          <w:rFonts w:ascii="Times New Roman" w:eastAsia="Times New Roman" w:hAnsi="Times New Roman" w:cs="Times New Roman"/>
          <w:sz w:val="24"/>
          <w:szCs w:val="24"/>
          <w:lang w:val="es-ES_tradnl" w:eastAsia="ar-SA"/>
        </w:rPr>
        <w:t>5905-</w:t>
      </w:r>
      <w:r>
        <w:rPr>
          <w:rFonts w:ascii="Times New Roman" w:eastAsia="Times New Roman" w:hAnsi="Times New Roman" w:cs="Times New Roman"/>
          <w:sz w:val="24"/>
          <w:szCs w:val="24"/>
          <w:lang w:val="es-ES_tradnl" w:eastAsia="ar-SA"/>
        </w:rPr>
        <w:t>20</w:t>
      </w:r>
      <w:r w:rsidRPr="00B83F49">
        <w:rPr>
          <w:rFonts w:ascii="Times New Roman" w:eastAsia="Times New Roman" w:hAnsi="Times New Roman" w:cs="Times New Roman"/>
          <w:sz w:val="24"/>
          <w:szCs w:val="24"/>
          <w:lang w:val="es-ES_tradnl" w:eastAsia="ar-SA"/>
        </w:rPr>
        <w:t>20)</w:t>
      </w:r>
    </w:p>
    <w:p w:rsidR="00B83F49" w:rsidRPr="00B83F49" w:rsidRDefault="00B83F49" w:rsidP="00B83F49">
      <w:pPr>
        <w:suppressAutoHyphens/>
        <w:spacing w:after="0" w:line="240" w:lineRule="auto"/>
        <w:ind w:right="141"/>
        <w:rPr>
          <w:rFonts w:ascii="Times New Roman" w:eastAsia="Calibri" w:hAnsi="Times New Roman" w:cs="Times New Roman"/>
          <w:b/>
          <w:iCs/>
          <w:sz w:val="24"/>
          <w:szCs w:val="24"/>
          <w:lang w:val="es-ES_tradnl" w:eastAsia="es-CR"/>
        </w:rPr>
      </w:pPr>
      <w:r w:rsidRPr="00B83F49">
        <w:rPr>
          <w:rFonts w:ascii="Times New Roman" w:eastAsia="Calibri" w:hAnsi="Times New Roman" w:cs="Times New Roman"/>
          <w:b/>
          <w:iCs/>
          <w:sz w:val="24"/>
          <w:szCs w:val="24"/>
          <w:lang w:val="es-ES_tradnl" w:eastAsia="es-CR"/>
        </w:rPr>
        <w:t>LSA</w:t>
      </w:r>
    </w:p>
    <w:p w:rsidR="006E3C0F" w:rsidRDefault="006E3C0F"/>
    <w:sectPr w:rsidR="006E3C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49"/>
    <w:rsid w:val="0004094A"/>
    <w:rsid w:val="00136C20"/>
    <w:rsid w:val="002825BA"/>
    <w:rsid w:val="00307689"/>
    <w:rsid w:val="00343A16"/>
    <w:rsid w:val="00370E43"/>
    <w:rsid w:val="00403AC7"/>
    <w:rsid w:val="005B0A1D"/>
    <w:rsid w:val="006E3C0F"/>
    <w:rsid w:val="00892514"/>
    <w:rsid w:val="00A51C25"/>
    <w:rsid w:val="00B83F49"/>
    <w:rsid w:val="00F60595"/>
    <w:rsid w:val="00FF1C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0675"/>
  <w15:chartTrackingRefBased/>
  <w15:docId w15:val="{098A8ACA-232D-4CD2-83B0-D7EA92EE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C344-3D08-4468-889E-670C5CC9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Solis Alvarado</dc:creator>
  <cp:keywords/>
  <dc:description/>
  <cp:lastModifiedBy>Melissa Mesén Trejos</cp:lastModifiedBy>
  <cp:revision>1</cp:revision>
  <dcterms:created xsi:type="dcterms:W3CDTF">2020-09-10T20:57:00Z</dcterms:created>
  <dcterms:modified xsi:type="dcterms:W3CDTF">2020-09-10T20:57:00Z</dcterms:modified>
</cp:coreProperties>
</file>